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280" w:line="360" w:lineRule="auto"/>
        <w:jc w:val="center"/>
        <w:textAlignment w:val="baseline"/>
        <w:rPr>
          <w:b/>
          <w:bCs/>
          <w:color w:val="000000" w:themeColor="text1"/>
          <w:sz w:val="28"/>
          <w:szCs w:val="28"/>
          <w14:textFill>
            <w14:solidFill>
              <w14:schemeClr w14:val="tx1"/>
            </w14:solidFill>
          </w14:textFill>
        </w:rPr>
      </w:pPr>
    </w:p>
    <w:p>
      <w:pPr>
        <w:overflowPunct w:val="0"/>
        <w:autoSpaceDE w:val="0"/>
        <w:autoSpaceDN w:val="0"/>
        <w:adjustRightInd w:val="0"/>
        <w:spacing w:before="280" w:line="360" w:lineRule="auto"/>
        <w:jc w:val="center"/>
        <w:textAlignment w:val="baseline"/>
        <w:rPr>
          <w:b/>
          <w:bCs/>
          <w:color w:val="000000" w:themeColor="text1"/>
          <w:sz w:val="28"/>
          <w:szCs w:val="28"/>
          <w14:textFill>
            <w14:solidFill>
              <w14:schemeClr w14:val="tx1"/>
            </w14:solidFill>
          </w14:textFill>
        </w:rPr>
      </w:pPr>
    </w:p>
    <w:p>
      <w:pPr>
        <w:overflowPunct w:val="0"/>
        <w:adjustRightInd w:val="0"/>
        <w:spacing w:before="280" w:line="360" w:lineRule="auto"/>
        <w:jc w:val="center"/>
        <w:textAlignment w:val="baseline"/>
        <w:rPr>
          <w:rFonts w:hint="eastAsia" w:ascii="Times New Roman" w:hAnsi="Times New Roman"/>
          <w:sz w:val="44"/>
          <w:szCs w:val="44"/>
        </w:rPr>
      </w:pPr>
      <w:r>
        <w:rPr>
          <w:rFonts w:hint="eastAsia" w:ascii="Times New Roman" w:hAnsi="Times New Roman"/>
          <w:sz w:val="44"/>
          <w:szCs w:val="44"/>
        </w:rPr>
        <w:t>桃江县鑫泰建材有限公司年产6000万块烧结</w:t>
      </w:r>
    </w:p>
    <w:p>
      <w:pPr>
        <w:overflowPunct w:val="0"/>
        <w:adjustRightInd w:val="0"/>
        <w:spacing w:before="280" w:line="360" w:lineRule="auto"/>
        <w:jc w:val="center"/>
        <w:textAlignment w:val="baseline"/>
        <w:rPr>
          <w:rFonts w:ascii="Times New Roman" w:hAnsi="Times New Roman"/>
          <w:sz w:val="44"/>
          <w:szCs w:val="44"/>
        </w:rPr>
      </w:pPr>
      <w:r>
        <w:rPr>
          <w:rFonts w:hint="eastAsia" w:ascii="Times New Roman" w:hAnsi="Times New Roman"/>
          <w:sz w:val="44"/>
          <w:szCs w:val="44"/>
        </w:rPr>
        <w:t>页岩砖以及配套碎石生产线扩建项目</w:t>
      </w:r>
    </w:p>
    <w:p>
      <w:pPr>
        <w:overflowPunct w:val="0"/>
        <w:autoSpaceDE w:val="0"/>
        <w:autoSpaceDN w:val="0"/>
        <w:adjustRightInd w:val="0"/>
        <w:spacing w:before="280" w:line="360" w:lineRule="auto"/>
        <w:jc w:val="center"/>
        <w:textAlignment w:val="baseline"/>
        <w:rPr>
          <w:rFonts w:eastAsia="文鼎大标宋"/>
          <w:b/>
          <w:w w:val="110"/>
          <w:kern w:val="0"/>
          <w:sz w:val="82"/>
        </w:rPr>
      </w:pPr>
      <w:r>
        <w:rPr>
          <w:rFonts w:hint="eastAsia" w:eastAsia="文鼎大标宋"/>
          <w:b/>
          <w:w w:val="110"/>
          <w:kern w:val="0"/>
          <w:sz w:val="82"/>
        </w:rPr>
        <w:t>环境影响报告表</w:t>
      </w:r>
    </w:p>
    <w:p>
      <w:pPr>
        <w:spacing w:line="360" w:lineRule="auto"/>
        <w:jc w:val="center"/>
        <w:rPr>
          <w:sz w:val="36"/>
        </w:rPr>
      </w:pPr>
      <w:r>
        <w:rPr>
          <w:rFonts w:hint="eastAsia"/>
          <w:sz w:val="36"/>
        </w:rPr>
        <w:t>（报批稿）</w:t>
      </w: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jc w:val="center"/>
        <w:rPr>
          <w:rFonts w:eastAsia="楷体_GB2312"/>
          <w:b/>
          <w:sz w:val="36"/>
          <w:szCs w:val="36"/>
        </w:rPr>
      </w:pPr>
    </w:p>
    <w:p>
      <w:pPr>
        <w:spacing w:line="360" w:lineRule="auto"/>
        <w:jc w:val="center"/>
        <w:rPr>
          <w:rFonts w:ascii="宋体" w:hAnsi="宋体"/>
          <w:spacing w:val="26"/>
          <w:sz w:val="32"/>
          <w:szCs w:val="32"/>
        </w:rPr>
      </w:pPr>
      <w:r>
        <w:rPr>
          <w:rFonts w:hint="eastAsia" w:ascii="宋体" w:hAnsi="宋体"/>
          <w:spacing w:val="26"/>
          <w:sz w:val="32"/>
          <w:szCs w:val="32"/>
        </w:rPr>
        <w:t>建设单位：</w:t>
      </w:r>
      <w:r>
        <w:rPr>
          <w:rFonts w:hint="eastAsia" w:ascii="宋体" w:hAnsi="宋体"/>
          <w:sz w:val="32"/>
          <w:szCs w:val="32"/>
        </w:rPr>
        <w:t>桃江县鑫泰建材有限公司</w:t>
      </w:r>
    </w:p>
    <w:p>
      <w:pPr>
        <w:spacing w:line="360" w:lineRule="auto"/>
        <w:jc w:val="center"/>
        <w:rPr>
          <w:rFonts w:ascii="宋体" w:hAnsi="宋体"/>
          <w:spacing w:val="26"/>
          <w:sz w:val="32"/>
          <w:szCs w:val="32"/>
        </w:rPr>
      </w:pPr>
      <w:r>
        <w:rPr>
          <w:rFonts w:hint="eastAsia" w:ascii="宋体" w:hAnsi="宋体"/>
          <w:spacing w:val="26"/>
          <w:sz w:val="32"/>
          <w:szCs w:val="32"/>
        </w:rPr>
        <w:t>评价单位：湖南太禹环保科技有限公司</w:t>
      </w:r>
    </w:p>
    <w:p>
      <w:pPr>
        <w:spacing w:line="360" w:lineRule="auto"/>
        <w:jc w:val="center"/>
        <w:rPr>
          <w:rFonts w:ascii="宋体" w:hAnsi="宋体"/>
          <w:spacing w:val="26"/>
          <w:sz w:val="32"/>
          <w:szCs w:val="32"/>
        </w:rPr>
      </w:pPr>
      <w:r>
        <w:rPr>
          <w:rFonts w:hint="eastAsia" w:ascii="宋体" w:hAnsi="宋体"/>
          <w:spacing w:val="26"/>
          <w:sz w:val="32"/>
          <w:szCs w:val="32"/>
        </w:rPr>
        <w:t>编制时间：二〇二〇年六月</w:t>
      </w:r>
    </w:p>
    <w:p>
      <w:pPr>
        <w:kinsoku w:val="0"/>
        <w:overflowPunct w:val="0"/>
        <w:spacing w:line="360" w:lineRule="auto"/>
        <w:ind w:firstLine="1050" w:firstLineChars="500"/>
        <w:rPr>
          <w:rFonts w:ascii="黑体" w:hAnsi="黑体" w:eastAsia="黑体"/>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18" w:right="1418" w:bottom="1418" w:left="1418" w:header="851" w:footer="851" w:gutter="0"/>
          <w:cols w:space="720" w:num="1"/>
          <w:titlePg/>
          <w:docGrid w:linePitch="318" w:charSpace="190"/>
        </w:sectPr>
      </w:pPr>
    </w:p>
    <w:p>
      <w:pPr>
        <w:jc w:val="center"/>
        <w:rPr>
          <w:rFonts w:ascii="Times New Roman" w:hAnsi="Times New Roman"/>
          <w:b/>
          <w:bCs/>
          <w:color w:val="000000" w:themeColor="text1"/>
          <w:sz w:val="34"/>
          <w14:textFill>
            <w14:solidFill>
              <w14:schemeClr w14:val="tx1"/>
            </w14:solidFill>
          </w14:textFill>
        </w:rPr>
      </w:pPr>
      <w:bookmarkStart w:id="0" w:name="_Hlk49110030"/>
    </w:p>
    <w:p>
      <w:pPr>
        <w:spacing w:line="360" w:lineRule="auto"/>
        <w:jc w:val="center"/>
        <w:rPr>
          <w:rFonts w:ascii="Times New Roman" w:hAnsi="Times New Roman"/>
          <w:color w:val="000000" w:themeColor="text1"/>
          <w:spacing w:val="40"/>
          <w:sz w:val="32"/>
          <w:szCs w:val="32"/>
          <w14:textFill>
            <w14:solidFill>
              <w14:schemeClr w14:val="tx1"/>
            </w14:solidFill>
          </w14:textFill>
        </w:rPr>
      </w:pPr>
    </w:p>
    <w:p>
      <w:pPr>
        <w:pStyle w:val="21"/>
        <w:spacing w:before="120"/>
        <w:ind w:firstLine="0" w:firstLineChars="0"/>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《建设项目环境影响报告表》编制说明</w:t>
      </w:r>
    </w:p>
    <w:p>
      <w:pPr>
        <w:pStyle w:val="21"/>
        <w:spacing w:before="120"/>
        <w:ind w:firstLine="210"/>
        <w:rPr>
          <w:color w:val="000000" w:themeColor="text1"/>
          <w14:textFill>
            <w14:solidFill>
              <w14:schemeClr w14:val="tx1"/>
            </w14:solidFill>
          </w14:textFill>
        </w:rPr>
      </w:pPr>
    </w:p>
    <w:p>
      <w:pPr>
        <w:pStyle w:val="21"/>
        <w:spacing w:before="120"/>
        <w:ind w:firstLine="210"/>
        <w:rPr>
          <w:color w:val="000000" w:themeColor="text1"/>
          <w14:textFill>
            <w14:solidFill>
              <w14:schemeClr w14:val="tx1"/>
            </w14:solidFill>
          </w14:textFill>
        </w:rPr>
      </w:pP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《建设项目环境影响报告表》由具有从事环境影响评价工作资质的单位编制。</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 项目名称――指项目立项批复时的名称，应不超过30个字(两个英文字段作一个汉字)。</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 建设地点――指项目所在地详细地址，公路、铁路应填写起止地点。</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 行业类别――按国标填写。</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 总投资――指项目投资总额。</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 主要环境保护目标――指项目区周围一定范围内集中居民住宅区、学校、医院、保护文物、风景名胜区、水源地和生态敏感点等，应尽可能给出保护目标、性质、规模和距厂界距离等。</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 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 预审意见――由行业主管部门填写答复意见，无主管部门项目，可不填。</w:t>
      </w:r>
    </w:p>
    <w:p>
      <w:pPr>
        <w:pStyle w:val="21"/>
        <w:spacing w:before="120"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 审批意见――由负责审核该项目的环境保护行政主管部门批复。</w:t>
      </w:r>
    </w:p>
    <w:bookmarkEnd w:id="0"/>
    <w:p>
      <w:pPr>
        <w:kinsoku w:val="0"/>
        <w:overflowPunct w:val="0"/>
        <w:spacing w:line="360" w:lineRule="auto"/>
        <w:ind w:firstLine="1050" w:firstLineChars="500"/>
        <w:rPr>
          <w:rFonts w:ascii="黑体" w:hAnsi="黑体" w:eastAsia="黑体"/>
        </w:rPr>
        <w:sectPr>
          <w:pgSz w:w="11906" w:h="16838"/>
          <w:pgMar w:top="1418" w:right="1418" w:bottom="1418" w:left="1418" w:header="851" w:footer="851" w:gutter="0"/>
          <w:cols w:space="720" w:num="1"/>
          <w:titlePg/>
          <w:docGrid w:linePitch="318" w:charSpace="190"/>
        </w:sectPr>
      </w:pPr>
    </w:p>
    <w:p>
      <w:pPr>
        <w:pStyle w:val="15"/>
        <w:kinsoku w:val="0"/>
        <w:overflowPunct w:val="0"/>
        <w:spacing w:before="120" w:after="240"/>
        <w:rPr>
          <w:rFonts w:hAnsi="Times New Roman"/>
        </w:rPr>
      </w:pPr>
      <w:r>
        <w:rPr>
          <w:rFonts w:hAnsi="Times New Roman"/>
        </w:rPr>
        <w:t>目  录</w:t>
      </w:r>
    </w:p>
    <w:p>
      <w:pPr>
        <w:pStyle w:val="15"/>
        <w:kinsoku w:val="0"/>
        <w:overflowPunct w:val="0"/>
        <w:spacing w:beforeLines="0" w:afterLines="0" w:line="360" w:lineRule="exact"/>
        <w:jc w:val="left"/>
        <w:rPr>
          <w:rFonts w:hAnsi="Times New Roman"/>
          <w:b w:val="0"/>
          <w:sz w:val="21"/>
          <w:szCs w:val="21"/>
        </w:rPr>
      </w:pPr>
      <w:r>
        <w:rPr>
          <w:rFonts w:hAnsi="Times New Roman"/>
        </w:rPr>
        <w:fldChar w:fldCharType="begin"/>
      </w:r>
      <w:r>
        <w:rPr>
          <w:rFonts w:hAnsi="Times New Roman"/>
        </w:rPr>
        <w:instrText xml:space="preserve"> TOC \o "1-2" \h \z \u </w:instrText>
      </w:r>
      <w:r>
        <w:rPr>
          <w:rFonts w:hAnsi="Times New Roman"/>
        </w:rPr>
        <w:fldChar w:fldCharType="separate"/>
      </w:r>
      <w:r>
        <w:fldChar w:fldCharType="begin"/>
      </w:r>
      <w:r>
        <w:instrText xml:space="preserve"> HYPERLINK \l "_Toc511833642" </w:instrText>
      </w:r>
      <w:r>
        <w:fldChar w:fldCharType="separate"/>
      </w:r>
      <w:r>
        <w:rPr>
          <w:rStyle w:val="27"/>
          <w:sz w:val="21"/>
          <w:szCs w:val="21"/>
        </w:rPr>
        <w:t>一、建设项目基本情况</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_Toc511833642 \h </w:instrText>
      </w:r>
      <w:r>
        <w:rPr>
          <w:rFonts w:hAnsi="Times New Roman"/>
          <w:sz w:val="21"/>
          <w:szCs w:val="21"/>
        </w:rPr>
        <w:fldChar w:fldCharType="separate"/>
      </w:r>
      <w:r>
        <w:rPr>
          <w:rFonts w:hAnsi="Times New Roman"/>
          <w:sz w:val="21"/>
          <w:szCs w:val="21"/>
        </w:rPr>
        <w:t>1</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"_Toc511833645" </w:instrText>
      </w:r>
      <w:r>
        <w:fldChar w:fldCharType="separate"/>
      </w:r>
      <w:r>
        <w:rPr>
          <w:rStyle w:val="27"/>
          <w:bCs/>
          <w:sz w:val="21"/>
          <w:szCs w:val="21"/>
        </w:rPr>
        <w:t>二、</w:t>
      </w:r>
      <w:r>
        <w:rPr>
          <w:rStyle w:val="27"/>
          <w:rFonts w:hint="eastAsia"/>
          <w:bCs/>
          <w:sz w:val="21"/>
          <w:szCs w:val="21"/>
        </w:rPr>
        <w:t>环境现状调查与评价</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_Toc511833645 \h </w:instrText>
      </w:r>
      <w:r>
        <w:rPr>
          <w:rFonts w:hAnsi="Times New Roman"/>
          <w:sz w:val="21"/>
          <w:szCs w:val="21"/>
        </w:rPr>
        <w:fldChar w:fldCharType="separate"/>
      </w:r>
      <w:r>
        <w:rPr>
          <w:rFonts w:hAnsi="Times New Roman"/>
          <w:sz w:val="21"/>
          <w:szCs w:val="21"/>
        </w:rPr>
        <w:t>22</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"_Toc511833649" </w:instrText>
      </w:r>
      <w:r>
        <w:fldChar w:fldCharType="separate"/>
      </w:r>
      <w:r>
        <w:rPr>
          <w:rStyle w:val="27"/>
          <w:sz w:val="21"/>
          <w:szCs w:val="21"/>
        </w:rPr>
        <w:t>三、评价适用标准</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_Toc511833649 \h </w:instrText>
      </w:r>
      <w:r>
        <w:rPr>
          <w:rFonts w:hAnsi="Times New Roman"/>
          <w:sz w:val="21"/>
          <w:szCs w:val="21"/>
        </w:rPr>
        <w:fldChar w:fldCharType="separate"/>
      </w:r>
      <w:r>
        <w:rPr>
          <w:rFonts w:hAnsi="Times New Roman"/>
          <w:sz w:val="21"/>
          <w:szCs w:val="21"/>
        </w:rPr>
        <w:t>29</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"_Toc511833650" </w:instrText>
      </w:r>
      <w:r>
        <w:fldChar w:fldCharType="separate"/>
      </w:r>
      <w:r>
        <w:rPr>
          <w:rStyle w:val="27"/>
          <w:sz w:val="21"/>
          <w:szCs w:val="21"/>
        </w:rPr>
        <w:t>四、工程分析</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_Toc511833650 \h </w:instrText>
      </w:r>
      <w:r>
        <w:rPr>
          <w:rFonts w:hAnsi="Times New Roman"/>
          <w:sz w:val="21"/>
          <w:szCs w:val="21"/>
        </w:rPr>
        <w:fldChar w:fldCharType="separate"/>
      </w:r>
      <w:r>
        <w:rPr>
          <w:rFonts w:hAnsi="Times New Roman"/>
          <w:sz w:val="21"/>
          <w:szCs w:val="21"/>
        </w:rPr>
        <w:t>30</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"_Toc511833652" </w:instrText>
      </w:r>
      <w:r>
        <w:fldChar w:fldCharType="separate"/>
      </w:r>
      <w:r>
        <w:rPr>
          <w:rStyle w:val="27"/>
          <w:kern w:val="44"/>
          <w:sz w:val="21"/>
          <w:szCs w:val="21"/>
        </w:rPr>
        <w:t>五、主要污染物产生及预计排放情况</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_Toc511833652 \h </w:instrText>
      </w:r>
      <w:r>
        <w:rPr>
          <w:rFonts w:hAnsi="Times New Roman"/>
          <w:sz w:val="21"/>
          <w:szCs w:val="21"/>
        </w:rPr>
        <w:fldChar w:fldCharType="separate"/>
      </w:r>
      <w:r>
        <w:rPr>
          <w:rFonts w:hAnsi="Times New Roman"/>
          <w:sz w:val="21"/>
          <w:szCs w:val="21"/>
        </w:rPr>
        <w:t>45</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"_Toc511833653" </w:instrText>
      </w:r>
      <w:r>
        <w:fldChar w:fldCharType="separate"/>
      </w:r>
      <w:r>
        <w:rPr>
          <w:rStyle w:val="27"/>
          <w:sz w:val="21"/>
          <w:szCs w:val="21"/>
        </w:rPr>
        <w:t>六、环境影响分析及防治措施分析</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_Toc511833653 \h </w:instrText>
      </w:r>
      <w:r>
        <w:rPr>
          <w:rFonts w:hAnsi="Times New Roman"/>
          <w:sz w:val="21"/>
          <w:szCs w:val="21"/>
        </w:rPr>
        <w:fldChar w:fldCharType="separate"/>
      </w:r>
      <w:r>
        <w:rPr>
          <w:rFonts w:hAnsi="Times New Roman"/>
          <w:sz w:val="21"/>
          <w:szCs w:val="21"/>
        </w:rPr>
        <w:t>48</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"_Toc511833658" </w:instrText>
      </w:r>
      <w:r>
        <w:fldChar w:fldCharType="separate"/>
      </w:r>
      <w:r>
        <w:rPr>
          <w:rStyle w:val="27"/>
          <w:sz w:val="21"/>
          <w:szCs w:val="21"/>
        </w:rPr>
        <w:t>七、建设项目拟采取的防治措施及预防治理效果</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_Toc511833658 \h </w:instrText>
      </w:r>
      <w:r>
        <w:rPr>
          <w:rFonts w:hAnsi="Times New Roman"/>
          <w:sz w:val="21"/>
          <w:szCs w:val="21"/>
        </w:rPr>
        <w:fldChar w:fldCharType="separate"/>
      </w:r>
      <w:r>
        <w:rPr>
          <w:rFonts w:hAnsi="Times New Roman"/>
          <w:sz w:val="21"/>
          <w:szCs w:val="21"/>
        </w:rPr>
        <w:t>84</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1"/>
          <w:szCs w:val="21"/>
        </w:rPr>
      </w:pPr>
      <w:r>
        <w:fldChar w:fldCharType="begin"/>
      </w:r>
      <w:r>
        <w:instrText xml:space="preserve"> HYPERLINK \l "_Toc511833659" </w:instrText>
      </w:r>
      <w:r>
        <w:fldChar w:fldCharType="separate"/>
      </w:r>
      <w:r>
        <w:rPr>
          <w:rStyle w:val="27"/>
          <w:sz w:val="21"/>
          <w:szCs w:val="21"/>
        </w:rPr>
        <w:t>八、项目建设可行性分析</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_Toc511833659 \h </w:instrText>
      </w:r>
      <w:r>
        <w:rPr>
          <w:rFonts w:hAnsi="Times New Roman"/>
          <w:sz w:val="21"/>
          <w:szCs w:val="21"/>
        </w:rPr>
        <w:fldChar w:fldCharType="separate"/>
      </w:r>
      <w:r>
        <w:rPr>
          <w:rFonts w:hAnsi="Times New Roman"/>
          <w:sz w:val="21"/>
          <w:szCs w:val="21"/>
        </w:rPr>
        <w:t>85</w:t>
      </w:r>
      <w:r>
        <w:rPr>
          <w:rFonts w:hAnsi="Times New Roman"/>
          <w:sz w:val="21"/>
          <w:szCs w:val="21"/>
        </w:rPr>
        <w:fldChar w:fldCharType="end"/>
      </w:r>
      <w:r>
        <w:rPr>
          <w:rFonts w:hAnsi="Times New Roman"/>
          <w:sz w:val="21"/>
          <w:szCs w:val="21"/>
        </w:rPr>
        <w:fldChar w:fldCharType="end"/>
      </w:r>
    </w:p>
    <w:p>
      <w:pPr>
        <w:pStyle w:val="15"/>
        <w:kinsoku w:val="0"/>
        <w:overflowPunct w:val="0"/>
        <w:spacing w:beforeLines="0" w:afterLines="0" w:line="360" w:lineRule="exact"/>
        <w:rPr>
          <w:rFonts w:hAnsi="Times New Roman"/>
          <w:b w:val="0"/>
          <w:sz w:val="24"/>
          <w:szCs w:val="24"/>
        </w:rPr>
      </w:pPr>
      <w:r>
        <w:fldChar w:fldCharType="begin"/>
      </w:r>
      <w:r>
        <w:instrText xml:space="preserve"> HYPERLINK \l "_Toc511833660" </w:instrText>
      </w:r>
      <w:r>
        <w:fldChar w:fldCharType="separate"/>
      </w:r>
      <w:r>
        <w:rPr>
          <w:rStyle w:val="27"/>
          <w:sz w:val="21"/>
          <w:szCs w:val="21"/>
        </w:rPr>
        <w:t>九、结论与建议</w:t>
      </w:r>
      <w:r>
        <w:rPr>
          <w:rFonts w:hAnsi="Times New Roman"/>
          <w:sz w:val="21"/>
          <w:szCs w:val="21"/>
        </w:rPr>
        <w:tab/>
      </w:r>
      <w:r>
        <w:rPr>
          <w:rFonts w:hAnsi="Times New Roman"/>
          <w:sz w:val="21"/>
          <w:szCs w:val="21"/>
        </w:rPr>
        <w:fldChar w:fldCharType="begin"/>
      </w:r>
      <w:r>
        <w:rPr>
          <w:rFonts w:hAnsi="Times New Roman"/>
          <w:sz w:val="21"/>
          <w:szCs w:val="21"/>
        </w:rPr>
        <w:instrText xml:space="preserve"> PAGEREF _Toc511833660 \h </w:instrText>
      </w:r>
      <w:r>
        <w:rPr>
          <w:rFonts w:hAnsi="Times New Roman"/>
          <w:sz w:val="21"/>
          <w:szCs w:val="21"/>
        </w:rPr>
        <w:fldChar w:fldCharType="separate"/>
      </w:r>
      <w:r>
        <w:rPr>
          <w:rFonts w:hAnsi="Times New Roman"/>
          <w:sz w:val="21"/>
          <w:szCs w:val="21"/>
        </w:rPr>
        <w:t>95</w:t>
      </w:r>
      <w:r>
        <w:rPr>
          <w:rFonts w:hAnsi="Times New Roman"/>
          <w:sz w:val="21"/>
          <w:szCs w:val="21"/>
        </w:rPr>
        <w:fldChar w:fldCharType="end"/>
      </w:r>
      <w:r>
        <w:rPr>
          <w:rFonts w:hAnsi="Times New Roman"/>
          <w:sz w:val="21"/>
          <w:szCs w:val="21"/>
        </w:rPr>
        <w:fldChar w:fldCharType="end"/>
      </w:r>
    </w:p>
    <w:p>
      <w:pPr>
        <w:kinsoku w:val="0"/>
        <w:overflowPunct w:val="0"/>
        <w:spacing w:line="360" w:lineRule="exact"/>
        <w:rPr>
          <w:rFonts w:ascii="Times New Roman" w:hAnsi="Times New Roman"/>
        </w:rPr>
      </w:pPr>
      <w:r>
        <w:rPr>
          <w:rFonts w:ascii="Times New Roman" w:hAnsi="Times New Roman"/>
        </w:rPr>
        <w:fldChar w:fldCharType="end"/>
      </w:r>
    </w:p>
    <w:p>
      <w:pPr>
        <w:rPr>
          <w:rFonts w:ascii="Times New Roman" w:hAnsi="Times New Roman"/>
        </w:rPr>
      </w:pPr>
      <w:r>
        <w:rPr>
          <w:rFonts w:ascii="Times New Roman" w:hAnsi="Times New Roman"/>
        </w:rPr>
        <w:br w:type="page"/>
      </w:r>
    </w:p>
    <w:p>
      <w:pPr>
        <w:kinsoku w:val="0"/>
        <w:overflowPunct w:val="0"/>
        <w:spacing w:line="360" w:lineRule="exact"/>
        <w:rPr>
          <w:rFonts w:ascii="Times New Roman" w:hAnsi="Times New Roman"/>
        </w:rPr>
        <w:sectPr>
          <w:footerReference r:id="rId9" w:type="default"/>
          <w:pgSz w:w="11906" w:h="16838"/>
          <w:pgMar w:top="1418" w:right="1418" w:bottom="1418" w:left="1418" w:header="851" w:footer="992" w:gutter="0"/>
          <w:pgNumType w:start="0"/>
          <w:cols w:space="720" w:num="1"/>
          <w:titlePg/>
          <w:docGrid w:linePitch="318" w:charSpace="190"/>
        </w:sectPr>
      </w:pPr>
    </w:p>
    <w:p>
      <w:pPr>
        <w:kinsoku w:val="0"/>
        <w:overflowPunct w:val="0"/>
        <w:spacing w:line="360" w:lineRule="auto"/>
        <w:outlineLvl w:val="0"/>
        <w:rPr>
          <w:rFonts w:ascii="Times New Roman" w:hAnsi="Times New Roman"/>
          <w:b/>
          <w:spacing w:val="8"/>
          <w:sz w:val="30"/>
          <w:szCs w:val="30"/>
        </w:rPr>
      </w:pPr>
      <w:bookmarkStart w:id="1" w:name="_Toc511833732"/>
      <w:bookmarkStart w:id="2" w:name="_Toc511833751"/>
      <w:bookmarkStart w:id="3" w:name="_Toc511833642"/>
      <w:r>
        <w:rPr>
          <w:rFonts w:ascii="Times New Roman" w:hAnsi="Times New Roman"/>
          <w:b/>
          <w:spacing w:val="8"/>
          <w:sz w:val="30"/>
          <w:szCs w:val="30"/>
        </w:rPr>
        <w:t>一、建设项目基本情况</w:t>
      </w:r>
      <w:bookmarkEnd w:id="1"/>
      <w:bookmarkEnd w:id="2"/>
      <w:bookmarkEnd w:id="3"/>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6"/>
        <w:gridCol w:w="1044"/>
        <w:gridCol w:w="727"/>
        <w:gridCol w:w="1017"/>
        <w:gridCol w:w="1599"/>
        <w:gridCol w:w="1780"/>
        <w:gridCol w:w="102"/>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项目名称</w:t>
            </w:r>
          </w:p>
        </w:tc>
        <w:tc>
          <w:tcPr>
            <w:tcW w:w="7249" w:type="dxa"/>
            <w:gridSpan w:val="7"/>
            <w:vAlign w:val="center"/>
          </w:tcPr>
          <w:p>
            <w:pPr>
              <w:widowControl/>
              <w:jc w:val="center"/>
              <w:rPr>
                <w:rFonts w:ascii="Times New Roman" w:hAnsi="Times New Roman"/>
                <w:bCs/>
                <w:spacing w:val="8"/>
                <w:sz w:val="24"/>
                <w:szCs w:val="24"/>
              </w:rPr>
            </w:pPr>
            <w:r>
              <w:rPr>
                <w:rFonts w:ascii="Times New Roman" w:hAnsi="Times New Roman"/>
                <w:color w:val="000000" w:themeColor="text1"/>
                <w:sz w:val="24"/>
                <w:szCs w:val="24"/>
                <w14:textFill>
                  <w14:solidFill>
                    <w14:schemeClr w14:val="tx1"/>
                  </w14:solidFill>
                </w14:textFill>
              </w:rPr>
              <w:t>桃江县鑫泰建材有限公司年产6000万块烧结页岩砖以及配套碎石生产线扩建项目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建设单位</w:t>
            </w:r>
          </w:p>
        </w:tc>
        <w:tc>
          <w:tcPr>
            <w:tcW w:w="7249" w:type="dxa"/>
            <w:gridSpan w:val="7"/>
            <w:vAlign w:val="center"/>
          </w:tcPr>
          <w:p>
            <w:pPr>
              <w:jc w:val="center"/>
              <w:rPr>
                <w:rFonts w:ascii="Times New Roman" w:hAnsi="Times New Roman"/>
                <w:spacing w:val="8"/>
                <w:sz w:val="24"/>
                <w:szCs w:val="24"/>
              </w:rPr>
            </w:pPr>
            <w:r>
              <w:rPr>
                <w:rFonts w:ascii="Times New Roman" w:hAnsi="Times New Roman"/>
                <w:color w:val="000000" w:themeColor="text1"/>
                <w:sz w:val="24"/>
                <w:szCs w:val="24"/>
                <w14:textFill>
                  <w14:solidFill>
                    <w14:schemeClr w14:val="tx1"/>
                  </w14:solidFill>
                </w14:textFill>
              </w:rPr>
              <w:t>桃江县鑫泰建材有限公司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法人代表</w:t>
            </w:r>
          </w:p>
        </w:tc>
        <w:tc>
          <w:tcPr>
            <w:tcW w:w="2720" w:type="dxa"/>
            <w:gridSpan w:val="3"/>
            <w:vAlign w:val="center"/>
          </w:tcPr>
          <w:p>
            <w:pPr>
              <w:jc w:val="center"/>
              <w:rPr>
                <w:rFonts w:ascii="Times New Roman" w:hAnsi="Times New Roman"/>
                <w:spacing w:val="8"/>
                <w:sz w:val="24"/>
                <w:szCs w:val="24"/>
              </w:rPr>
            </w:pPr>
            <w:r>
              <w:rPr>
                <w:rFonts w:ascii="Times New Roman" w:hAnsi="Times New Roman"/>
                <w:sz w:val="24"/>
                <w:szCs w:val="28"/>
              </w:rPr>
              <w:t>胡新华</w:t>
            </w:r>
          </w:p>
        </w:tc>
        <w:tc>
          <w:tcPr>
            <w:tcW w:w="1560" w:type="dxa"/>
            <w:vAlign w:val="center"/>
          </w:tcPr>
          <w:p>
            <w:pPr>
              <w:jc w:val="center"/>
              <w:rPr>
                <w:rFonts w:ascii="Times New Roman" w:hAnsi="Times New Roman"/>
                <w:spacing w:val="8"/>
                <w:sz w:val="24"/>
                <w:szCs w:val="24"/>
              </w:rPr>
            </w:pPr>
            <w:r>
              <w:rPr>
                <w:rFonts w:ascii="Times New Roman" w:hAnsi="Times New Roman"/>
                <w:spacing w:val="8"/>
                <w:sz w:val="24"/>
                <w:szCs w:val="24"/>
              </w:rPr>
              <w:t>联系人</w:t>
            </w:r>
          </w:p>
        </w:tc>
        <w:tc>
          <w:tcPr>
            <w:tcW w:w="2969" w:type="dxa"/>
            <w:gridSpan w:val="3"/>
            <w:vAlign w:val="center"/>
          </w:tcPr>
          <w:p>
            <w:pPr>
              <w:jc w:val="center"/>
              <w:rPr>
                <w:rFonts w:ascii="Times New Roman" w:hAnsi="Times New Roman"/>
                <w:spacing w:val="8"/>
                <w:sz w:val="24"/>
                <w:szCs w:val="24"/>
              </w:rPr>
            </w:pPr>
            <w:r>
              <w:rPr>
                <w:rFonts w:hint="eastAsia" w:ascii="Times New Roman" w:hAnsi="Times New Roman"/>
                <w:color w:val="000000" w:themeColor="text1"/>
                <w:kern w:val="24"/>
                <w:sz w:val="24"/>
                <w:szCs w:val="24"/>
                <w14:textFill>
                  <w14:solidFill>
                    <w14:schemeClr w14:val="tx1"/>
                  </w14:solidFill>
                </w14:textFill>
              </w:rPr>
              <w:t>陈国华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通讯地址</w:t>
            </w:r>
          </w:p>
        </w:tc>
        <w:tc>
          <w:tcPr>
            <w:tcW w:w="7249" w:type="dxa"/>
            <w:gridSpan w:val="7"/>
            <w:vAlign w:val="center"/>
          </w:tcPr>
          <w:p>
            <w:pPr>
              <w:jc w:val="center"/>
              <w:rPr>
                <w:rFonts w:ascii="Times New Roman" w:hAnsi="Times New Roman"/>
                <w:spacing w:val="8"/>
                <w:sz w:val="24"/>
                <w:szCs w:val="24"/>
              </w:rPr>
            </w:pPr>
            <w:r>
              <w:rPr>
                <w:rFonts w:hint="eastAsia" w:ascii="Times New Roman" w:hAnsi="Times New Roman"/>
                <w:color w:val="000000" w:themeColor="text1"/>
                <w:sz w:val="24"/>
                <w:szCs w:val="24"/>
                <w14:textFill>
                  <w14:solidFill>
                    <w14:schemeClr w14:val="tx1"/>
                  </w14:solidFill>
                </w14:textFill>
              </w:rPr>
              <w:t>湖南省</w:t>
            </w:r>
            <w:r>
              <w:rPr>
                <w:rFonts w:ascii="Times New Roman" w:hAnsi="Times New Roman"/>
                <w:color w:val="000000" w:themeColor="text1"/>
                <w:sz w:val="24"/>
                <w:szCs w:val="24"/>
                <w14:textFill>
                  <w14:solidFill>
                    <w14:schemeClr w14:val="tx1"/>
                  </w14:solidFill>
                </w14:textFill>
              </w:rPr>
              <w:t>益阳市桃江县鸬鹚渡镇百亩村</w:t>
            </w:r>
            <w:r>
              <w:rPr>
                <w:rFonts w:hint="eastAsia" w:ascii="Times New Roman" w:hAnsi="Times New Roman"/>
                <w:color w:val="000000" w:themeColor="text1"/>
                <w:sz w:val="24"/>
                <w:szCs w:val="24"/>
                <w14:textFill>
                  <w14:solidFill>
                    <w14:schemeClr w14:val="tx1"/>
                  </w14:solidFill>
                </w14:textFill>
              </w:rPr>
              <w:t>村民组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z w:val="24"/>
                <w:szCs w:val="24"/>
              </w:rPr>
            </w:pPr>
            <w:r>
              <w:rPr>
                <w:rFonts w:ascii="Times New Roman" w:hAnsi="Times New Roman"/>
                <w:sz w:val="24"/>
                <w:szCs w:val="24"/>
              </w:rPr>
              <w:t>联系电话</w:t>
            </w:r>
          </w:p>
        </w:tc>
        <w:tc>
          <w:tcPr>
            <w:tcW w:w="1728" w:type="dxa"/>
            <w:gridSpan w:val="2"/>
            <w:vAlign w:val="center"/>
          </w:tcPr>
          <w:p>
            <w:pPr>
              <w:jc w:val="center"/>
              <w:rPr>
                <w:rFonts w:ascii="Times New Roman" w:hAnsi="Times New Roman"/>
                <w:sz w:val="24"/>
                <w:szCs w:val="24"/>
              </w:rPr>
            </w:pPr>
            <w:r>
              <w:rPr>
                <w:rFonts w:ascii="Times New Roman" w:hAnsi="Times New Roman"/>
                <w:color w:val="000000" w:themeColor="text1"/>
                <w:kern w:val="24"/>
                <w:sz w:val="24"/>
                <w:szCs w:val="24"/>
                <w14:textFill>
                  <w14:solidFill>
                    <w14:schemeClr w14:val="tx1"/>
                  </w14:solidFill>
                </w14:textFill>
              </w:rPr>
              <w:t>13342573393</w:t>
            </w:r>
          </w:p>
        </w:tc>
        <w:tc>
          <w:tcPr>
            <w:tcW w:w="992" w:type="dxa"/>
            <w:vAlign w:val="center"/>
          </w:tcPr>
          <w:p>
            <w:pPr>
              <w:jc w:val="center"/>
              <w:rPr>
                <w:rFonts w:ascii="Times New Roman" w:hAnsi="Times New Roman"/>
                <w:sz w:val="24"/>
                <w:szCs w:val="24"/>
              </w:rPr>
            </w:pPr>
            <w:r>
              <w:rPr>
                <w:rFonts w:ascii="Times New Roman" w:hAnsi="Times New Roman"/>
                <w:sz w:val="24"/>
                <w:szCs w:val="24"/>
              </w:rPr>
              <w:t>传真</w:t>
            </w:r>
          </w:p>
        </w:tc>
        <w:tc>
          <w:tcPr>
            <w:tcW w:w="1560" w:type="dxa"/>
            <w:vAlign w:val="center"/>
          </w:tcPr>
          <w:p>
            <w:pPr>
              <w:jc w:val="center"/>
              <w:rPr>
                <w:rFonts w:ascii="Times New Roman" w:hAnsi="Times New Roman"/>
                <w:sz w:val="24"/>
                <w:szCs w:val="24"/>
              </w:rPr>
            </w:pPr>
            <w:r>
              <w:rPr>
                <w:rFonts w:ascii="Times New Roman" w:hAnsi="Times New Roman"/>
                <w:sz w:val="24"/>
                <w:szCs w:val="24"/>
              </w:rPr>
              <w:t>/</w:t>
            </w:r>
          </w:p>
        </w:tc>
        <w:tc>
          <w:tcPr>
            <w:tcW w:w="1737" w:type="dxa"/>
            <w:vAlign w:val="center"/>
          </w:tcPr>
          <w:p>
            <w:pPr>
              <w:jc w:val="center"/>
              <w:rPr>
                <w:rFonts w:ascii="Times New Roman" w:hAnsi="Times New Roman"/>
                <w:sz w:val="24"/>
                <w:szCs w:val="24"/>
              </w:rPr>
            </w:pPr>
            <w:r>
              <w:rPr>
                <w:rFonts w:ascii="Times New Roman" w:hAnsi="Times New Roman"/>
                <w:sz w:val="24"/>
                <w:szCs w:val="24"/>
              </w:rPr>
              <w:t>邮政编码</w:t>
            </w:r>
          </w:p>
        </w:tc>
        <w:tc>
          <w:tcPr>
            <w:tcW w:w="1232" w:type="dxa"/>
            <w:gridSpan w:val="2"/>
            <w:vAlign w:val="center"/>
          </w:tcPr>
          <w:p>
            <w:pPr>
              <w:jc w:val="center"/>
              <w:rPr>
                <w:rFonts w:ascii="Times New Roman" w:hAnsi="Times New Roman"/>
                <w:sz w:val="24"/>
                <w:szCs w:val="24"/>
              </w:rPr>
            </w:pPr>
            <w:r>
              <w:rPr>
                <w:rFonts w:ascii="Times New Roman" w:hAnsi="Times New Roman"/>
                <w:sz w:val="24"/>
                <w:szCs w:val="24"/>
              </w:rPr>
              <w:t>413000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建设地点</w:t>
            </w:r>
          </w:p>
        </w:tc>
        <w:tc>
          <w:tcPr>
            <w:tcW w:w="7249" w:type="dxa"/>
            <w:gridSpan w:val="7"/>
            <w:vAlign w:val="center"/>
          </w:tcPr>
          <w:p>
            <w:pPr>
              <w:jc w:val="center"/>
              <w:rPr>
                <w:rFonts w:ascii="Times New Roman" w:hAnsi="Times New Roman"/>
                <w:spacing w:val="8"/>
                <w:sz w:val="24"/>
                <w:szCs w:val="24"/>
              </w:rPr>
            </w:pPr>
            <w:r>
              <w:rPr>
                <w:rFonts w:ascii="Times New Roman" w:hAnsi="Times New Roman"/>
                <w:color w:val="000000" w:themeColor="text1"/>
                <w:sz w:val="24"/>
                <w:szCs w:val="24"/>
                <w14:textFill>
                  <w14:solidFill>
                    <w14:schemeClr w14:val="tx1"/>
                  </w14:solidFill>
                </w14:textFill>
              </w:rPr>
              <w:t>益阳市桃江县鸬鹚渡镇百亩村（</w:t>
            </w:r>
            <w:r>
              <w:rPr>
                <w:rFonts w:ascii="Times New Roman" w:hAnsi="Times New Roman"/>
                <w:color w:val="000000" w:themeColor="text1"/>
                <w:spacing w:val="8"/>
                <w:sz w:val="24"/>
                <w:szCs w:val="24"/>
                <w14:textFill>
                  <w14:solidFill>
                    <w14:schemeClr w14:val="tx1"/>
                  </w14:solidFill>
                </w14:textFill>
              </w:rPr>
              <w:t>N</w:t>
            </w:r>
            <w:r>
              <w:rPr>
                <w:rFonts w:ascii="Times New Roman" w:hAnsi="Times New Roman"/>
                <w:snapToGrid w:val="0"/>
                <w:color w:val="000000" w:themeColor="text1"/>
                <w:kern w:val="0"/>
                <w:sz w:val="24"/>
                <w:szCs w:val="24"/>
                <w14:textFill>
                  <w14:solidFill>
                    <w14:schemeClr w14:val="tx1"/>
                  </w14:solidFill>
                </w14:textFill>
              </w:rPr>
              <w:t>28°23′15″</w:t>
            </w:r>
            <w:r>
              <w:rPr>
                <w:rFonts w:hint="eastAsia" w:ascii="Times New Roman" w:hAnsi="Times New Roman"/>
                <w:color w:val="000000" w:themeColor="text1"/>
                <w:spacing w:val="8"/>
                <w:sz w:val="24"/>
                <w:szCs w:val="24"/>
                <w14:textFill>
                  <w14:solidFill>
                    <w14:schemeClr w14:val="tx1"/>
                  </w14:solidFill>
                </w14:textFill>
              </w:rPr>
              <w:t>，</w:t>
            </w:r>
            <w:r>
              <w:rPr>
                <w:rFonts w:ascii="Times New Roman" w:hAnsi="Times New Roman"/>
                <w:color w:val="000000" w:themeColor="text1"/>
                <w:spacing w:val="8"/>
                <w:sz w:val="24"/>
                <w:szCs w:val="24"/>
                <w14:textFill>
                  <w14:solidFill>
                    <w14:schemeClr w14:val="tx1"/>
                  </w14:solidFill>
                </w14:textFill>
              </w:rPr>
              <w:t>E</w:t>
            </w:r>
            <w:r>
              <w:rPr>
                <w:rFonts w:ascii="Times New Roman" w:hAnsi="Times New Roman"/>
                <w:snapToGrid w:val="0"/>
                <w:color w:val="000000" w:themeColor="text1"/>
                <w:kern w:val="0"/>
                <w:sz w:val="24"/>
                <w:szCs w:val="24"/>
                <w14:textFill>
                  <w14:solidFill>
                    <w14:schemeClr w14:val="tx1"/>
                  </w14:solidFill>
                </w14:textFill>
              </w:rPr>
              <w:t>112°14′20″</w:t>
            </w:r>
            <w:r>
              <w:rPr>
                <w:rFonts w:ascii="Times New Roman" w:hAnsi="Times New Roman"/>
                <w:color w:val="000000" w:themeColor="text1"/>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立项审批部门</w:t>
            </w:r>
          </w:p>
        </w:tc>
        <w:tc>
          <w:tcPr>
            <w:tcW w:w="2720" w:type="dxa"/>
            <w:gridSpan w:val="3"/>
            <w:vAlign w:val="center"/>
          </w:tcPr>
          <w:p>
            <w:pPr>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w:t>
            </w:r>
          </w:p>
        </w:tc>
        <w:tc>
          <w:tcPr>
            <w:tcW w:w="1560" w:type="dxa"/>
            <w:vAlign w:val="center"/>
          </w:tcPr>
          <w:p>
            <w:pPr>
              <w:jc w:val="center"/>
              <w:rPr>
                <w:rFonts w:ascii="Times New Roman" w:hAnsi="Times New Roman"/>
                <w:spacing w:val="8"/>
                <w:sz w:val="24"/>
                <w:szCs w:val="24"/>
              </w:rPr>
            </w:pPr>
            <w:r>
              <w:rPr>
                <w:rFonts w:ascii="Times New Roman" w:hAnsi="Times New Roman"/>
                <w:spacing w:val="8"/>
                <w:sz w:val="24"/>
                <w:szCs w:val="24"/>
              </w:rPr>
              <w:t>批准文号</w:t>
            </w:r>
          </w:p>
        </w:tc>
        <w:tc>
          <w:tcPr>
            <w:tcW w:w="2969" w:type="dxa"/>
            <w:gridSpan w:val="3"/>
            <w:vAlign w:val="center"/>
          </w:tcPr>
          <w:p>
            <w:pPr>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建设性质</w:t>
            </w:r>
          </w:p>
        </w:tc>
        <w:tc>
          <w:tcPr>
            <w:tcW w:w="2720" w:type="dxa"/>
            <w:gridSpan w:val="3"/>
            <w:vAlign w:val="center"/>
          </w:tcPr>
          <w:p>
            <w:pPr>
              <w:jc w:val="center"/>
              <w:rPr>
                <w:rFonts w:ascii="Times New Roman" w:hAnsi="Times New Roman"/>
                <w:spacing w:val="8"/>
                <w:sz w:val="24"/>
                <w:szCs w:val="24"/>
              </w:rPr>
            </w:pPr>
            <w:r>
              <w:rPr>
                <w:rFonts w:hint="eastAsia" w:ascii="Times New Roman" w:hAnsi="Times New Roman"/>
                <w:sz w:val="24"/>
                <w:szCs w:val="24"/>
              </w:rPr>
              <w:t>改扩建</w:t>
            </w:r>
          </w:p>
        </w:tc>
        <w:tc>
          <w:tcPr>
            <w:tcW w:w="1560" w:type="dxa"/>
            <w:vAlign w:val="center"/>
          </w:tcPr>
          <w:p>
            <w:pPr>
              <w:jc w:val="center"/>
              <w:rPr>
                <w:rFonts w:ascii="Times New Roman" w:hAnsi="Times New Roman"/>
                <w:spacing w:val="8"/>
                <w:sz w:val="24"/>
                <w:szCs w:val="24"/>
              </w:rPr>
            </w:pPr>
            <w:r>
              <w:rPr>
                <w:rFonts w:ascii="Times New Roman" w:hAnsi="Times New Roman"/>
                <w:spacing w:val="8"/>
                <w:sz w:val="24"/>
                <w:szCs w:val="24"/>
              </w:rPr>
              <w:t>行业类别</w:t>
            </w:r>
          </w:p>
          <w:p>
            <w:pPr>
              <w:jc w:val="center"/>
              <w:rPr>
                <w:rFonts w:ascii="Times New Roman" w:hAnsi="Times New Roman"/>
                <w:spacing w:val="8"/>
                <w:sz w:val="24"/>
                <w:szCs w:val="24"/>
              </w:rPr>
            </w:pPr>
            <w:r>
              <w:rPr>
                <w:rFonts w:ascii="Times New Roman" w:hAnsi="Times New Roman"/>
                <w:spacing w:val="8"/>
                <w:sz w:val="24"/>
                <w:szCs w:val="24"/>
              </w:rPr>
              <w:t>及代码</w:t>
            </w:r>
          </w:p>
        </w:tc>
        <w:tc>
          <w:tcPr>
            <w:tcW w:w="2969" w:type="dxa"/>
            <w:gridSpan w:val="3"/>
            <w:vAlign w:val="center"/>
          </w:tcPr>
          <w:p>
            <w:pPr>
              <w:jc w:val="center"/>
              <w:rPr>
                <w:rFonts w:ascii="Times New Roman" w:hAnsi="Times New Roman"/>
                <w:color w:val="000000" w:themeColor="text1"/>
                <w:kern w:val="24"/>
                <w:sz w:val="24"/>
                <w:szCs w:val="24"/>
                <w14:textFill>
                  <w14:solidFill>
                    <w14:schemeClr w14:val="tx1"/>
                  </w14:solidFill>
                </w14:textFill>
              </w:rPr>
            </w:pPr>
            <w:r>
              <w:rPr>
                <w:rFonts w:hint="eastAsia" w:ascii="Times New Roman" w:hAnsi="Times New Roman"/>
                <w:color w:val="000000" w:themeColor="text1"/>
                <w:kern w:val="24"/>
                <w:sz w:val="24"/>
                <w:szCs w:val="24"/>
                <w14:textFill>
                  <w14:solidFill>
                    <w14:schemeClr w14:val="tx1"/>
                  </w14:solidFill>
                </w14:textFill>
              </w:rPr>
              <w:t>B</w:t>
            </w:r>
            <w:r>
              <w:rPr>
                <w:rFonts w:ascii="Times New Roman" w:hAnsi="Times New Roman"/>
                <w:color w:val="000000" w:themeColor="text1"/>
                <w:kern w:val="24"/>
                <w:sz w:val="24"/>
                <w:szCs w:val="24"/>
                <w14:textFill>
                  <w14:solidFill>
                    <w14:schemeClr w14:val="tx1"/>
                  </w14:solidFill>
                </w14:textFill>
              </w:rPr>
              <w:t>1019</w:t>
            </w:r>
            <w:r>
              <w:rPr>
                <w:rFonts w:hint="eastAsia" w:ascii="Times New Roman" w:hAnsi="Times New Roman"/>
                <w:color w:val="000000" w:themeColor="text1"/>
                <w:kern w:val="24"/>
                <w:sz w:val="24"/>
                <w:szCs w:val="24"/>
                <w14:textFill>
                  <w14:solidFill>
                    <w14:schemeClr w14:val="tx1"/>
                  </w14:solidFill>
                </w14:textFill>
              </w:rPr>
              <w:t>粘土及其他土砂石开采、</w:t>
            </w:r>
            <w:r>
              <w:rPr>
                <w:rFonts w:ascii="Times New Roman" w:hAnsi="Times New Roman"/>
                <w:color w:val="000000" w:themeColor="text1"/>
                <w:kern w:val="24"/>
                <w:sz w:val="24"/>
                <w:szCs w:val="24"/>
                <w14:textFill>
                  <w14:solidFill>
                    <w14:schemeClr w14:val="tx1"/>
                  </w14:solidFill>
                </w14:textFill>
              </w:rPr>
              <w:t>C3099</w:t>
            </w:r>
            <w:r>
              <w:rPr>
                <w:rFonts w:hint="eastAsia" w:ascii="Times New Roman" w:hAnsi="Times New Roman"/>
                <w:color w:val="000000" w:themeColor="text1"/>
                <w:kern w:val="24"/>
                <w:sz w:val="24"/>
                <w:szCs w:val="24"/>
                <w14:textFill>
                  <w14:solidFill>
                    <w14:schemeClr w14:val="tx1"/>
                  </w14:solidFill>
                </w14:textFill>
              </w:rPr>
              <w:t>其他非金属矿物制品制造、C3031粘土砖瓦及建筑砌块制造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占地面积</w:t>
            </w:r>
          </w:p>
          <w:p>
            <w:pPr>
              <w:jc w:val="center"/>
              <w:rPr>
                <w:rFonts w:ascii="Times New Roman" w:hAnsi="Times New Roman"/>
                <w:spacing w:val="8"/>
                <w:sz w:val="24"/>
                <w:szCs w:val="24"/>
              </w:rPr>
            </w:pPr>
            <w:r>
              <w:rPr>
                <w:rFonts w:ascii="Times New Roman" w:hAnsi="Times New Roman"/>
                <w:spacing w:val="8"/>
                <w:sz w:val="24"/>
                <w:szCs w:val="24"/>
              </w:rPr>
              <w:t>（平方米）</w:t>
            </w:r>
          </w:p>
        </w:tc>
        <w:tc>
          <w:tcPr>
            <w:tcW w:w="2720" w:type="dxa"/>
            <w:gridSpan w:val="3"/>
            <w:vAlign w:val="center"/>
          </w:tcPr>
          <w:p>
            <w:pPr>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20000</w:t>
            </w:r>
          </w:p>
        </w:tc>
        <w:tc>
          <w:tcPr>
            <w:tcW w:w="1560" w:type="dxa"/>
            <w:vAlign w:val="center"/>
          </w:tcPr>
          <w:p>
            <w:pPr>
              <w:jc w:val="center"/>
              <w:rPr>
                <w:rFonts w:ascii="Times New Roman" w:hAnsi="Times New Roman"/>
                <w:spacing w:val="8"/>
                <w:sz w:val="24"/>
                <w:szCs w:val="24"/>
              </w:rPr>
            </w:pPr>
            <w:r>
              <w:rPr>
                <w:rFonts w:ascii="Times New Roman" w:hAnsi="Times New Roman"/>
                <w:spacing w:val="8"/>
                <w:sz w:val="24"/>
                <w:szCs w:val="24"/>
              </w:rPr>
              <w:t>绿化面积</w:t>
            </w:r>
          </w:p>
          <w:p>
            <w:pPr>
              <w:jc w:val="center"/>
              <w:rPr>
                <w:rFonts w:ascii="Times New Roman" w:hAnsi="Times New Roman"/>
                <w:spacing w:val="8"/>
                <w:sz w:val="24"/>
                <w:szCs w:val="24"/>
              </w:rPr>
            </w:pPr>
            <w:r>
              <w:rPr>
                <w:rFonts w:ascii="Times New Roman" w:hAnsi="Times New Roman"/>
                <w:spacing w:val="8"/>
                <w:sz w:val="24"/>
                <w:szCs w:val="24"/>
              </w:rPr>
              <w:t>（平方米）</w:t>
            </w:r>
          </w:p>
        </w:tc>
        <w:tc>
          <w:tcPr>
            <w:tcW w:w="2969" w:type="dxa"/>
            <w:gridSpan w:val="3"/>
            <w:vAlign w:val="center"/>
          </w:tcPr>
          <w:p>
            <w:pPr>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总投资</w:t>
            </w:r>
          </w:p>
          <w:p>
            <w:pPr>
              <w:jc w:val="center"/>
              <w:rPr>
                <w:rFonts w:ascii="Times New Roman" w:hAnsi="Times New Roman"/>
                <w:spacing w:val="8"/>
                <w:sz w:val="24"/>
                <w:szCs w:val="24"/>
              </w:rPr>
            </w:pPr>
            <w:r>
              <w:rPr>
                <w:rFonts w:ascii="Times New Roman" w:hAnsi="Times New Roman"/>
                <w:spacing w:val="8"/>
                <w:sz w:val="24"/>
                <w:szCs w:val="24"/>
              </w:rPr>
              <w:t>（万元）</w:t>
            </w:r>
          </w:p>
        </w:tc>
        <w:tc>
          <w:tcPr>
            <w:tcW w:w="1019" w:type="dxa"/>
            <w:vAlign w:val="center"/>
          </w:tcPr>
          <w:p>
            <w:pPr>
              <w:ind w:left="-105" w:leftChars="-50" w:right="-105" w:rightChars="-50"/>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2000</w:t>
            </w:r>
          </w:p>
        </w:tc>
        <w:tc>
          <w:tcPr>
            <w:tcW w:w="1701" w:type="dxa"/>
            <w:gridSpan w:val="2"/>
            <w:tcMar>
              <w:left w:w="57" w:type="dxa"/>
              <w:right w:w="57" w:type="dxa"/>
            </w:tcMar>
            <w:vAlign w:val="center"/>
          </w:tcPr>
          <w:p>
            <w:pPr>
              <w:jc w:val="center"/>
              <w:rPr>
                <w:rFonts w:ascii="Times New Roman" w:hAnsi="Times New Roman"/>
                <w:spacing w:val="8"/>
                <w:sz w:val="24"/>
                <w:szCs w:val="24"/>
              </w:rPr>
            </w:pPr>
            <w:r>
              <w:rPr>
                <w:rFonts w:ascii="Times New Roman" w:hAnsi="Times New Roman"/>
                <w:spacing w:val="8"/>
                <w:sz w:val="24"/>
                <w:szCs w:val="24"/>
              </w:rPr>
              <w:t>其中：环保投资（万元）</w:t>
            </w:r>
          </w:p>
        </w:tc>
        <w:tc>
          <w:tcPr>
            <w:tcW w:w="1560" w:type="dxa"/>
            <w:vAlign w:val="center"/>
          </w:tcPr>
          <w:p>
            <w:pPr>
              <w:jc w:val="center"/>
              <w:rPr>
                <w:rFonts w:ascii="Times New Roman" w:hAnsi="Times New Roman"/>
                <w:spacing w:val="8"/>
                <w:sz w:val="24"/>
                <w:szCs w:val="24"/>
              </w:rPr>
            </w:pPr>
            <w:r>
              <w:rPr>
                <w:rFonts w:hint="eastAsia" w:ascii="Times New Roman" w:hAnsi="Times New Roman"/>
                <w:kern w:val="24"/>
                <w:sz w:val="24"/>
                <w:szCs w:val="24"/>
              </w:rPr>
              <w:t>125</w:t>
            </w:r>
          </w:p>
        </w:tc>
        <w:tc>
          <w:tcPr>
            <w:tcW w:w="1837" w:type="dxa"/>
            <w:gridSpan w:val="2"/>
            <w:vAlign w:val="center"/>
          </w:tcPr>
          <w:p>
            <w:pPr>
              <w:jc w:val="center"/>
              <w:rPr>
                <w:rFonts w:ascii="Times New Roman" w:hAnsi="Times New Roman"/>
                <w:spacing w:val="8"/>
                <w:sz w:val="24"/>
                <w:szCs w:val="24"/>
              </w:rPr>
            </w:pPr>
            <w:r>
              <w:rPr>
                <w:rFonts w:ascii="Times New Roman" w:hAnsi="Times New Roman"/>
                <w:spacing w:val="8"/>
                <w:sz w:val="24"/>
                <w:szCs w:val="24"/>
              </w:rPr>
              <w:t>环保投资占</w:t>
            </w:r>
          </w:p>
          <w:p>
            <w:pPr>
              <w:jc w:val="center"/>
              <w:rPr>
                <w:rFonts w:ascii="Times New Roman" w:hAnsi="Times New Roman"/>
                <w:spacing w:val="8"/>
                <w:sz w:val="24"/>
                <w:szCs w:val="24"/>
              </w:rPr>
            </w:pPr>
            <w:r>
              <w:rPr>
                <w:rFonts w:ascii="Times New Roman" w:hAnsi="Times New Roman"/>
                <w:spacing w:val="8"/>
                <w:sz w:val="24"/>
                <w:szCs w:val="24"/>
              </w:rPr>
              <w:t>总投资比例</w:t>
            </w:r>
          </w:p>
        </w:tc>
        <w:tc>
          <w:tcPr>
            <w:tcW w:w="1132" w:type="dxa"/>
            <w:vAlign w:val="center"/>
          </w:tcPr>
          <w:p>
            <w:pPr>
              <w:jc w:val="center"/>
              <w:rPr>
                <w:rFonts w:ascii="Times New Roman" w:hAnsi="Times New Roman"/>
                <w:spacing w:val="8"/>
                <w:sz w:val="24"/>
                <w:szCs w:val="24"/>
              </w:rPr>
            </w:pPr>
            <w:r>
              <w:rPr>
                <w:rFonts w:hint="eastAsia" w:ascii="Times New Roman" w:hAnsi="Times New Roman"/>
                <w:kern w:val="24"/>
                <w:sz w:val="24"/>
                <w:szCs w:val="24"/>
              </w:rPr>
              <w:t>6</w:t>
            </w:r>
            <w:r>
              <w:rPr>
                <w:rFonts w:ascii="Times New Roman" w:hAnsi="Times New Roman"/>
                <w:kern w:val="24"/>
                <w:sz w:val="24"/>
                <w:szCs w:val="24"/>
              </w:rPr>
              <w:t>.</w:t>
            </w:r>
            <w:r>
              <w:rPr>
                <w:rFonts w:hint="eastAsia" w:ascii="Times New Roman" w:hAnsi="Times New Roman"/>
                <w:kern w:val="24"/>
                <w:sz w:val="24"/>
                <w:szCs w:val="24"/>
              </w:rPr>
              <w:t>2</w:t>
            </w:r>
            <w:r>
              <w:rPr>
                <w:rFonts w:ascii="Times New Roman" w:hAnsi="Times New Roman"/>
                <w:kern w:val="24"/>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1811" w:type="dxa"/>
            <w:vAlign w:val="center"/>
          </w:tcPr>
          <w:p>
            <w:pPr>
              <w:jc w:val="center"/>
              <w:rPr>
                <w:rFonts w:ascii="Times New Roman" w:hAnsi="Times New Roman"/>
                <w:spacing w:val="8"/>
                <w:sz w:val="24"/>
                <w:szCs w:val="24"/>
              </w:rPr>
            </w:pPr>
            <w:r>
              <w:rPr>
                <w:rFonts w:ascii="Times New Roman" w:hAnsi="Times New Roman"/>
                <w:spacing w:val="8"/>
                <w:sz w:val="24"/>
                <w:szCs w:val="24"/>
              </w:rPr>
              <w:t>评价经费</w:t>
            </w:r>
          </w:p>
          <w:p>
            <w:pPr>
              <w:jc w:val="center"/>
              <w:rPr>
                <w:rFonts w:ascii="Times New Roman" w:hAnsi="Times New Roman"/>
                <w:spacing w:val="8"/>
                <w:sz w:val="24"/>
                <w:szCs w:val="24"/>
              </w:rPr>
            </w:pPr>
            <w:r>
              <w:rPr>
                <w:rFonts w:ascii="Times New Roman" w:hAnsi="Times New Roman"/>
                <w:sz w:val="24"/>
                <w:szCs w:val="24"/>
              </w:rPr>
              <w:t>（万元）</w:t>
            </w:r>
          </w:p>
        </w:tc>
        <w:tc>
          <w:tcPr>
            <w:tcW w:w="2720" w:type="dxa"/>
            <w:gridSpan w:val="3"/>
            <w:vAlign w:val="center"/>
          </w:tcPr>
          <w:p>
            <w:pPr>
              <w:jc w:val="center"/>
              <w:rPr>
                <w:rFonts w:ascii="Times New Roman" w:hAnsi="Times New Roman"/>
                <w:spacing w:val="8"/>
                <w:sz w:val="24"/>
                <w:szCs w:val="24"/>
              </w:rPr>
            </w:pPr>
          </w:p>
        </w:tc>
        <w:tc>
          <w:tcPr>
            <w:tcW w:w="1560" w:type="dxa"/>
            <w:vAlign w:val="center"/>
          </w:tcPr>
          <w:p>
            <w:pPr>
              <w:jc w:val="center"/>
              <w:rPr>
                <w:rFonts w:ascii="Times New Roman" w:hAnsi="Times New Roman"/>
                <w:spacing w:val="8"/>
                <w:sz w:val="24"/>
                <w:szCs w:val="24"/>
              </w:rPr>
            </w:pPr>
            <w:r>
              <w:rPr>
                <w:rFonts w:ascii="Times New Roman" w:hAnsi="Times New Roman"/>
                <w:spacing w:val="8"/>
                <w:sz w:val="24"/>
                <w:szCs w:val="24"/>
              </w:rPr>
              <w:t>预计投产日期</w:t>
            </w:r>
          </w:p>
        </w:tc>
        <w:tc>
          <w:tcPr>
            <w:tcW w:w="2969" w:type="dxa"/>
            <w:gridSpan w:val="3"/>
            <w:vAlign w:val="center"/>
          </w:tcPr>
          <w:p>
            <w:pPr>
              <w:jc w:val="center"/>
              <w:rPr>
                <w:rFonts w:ascii="Times New Roman" w:hAnsi="Times New Roman"/>
                <w:spacing w:val="8"/>
                <w:sz w:val="24"/>
                <w:szCs w:val="24"/>
              </w:rPr>
            </w:pPr>
            <w:r>
              <w:rPr>
                <w:rFonts w:ascii="Times New Roman" w:hAnsi="Times New Roman"/>
                <w:color w:val="000000" w:themeColor="text1"/>
                <w:kern w:val="24"/>
                <w:sz w:val="24"/>
                <w:szCs w:val="24"/>
                <w14:textFill>
                  <w14:solidFill>
                    <w14:schemeClr w14:val="tx1"/>
                  </w14:solidFill>
                </w14:textFill>
              </w:rPr>
              <w:t>2021年3月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0" w:type="dxa"/>
            <w:gridSpan w:val="8"/>
          </w:tcPr>
          <w:p>
            <w:pPr>
              <w:kinsoku w:val="0"/>
              <w:overflowPunct w:val="0"/>
              <w:spacing w:before="120" w:beforeLines="50" w:line="360" w:lineRule="auto"/>
              <w:jc w:val="left"/>
              <w:textAlignment w:val="baseline"/>
              <w:rPr>
                <w:rFonts w:ascii="Times New Roman" w:hAnsi="Times New Roman"/>
                <w:b/>
                <w:spacing w:val="8"/>
                <w:sz w:val="28"/>
                <w:szCs w:val="28"/>
              </w:rPr>
            </w:pPr>
            <w:bookmarkStart w:id="4" w:name="_Toc511833643"/>
            <w:bookmarkStart w:id="5" w:name="_Toc478656538"/>
            <w:bookmarkStart w:id="6" w:name="_Toc511833752"/>
            <w:bookmarkStart w:id="7" w:name="_Toc511833733"/>
            <w:r>
              <w:rPr>
                <w:rFonts w:ascii="Times New Roman" w:hAnsi="Times New Roman"/>
                <w:b/>
                <w:spacing w:val="8"/>
                <w:sz w:val="28"/>
                <w:szCs w:val="28"/>
              </w:rPr>
              <w:t>（一）项目由来及概况</w:t>
            </w:r>
            <w:bookmarkEnd w:id="4"/>
            <w:bookmarkEnd w:id="5"/>
            <w:bookmarkEnd w:id="6"/>
            <w:bookmarkEnd w:id="7"/>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1 项目由来</w:t>
            </w:r>
          </w:p>
          <w:p>
            <w:pPr>
              <w:spacing w:line="360" w:lineRule="auto"/>
              <w:ind w:firstLine="480" w:firstLineChars="200"/>
              <w:rPr>
                <w:rFonts w:ascii="Times New Roman" w:hAnsi="Times New Roman"/>
                <w:sz w:val="24"/>
                <w:u w:val="single"/>
              </w:rPr>
            </w:pPr>
            <w:r>
              <w:rPr>
                <w:rFonts w:ascii="Times New Roman" w:hAnsi="Times New Roman"/>
                <w:sz w:val="24"/>
                <w:u w:val="single"/>
              </w:rPr>
              <w:t>桃江县鑫泰建材有限公司成立于2014年</w:t>
            </w:r>
            <w:r>
              <w:rPr>
                <w:rFonts w:hint="eastAsia" w:ascii="Times New Roman" w:hAnsi="Times New Roman"/>
                <w:sz w:val="24"/>
                <w:u w:val="single"/>
              </w:rPr>
              <w:t>，原拥有年产3500万块</w:t>
            </w:r>
            <w:r>
              <w:rPr>
                <w:rFonts w:ascii="Times New Roman" w:hAnsi="Times New Roman"/>
                <w:sz w:val="24"/>
                <w:szCs w:val="24"/>
                <w:u w:val="single"/>
              </w:rPr>
              <w:t>烧结页岩砖</w:t>
            </w:r>
            <w:r>
              <w:rPr>
                <w:rFonts w:hint="eastAsia" w:ascii="Times New Roman" w:hAnsi="Times New Roman"/>
                <w:sz w:val="24"/>
                <w:szCs w:val="24"/>
                <w:u w:val="single"/>
              </w:rPr>
              <w:t>生产线，</w:t>
            </w:r>
            <w:r>
              <w:rPr>
                <w:rFonts w:hint="eastAsia" w:ascii="Times New Roman" w:hAnsi="Times New Roman"/>
                <w:sz w:val="24"/>
                <w:u w:val="single"/>
              </w:rPr>
              <w:t>于2014年进行了环评，由益阳市环境保护局批复，建成了二条轮窑烧结生产线进行生产。由于国家《产业结构调整指导目录（2019年本）》（中华人民共和国国家发展和改革委员会令第29号）在淘汰类中规定砖瓦轮窑应该在2020年12月31日前淘汰，公司决定对原有项目进行改扩建，淘汰二条轮窑生产线，改建为一条隧道窑生产线（一烘一烧），将每年生产烧结页岩砖规模从3500万块扩到6000万块，并配套新建一条年产1</w:t>
            </w:r>
            <w:r>
              <w:rPr>
                <w:rFonts w:ascii="Times New Roman" w:hAnsi="Times New Roman"/>
                <w:sz w:val="24"/>
                <w:u w:val="single"/>
              </w:rPr>
              <w:t>0</w:t>
            </w:r>
            <w:r>
              <w:rPr>
                <w:rFonts w:hint="eastAsia" w:ascii="Times New Roman" w:hAnsi="Times New Roman"/>
                <w:sz w:val="24"/>
                <w:u w:val="single"/>
              </w:rPr>
              <w:t>万吨碎石生产线。</w:t>
            </w:r>
          </w:p>
          <w:p>
            <w:pPr>
              <w:overflowPunct w:val="0"/>
              <w:spacing w:line="360" w:lineRule="auto"/>
              <w:ind w:firstLine="480" w:firstLineChars="200"/>
              <w:rPr>
                <w:rFonts w:ascii="Times New Roman" w:hAnsi="Times New Roman"/>
                <w:bCs/>
                <w:sz w:val="24"/>
                <w:szCs w:val="24"/>
              </w:rPr>
            </w:pPr>
            <w:r>
              <w:rPr>
                <w:rFonts w:hint="eastAsia" w:ascii="Times New Roman" w:hAnsi="Times New Roman"/>
                <w:bCs/>
                <w:sz w:val="24"/>
                <w:szCs w:val="24"/>
              </w:rPr>
              <w:t>本项目属于《建设项目环境影响评价分类管理名录》中的第四十五大类（非金属矿采选业）中第137小类（土砂石、石材开采加工），也是《建设项目环境影响评价分类管理名录》中的第十九大类（非金属矿物制品业）中的第</w:t>
            </w:r>
            <w:r>
              <w:rPr>
                <w:rFonts w:ascii="Times New Roman" w:hAnsi="Times New Roman"/>
                <w:bCs/>
                <w:sz w:val="24"/>
                <w:szCs w:val="24"/>
              </w:rPr>
              <w:t>51</w:t>
            </w:r>
            <w:r>
              <w:rPr>
                <w:rFonts w:hint="eastAsia" w:ascii="Times New Roman" w:hAnsi="Times New Roman"/>
                <w:bCs/>
                <w:sz w:val="24"/>
                <w:szCs w:val="24"/>
              </w:rPr>
              <w:t>小类（石灰和石膏制造、石材加工、人造石制造、砖瓦制造），均需要编制《环境影响报告表》的项目，综上所述，本项目须编制环境影响报告表。</w:t>
            </w:r>
          </w:p>
          <w:p>
            <w:pPr>
              <w:widowControl/>
              <w:overflowPunct w:val="0"/>
              <w:spacing w:line="360" w:lineRule="auto"/>
              <w:ind w:firstLine="480" w:firstLineChars="200"/>
              <w:rPr>
                <w:rFonts w:ascii="Times New Roman" w:hAnsi="Times New Roman"/>
                <w:sz w:val="24"/>
              </w:rPr>
            </w:pPr>
            <w:r>
              <w:rPr>
                <w:rFonts w:hint="eastAsia" w:ascii="Times New Roman" w:hAnsi="Times New Roman"/>
                <w:bCs/>
                <w:sz w:val="24"/>
                <w:szCs w:val="24"/>
              </w:rPr>
              <w:t>依据《中华人民共和国环境影响评价法》、《建设项目环境保护管理条例》、国家环境影响评价导则等有关规定，湖南太禹环保科技有限公司受</w:t>
            </w:r>
            <w:r>
              <w:rPr>
                <w:rFonts w:ascii="Times New Roman" w:hAnsi="Times New Roman"/>
                <w:sz w:val="24"/>
                <w:szCs w:val="24"/>
              </w:rPr>
              <w:t>桃江县鑫泰建材有限公司</w:t>
            </w:r>
            <w:r>
              <w:rPr>
                <w:rFonts w:hint="eastAsia" w:ascii="Times New Roman" w:hAnsi="Times New Roman"/>
                <w:sz w:val="24"/>
                <w:szCs w:val="24"/>
              </w:rPr>
              <w:t>的</w:t>
            </w:r>
            <w:r>
              <w:rPr>
                <w:rFonts w:hint="eastAsia" w:ascii="Times New Roman" w:hAnsi="Times New Roman"/>
                <w:bCs/>
                <w:sz w:val="24"/>
                <w:szCs w:val="24"/>
              </w:rPr>
              <w:t>委托，承担该项目环境影响评价工作。在对该项目进行了现场踏勘和资料收集后，编制了本项目的环境影响报告表。</w:t>
            </w:r>
          </w:p>
          <w:p>
            <w:pPr>
              <w:kinsoku w:val="0"/>
              <w:overflowPunct w:val="0"/>
              <w:spacing w:line="360" w:lineRule="auto"/>
              <w:rPr>
                <w:rFonts w:ascii="Times New Roman" w:hAnsi="Times New Roman"/>
                <w:b/>
                <w:spacing w:val="8"/>
                <w:sz w:val="24"/>
                <w:szCs w:val="24"/>
              </w:rPr>
            </w:pPr>
            <w:r>
              <w:rPr>
                <w:rFonts w:ascii="Times New Roman" w:hAnsi="Times New Roman"/>
                <w:b/>
                <w:spacing w:val="8"/>
                <w:sz w:val="24"/>
                <w:szCs w:val="24"/>
              </w:rPr>
              <w:t>2 编制依据</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2.1</w:t>
            </w:r>
            <w:r>
              <w:rPr>
                <w:rFonts w:hint="eastAsia" w:ascii="Times New Roman" w:hAnsi="Times New Roman"/>
                <w:b/>
                <w:spacing w:val="8"/>
                <w:sz w:val="24"/>
                <w:szCs w:val="24"/>
              </w:rPr>
              <w:t xml:space="preserve"> 国家</w:t>
            </w:r>
            <w:r>
              <w:rPr>
                <w:rFonts w:ascii="Times New Roman" w:hAnsi="Times New Roman"/>
                <w:b/>
                <w:spacing w:val="8"/>
                <w:sz w:val="24"/>
                <w:szCs w:val="24"/>
              </w:rPr>
              <w:t>法律法规及相关政策</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1）《中华人民共和国环境保护法》（2015年1月1日施行）；</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《中华人民共和国环境影响评价法》（2018年</w:t>
            </w:r>
            <w:r>
              <w:rPr>
                <w:rFonts w:hint="eastAsia" w:ascii="Times New Roman" w:hAnsi="Times New Roman"/>
                <w:sz w:val="24"/>
              </w:rPr>
              <w:t>1</w:t>
            </w:r>
            <w:r>
              <w:rPr>
                <w:rFonts w:ascii="Times New Roman" w:hAnsi="Times New Roman"/>
                <w:sz w:val="24"/>
              </w:rPr>
              <w:t>2月29日</w:t>
            </w:r>
            <w:r>
              <w:rPr>
                <w:rFonts w:hint="eastAsia" w:ascii="Times New Roman" w:hAnsi="Times New Roman"/>
                <w:sz w:val="24"/>
              </w:rPr>
              <w:t>修正</w:t>
            </w:r>
            <w:r>
              <w:rPr>
                <w:rFonts w:ascii="Times New Roman" w:hAnsi="Times New Roman"/>
                <w:sz w:val="24"/>
              </w:rPr>
              <w:t>）；</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2）《中华人民共和国大气污染防治法》（201</w:t>
            </w:r>
            <w:r>
              <w:rPr>
                <w:rFonts w:hint="eastAsia" w:ascii="Times New Roman" w:hAnsi="Times New Roman"/>
                <w:sz w:val="24"/>
              </w:rPr>
              <w:t>8</w:t>
            </w:r>
            <w:r>
              <w:rPr>
                <w:rFonts w:ascii="Times New Roman" w:hAnsi="Times New Roman"/>
                <w:sz w:val="24"/>
              </w:rPr>
              <w:t>年</w:t>
            </w:r>
            <w:r>
              <w:rPr>
                <w:rFonts w:hint="eastAsia" w:ascii="Times New Roman" w:hAnsi="Times New Roman"/>
                <w:sz w:val="24"/>
              </w:rPr>
              <w:t>10</w:t>
            </w:r>
            <w:r>
              <w:rPr>
                <w:rFonts w:ascii="Times New Roman" w:hAnsi="Times New Roman"/>
                <w:sz w:val="24"/>
              </w:rPr>
              <w:t>月</w:t>
            </w:r>
            <w:r>
              <w:rPr>
                <w:rFonts w:hint="eastAsia" w:ascii="Times New Roman" w:hAnsi="Times New Roman"/>
                <w:sz w:val="24"/>
              </w:rPr>
              <w:t>26</w:t>
            </w:r>
            <w:r>
              <w:rPr>
                <w:rFonts w:ascii="Times New Roman" w:hAnsi="Times New Roman"/>
                <w:sz w:val="24"/>
              </w:rPr>
              <w:t>日实施）；</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3）《中华人民共和国水污染防治法》（20</w:t>
            </w:r>
            <w:r>
              <w:rPr>
                <w:rFonts w:hint="eastAsia" w:ascii="Times New Roman" w:hAnsi="Times New Roman"/>
                <w:sz w:val="24"/>
              </w:rPr>
              <w:t>1</w:t>
            </w:r>
            <w:r>
              <w:rPr>
                <w:rFonts w:ascii="Times New Roman" w:hAnsi="Times New Roman"/>
                <w:sz w:val="24"/>
              </w:rPr>
              <w:t>8年</w:t>
            </w:r>
            <w:r>
              <w:rPr>
                <w:rFonts w:hint="eastAsia" w:ascii="Times New Roman" w:hAnsi="Times New Roman"/>
                <w:sz w:val="24"/>
              </w:rPr>
              <w:t>1</w:t>
            </w:r>
            <w:r>
              <w:rPr>
                <w:rFonts w:ascii="Times New Roman" w:hAnsi="Times New Roman"/>
                <w:sz w:val="24"/>
              </w:rPr>
              <w:t>月1日施行）；</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4）《中华人民共和国环境噪声污染防治法》（</w:t>
            </w:r>
            <w:r>
              <w:rPr>
                <w:rFonts w:hint="eastAsia" w:ascii="Times New Roman" w:hAnsi="Times New Roman"/>
                <w:sz w:val="24"/>
              </w:rPr>
              <w:t>201</w:t>
            </w:r>
            <w:r>
              <w:rPr>
                <w:rFonts w:ascii="Times New Roman" w:hAnsi="Times New Roman"/>
                <w:sz w:val="24"/>
              </w:rPr>
              <w:t>8年12月29日实施）；</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5）《中华人民共和国固体废物污染环境防治法》（2020年9月1日</w:t>
            </w:r>
            <w:r>
              <w:rPr>
                <w:rFonts w:hint="eastAsia" w:ascii="Times New Roman" w:hAnsi="Times New Roman"/>
                <w:sz w:val="24"/>
              </w:rPr>
              <w:t>实施</w:t>
            </w:r>
            <w:r>
              <w:rPr>
                <w:rFonts w:ascii="Times New Roman" w:hAnsi="Times New Roman"/>
                <w:sz w:val="24"/>
              </w:rPr>
              <w:t>）；</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（6</w:t>
            </w:r>
            <w:r>
              <w:rPr>
                <w:rFonts w:ascii="Times New Roman" w:hAnsi="Times New Roman"/>
                <w:sz w:val="24"/>
              </w:rPr>
              <w:t>）</w:t>
            </w:r>
            <w:r>
              <w:rPr>
                <w:sz w:val="24"/>
              </w:rPr>
              <w:t>《中华人民共和国土壤污</w:t>
            </w:r>
            <w:r>
              <w:rPr>
                <w:rFonts w:ascii="Times New Roman" w:hAnsi="Times New Roman"/>
                <w:sz w:val="24"/>
              </w:rPr>
              <w:t>染防治法》</w:t>
            </w:r>
            <w:r>
              <w:rPr>
                <w:rFonts w:hint="eastAsia" w:ascii="Times New Roman" w:hAnsi="Times New Roman"/>
                <w:sz w:val="24"/>
              </w:rPr>
              <w:t>（</w:t>
            </w:r>
            <w:r>
              <w:rPr>
                <w:rFonts w:ascii="Times New Roman" w:hAnsi="Times New Roman" w:eastAsia="Times New Roman"/>
                <w:sz w:val="24"/>
              </w:rPr>
              <w:t>2019</w:t>
            </w:r>
            <w:r>
              <w:rPr>
                <w:rFonts w:ascii="Times New Roman" w:hAnsi="Times New Roman"/>
                <w:sz w:val="24"/>
              </w:rPr>
              <w:t>年</w:t>
            </w:r>
            <w:r>
              <w:rPr>
                <w:rFonts w:ascii="Times New Roman" w:hAnsi="Times New Roman" w:eastAsia="Times New Roman"/>
                <w:sz w:val="24"/>
              </w:rPr>
              <w:t>1</w:t>
            </w:r>
            <w:r>
              <w:rPr>
                <w:rFonts w:ascii="Times New Roman" w:hAnsi="Times New Roman"/>
                <w:sz w:val="24"/>
              </w:rPr>
              <w:t>月</w:t>
            </w:r>
            <w:r>
              <w:rPr>
                <w:rFonts w:ascii="Times New Roman" w:hAnsi="Times New Roman" w:eastAsia="Times New Roman"/>
                <w:sz w:val="24"/>
              </w:rPr>
              <w:t>1</w:t>
            </w:r>
            <w:r>
              <w:rPr>
                <w:rFonts w:ascii="Times New Roman" w:hAnsi="Times New Roman"/>
                <w:sz w:val="24"/>
              </w:rPr>
              <w:t>日实施</w:t>
            </w:r>
            <w:r>
              <w:rPr>
                <w:rFonts w:hint="eastAsia" w:ascii="Times New Roman" w:hAnsi="Times New Roman"/>
                <w:sz w:val="24"/>
              </w:rPr>
              <w:t>）</w:t>
            </w:r>
            <w:r>
              <w:rPr>
                <w:rFonts w:ascii="Times New Roman" w:hAnsi="Times New Roman"/>
                <w:sz w:val="24"/>
              </w:rPr>
              <w:t>；</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（7</w:t>
            </w:r>
            <w:r>
              <w:rPr>
                <w:rFonts w:ascii="Times New Roman" w:hAnsi="Times New Roman"/>
                <w:sz w:val="24"/>
              </w:rPr>
              <w:t>）</w:t>
            </w:r>
            <w:r>
              <w:rPr>
                <w:rFonts w:hint="eastAsia" w:ascii="Times New Roman" w:hAnsi="Times New Roman"/>
                <w:sz w:val="24"/>
              </w:rPr>
              <w:t>《建设项目环境保护管理条例》（2017年10月1日施行）；</w:t>
            </w:r>
          </w:p>
          <w:p>
            <w:pPr>
              <w:overflowPunct w:val="0"/>
              <w:spacing w:line="360" w:lineRule="auto"/>
              <w:ind w:firstLine="464" w:firstLineChars="200"/>
              <w:rPr>
                <w:rFonts w:ascii="Times New Roman" w:hAnsi="Times New Roman"/>
                <w:spacing w:val="-4"/>
                <w:sz w:val="24"/>
              </w:rPr>
            </w:pPr>
            <w:r>
              <w:rPr>
                <w:rFonts w:hint="eastAsia" w:ascii="Times New Roman" w:hAnsi="Times New Roman"/>
                <w:spacing w:val="-4"/>
                <w:sz w:val="24"/>
              </w:rPr>
              <w:t>（8</w:t>
            </w:r>
            <w:r>
              <w:rPr>
                <w:rFonts w:ascii="Times New Roman" w:hAnsi="Times New Roman"/>
                <w:spacing w:val="-4"/>
                <w:sz w:val="24"/>
              </w:rPr>
              <w:t>）《建设项目环境影响评价分类管理名录》（</w:t>
            </w:r>
            <w:r>
              <w:rPr>
                <w:rFonts w:hint="eastAsia" w:ascii="Times New Roman"/>
                <w:sz w:val="24"/>
                <w:szCs w:val="24"/>
              </w:rPr>
              <w:t>2018年4月28日修正</w:t>
            </w:r>
            <w:r>
              <w:rPr>
                <w:rFonts w:ascii="Times New Roman" w:hAnsi="Times New Roman"/>
                <w:spacing w:val="-4"/>
                <w:sz w:val="24"/>
              </w:rPr>
              <w:t>）；</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（9</w:t>
            </w:r>
            <w:r>
              <w:rPr>
                <w:rFonts w:ascii="Times New Roman" w:hAnsi="Times New Roman"/>
                <w:sz w:val="24"/>
              </w:rPr>
              <w:t>）《产业结构调整指导目录</w:t>
            </w:r>
            <w:r>
              <w:rPr>
                <w:rFonts w:hint="eastAsia" w:ascii="Times New Roman" w:hAnsi="Times New Roman"/>
                <w:sz w:val="24"/>
              </w:rPr>
              <w:t>（</w:t>
            </w:r>
            <w:r>
              <w:rPr>
                <w:rFonts w:ascii="Times New Roman" w:hAnsi="Times New Roman"/>
                <w:sz w:val="24"/>
              </w:rPr>
              <w:t>2019年本</w:t>
            </w:r>
            <w:r>
              <w:rPr>
                <w:rFonts w:hint="eastAsia" w:ascii="Times New Roman" w:hAnsi="Times New Roman"/>
                <w:sz w:val="24"/>
              </w:rPr>
              <w:t>）</w:t>
            </w:r>
            <w:r>
              <w:rPr>
                <w:rFonts w:ascii="Times New Roman" w:hAnsi="Times New Roman"/>
                <w:sz w:val="24"/>
              </w:rPr>
              <w:t>》（2020年</w:t>
            </w:r>
            <w:r>
              <w:rPr>
                <w:rFonts w:hint="eastAsia" w:ascii="Times New Roman" w:hAnsi="Times New Roman"/>
                <w:sz w:val="24"/>
              </w:rPr>
              <w:t>1月1日实施</w:t>
            </w:r>
            <w:r>
              <w:rPr>
                <w:rFonts w:ascii="Times New Roman" w:hAnsi="Times New Roman"/>
                <w:sz w:val="24"/>
              </w:rPr>
              <w:t>）；</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w:t>
            </w:r>
            <w:r>
              <w:rPr>
                <w:rFonts w:hint="eastAsia" w:ascii="Times New Roman" w:hAnsi="Times New Roman"/>
                <w:sz w:val="24"/>
              </w:rPr>
              <w:t>0</w:t>
            </w:r>
            <w:r>
              <w:rPr>
                <w:rFonts w:ascii="Times New Roman" w:hAnsi="Times New Roman"/>
                <w:sz w:val="24"/>
              </w:rPr>
              <w:t>）</w:t>
            </w:r>
            <w:r>
              <w:rPr>
                <w:rFonts w:hint="eastAsia" w:ascii="Times New Roman" w:hAnsi="Times New Roman"/>
                <w:sz w:val="24"/>
              </w:rPr>
              <w:t>《建设项目环境影响评价信息公开机制方案》（2015年12月10日实施）；</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1</w:t>
            </w:r>
            <w:r>
              <w:rPr>
                <w:rFonts w:hint="eastAsia" w:ascii="Times New Roman" w:hAnsi="Times New Roman"/>
                <w:sz w:val="24"/>
              </w:rPr>
              <w:t>）《国家危险废物名录》（2016年8月1日实施）；</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2</w:t>
            </w:r>
            <w:r>
              <w:rPr>
                <w:rFonts w:hint="eastAsia" w:ascii="Times New Roman" w:hAnsi="Times New Roman"/>
                <w:sz w:val="24"/>
              </w:rPr>
              <w:t>）国务院关于印发《水污染防治行动计划》的通知（国发[2015]17号，2015年4月16日发布）；</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3</w:t>
            </w:r>
            <w:r>
              <w:rPr>
                <w:rFonts w:hint="eastAsia" w:ascii="Times New Roman" w:hAnsi="Times New Roman"/>
                <w:sz w:val="24"/>
              </w:rPr>
              <w:t>）国务院关于印发《大气污染防治行动计划》的通知（国发[2013]37号，2013年9月10日发布）；</w:t>
            </w:r>
          </w:p>
          <w:p>
            <w:pPr>
              <w:kinsoku w:val="0"/>
              <w:overflowPunct w:val="0"/>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4</w:t>
            </w:r>
            <w:r>
              <w:rPr>
                <w:rFonts w:hint="eastAsia" w:ascii="Times New Roman" w:hAnsi="Times New Roman"/>
                <w:sz w:val="24"/>
              </w:rPr>
              <w:t>）国务院关于印发《土壤污染防治行动计划》的通知（国发[2016]31号，2016年5月28日发布）；</w:t>
            </w:r>
          </w:p>
          <w:p>
            <w:pPr>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5</w:t>
            </w:r>
            <w:r>
              <w:rPr>
                <w:rFonts w:hint="eastAsia" w:ascii="Times New Roman" w:hAnsi="Times New Roman"/>
                <w:sz w:val="24"/>
              </w:rPr>
              <w:t>）《固定污染源排污许可分类管理名录（2019年版）》（2019年12月20日）；</w:t>
            </w:r>
          </w:p>
          <w:p>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16</w:t>
            </w:r>
            <w:r>
              <w:rPr>
                <w:rFonts w:hint="eastAsia" w:ascii="Times New Roman" w:hAnsi="Times New Roman"/>
                <w:sz w:val="24"/>
              </w:rPr>
              <w:t>）关于发布《建设项目竣工环境保护验收暂行办法》的公告（国环规环评[2017]4号）。</w:t>
            </w:r>
          </w:p>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2</w:t>
            </w:r>
            <w:r>
              <w:rPr>
                <w:rFonts w:ascii="Times New Roman" w:hAnsi="Times New Roman"/>
                <w:b/>
                <w:spacing w:val="8"/>
                <w:sz w:val="24"/>
                <w:szCs w:val="24"/>
              </w:rPr>
              <w:t xml:space="preserve">.2 </w:t>
            </w:r>
            <w:r>
              <w:rPr>
                <w:rFonts w:hint="eastAsia" w:ascii="Times New Roman" w:hAnsi="Times New Roman"/>
                <w:b/>
                <w:spacing w:val="8"/>
                <w:sz w:val="24"/>
                <w:szCs w:val="24"/>
              </w:rPr>
              <w:t>地方法规及政策</w:t>
            </w:r>
          </w:p>
          <w:p>
            <w:pPr>
              <w:kinsoku w:val="0"/>
              <w:overflowPunct w:val="0"/>
              <w:spacing w:line="360" w:lineRule="auto"/>
              <w:ind w:firstLine="480" w:firstLineChars="200"/>
              <w:textAlignment w:val="baseline"/>
              <w:rPr>
                <w:rFonts w:ascii="Times New Roman" w:hAnsi="Times New Roman"/>
                <w:sz w:val="24"/>
              </w:rPr>
            </w:pPr>
            <w:r>
              <w:rPr>
                <w:rFonts w:hint="eastAsia" w:ascii="Times New Roman" w:hAnsi="Times New Roman"/>
                <w:sz w:val="24"/>
              </w:rPr>
              <w:t>（</w:t>
            </w:r>
            <w:r>
              <w:rPr>
                <w:rFonts w:ascii="Times New Roman" w:hAnsi="Times New Roman"/>
                <w:sz w:val="24"/>
              </w:rPr>
              <w:t>1</w:t>
            </w:r>
            <w:r>
              <w:rPr>
                <w:rFonts w:hint="eastAsia" w:ascii="Times New Roman" w:hAnsi="Times New Roman"/>
                <w:sz w:val="24"/>
              </w:rPr>
              <w:t>）《湖南省环境保护条例》（2020年1月1日）；</w:t>
            </w:r>
          </w:p>
          <w:p>
            <w:pPr>
              <w:kinsoku w:val="0"/>
              <w:overflowPunct w:val="0"/>
              <w:spacing w:line="360" w:lineRule="auto"/>
              <w:ind w:firstLine="480" w:firstLineChars="200"/>
              <w:textAlignment w:val="baseline"/>
              <w:rPr>
                <w:rFonts w:ascii="Times New Roman" w:hAnsi="Times New Roman"/>
                <w:sz w:val="24"/>
              </w:rPr>
            </w:pPr>
            <w:r>
              <w:rPr>
                <w:rFonts w:hint="eastAsia" w:ascii="Times New Roman" w:hAnsi="Times New Roman"/>
                <w:sz w:val="24"/>
              </w:rPr>
              <w:t>（2）《湖南省主体功能区划》（湘政发[2012]39号，2012年11月17日）；</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（3）《湖南省主要地表水系水环境功能区划》（DB</w:t>
            </w:r>
            <w:r>
              <w:rPr>
                <w:rFonts w:ascii="Times New Roman" w:hAnsi="Times New Roman"/>
                <w:sz w:val="24"/>
              </w:rPr>
              <w:t xml:space="preserve"> </w:t>
            </w:r>
            <w:r>
              <w:rPr>
                <w:rFonts w:hint="eastAsia" w:ascii="Times New Roman" w:hAnsi="Times New Roman"/>
                <w:sz w:val="24"/>
              </w:rPr>
              <w:t>43/023-2005）；</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（4</w:t>
            </w:r>
            <w:r>
              <w:rPr>
                <w:rFonts w:ascii="Times New Roman" w:hAnsi="Times New Roman"/>
                <w:sz w:val="24"/>
              </w:rPr>
              <w:t>）湖南省人民政府办公厅关于印发《贯彻落实〈大气污染防治行动计划〉实施细则》的通知（湘政办发[2013]77号，2013年12月23日）；</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w:t>
            </w:r>
            <w:r>
              <w:rPr>
                <w:rFonts w:ascii="Times New Roman" w:hAnsi="Times New Roman"/>
                <w:sz w:val="24"/>
              </w:rPr>
              <w:t>5</w:t>
            </w:r>
            <w:r>
              <w:rPr>
                <w:rFonts w:hint="eastAsia" w:ascii="Times New Roman" w:hAnsi="Times New Roman"/>
                <w:sz w:val="24"/>
              </w:rPr>
              <w:t>）湖南省人民政府关于印发《湖南省贯彻落实〈水污染防治行动计划〉实施方案（2016-2020年）》的通知（湘政发[2015]53号，2015年12月31日）；</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w:t>
            </w:r>
            <w:r>
              <w:rPr>
                <w:rFonts w:ascii="Times New Roman" w:hAnsi="Times New Roman"/>
                <w:sz w:val="24"/>
              </w:rPr>
              <w:t>6</w:t>
            </w:r>
            <w:r>
              <w:rPr>
                <w:rFonts w:hint="eastAsia" w:ascii="Times New Roman" w:hAnsi="Times New Roman"/>
                <w:sz w:val="24"/>
              </w:rPr>
              <w:t>）湖南省人民政府关于印发《湖南省土壤污染防治工作方案》的通知（湘政发[2017]4号，2017年1月23日）；</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w:t>
            </w:r>
            <w:r>
              <w:rPr>
                <w:rFonts w:ascii="Times New Roman" w:hAnsi="Times New Roman"/>
                <w:sz w:val="24"/>
              </w:rPr>
              <w:t>7</w:t>
            </w:r>
            <w:r>
              <w:rPr>
                <w:rFonts w:hint="eastAsia" w:ascii="Times New Roman" w:hAnsi="Times New Roman"/>
                <w:sz w:val="24"/>
              </w:rPr>
              <w:t>）《湖南省实施&lt;中华人民共和国土壤污染防治法&gt;办法》（2020年7月1日起施行）；</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w:t>
            </w:r>
            <w:r>
              <w:rPr>
                <w:rFonts w:ascii="Times New Roman" w:hAnsi="Times New Roman"/>
                <w:sz w:val="24"/>
              </w:rPr>
              <w:t>8</w:t>
            </w:r>
            <w:r>
              <w:rPr>
                <w:rFonts w:hint="eastAsia" w:ascii="Times New Roman" w:hAnsi="Times New Roman"/>
                <w:sz w:val="24"/>
              </w:rPr>
              <w:t>）《湖南省大气污染防治条例》（2017年6月1日施行）。</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2.3 技术规范</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《建设项目环境影响评价技术导则 总纲》（HJ</w:t>
            </w:r>
            <w:r>
              <w:rPr>
                <w:rFonts w:ascii="Times New Roman" w:hAnsi="Times New Roman"/>
                <w:sz w:val="24"/>
                <w:szCs w:val="24"/>
              </w:rPr>
              <w:t xml:space="preserve"> </w:t>
            </w:r>
            <w:r>
              <w:rPr>
                <w:rFonts w:hint="eastAsia" w:ascii="Times New Roman" w:hAnsi="Times New Roman"/>
                <w:sz w:val="24"/>
                <w:szCs w:val="24"/>
              </w:rPr>
              <w:t>2.1-2016）</w:t>
            </w:r>
            <w:r>
              <w:rPr>
                <w:rFonts w:ascii="Times New Roman" w:hAnsi="Times New Roman"/>
                <w:sz w:val="24"/>
                <w:szCs w:val="24"/>
              </w:rPr>
              <w:t>；</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2）《环境影响评价技术导则  大气环境》（HJ 2.2-20</w:t>
            </w:r>
            <w:r>
              <w:rPr>
                <w:rFonts w:hint="eastAsia" w:ascii="Times New Roman" w:hAnsi="Times New Roman"/>
                <w:sz w:val="24"/>
                <w:szCs w:val="24"/>
              </w:rPr>
              <w:t>1</w:t>
            </w:r>
            <w:r>
              <w:rPr>
                <w:rFonts w:ascii="Times New Roman" w:hAnsi="Times New Roman"/>
                <w:sz w:val="24"/>
                <w:szCs w:val="24"/>
              </w:rPr>
              <w:t>8）；</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3）《环境影响评价技术导则  地面水环境》（HJ/T 2.3-</w:t>
            </w:r>
            <w:r>
              <w:rPr>
                <w:rFonts w:hint="eastAsia" w:ascii="Times New Roman" w:hAnsi="Times New Roman"/>
                <w:sz w:val="24"/>
                <w:szCs w:val="24"/>
              </w:rPr>
              <w:t>2018</w:t>
            </w:r>
            <w:r>
              <w:rPr>
                <w:rFonts w:ascii="Times New Roman" w:hAnsi="Times New Roman"/>
                <w:sz w:val="24"/>
                <w:szCs w:val="24"/>
              </w:rPr>
              <w:t>）；</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（4）《环境影响评价技术导则 </w:t>
            </w:r>
            <w:r>
              <w:rPr>
                <w:rFonts w:ascii="Times New Roman" w:hAnsi="Times New Roman"/>
                <w:sz w:val="24"/>
                <w:szCs w:val="24"/>
              </w:rPr>
              <w:t xml:space="preserve"> </w:t>
            </w:r>
            <w:r>
              <w:rPr>
                <w:rFonts w:hint="eastAsia" w:ascii="Times New Roman" w:hAnsi="Times New Roman"/>
                <w:sz w:val="24"/>
                <w:szCs w:val="24"/>
              </w:rPr>
              <w:t>地下水环境》（HJ</w:t>
            </w:r>
            <w:r>
              <w:rPr>
                <w:rFonts w:ascii="Times New Roman" w:hAnsi="Times New Roman"/>
                <w:sz w:val="24"/>
                <w:szCs w:val="24"/>
              </w:rPr>
              <w:t xml:space="preserve"> </w:t>
            </w:r>
            <w:r>
              <w:rPr>
                <w:rFonts w:hint="eastAsia" w:ascii="Times New Roman" w:hAnsi="Times New Roman"/>
                <w:sz w:val="24"/>
                <w:szCs w:val="24"/>
              </w:rPr>
              <w:t>610-2016）；</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（5</w:t>
            </w:r>
            <w:r>
              <w:rPr>
                <w:rFonts w:ascii="Times New Roman" w:hAnsi="Times New Roman"/>
                <w:sz w:val="24"/>
                <w:szCs w:val="24"/>
              </w:rPr>
              <w:t>）《环境影响评价技术导则  声环境》（HJ 2.4-2009）；</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6</w:t>
            </w:r>
            <w:r>
              <w:rPr>
                <w:rFonts w:hint="eastAsia" w:ascii="Times New Roman" w:hAnsi="Times New Roman"/>
                <w:sz w:val="24"/>
                <w:szCs w:val="24"/>
              </w:rPr>
              <w:t>）《环境影响评价技术导则</w:t>
            </w:r>
            <w:r>
              <w:rPr>
                <w:rFonts w:ascii="Times New Roman" w:hAnsi="Times New Roman"/>
                <w:sz w:val="24"/>
                <w:szCs w:val="24"/>
              </w:rPr>
              <w:t xml:space="preserve">  </w:t>
            </w:r>
            <w:r>
              <w:rPr>
                <w:rFonts w:hint="eastAsia" w:ascii="Times New Roman" w:hAnsi="Times New Roman"/>
                <w:sz w:val="24"/>
                <w:szCs w:val="24"/>
              </w:rPr>
              <w:t>土壤环境（试行）》（</w:t>
            </w:r>
            <w:r>
              <w:rPr>
                <w:rFonts w:ascii="Times New Roman" w:hAnsi="Times New Roman"/>
                <w:sz w:val="24"/>
                <w:szCs w:val="24"/>
              </w:rPr>
              <w:t>HJ 964-2018</w:t>
            </w:r>
            <w:r>
              <w:rPr>
                <w:rFonts w:hint="eastAsia" w:ascii="Times New Roman" w:hAnsi="Times New Roman"/>
                <w:sz w:val="24"/>
                <w:szCs w:val="24"/>
              </w:rPr>
              <w:t>）；</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（7</w:t>
            </w:r>
            <w:r>
              <w:rPr>
                <w:rFonts w:ascii="Times New Roman" w:hAnsi="Times New Roman"/>
                <w:sz w:val="24"/>
                <w:szCs w:val="24"/>
              </w:rPr>
              <w:t>）《环境影响评价技术导则  生态影响》（HJ 19-2011）；</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（8</w:t>
            </w:r>
            <w:r>
              <w:rPr>
                <w:rFonts w:ascii="Times New Roman" w:hAnsi="Times New Roman"/>
                <w:sz w:val="24"/>
                <w:szCs w:val="24"/>
              </w:rPr>
              <w:t xml:space="preserve">）《建设项目环境风险评价技术导则》（HJ </w:t>
            </w:r>
            <w:r>
              <w:rPr>
                <w:rFonts w:hint="eastAsia" w:ascii="Times New Roman" w:hAnsi="Times New Roman"/>
                <w:sz w:val="24"/>
                <w:szCs w:val="24"/>
              </w:rPr>
              <w:t>169</w:t>
            </w:r>
            <w:r>
              <w:rPr>
                <w:rFonts w:ascii="Times New Roman" w:hAnsi="Times New Roman"/>
                <w:sz w:val="24"/>
                <w:szCs w:val="24"/>
              </w:rPr>
              <w:t>-20</w:t>
            </w:r>
            <w:r>
              <w:rPr>
                <w:rFonts w:hint="eastAsia" w:ascii="Times New Roman" w:hAnsi="Times New Roman"/>
                <w:sz w:val="24"/>
                <w:szCs w:val="24"/>
              </w:rPr>
              <w:t>18</w:t>
            </w:r>
            <w:r>
              <w:rPr>
                <w:rFonts w:ascii="Times New Roman" w:hAnsi="Times New Roman"/>
                <w:sz w:val="24"/>
                <w:szCs w:val="24"/>
              </w:rPr>
              <w:t>）；</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9</w:t>
            </w:r>
            <w:r>
              <w:rPr>
                <w:rFonts w:hint="eastAsia" w:ascii="Times New Roman" w:hAnsi="Times New Roman"/>
                <w:sz w:val="24"/>
                <w:szCs w:val="24"/>
              </w:rPr>
              <w:t>）《建设项目危险废物环境影响评价指南》（2017年10月1日起施行）；</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0</w:t>
            </w:r>
            <w:r>
              <w:rPr>
                <w:rFonts w:hint="eastAsia" w:ascii="Times New Roman" w:hAnsi="Times New Roman"/>
                <w:sz w:val="24"/>
                <w:szCs w:val="24"/>
              </w:rPr>
              <w:t>）《排污许可证申请与核发技术规范  总则》（HJ</w:t>
            </w:r>
            <w:r>
              <w:rPr>
                <w:rFonts w:ascii="Times New Roman" w:hAnsi="Times New Roman"/>
                <w:sz w:val="24"/>
                <w:szCs w:val="24"/>
              </w:rPr>
              <w:t xml:space="preserve"> </w:t>
            </w:r>
            <w:r>
              <w:rPr>
                <w:rFonts w:hint="eastAsia" w:ascii="Times New Roman" w:hAnsi="Times New Roman"/>
                <w:sz w:val="24"/>
                <w:szCs w:val="24"/>
              </w:rPr>
              <w:t>942-2018）；</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1</w:t>
            </w:r>
            <w:r>
              <w:rPr>
                <w:rFonts w:hint="eastAsia" w:ascii="Times New Roman" w:hAnsi="Times New Roman"/>
                <w:sz w:val="24"/>
                <w:szCs w:val="24"/>
              </w:rPr>
              <w:t xml:space="preserve">）《排污许可证申请与核发技术规范  陶瓷砖瓦工业》（HJ </w:t>
            </w:r>
            <w:r>
              <w:rPr>
                <w:rFonts w:ascii="Times New Roman" w:hAnsi="Times New Roman"/>
                <w:sz w:val="24"/>
                <w:szCs w:val="24"/>
              </w:rPr>
              <w:t>954-2018</w:t>
            </w:r>
            <w:r>
              <w:rPr>
                <w:rFonts w:hint="eastAsia" w:ascii="Times New Roman" w:hAnsi="Times New Roman"/>
                <w:sz w:val="24"/>
                <w:szCs w:val="24"/>
              </w:rPr>
              <w:t>）；</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2</w:t>
            </w:r>
            <w:r>
              <w:rPr>
                <w:rFonts w:hint="eastAsia" w:ascii="Times New Roman" w:hAnsi="Times New Roman"/>
                <w:sz w:val="24"/>
                <w:szCs w:val="24"/>
              </w:rPr>
              <w:t>）《排污单位自行监测技术指南  总则》（HJ</w:t>
            </w:r>
            <w:r>
              <w:rPr>
                <w:rFonts w:ascii="Times New Roman" w:hAnsi="Times New Roman"/>
                <w:sz w:val="24"/>
                <w:szCs w:val="24"/>
              </w:rPr>
              <w:t xml:space="preserve"> </w:t>
            </w:r>
            <w:r>
              <w:rPr>
                <w:rFonts w:hint="eastAsia" w:ascii="Times New Roman" w:hAnsi="Times New Roman"/>
                <w:sz w:val="24"/>
                <w:szCs w:val="24"/>
              </w:rPr>
              <w:t>819-2017）。</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2.4 其他相关文件</w:t>
            </w:r>
          </w:p>
          <w:p>
            <w:pPr>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建设单位提供的其他相关资料。</w:t>
            </w:r>
          </w:p>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3</w:t>
            </w:r>
            <w:r>
              <w:rPr>
                <w:rFonts w:ascii="Times New Roman" w:hAnsi="Times New Roman"/>
                <w:b/>
                <w:spacing w:val="8"/>
                <w:sz w:val="24"/>
                <w:szCs w:val="24"/>
              </w:rPr>
              <w:t xml:space="preserve"> 工程建设内容及规模</w:t>
            </w:r>
          </w:p>
          <w:p>
            <w:pPr>
              <w:pStyle w:val="58"/>
              <w:spacing w:line="360" w:lineRule="auto"/>
              <w:rPr>
                <w:rFonts w:ascii="Times New Roman" w:hAnsi="Times New Roman" w:cs="Times New Roman"/>
                <w:u w:val="single"/>
              </w:rPr>
            </w:pPr>
          </w:p>
          <w:p>
            <w:pPr>
              <w:pStyle w:val="58"/>
              <w:spacing w:line="360" w:lineRule="auto"/>
              <w:rPr>
                <w:rFonts w:ascii="Times New Roman" w:hAnsi="Times New Roman" w:cs="Times New Roman"/>
                <w:u w:val="single"/>
              </w:rPr>
            </w:pPr>
          </w:p>
          <w:p>
            <w:pPr>
              <w:pStyle w:val="58"/>
              <w:spacing w:line="360" w:lineRule="auto"/>
              <w:rPr>
                <w:rFonts w:ascii="Times New Roman" w:hAnsi="Times New Roman" w:cs="Times New Roman"/>
                <w:u w:val="single"/>
              </w:rPr>
            </w:pPr>
          </w:p>
          <w:p>
            <w:pPr>
              <w:pStyle w:val="58"/>
              <w:spacing w:line="360" w:lineRule="auto"/>
              <w:rPr>
                <w:rFonts w:ascii="Times New Roman" w:hAnsi="Times New Roman" w:cs="Times New Roman"/>
              </w:rPr>
            </w:pPr>
            <w:r>
              <w:rPr>
                <w:rFonts w:ascii="Times New Roman" w:hAnsi="Times New Roman" w:cs="Times New Roman"/>
              </w:rPr>
              <w:t>表1-1  建设项目组成一览表</w:t>
            </w:r>
          </w:p>
          <w:tbl>
            <w:tblPr>
              <w:tblStyle w:val="24"/>
              <w:tblW w:w="5000"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1138"/>
              <w:gridCol w:w="1129"/>
              <w:gridCol w:w="3283"/>
              <w:gridCol w:w="3519"/>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tcBorders>
                    <w:top w:val="single" w:color="000000" w:sz="12" w:space="0"/>
                    <w:left w:val="single" w:color="000000" w:sz="12" w:space="0"/>
                    <w:bottom w:val="single" w:color="000000" w:sz="6" w:space="0"/>
                    <w:right w:val="single" w:color="000000" w:sz="6" w:space="0"/>
                  </w:tcBorders>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工程组成</w:t>
                  </w:r>
                </w:p>
              </w:tc>
              <w:tc>
                <w:tcPr>
                  <w:tcW w:w="4288" w:type="dxa"/>
                  <w:gridSpan w:val="2"/>
                  <w:tcBorders>
                    <w:top w:val="single" w:color="000000" w:sz="12"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现有工程</w:t>
                  </w:r>
                </w:p>
              </w:tc>
              <w:tc>
                <w:tcPr>
                  <w:tcW w:w="3420" w:type="dxa"/>
                  <w:tcBorders>
                    <w:top w:val="single" w:color="000000" w:sz="12"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扩建工程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restart"/>
                  <w:tcBorders>
                    <w:top w:val="single" w:color="000000" w:sz="6" w:space="0"/>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主体工程</w:t>
                  </w: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开采区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面积</w:t>
                  </w:r>
                  <w:r>
                    <w:rPr>
                      <w:rFonts w:ascii="Times New Roman" w:hAnsi="Times New Roman"/>
                      <w:color w:val="000000" w:themeColor="text1"/>
                      <w:szCs w:val="21"/>
                      <w14:textFill>
                        <w14:solidFill>
                          <w14:schemeClr w14:val="tx1"/>
                        </w14:solidFill>
                      </w14:textFill>
                    </w:rPr>
                    <w:t>13800</w:t>
                  </w:r>
                  <w:r>
                    <w:rPr>
                      <w:rFonts w:hint="eastAsia"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，开采深度：+100.15m至+69.00m标高，露天开采，采用分层阶梯式开拓，开采规模6.6万吨/年页岩生产线</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页岩砖生产区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位于厂区南侧，建筑面积为7</w:t>
                  </w:r>
                  <w:r>
                    <w:rPr>
                      <w:rFonts w:ascii="Times New Roman" w:hAnsi="Times New Roman"/>
                      <w:color w:val="000000" w:themeColor="text1"/>
                      <w:kern w:val="0"/>
                      <w:szCs w:val="21"/>
                      <w14:textFill>
                        <w14:solidFill>
                          <w14:schemeClr w14:val="tx1"/>
                        </w14:solidFill>
                      </w14:textFill>
                    </w:rPr>
                    <w:t>500</w:t>
                  </w:r>
                  <w:r>
                    <w:rPr>
                      <w:rFonts w:hint="eastAsia"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原厂区</w:t>
                  </w:r>
                  <w:r>
                    <w:rPr>
                      <w:rFonts w:ascii="Times New Roman" w:hAnsi="Times New Roman"/>
                    </w:rPr>
                    <w:t>建设有1座28门轮窑，购置有2条页岩砖生产线，形成年产3500万块页岩砖的生产规模</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kern w:val="0"/>
                      <w:szCs w:val="21"/>
                      <w:u w:val="single"/>
                      <w14:textFill>
                        <w14:solidFill>
                          <w14:schemeClr w14:val="tx1"/>
                        </w14:solidFill>
                      </w14:textFill>
                    </w:rPr>
                    <w:t>在现有厂房内</w:t>
                  </w:r>
                  <w:r>
                    <w:rPr>
                      <w:rFonts w:ascii="Times New Roman" w:hAnsi="Times New Roman"/>
                      <w:color w:val="000000" w:themeColor="text1"/>
                      <w:kern w:val="0"/>
                      <w:szCs w:val="21"/>
                      <w:u w:val="single"/>
                      <w14:textFill>
                        <w14:solidFill>
                          <w14:schemeClr w14:val="tx1"/>
                        </w14:solidFill>
                      </w14:textFill>
                    </w:rPr>
                    <w:t>，</w:t>
                  </w:r>
                  <w:r>
                    <w:rPr>
                      <w:rFonts w:hint="eastAsia" w:ascii="Times New Roman" w:hAnsi="Times New Roman"/>
                      <w:color w:val="000000" w:themeColor="text1"/>
                      <w:kern w:val="0"/>
                      <w:szCs w:val="21"/>
                      <w:u w:val="single"/>
                      <w14:textFill>
                        <w14:solidFill>
                          <w14:schemeClr w14:val="tx1"/>
                        </w14:solidFill>
                      </w14:textFill>
                    </w:rPr>
                    <w:t>通过</w:t>
                  </w:r>
                  <w:r>
                    <w:rPr>
                      <w:rFonts w:ascii="Times New Roman" w:hAnsi="Times New Roman"/>
                      <w:color w:val="000000" w:themeColor="text1"/>
                      <w:kern w:val="0"/>
                      <w:szCs w:val="21"/>
                      <w:u w:val="single"/>
                      <w14:textFill>
                        <w14:solidFill>
                          <w14:schemeClr w14:val="tx1"/>
                        </w14:solidFill>
                      </w14:textFill>
                    </w:rPr>
                    <w:t>采矿区年产6.6万吨</w:t>
                  </w:r>
                  <w:r>
                    <w:rPr>
                      <w:rFonts w:hint="eastAsia" w:ascii="Times New Roman" w:hAnsi="Times New Roman"/>
                      <w:color w:val="000000" w:themeColor="text1"/>
                      <w:kern w:val="0"/>
                      <w:szCs w:val="21"/>
                      <w:u w:val="single"/>
                      <w14:textFill>
                        <w14:solidFill>
                          <w14:schemeClr w14:val="tx1"/>
                        </w14:solidFill>
                      </w14:textFill>
                    </w:rPr>
                    <w:t>的</w:t>
                  </w:r>
                  <w:r>
                    <w:rPr>
                      <w:rFonts w:ascii="Times New Roman" w:hAnsi="Times New Roman"/>
                      <w:color w:val="000000" w:themeColor="text1"/>
                      <w:kern w:val="0"/>
                      <w:szCs w:val="21"/>
                      <w:u w:val="single"/>
                      <w14:textFill>
                        <w14:solidFill>
                          <w14:schemeClr w14:val="tx1"/>
                        </w14:solidFill>
                      </w14:textFill>
                    </w:rPr>
                    <w:t>页岩</w:t>
                  </w:r>
                  <w:r>
                    <w:rPr>
                      <w:rFonts w:hint="eastAsia" w:ascii="Times New Roman" w:hAnsi="Times New Roman"/>
                      <w:color w:val="000000" w:themeColor="text1"/>
                      <w:kern w:val="0"/>
                      <w:szCs w:val="21"/>
                      <w:u w:val="single"/>
                      <w14:textFill>
                        <w14:solidFill>
                          <w14:schemeClr w14:val="tx1"/>
                        </w14:solidFill>
                      </w14:textFill>
                    </w:rPr>
                    <w:t>以及外购的页岩</w:t>
                  </w:r>
                  <w:r>
                    <w:rPr>
                      <w:rFonts w:ascii="Times New Roman" w:hAnsi="Times New Roman"/>
                      <w:color w:val="000000" w:themeColor="text1"/>
                      <w:kern w:val="0"/>
                      <w:szCs w:val="21"/>
                      <w:u w:val="single"/>
                      <w14:textFill>
                        <w14:solidFill>
                          <w14:schemeClr w14:val="tx1"/>
                        </w14:solidFill>
                      </w14:textFill>
                    </w:rPr>
                    <w:t>，形成</w:t>
                  </w:r>
                  <w:r>
                    <w:rPr>
                      <w:rFonts w:hint="eastAsia" w:ascii="Times New Roman" w:hAnsi="Times New Roman"/>
                      <w:color w:val="000000" w:themeColor="text1"/>
                      <w:kern w:val="0"/>
                      <w:szCs w:val="21"/>
                      <w:u w:val="single"/>
                      <w14:textFill>
                        <w14:solidFill>
                          <w14:schemeClr w14:val="tx1"/>
                        </w14:solidFill>
                      </w14:textFill>
                    </w:rPr>
                    <w:t>一条</w:t>
                  </w:r>
                  <w:r>
                    <w:rPr>
                      <w:rFonts w:ascii="Times New Roman" w:hAnsi="Times New Roman"/>
                      <w:color w:val="000000" w:themeColor="text1"/>
                      <w:kern w:val="0"/>
                      <w:szCs w:val="21"/>
                      <w:u w:val="single"/>
                      <w14:textFill>
                        <w14:solidFill>
                          <w14:schemeClr w14:val="tx1"/>
                        </w14:solidFill>
                      </w14:textFill>
                    </w:rPr>
                    <w:t>年产6000万块页岩砖生产线</w:t>
                  </w:r>
                  <w:r>
                    <w:rPr>
                      <w:rFonts w:hint="eastAsia" w:ascii="Times New Roman" w:hAnsi="Times New Roman"/>
                      <w:color w:val="000000" w:themeColor="text1"/>
                      <w:kern w:val="0"/>
                      <w:szCs w:val="21"/>
                      <w:u w:val="single"/>
                      <w14:textFill>
                        <w14:solidFill>
                          <w14:schemeClr w14:val="tx1"/>
                        </w14:solidFill>
                      </w14:textFill>
                    </w:rPr>
                    <w:t>（现有2条</w:t>
                  </w:r>
                  <w:r>
                    <w:rPr>
                      <w:rFonts w:ascii="Times New Roman" w:hAnsi="Times New Roman"/>
                      <w:color w:val="000000" w:themeColor="text1"/>
                      <w:kern w:val="0"/>
                      <w:szCs w:val="21"/>
                      <w:u w:val="single"/>
                      <w14:textFill>
                        <w14:solidFill>
                          <w14:schemeClr w14:val="tx1"/>
                        </w14:solidFill>
                      </w14:textFill>
                    </w:rPr>
                    <w:t>页岩砖</w:t>
                  </w:r>
                  <w:r>
                    <w:rPr>
                      <w:rFonts w:hint="eastAsia" w:ascii="Times New Roman" w:hAnsi="Times New Roman"/>
                      <w:color w:val="000000" w:themeColor="text1"/>
                      <w:kern w:val="0"/>
                      <w:szCs w:val="21"/>
                      <w:u w:val="single"/>
                      <w14:textFill>
                        <w14:solidFill>
                          <w14:schemeClr w14:val="tx1"/>
                        </w14:solidFill>
                      </w14:textFill>
                    </w:rPr>
                    <w:t>生产线改建</w:t>
                  </w:r>
                  <w:r>
                    <w:rPr>
                      <w:rFonts w:ascii="Times New Roman" w:hAnsi="Times New Roman"/>
                      <w:color w:val="000000" w:themeColor="text1"/>
                      <w:kern w:val="0"/>
                      <w:szCs w:val="21"/>
                      <w:u w:val="single"/>
                      <w14:textFill>
                        <w14:solidFill>
                          <w14:schemeClr w14:val="tx1"/>
                        </w14:solidFill>
                      </w14:textFill>
                    </w:rPr>
                    <w:t>为</w:t>
                  </w:r>
                  <w:r>
                    <w:rPr>
                      <w:rFonts w:hint="eastAsia" w:ascii="Times New Roman" w:hAnsi="Times New Roman"/>
                      <w:color w:val="000000" w:themeColor="text1"/>
                      <w:kern w:val="0"/>
                      <w:szCs w:val="21"/>
                      <w:u w:val="single"/>
                      <w14:textFill>
                        <w14:solidFill>
                          <w14:schemeClr w14:val="tx1"/>
                        </w14:solidFill>
                      </w14:textFill>
                    </w:rPr>
                    <w:t>1</w:t>
                  </w:r>
                  <w:r>
                    <w:rPr>
                      <w:rFonts w:ascii="Times New Roman" w:hAnsi="Times New Roman"/>
                      <w:color w:val="000000" w:themeColor="text1"/>
                      <w:kern w:val="0"/>
                      <w:szCs w:val="21"/>
                      <w:u w:val="single"/>
                      <w14:textFill>
                        <w14:solidFill>
                          <w14:schemeClr w14:val="tx1"/>
                        </w14:solidFill>
                      </w14:textFill>
                    </w:rPr>
                    <w:t>条一烘一烧的隧道窑生产线</w:t>
                  </w:r>
                  <w:r>
                    <w:rPr>
                      <w:rFonts w:hint="eastAsia" w:ascii="Times New Roman" w:hAnsi="Times New Roman"/>
                      <w:color w:val="000000" w:themeColor="text1"/>
                      <w:kern w:val="0"/>
                      <w:szCs w:val="21"/>
                      <w:u w:val="single"/>
                      <w14:textFill>
                        <w14:solidFill>
                          <w14:schemeClr w14:val="tx1"/>
                        </w14:solidFill>
                      </w14:textFill>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碎石生产区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位于厂区中部，多栋单层空置厂房，总建筑面积约为4</w:t>
                  </w:r>
                  <w:r>
                    <w:rPr>
                      <w:rFonts w:ascii="Times New Roman" w:hAnsi="Times New Roman"/>
                      <w:color w:val="000000" w:themeColor="text1"/>
                      <w:szCs w:val="21"/>
                      <w14:textFill>
                        <w14:solidFill>
                          <w14:schemeClr w14:val="tx1"/>
                        </w14:solidFill>
                      </w14:textFill>
                    </w:rPr>
                    <w:t>000</w:t>
                  </w:r>
                  <w:r>
                    <w:rPr>
                      <w:rFonts w:hint="eastAsia"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2</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在现有厂房内，</w:t>
                  </w:r>
                  <w:r>
                    <w:rPr>
                      <w:rFonts w:ascii="Times New Roman" w:hAnsi="Times New Roman"/>
                      <w:color w:val="000000" w:themeColor="text1"/>
                      <w:szCs w:val="21"/>
                      <w:u w:val="single"/>
                      <w14:textFill>
                        <w14:solidFill>
                          <w14:schemeClr w14:val="tx1"/>
                        </w14:solidFill>
                      </w14:textFill>
                    </w:rPr>
                    <w:t>通过</w:t>
                  </w:r>
                  <w:r>
                    <w:rPr>
                      <w:rFonts w:hint="eastAsia" w:ascii="Times New Roman" w:hAnsi="Times New Roman"/>
                      <w:color w:val="000000" w:themeColor="text1"/>
                      <w:szCs w:val="21"/>
                      <w:u w:val="single"/>
                      <w14:textFill>
                        <w14:solidFill>
                          <w14:schemeClr w14:val="tx1"/>
                        </w14:solidFill>
                      </w14:textFill>
                    </w:rPr>
                    <w:t>制砖区产生的不合格产品、废石以及</w:t>
                  </w:r>
                  <w:r>
                    <w:rPr>
                      <w:rFonts w:ascii="Times New Roman" w:hAnsi="Times New Roman"/>
                      <w:color w:val="000000" w:themeColor="text1"/>
                      <w:szCs w:val="21"/>
                      <w:u w:val="single"/>
                      <w14:textFill>
                        <w14:solidFill>
                          <w14:schemeClr w14:val="tx1"/>
                        </w14:solidFill>
                      </w14:textFill>
                    </w:rPr>
                    <w:t>外购</w:t>
                  </w:r>
                  <w:r>
                    <w:rPr>
                      <w:rFonts w:hint="eastAsia" w:ascii="Times New Roman" w:hAnsi="Times New Roman"/>
                      <w:color w:val="000000" w:themeColor="text1"/>
                      <w:szCs w:val="21"/>
                      <w:u w:val="single"/>
                      <w14:textFill>
                        <w14:solidFill>
                          <w14:schemeClr w14:val="tx1"/>
                        </w14:solidFill>
                      </w14:textFill>
                    </w:rPr>
                    <w:t>的建筑垃圾，</w:t>
                  </w:r>
                  <w:r>
                    <w:rPr>
                      <w:rFonts w:ascii="Times New Roman" w:hAnsi="Times New Roman"/>
                      <w:color w:val="000000" w:themeColor="text1"/>
                      <w:szCs w:val="21"/>
                      <w:u w:val="single"/>
                      <w14:textFill>
                        <w14:solidFill>
                          <w14:schemeClr w14:val="tx1"/>
                        </w14:solidFill>
                      </w14:textFill>
                    </w:rPr>
                    <w:t>新增一条</w:t>
                  </w:r>
                  <w:r>
                    <w:rPr>
                      <w:rFonts w:ascii="Times New Roman" w:hAnsi="Times New Roman"/>
                      <w:color w:val="000000" w:themeColor="text1"/>
                      <w:kern w:val="0"/>
                      <w:szCs w:val="21"/>
                      <w:u w:val="single"/>
                      <w14:textFill>
                        <w14:solidFill>
                          <w14:schemeClr w14:val="tx1"/>
                        </w14:solidFill>
                      </w14:textFill>
                    </w:rPr>
                    <w:t>碎石生产线，规模为10万</w:t>
                  </w:r>
                  <w:r>
                    <w:rPr>
                      <w:rFonts w:hint="eastAsia" w:ascii="Times New Roman" w:hAnsi="Times New Roman"/>
                      <w:color w:val="000000" w:themeColor="text1"/>
                      <w:kern w:val="0"/>
                      <w:szCs w:val="21"/>
                      <w:u w:val="single"/>
                      <w14:textFill>
                        <w14:solidFill>
                          <w14:schemeClr w14:val="tx1"/>
                        </w14:solidFill>
                      </w14:textFill>
                    </w:rPr>
                    <w:t>吨</w:t>
                  </w:r>
                  <w:r>
                    <w:rPr>
                      <w:rFonts w:ascii="Times New Roman" w:hAnsi="Times New Roman"/>
                      <w:color w:val="000000" w:themeColor="text1"/>
                      <w:kern w:val="0"/>
                      <w:szCs w:val="21"/>
                      <w:u w:val="single"/>
                      <w14:textFill>
                        <w14:solidFill>
                          <w14:schemeClr w14:val="tx1"/>
                        </w14:solidFill>
                      </w14:textFill>
                    </w:rPr>
                    <w:t>/</w:t>
                  </w:r>
                  <w:r>
                    <w:rPr>
                      <w:rFonts w:hint="eastAsia" w:ascii="Times New Roman" w:hAnsi="Times New Roman"/>
                      <w:color w:val="000000" w:themeColor="text1"/>
                      <w:kern w:val="0"/>
                      <w:szCs w:val="21"/>
                      <w:u w:val="single"/>
                      <w14:textFill>
                        <w14:solidFill>
                          <w14:schemeClr w14:val="tx1"/>
                        </w14:solidFill>
                      </w14:textFill>
                    </w:rPr>
                    <w:t>年</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tcBorders>
                    <w:top w:val="single" w:color="000000" w:sz="6" w:space="0"/>
                    <w:left w:val="single" w:color="000000" w:sz="12"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辅助工程</w:t>
                  </w: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生活办公区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位于厂区西侧，建筑面积约为</w:t>
                  </w:r>
                  <w:r>
                    <w:rPr>
                      <w:rFonts w:ascii="Times New Roman" w:hAnsi="Times New Roman"/>
                      <w:bCs/>
                      <w:color w:val="000000" w:themeColor="text1"/>
                      <w:szCs w:val="21"/>
                      <w14:textFill>
                        <w14:solidFill>
                          <w14:schemeClr w14:val="tx1"/>
                        </w14:solidFill>
                      </w14:textFill>
                    </w:rPr>
                    <w:t>450</w:t>
                  </w:r>
                  <w:r>
                    <w:rPr>
                      <w:rFonts w:hint="eastAsia" w:ascii="Times New Roman" w:hAnsi="Times New Roman"/>
                      <w:bCs/>
                      <w:color w:val="000000" w:themeColor="text1"/>
                      <w:szCs w:val="21"/>
                      <w14:textFill>
                        <w14:solidFill>
                          <w14:schemeClr w14:val="tx1"/>
                        </w14:solidFill>
                      </w14:textFill>
                    </w:rPr>
                    <w:t>m</w:t>
                  </w:r>
                  <w:r>
                    <w:rPr>
                      <w:rFonts w:ascii="Times New Roman" w:hAnsi="Times New Roman"/>
                      <w:bCs/>
                      <w:color w:val="000000" w:themeColor="text1"/>
                      <w:szCs w:val="21"/>
                      <w:vertAlign w:val="superscript"/>
                      <w14:textFill>
                        <w14:solidFill>
                          <w14:schemeClr w14:val="tx1"/>
                        </w14:solidFill>
                      </w14:textFill>
                    </w:rPr>
                    <w:t>2</w:t>
                  </w:r>
                  <w:r>
                    <w:rPr>
                      <w:rFonts w:hint="eastAsia" w:ascii="Times New Roman" w:hAnsi="Times New Roman"/>
                      <w:bCs/>
                      <w:color w:val="000000" w:themeColor="text1"/>
                      <w:szCs w:val="21"/>
                      <w14:textFill>
                        <w14:solidFill>
                          <w14:schemeClr w14:val="tx1"/>
                        </w14:solidFill>
                      </w14:textFill>
                    </w:rPr>
                    <w:t>，包括食堂、办公以及休息室</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restart"/>
                  <w:tcBorders>
                    <w:top w:val="single" w:color="000000" w:sz="6" w:space="0"/>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储运工程</w:t>
                  </w: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排土场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位于厂区西北侧山脚，面积为</w:t>
                  </w:r>
                  <w:r>
                    <w:rPr>
                      <w:rFonts w:ascii="Times New Roman" w:hAnsi="Times New Roman"/>
                      <w:bCs/>
                      <w:color w:val="000000" w:themeColor="text1"/>
                      <w:szCs w:val="21"/>
                      <w14:textFill>
                        <w14:solidFill>
                          <w14:schemeClr w14:val="tx1"/>
                        </w14:solidFill>
                      </w14:textFill>
                    </w:rPr>
                    <w:t>800</w:t>
                  </w:r>
                  <w:r>
                    <w:rPr>
                      <w:rFonts w:hint="eastAsia" w:ascii="Times New Roman" w:hAnsi="Times New Roman"/>
                      <w:bCs/>
                      <w:color w:val="000000" w:themeColor="text1"/>
                      <w:szCs w:val="21"/>
                      <w14:textFill>
                        <w14:solidFill>
                          <w14:schemeClr w14:val="tx1"/>
                        </w14:solidFill>
                      </w14:textFill>
                    </w:rPr>
                    <w:t>m</w:t>
                  </w:r>
                  <w:r>
                    <w:rPr>
                      <w:rFonts w:ascii="Times New Roman" w:hAnsi="Times New Roman"/>
                      <w:bCs/>
                      <w:color w:val="000000" w:themeColor="text1"/>
                      <w:szCs w:val="21"/>
                      <w:vertAlign w:val="superscript"/>
                      <w14:textFill>
                        <w14:solidFill>
                          <w14:schemeClr w14:val="tx1"/>
                        </w14:solidFill>
                      </w14:textFill>
                    </w:rPr>
                    <w:t>2</w:t>
                  </w:r>
                  <w:r>
                    <w:rPr>
                      <w:rFonts w:hint="eastAsia" w:ascii="Times New Roman" w:hAnsi="Times New Roman"/>
                      <w:bCs/>
                      <w:color w:val="000000" w:themeColor="text1"/>
                      <w:szCs w:val="21"/>
                      <w14:textFill>
                        <w14:solidFill>
                          <w14:schemeClr w14:val="tx1"/>
                        </w14:solidFill>
                      </w14:textFill>
                    </w:rPr>
                    <w:t>，剥离的土石运至排土场</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原料堆场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矿石直接运至西南侧的原料堆场，占地面积约为1</w:t>
                  </w:r>
                  <w:r>
                    <w:rPr>
                      <w:rFonts w:ascii="Times New Roman" w:hAnsi="Times New Roman"/>
                      <w:bCs/>
                      <w:color w:val="000000" w:themeColor="text1"/>
                      <w:szCs w:val="21"/>
                      <w14:textFill>
                        <w14:solidFill>
                          <w14:schemeClr w14:val="tx1"/>
                        </w14:solidFill>
                      </w14:textFill>
                    </w:rPr>
                    <w:t>000</w:t>
                  </w:r>
                  <w:r>
                    <w:rPr>
                      <w:rFonts w:hint="eastAsia" w:ascii="Times New Roman" w:hAnsi="Times New Roman"/>
                      <w:bCs/>
                      <w:color w:val="000000" w:themeColor="text1"/>
                      <w:szCs w:val="21"/>
                      <w14:textFill>
                        <w14:solidFill>
                          <w14:schemeClr w14:val="tx1"/>
                        </w14:solidFill>
                      </w14:textFill>
                    </w:rPr>
                    <w:t>m</w:t>
                  </w:r>
                  <w:r>
                    <w:rPr>
                      <w:rFonts w:ascii="Times New Roman" w:hAnsi="Times New Roman"/>
                      <w:bCs/>
                      <w:color w:val="000000" w:themeColor="text1"/>
                      <w:szCs w:val="21"/>
                      <w:vertAlign w:val="superscript"/>
                      <w14:textFill>
                        <w14:solidFill>
                          <w14:schemeClr w14:val="tx1"/>
                        </w14:solidFill>
                      </w14:textFill>
                    </w:rPr>
                    <w:t>2</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碎石成品堆场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位于碎石生产区西南侧，占地面积约为8</w:t>
                  </w:r>
                  <w:r>
                    <w:rPr>
                      <w:rFonts w:ascii="Times New Roman" w:hAnsi="Times New Roman"/>
                      <w:bCs/>
                      <w:color w:val="000000" w:themeColor="text1"/>
                      <w:szCs w:val="21"/>
                      <w14:textFill>
                        <w14:solidFill>
                          <w14:schemeClr w14:val="tx1"/>
                        </w14:solidFill>
                      </w14:textFill>
                    </w:rPr>
                    <w:t>50</w:t>
                  </w:r>
                  <w:r>
                    <w:rPr>
                      <w:rFonts w:hint="eastAsia" w:ascii="Times New Roman" w:hAnsi="Times New Roman"/>
                      <w:bCs/>
                      <w:color w:val="000000" w:themeColor="text1"/>
                      <w:szCs w:val="21"/>
                      <w14:textFill>
                        <w14:solidFill>
                          <w14:schemeClr w14:val="tx1"/>
                        </w14:solidFill>
                      </w14:textFill>
                    </w:rPr>
                    <w:t>m</w:t>
                  </w:r>
                  <w:r>
                    <w:rPr>
                      <w:rFonts w:ascii="Times New Roman" w:hAnsi="Times New Roman"/>
                      <w:bCs/>
                      <w:color w:val="000000" w:themeColor="text1"/>
                      <w:szCs w:val="21"/>
                      <w:vertAlign w:val="superscript"/>
                      <w14:textFill>
                        <w14:solidFill>
                          <w14:schemeClr w14:val="tx1"/>
                        </w14:solidFill>
                      </w14:textFill>
                    </w:rPr>
                    <w:t>2</w:t>
                  </w:r>
                  <w:r>
                    <w:rPr>
                      <w:rFonts w:hint="eastAsia" w:ascii="Times New Roman" w:hAnsi="Times New Roman"/>
                      <w:bCs/>
                      <w:color w:val="000000" w:themeColor="text1"/>
                      <w:szCs w:val="21"/>
                      <w14:textFill>
                        <w14:solidFill>
                          <w14:schemeClr w14:val="tx1"/>
                        </w14:solidFill>
                      </w14:textFill>
                    </w:rPr>
                    <w:t>，空置厂房</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在现有厂房内堆放</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页岩砖成品堆场</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位于页岩砖生产区东侧，建筑面积为1</w:t>
                  </w:r>
                  <w:r>
                    <w:rPr>
                      <w:rFonts w:ascii="Times New Roman" w:hAnsi="Times New Roman"/>
                      <w:bCs/>
                      <w:color w:val="000000" w:themeColor="text1"/>
                      <w:szCs w:val="21"/>
                      <w14:textFill>
                        <w14:solidFill>
                          <w14:schemeClr w14:val="tx1"/>
                        </w14:solidFill>
                      </w14:textFill>
                    </w:rPr>
                    <w:t>000</w:t>
                  </w:r>
                  <w:r>
                    <w:rPr>
                      <w:rFonts w:hint="eastAsia" w:ascii="Times New Roman" w:hAnsi="Times New Roman"/>
                      <w:bCs/>
                      <w:color w:val="000000" w:themeColor="text1"/>
                      <w:szCs w:val="21"/>
                      <w14:textFill>
                        <w14:solidFill>
                          <w14:schemeClr w14:val="tx1"/>
                        </w14:solidFill>
                      </w14:textFill>
                    </w:rPr>
                    <w:t>m</w:t>
                  </w:r>
                  <w:r>
                    <w:rPr>
                      <w:rFonts w:ascii="Times New Roman" w:hAnsi="Times New Roman"/>
                      <w:bCs/>
                      <w:color w:val="000000" w:themeColor="text1"/>
                      <w:szCs w:val="21"/>
                      <w:vertAlign w:val="superscript"/>
                      <w14:textFill>
                        <w14:solidFill>
                          <w14:schemeClr w14:val="tx1"/>
                        </w14:solidFill>
                      </w14:textFill>
                    </w:rPr>
                    <w:t>2</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restart"/>
                  <w:tcBorders>
                    <w:top w:val="single" w:color="000000" w:sz="6" w:space="0"/>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公用工程</w:t>
                  </w: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给水系统</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给水水源为</w:t>
                  </w:r>
                  <w:r>
                    <w:rPr>
                      <w:rFonts w:ascii="Times New Roman" w:hAnsi="Times New Roman"/>
                      <w:color w:val="000000" w:themeColor="text1"/>
                      <w14:textFill>
                        <w14:solidFill>
                          <w14:schemeClr w14:val="tx1"/>
                        </w14:solidFill>
                      </w14:textFill>
                    </w:rPr>
                    <w:t>鸬鹚渡镇百亩村地下水供水</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restart"/>
                  <w:tcBorders>
                    <w:top w:val="single" w:color="000000" w:sz="6" w:space="0"/>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排水系统</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w:t>
                  </w:r>
                  <w:r>
                    <w:rPr>
                      <w:rFonts w:ascii="Times New Roman" w:hAnsi="Times New Roman"/>
                      <w:color w:val="000000" w:themeColor="text1"/>
                      <w:szCs w:val="21"/>
                      <w14:textFill>
                        <w14:solidFill>
                          <w14:schemeClr w14:val="tx1"/>
                        </w14:solidFill>
                      </w14:textFill>
                    </w:rPr>
                    <w:t>采用雨污分流制。</w:t>
                  </w:r>
                  <w:r>
                    <w:rPr>
                      <w:rFonts w:ascii="Times New Roman" w:hAnsi="Times New Roman"/>
                    </w:rPr>
                    <w:t>雨水经沉淀池沉淀后排至项目东面的沾溪</w:t>
                  </w:r>
                </w:p>
              </w:tc>
              <w:tc>
                <w:tcPr>
                  <w:tcW w:w="3420" w:type="dxa"/>
                  <w:tcBorders>
                    <w:top w:val="single" w:color="000000" w:sz="6" w:space="0"/>
                    <w:left w:val="single" w:color="000000" w:sz="6" w:space="0"/>
                    <w:right w:val="single" w:color="000000" w:sz="12" w:space="0"/>
                  </w:tcBorders>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采用雨污分流制。</w:t>
                  </w:r>
                  <w:r>
                    <w:rPr>
                      <w:rFonts w:ascii="Times New Roman" w:hAnsi="Times New Roman"/>
                      <w:color w:val="000000" w:themeColor="text1"/>
                      <w:kern w:val="0"/>
                      <w:szCs w:val="21"/>
                      <w14:textFill>
                        <w14:solidFill>
                          <w14:schemeClr w14:val="tx1"/>
                        </w14:solidFill>
                      </w14:textFill>
                    </w:rPr>
                    <w:t>初期雨水收集</w:t>
                  </w:r>
                  <w:r>
                    <w:rPr>
                      <w:rFonts w:hint="eastAsia" w:ascii="Times New Roman" w:hAnsi="Times New Roman"/>
                      <w:color w:val="000000" w:themeColor="text1"/>
                      <w:kern w:val="0"/>
                      <w:szCs w:val="21"/>
                      <w14:textFill>
                        <w14:solidFill>
                          <w14:schemeClr w14:val="tx1"/>
                        </w14:solidFill>
                      </w14:textFill>
                    </w:rPr>
                    <w:t>至沉淀池（容积</w:t>
                  </w:r>
                  <w:r>
                    <w:rPr>
                      <w:rFonts w:ascii="Times New Roman" w:hAnsi="Times New Roman"/>
                      <w:color w:val="000000" w:themeColor="text1"/>
                      <w:kern w:val="0"/>
                      <w:szCs w:val="21"/>
                      <w14:textFill>
                        <w14:solidFill>
                          <w14:schemeClr w14:val="tx1"/>
                        </w14:solidFill>
                      </w14:textFill>
                    </w:rPr>
                    <w:t>200</w:t>
                  </w:r>
                  <w:r>
                    <w:rPr>
                      <w:rFonts w:hint="eastAsia"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沉淀后用于项目</w:t>
                  </w:r>
                  <w:r>
                    <w:rPr>
                      <w:rFonts w:hint="eastAsia" w:ascii="Times New Roman" w:hAnsi="Times New Roman"/>
                      <w:color w:val="000000" w:themeColor="text1"/>
                      <w:kern w:val="0"/>
                      <w:szCs w:val="21"/>
                      <w14:textFill>
                        <w14:solidFill>
                          <w14:schemeClr w14:val="tx1"/>
                        </w14:solidFill>
                      </w14:textFill>
                    </w:rPr>
                    <w:t>搅拌用水</w:t>
                  </w:r>
                  <w:r>
                    <w:rPr>
                      <w:rFonts w:ascii="Times New Roman" w:hAnsi="Times New Roman"/>
                      <w:color w:val="000000" w:themeColor="text1"/>
                      <w:kern w:val="0"/>
                      <w:szCs w:val="21"/>
                      <w14:textFill>
                        <w14:solidFill>
                          <w14:schemeClr w14:val="tx1"/>
                        </w14:solidFill>
                      </w14:textFill>
                    </w:rPr>
                    <w:t>、降尘</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生活污水经隔油池</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化粪池处理后用于厂区绿化及周边农田灌溉</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4"/>
                      <w14:textFill>
                        <w14:solidFill>
                          <w14:schemeClr w14:val="tx1"/>
                        </w14:solidFill>
                      </w14:textFill>
                    </w:rPr>
                  </w:pPr>
                  <w:r>
                    <w:rPr>
                      <w:rFonts w:ascii="Times New Roman" w:hAnsi="Times New Roman"/>
                      <w:szCs w:val="21"/>
                    </w:rPr>
                    <w:t>生活污水经</w:t>
                  </w:r>
                  <w:r>
                    <w:rPr>
                      <w:rFonts w:hint="eastAsia" w:ascii="Times New Roman" w:hAnsi="Times New Roman"/>
                      <w:szCs w:val="21"/>
                    </w:rPr>
                    <w:t>隔油池+</w:t>
                  </w:r>
                  <w:r>
                    <w:rPr>
                      <w:rFonts w:ascii="Times New Roman" w:hAnsi="Times New Roman"/>
                      <w:szCs w:val="21"/>
                    </w:rPr>
                    <w:t>化粪池处理后，用于</w:t>
                  </w:r>
                  <w:r>
                    <w:rPr>
                      <w:rFonts w:ascii="Times New Roman" w:hAnsi="Times New Roman"/>
                      <w:color w:val="000000" w:themeColor="text1"/>
                      <w:szCs w:val="21"/>
                      <w14:textFill>
                        <w14:solidFill>
                          <w14:schemeClr w14:val="tx1"/>
                        </w14:solidFill>
                      </w14:textFill>
                    </w:rPr>
                    <w:t>周边</w:t>
                  </w:r>
                  <w:r>
                    <w:rPr>
                      <w:rFonts w:hint="eastAsia" w:ascii="Times New Roman" w:hAnsi="Times New Roman"/>
                      <w:color w:val="000000" w:themeColor="text1"/>
                      <w:szCs w:val="21"/>
                      <w14:textFill>
                        <w14:solidFill>
                          <w14:schemeClr w14:val="tx1"/>
                        </w14:solidFill>
                      </w14:textFill>
                    </w:rPr>
                    <w:t>菜地施肥，综合消纳</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搅拌机清洗废水经沉淀后用于制砖搅拌用水</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rPr>
                    <w:t>水膜除尘废水沉淀后，循环使用</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kern w:val="0"/>
                      <w:szCs w:val="21"/>
                      <w:u w:val="single"/>
                      <w14:textFill>
                        <w14:solidFill>
                          <w14:schemeClr w14:val="tx1"/>
                        </w14:solidFill>
                      </w14:textFill>
                    </w:rPr>
                  </w:pPr>
                  <w:r>
                    <w:rPr>
                      <w:rFonts w:ascii="Times New Roman" w:hAnsi="Times New Roman"/>
                      <w:color w:val="000000" w:themeColor="text1"/>
                      <w:kern w:val="0"/>
                      <w:szCs w:val="21"/>
                      <w:u w:val="single"/>
                      <w14:textFill>
                        <w14:solidFill>
                          <w14:schemeClr w14:val="tx1"/>
                        </w14:solidFill>
                      </w14:textFill>
                    </w:rPr>
                    <w:t>脱硫废水加入石灰水，沉淀后脱硫废水循环使用，定期补充烧碱和水</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hint="eastAsia" w:ascii="Times New Roman" w:hAnsi="Times New Roman"/>
                    </w:rPr>
                    <w:t>本项目暂未设置喷淋式除尘器</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喷淋水经沉淀处理后，循环使用</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电力系统</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由桃江县鸬鹚渡镇农村电网供给</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restart"/>
                  <w:tcBorders>
                    <w:top w:val="single" w:color="000000" w:sz="6" w:space="0"/>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环保工程</w:t>
                  </w:r>
                </w:p>
              </w:tc>
              <w:tc>
                <w:tcPr>
                  <w:tcW w:w="1097" w:type="dxa"/>
                  <w:vMerge w:val="restart"/>
                  <w:tcBorders>
                    <w:top w:val="single" w:color="000000" w:sz="6" w:space="0"/>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废水治理</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生活污水经隔油池</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化粪池处理后用于厂区绿化及周边农田灌溉</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szCs w:val="21"/>
                    </w:rPr>
                    <w:t>生活污水经</w:t>
                  </w:r>
                  <w:r>
                    <w:rPr>
                      <w:rFonts w:hint="eastAsia" w:ascii="Times New Roman" w:hAnsi="Times New Roman"/>
                      <w:szCs w:val="21"/>
                    </w:rPr>
                    <w:t>隔油池+</w:t>
                  </w:r>
                  <w:r>
                    <w:rPr>
                      <w:rFonts w:ascii="Times New Roman" w:hAnsi="Times New Roman"/>
                      <w:szCs w:val="21"/>
                    </w:rPr>
                    <w:t>化粪池处理后，用于</w:t>
                  </w:r>
                  <w:r>
                    <w:rPr>
                      <w:rFonts w:ascii="Times New Roman" w:hAnsi="Times New Roman"/>
                      <w:color w:val="000000" w:themeColor="text1"/>
                      <w:szCs w:val="21"/>
                      <w14:textFill>
                        <w14:solidFill>
                          <w14:schemeClr w14:val="tx1"/>
                        </w14:solidFill>
                      </w14:textFill>
                    </w:rPr>
                    <w:t>周边</w:t>
                  </w:r>
                  <w:r>
                    <w:rPr>
                      <w:rFonts w:hint="eastAsia" w:ascii="Times New Roman" w:hAnsi="Times New Roman"/>
                      <w:color w:val="000000" w:themeColor="text1"/>
                      <w:szCs w:val="21"/>
                      <w14:textFill>
                        <w14:solidFill>
                          <w14:schemeClr w14:val="tx1"/>
                        </w14:solidFill>
                      </w14:textFill>
                    </w:rPr>
                    <w:t>菜地施肥，综合消纳</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rPr>
                    <w:t>雨水经沉淀池沉淀后排至项目东面的沾溪</w:t>
                  </w:r>
                </w:p>
              </w:tc>
              <w:tc>
                <w:tcPr>
                  <w:tcW w:w="3420" w:type="dxa"/>
                  <w:tcBorders>
                    <w:top w:val="single" w:color="000000" w:sz="6" w:space="0"/>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初期雨水收集</w:t>
                  </w:r>
                  <w:r>
                    <w:rPr>
                      <w:rFonts w:hint="eastAsia" w:ascii="Times New Roman" w:hAnsi="Times New Roman"/>
                      <w:color w:val="000000" w:themeColor="text1"/>
                      <w:kern w:val="0"/>
                      <w:szCs w:val="21"/>
                      <w14:textFill>
                        <w14:solidFill>
                          <w14:schemeClr w14:val="tx1"/>
                        </w14:solidFill>
                      </w14:textFill>
                    </w:rPr>
                    <w:t>至沉淀池</w:t>
                  </w:r>
                  <w:r>
                    <w:rPr>
                      <w:rFonts w:ascii="Times New Roman" w:hAnsi="Times New Roman"/>
                      <w:color w:val="000000" w:themeColor="text1"/>
                      <w:kern w:val="0"/>
                      <w:szCs w:val="21"/>
                      <w14:textFill>
                        <w14:solidFill>
                          <w14:schemeClr w14:val="tx1"/>
                        </w14:solidFill>
                      </w14:textFill>
                    </w:rPr>
                    <w:t>沉淀后</w:t>
                  </w:r>
                  <w:r>
                    <w:rPr>
                      <w:rFonts w:hint="eastAsia" w:ascii="Times New Roman" w:hAnsi="Times New Roman"/>
                      <w:color w:val="000000" w:themeColor="text1"/>
                      <w:kern w:val="0"/>
                      <w:szCs w:val="21"/>
                      <w14:textFill>
                        <w14:solidFill>
                          <w14:schemeClr w14:val="tx1"/>
                        </w14:solidFill>
                      </w14:textFill>
                    </w:rPr>
                    <w:t>（容积</w:t>
                  </w:r>
                  <w:r>
                    <w:rPr>
                      <w:rFonts w:ascii="Times New Roman" w:hAnsi="Times New Roman"/>
                      <w:color w:val="000000" w:themeColor="text1"/>
                      <w:kern w:val="0"/>
                      <w:szCs w:val="21"/>
                      <w14:textFill>
                        <w14:solidFill>
                          <w14:schemeClr w14:val="tx1"/>
                        </w14:solidFill>
                      </w14:textFill>
                    </w:rPr>
                    <w:t>200</w:t>
                  </w:r>
                  <w:r>
                    <w:rPr>
                      <w:rFonts w:hint="eastAsia"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用于项目降尘</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rPr>
                  </w:pPr>
                  <w:r>
                    <w:rPr>
                      <w:rFonts w:ascii="Times New Roman" w:hAnsi="Times New Roman"/>
                      <w:color w:val="000000" w:themeColor="text1"/>
                      <w:szCs w:val="21"/>
                      <w14:textFill>
                        <w14:solidFill>
                          <w14:schemeClr w14:val="tx1"/>
                        </w14:solidFill>
                      </w14:textFill>
                    </w:rPr>
                    <w:t>搅拌机清洗废水经沉淀后用于制砖搅拌用水</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rPr>
                    <w:t>本项目暂未设置喷淋式除尘器</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喷淋水经沉淀处理后，循环使用</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rPr>
                  </w:pPr>
                  <w:r>
                    <w:rPr>
                      <w:rFonts w:hint="eastAsia" w:ascii="Times New Roman" w:hAnsi="Times New Roman"/>
                    </w:rPr>
                    <w:t>水膜除尘废水沉淀后，循环使用</w:t>
                  </w:r>
                </w:p>
              </w:tc>
              <w:tc>
                <w:tcPr>
                  <w:tcW w:w="3420" w:type="dxa"/>
                  <w:tcBorders>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kern w:val="0"/>
                      <w:szCs w:val="21"/>
                      <w:u w:val="single"/>
                      <w14:textFill>
                        <w14:solidFill>
                          <w14:schemeClr w14:val="tx1"/>
                        </w14:solidFill>
                      </w14:textFill>
                    </w:rPr>
                  </w:pPr>
                  <w:r>
                    <w:rPr>
                      <w:rFonts w:ascii="Times New Roman" w:hAnsi="Times New Roman"/>
                      <w:color w:val="000000" w:themeColor="text1"/>
                      <w:kern w:val="0"/>
                      <w:szCs w:val="21"/>
                      <w:u w:val="single"/>
                      <w14:textFill>
                        <w14:solidFill>
                          <w14:schemeClr w14:val="tx1"/>
                        </w14:solidFill>
                      </w14:textFill>
                    </w:rPr>
                    <w:t>脱硫废水加入石灰水沉淀后循环使用，定期补充烧碱和水</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废气治理</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采矿粉尘</w:t>
                  </w:r>
                  <w:r>
                    <w:rPr>
                      <w:rFonts w:ascii="Times New Roman" w:hAnsi="Times New Roman"/>
                    </w:rPr>
                    <w:t>采用喷洒水淋系统除尘</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现有工程无碎石生产工序的破碎筛分粉尘</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heme="minorEastAsia"/>
                      <w:u w:val="single"/>
                    </w:rPr>
                    <w:t>破碎筛分粉尘经水雾喷淋装置降尘</w:t>
                  </w:r>
                  <w:r>
                    <w:rPr>
                      <w:rFonts w:ascii="Times New Roman" w:hAnsiTheme="minorEastAsia"/>
                      <w:u w:val="single"/>
                    </w:rPr>
                    <w:t>处理后</w:t>
                  </w:r>
                  <w:r>
                    <w:rPr>
                      <w:rFonts w:hint="eastAsia" w:ascii="Times New Roman" w:hAnsiTheme="minorEastAsia"/>
                      <w:u w:val="single"/>
                    </w:rPr>
                    <w:t>，无组织排放；采用湿法破碎，并在封闭的室内作业</w:t>
                  </w:r>
                  <w:r>
                    <w:rPr>
                      <w:rFonts w:hint="eastAsia" w:ascii="Times New Roman" w:hAnsi="Times New Roman"/>
                      <w:color w:val="000000" w:themeColor="text1"/>
                      <w:szCs w:val="21"/>
                      <w:u w:val="single"/>
                      <w14:textFill>
                        <w14:solidFill>
                          <w14:schemeClr w14:val="tx1"/>
                        </w14:solidFill>
                      </w14:textFill>
                    </w:rPr>
                    <w:t>，且</w:t>
                  </w:r>
                  <w:r>
                    <w:rPr>
                      <w:rFonts w:ascii="Times New Roman" w:hAnsi="Times New Roman"/>
                      <w:color w:val="000000" w:themeColor="text1"/>
                      <w:szCs w:val="21"/>
                      <w:u w:val="single"/>
                      <w14:textFill>
                        <w14:solidFill>
                          <w14:schemeClr w14:val="tx1"/>
                        </w14:solidFill>
                      </w14:textFill>
                    </w:rPr>
                    <w:t>皮带输送过程采用全封闭廊道配套自动洒水降尘处理</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页岩砖生产工序的破碎搅拌粉尘</w:t>
                  </w:r>
                  <w:r>
                    <w:rPr>
                      <w:rFonts w:ascii="Times New Roman" w:hAnsi="Times New Roman"/>
                    </w:rPr>
                    <w:t>釆用袋式除尘器除尘后</w:t>
                  </w:r>
                  <w:r>
                    <w:rPr>
                      <w:rFonts w:hint="eastAsia" w:ascii="Times New Roman" w:hAnsi="Times New Roman"/>
                    </w:rPr>
                    <w:t>，</w:t>
                  </w:r>
                  <w:r>
                    <w:rPr>
                      <w:rFonts w:ascii="Times New Roman" w:hAnsi="Times New Roman"/>
                    </w:rPr>
                    <w:t>通过15m高的排气筒外排</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heme="minorEastAsia"/>
                      <w:u w:val="single"/>
                    </w:rPr>
                  </w:pPr>
                  <w:r>
                    <w:rPr>
                      <w:rFonts w:hint="eastAsia" w:ascii="Times New Roman" w:hAnsi="Times New Roman"/>
                      <w:color w:val="000000" w:themeColor="text1"/>
                      <w:szCs w:val="21"/>
                      <w:u w:val="single"/>
                      <w14:textFill>
                        <w14:solidFill>
                          <w14:schemeClr w14:val="tx1"/>
                        </w14:solidFill>
                      </w14:textFill>
                    </w:rPr>
                    <w:t>页岩砖生产工序的破碎搅拌粉尘</w:t>
                  </w:r>
                  <w:r>
                    <w:rPr>
                      <w:rFonts w:hint="eastAsia" w:ascii="Times New Roman" w:hAnsiTheme="minorEastAsia"/>
                      <w:u w:val="single"/>
                    </w:rPr>
                    <w:t>经水雾喷淋装置降尘</w:t>
                  </w:r>
                  <w:r>
                    <w:rPr>
                      <w:rFonts w:ascii="Times New Roman" w:hAnsiTheme="minorEastAsia"/>
                      <w:u w:val="single"/>
                    </w:rPr>
                    <w:t>处理后</w:t>
                  </w:r>
                  <w:r>
                    <w:rPr>
                      <w:rFonts w:hint="eastAsia" w:ascii="Times New Roman" w:hAnsiTheme="minorEastAsia"/>
                      <w:u w:val="single"/>
                    </w:rPr>
                    <w:t>，无组织排放</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窑炉废气</w:t>
                  </w:r>
                  <w:r>
                    <w:rPr>
                      <w:rFonts w:hint="eastAsia" w:ascii="Times New Roman" w:hAnsi="Times New Roman"/>
                    </w:rPr>
                    <w:t>由两套水膜除尘设施处理后，分别通过两根烟囱（8</w:t>
                  </w:r>
                  <w:r>
                    <w:rPr>
                      <w:rFonts w:ascii="Times New Roman" w:hAnsi="Times New Roman"/>
                    </w:rPr>
                    <w:t>5</w:t>
                  </w:r>
                  <w:r>
                    <w:rPr>
                      <w:rFonts w:hint="eastAsia" w:ascii="Times New Roman" w:hAnsi="Times New Roman"/>
                    </w:rPr>
                    <w:t>m、6</w:t>
                  </w:r>
                  <w:r>
                    <w:rPr>
                      <w:rFonts w:ascii="Times New Roman" w:hAnsi="Times New Roman"/>
                    </w:rPr>
                    <w:t>5</w:t>
                  </w:r>
                  <w:r>
                    <w:rPr>
                      <w:rFonts w:hint="eastAsia" w:ascii="Times New Roman" w:hAnsi="Times New Roman"/>
                    </w:rPr>
                    <w:t>m）高空排放</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窑炉废气</w:t>
                  </w:r>
                  <w:r>
                    <w:rPr>
                      <w:rFonts w:hint="eastAsia" w:ascii="Times New Roman" w:hAnsi="Times New Roman"/>
                      <w:color w:val="000000" w:themeColor="text1"/>
                      <w:kern w:val="0"/>
                      <w:szCs w:val="21"/>
                      <w14:textFill>
                        <w14:solidFill>
                          <w14:schemeClr w14:val="tx1"/>
                        </w14:solidFill>
                      </w14:textFill>
                    </w:rPr>
                    <w:t>经</w:t>
                  </w:r>
                  <w:r>
                    <w:rPr>
                      <w:rFonts w:ascii="Times New Roman" w:hAnsi="Times New Roman"/>
                      <w:color w:val="000000" w:themeColor="text1"/>
                      <w:kern w:val="0"/>
                      <w:szCs w:val="21"/>
                      <w14:textFill>
                        <w14:solidFill>
                          <w14:schemeClr w14:val="tx1"/>
                        </w14:solidFill>
                      </w14:textFill>
                    </w:rPr>
                    <w:t>一套双碱湿法脱硫除尘系统</w:t>
                  </w:r>
                  <w:r>
                    <w:rPr>
                      <w:rFonts w:hint="eastAsia" w:ascii="Times New Roman" w:hAnsi="Times New Roman"/>
                      <w:color w:val="000000" w:themeColor="text1"/>
                      <w:kern w:val="0"/>
                      <w:szCs w:val="21"/>
                      <w14:textFill>
                        <w14:solidFill>
                          <w14:schemeClr w14:val="tx1"/>
                        </w14:solidFill>
                      </w14:textFill>
                    </w:rPr>
                    <w:t>处理后，</w:t>
                  </w:r>
                  <w:r>
                    <w:rPr>
                      <w:rFonts w:ascii="Times New Roman" w:hAnsi="Times New Roman"/>
                      <w:color w:val="000000" w:themeColor="text1"/>
                      <w:kern w:val="0"/>
                      <w:szCs w:val="21"/>
                      <w14:textFill>
                        <w14:solidFill>
                          <w14:schemeClr w14:val="tx1"/>
                        </w14:solidFill>
                      </w14:textFill>
                    </w:rPr>
                    <w:t>通过一根65米高的</w:t>
                  </w:r>
                  <w:r>
                    <w:rPr>
                      <w:rFonts w:hint="eastAsia" w:ascii="Times New Roman" w:hAnsi="Times New Roman"/>
                      <w:color w:val="000000" w:themeColor="text1"/>
                      <w:kern w:val="0"/>
                      <w:szCs w:val="21"/>
                      <w14:textFill>
                        <w14:solidFill>
                          <w14:schemeClr w14:val="tx1"/>
                        </w14:solidFill>
                      </w14:textFill>
                    </w:rPr>
                    <w:t>烟囱</w:t>
                  </w:r>
                  <w:r>
                    <w:rPr>
                      <w:rFonts w:ascii="Times New Roman" w:hAnsi="Times New Roman"/>
                      <w:color w:val="000000" w:themeColor="text1"/>
                      <w:kern w:val="0"/>
                      <w:szCs w:val="21"/>
                      <w14:textFill>
                        <w14:solidFill>
                          <w14:schemeClr w14:val="tx1"/>
                        </w14:solidFill>
                      </w14:textFill>
                    </w:rPr>
                    <w:t>有组织排放</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堆场为半封闭式，堆场粉尘通过洒水降尘处理</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运输扬尘通过对道路硬化，定期对道路进行清扫及洒水抑尘处理</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食堂油烟废气</w:t>
                  </w:r>
                  <w:r>
                    <w:rPr>
                      <w:rFonts w:ascii="Times New Roman" w:hAnsiTheme="minorEastAsia"/>
                    </w:rPr>
                    <w:t>经油烟净化器处理</w:t>
                  </w:r>
                  <w:r>
                    <w:rPr>
                      <w:rFonts w:hint="eastAsia" w:ascii="Times New Roman" w:hAnsiTheme="minorEastAsia"/>
                    </w:rPr>
                    <w:t>后高于屋顶排放，不侧排</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szCs w:val="21"/>
                    </w:rPr>
                  </w:pPr>
                  <w:r>
                    <w:rPr>
                      <w:rFonts w:hint="eastAsia" w:ascii="Times New Roman" w:hAnsi="Times New Roman"/>
                      <w:szCs w:val="21"/>
                    </w:rPr>
                    <w:t>窑炉尾气在线监控</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szCs w:val="21"/>
                    </w:rPr>
                  </w:pPr>
                  <w:r>
                    <w:rPr>
                      <w:rFonts w:hint="eastAsia" w:ascii="Times New Roman" w:hAnsi="Times New Roman"/>
                      <w:szCs w:val="21"/>
                    </w:rPr>
                    <w:t>无</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szCs w:val="21"/>
                    </w:rPr>
                  </w:pPr>
                  <w:r>
                    <w:rPr>
                      <w:rFonts w:hint="eastAsia" w:ascii="Times New Roman" w:hAnsi="Times New Roman"/>
                      <w:szCs w:val="21"/>
                    </w:rPr>
                    <w:t>新建</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3255"/>
                    </w:tabs>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噪声治理</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3255"/>
                    </w:tabs>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zh-CN"/>
                      <w14:textFill>
                        <w14:solidFill>
                          <w14:schemeClr w14:val="tx1"/>
                        </w14:solidFill>
                      </w14:textFill>
                    </w:rPr>
                    <w:t>采用低噪声设备，</w:t>
                  </w:r>
                  <w:r>
                    <w:rPr>
                      <w:rFonts w:ascii="Times New Roman" w:hAnsi="Times New Roman"/>
                      <w:color w:val="000000" w:themeColor="text1"/>
                      <w:szCs w:val="21"/>
                      <w14:textFill>
                        <w14:solidFill>
                          <w14:schemeClr w14:val="tx1"/>
                        </w14:solidFill>
                      </w14:textFill>
                    </w:rPr>
                    <w:t>采取减振、隔声等措施</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tabs>
                      <w:tab w:val="left" w:pos="3255"/>
                    </w:tabs>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依托现有工程</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restart"/>
                  <w:tcBorders>
                    <w:top w:val="single" w:color="000000" w:sz="6" w:space="0"/>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固废处理</w:t>
                  </w: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生活垃圾交由环卫部门处理</w:t>
                  </w:r>
                </w:p>
              </w:tc>
              <w:tc>
                <w:tcPr>
                  <w:tcW w:w="3420" w:type="dxa"/>
                  <w:tcBorders>
                    <w:top w:val="single" w:color="000000" w:sz="6" w:space="0"/>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生活垃圾交由环卫部门</w:t>
                  </w:r>
                  <w:r>
                    <w:rPr>
                      <w:rFonts w:hint="eastAsia" w:ascii="Times New Roman" w:hAnsi="Times New Roman"/>
                      <w:color w:val="000000" w:themeColor="text1"/>
                      <w:szCs w:val="21"/>
                      <w14:textFill>
                        <w14:solidFill>
                          <w14:schemeClr w14:val="tx1"/>
                        </w14:solidFill>
                      </w14:textFill>
                    </w:rPr>
                    <w:t>统一清运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vMerge w:val="restart"/>
                  <w:tcBorders>
                    <w:top w:val="single" w:color="000000" w:sz="6" w:space="0"/>
                    <w:left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ascii="Times New Roman" w:hAnsi="Times New Roman"/>
                    </w:rPr>
                    <w:t>沉淀池过滤的沉淀物可用于项目页岩砖的生产原料</w:t>
                  </w:r>
                </w:p>
              </w:tc>
              <w:tc>
                <w:tcPr>
                  <w:tcW w:w="3420" w:type="dxa"/>
                  <w:tcBorders>
                    <w:top w:val="single" w:color="000000" w:sz="6" w:space="0"/>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初期雨水及搅拌清洗废水的沉淀池沉渣定期清理，回用于厂区制砖</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vMerge w:val="continue"/>
                  <w:tcBorders>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p>
              </w:tc>
              <w:tc>
                <w:tcPr>
                  <w:tcW w:w="3420" w:type="dxa"/>
                  <w:tcBorders>
                    <w:top w:val="single" w:color="000000" w:sz="6" w:space="0"/>
                    <w:left w:val="single" w:color="000000" w:sz="6" w:space="0"/>
                    <w:right w:val="single" w:color="000000" w:sz="12" w:space="0"/>
                  </w:tcBorders>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bCs/>
                      <w:color w:val="000000" w:themeColor="text1"/>
                      <w:szCs w:val="21"/>
                      <w:u w:val="single"/>
                      <w14:textFill>
                        <w14:solidFill>
                          <w14:schemeClr w14:val="tx1"/>
                        </w14:solidFill>
                      </w14:textFill>
                    </w:rPr>
                    <w:t>脱硫废水沉渣</w:t>
                  </w:r>
                  <w:r>
                    <w:rPr>
                      <w:rFonts w:ascii="Times New Roman" w:hAnsi="Times New Roman"/>
                      <w:color w:val="000000" w:themeColor="text1"/>
                      <w:kern w:val="0"/>
                      <w:szCs w:val="21"/>
                      <w:u w:val="single"/>
                      <w14:textFill>
                        <w14:solidFill>
                          <w14:schemeClr w14:val="tx1"/>
                        </w14:solidFill>
                      </w14:textFill>
                    </w:rPr>
                    <w:t>集中储存在浓缩池中，并定期清理干化处理</w:t>
                  </w:r>
                  <w:r>
                    <w:rPr>
                      <w:rFonts w:hint="eastAsia" w:ascii="Times New Roman" w:hAnsi="Times New Roman"/>
                      <w:color w:val="000000" w:themeColor="text1"/>
                      <w:kern w:val="0"/>
                      <w:szCs w:val="21"/>
                      <w:u w:val="single"/>
                      <w14:textFill>
                        <w14:solidFill>
                          <w14:schemeClr w14:val="tx1"/>
                        </w14:solidFill>
                      </w14:textFill>
                    </w:rPr>
                    <w:t>作为原料外售给水泥厂</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ascii="Times New Roman" w:hAnsi="Times New Roman"/>
                    </w:rPr>
                    <w:t>不合格的产品外售综合利用</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不合格产品回用于</w:t>
                  </w:r>
                  <w:r>
                    <w:rPr>
                      <w:rFonts w:hint="eastAsia" w:ascii="Times New Roman" w:hAnsi="Times New Roman"/>
                      <w:color w:val="000000" w:themeColor="text1"/>
                      <w:kern w:val="0"/>
                      <w:szCs w:val="21"/>
                      <w14:textFill>
                        <w14:solidFill>
                          <w14:schemeClr w14:val="tx1"/>
                        </w14:solidFill>
                      </w14:textFill>
                    </w:rPr>
                    <w:t>生产碎石</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vMerge w:val="restart"/>
                  <w:tcBorders>
                    <w:top w:val="single" w:color="000000" w:sz="6" w:space="0"/>
                    <w:left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ascii="Times New Roman" w:hAnsi="Times New Roman"/>
                      <w:color w:val="000000" w:themeColor="text1"/>
                      <w:kern w:val="0"/>
                      <w:szCs w:val="21"/>
                      <w14:textFill>
                        <w14:solidFill>
                          <w14:schemeClr w14:val="tx1"/>
                        </w14:solidFill>
                      </w14:textFill>
                    </w:rPr>
                    <w:t>采矿固废部分剥土用作复垦土源</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剥土运至排土场用作复垦土源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vMerge w:val="continue"/>
                  <w:tcBorders>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color w:val="000000" w:themeColor="text1"/>
                      <w:kern w:val="0"/>
                      <w:szCs w:val="21"/>
                      <w14:textFill>
                        <w14:solidFill>
                          <w14:schemeClr w14:val="tx1"/>
                        </w14:solidFill>
                      </w14:textFill>
                    </w:rPr>
                  </w:pP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剥离的废石用于</w:t>
                  </w:r>
                  <w:r>
                    <w:rPr>
                      <w:rFonts w:hint="eastAsia" w:ascii="Times New Roman" w:hAnsi="Times New Roman"/>
                      <w:color w:val="000000" w:themeColor="text1"/>
                      <w:kern w:val="0"/>
                      <w:szCs w:val="21"/>
                      <w14:textFill>
                        <w14:solidFill>
                          <w14:schemeClr w14:val="tx1"/>
                        </w14:solidFill>
                      </w14:textFill>
                    </w:rPr>
                    <w:t>生产碎石</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ascii="Times New Roman" w:hAnsi="Times New Roman"/>
                      <w:color w:val="000000" w:themeColor="text1"/>
                      <w:kern w:val="0"/>
                      <w:szCs w:val="21"/>
                      <w14:textFill>
                        <w14:solidFill>
                          <w14:schemeClr w14:val="tx1"/>
                        </w14:solidFill>
                      </w14:textFill>
                    </w:rPr>
                    <w:t>表层剥离的杂草、树木外卖</w:t>
                  </w:r>
                </w:p>
              </w:tc>
              <w:tc>
                <w:tcPr>
                  <w:tcW w:w="3420" w:type="dxa"/>
                  <w:tcBorders>
                    <w:left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表层剥离的杂草、树木外卖</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vMerge w:val="continue"/>
                  <w:tcBorders>
                    <w:left w:val="single" w:color="000000" w:sz="12"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1097" w:type="dxa"/>
                  <w:vMerge w:val="continue"/>
                  <w:tcBorders>
                    <w:left w:val="single" w:color="000000" w:sz="6" w:space="0"/>
                    <w:bottom w:val="single" w:color="000000" w:sz="6"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3191"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napToGrid w:val="0"/>
                    <w:jc w:val="center"/>
                    <w:rPr>
                      <w:rFonts w:ascii="Times New Roman" w:hAnsi="Times New Roman"/>
                    </w:rPr>
                  </w:pPr>
                  <w:r>
                    <w:rPr>
                      <w:rFonts w:ascii="Times New Roman" w:hAnsi="Times New Roman"/>
                      <w:color w:val="000000" w:themeColor="text1"/>
                      <w:kern w:val="0"/>
                      <w:szCs w:val="21"/>
                      <w14:textFill>
                        <w14:solidFill>
                          <w14:schemeClr w14:val="tx1"/>
                        </w14:solidFill>
                      </w14:textFill>
                    </w:rPr>
                    <w:t>各类机械设备维修产生的废油和含油抹布用密闭容器进行收集，送专业回收公司</w:t>
                  </w:r>
                </w:p>
              </w:tc>
              <w:tc>
                <w:tcPr>
                  <w:tcW w:w="3420" w:type="dxa"/>
                  <w:tcBorders>
                    <w:left w:val="single" w:color="000000" w:sz="6" w:space="0"/>
                    <w:bottom w:val="single" w:color="000000" w:sz="6"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w:t>
                  </w:r>
                  <w:r>
                    <w:rPr>
                      <w:rFonts w:hint="eastAsia" w:ascii="Times New Roman" w:hAnsi="Times New Roman"/>
                      <w:color w:val="000000" w:themeColor="text1"/>
                      <w:szCs w:val="21"/>
                      <w14:textFill>
                        <w14:solidFill>
                          <w14:schemeClr w14:val="tx1"/>
                        </w14:solidFill>
                      </w14:textFill>
                    </w:rPr>
                    <w:t>润滑</w:t>
                  </w:r>
                  <w:r>
                    <w:rPr>
                      <w:rFonts w:ascii="Times New Roman" w:hAnsi="Times New Roman"/>
                      <w:color w:val="000000" w:themeColor="text1"/>
                      <w:szCs w:val="21"/>
                      <w14:textFill>
                        <w14:solidFill>
                          <w14:schemeClr w14:val="tx1"/>
                        </w14:solidFill>
                      </w14:textFill>
                    </w:rPr>
                    <w:t>油暂存于厂内危废暂存间，</w:t>
                  </w:r>
                  <w:r>
                    <w:rPr>
                      <w:rFonts w:hint="eastAsia" w:ascii="Times New Roman" w:hAnsi="Times New Roman"/>
                      <w:color w:val="000000" w:themeColor="text1"/>
                      <w:szCs w:val="21"/>
                      <w14:textFill>
                        <w14:solidFill>
                          <w14:schemeClr w14:val="tx1"/>
                        </w14:solidFill>
                      </w14:textFill>
                    </w:rPr>
                    <w:t>定期</w:t>
                  </w:r>
                  <w:r>
                    <w:rPr>
                      <w:rFonts w:ascii="Times New Roman" w:hAnsi="Times New Roman"/>
                      <w:color w:val="000000" w:themeColor="text1"/>
                      <w:szCs w:val="21"/>
                      <w14:textFill>
                        <w14:solidFill>
                          <w14:schemeClr w14:val="tx1"/>
                        </w14:solidFill>
                      </w14:textFill>
                    </w:rPr>
                    <w:t>交由有资质单位</w:t>
                  </w:r>
                  <w:r>
                    <w:rPr>
                      <w:rFonts w:hint="eastAsia" w:ascii="Times New Roman" w:hAnsi="Times New Roman"/>
                      <w:color w:val="000000" w:themeColor="text1"/>
                      <w:szCs w:val="21"/>
                      <w14:textFill>
                        <w14:solidFill>
                          <w14:schemeClr w14:val="tx1"/>
                        </w14:solidFill>
                      </w14:textFill>
                    </w:rPr>
                    <w:t>处置</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6" w:type="dxa"/>
                  <w:tcBorders>
                    <w:top w:val="single" w:color="000000" w:sz="6" w:space="0"/>
                    <w:left w:val="single" w:color="000000" w:sz="12" w:space="0"/>
                    <w:bottom w:val="single" w:color="000000" w:sz="12" w:space="0"/>
                    <w:right w:val="single" w:color="000000" w:sz="6"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依托工程</w:t>
                  </w:r>
                </w:p>
              </w:tc>
              <w:tc>
                <w:tcPr>
                  <w:tcW w:w="1097" w:type="dxa"/>
                  <w:tcBorders>
                    <w:top w:val="single" w:color="000000" w:sz="6" w:space="0"/>
                    <w:left w:val="single" w:color="000000" w:sz="6" w:space="0"/>
                    <w:bottom w:val="single" w:color="000000" w:sz="12" w:space="0"/>
                    <w:right w:val="single" w:color="000000"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益阳市垃圾焚烧发电厂</w:t>
                  </w:r>
                </w:p>
              </w:tc>
              <w:tc>
                <w:tcPr>
                  <w:tcW w:w="6611" w:type="dxa"/>
                  <w:gridSpan w:val="2"/>
                  <w:tcBorders>
                    <w:top w:val="single" w:color="000000" w:sz="6" w:space="0"/>
                    <w:left w:val="single" w:color="000000" w:sz="6" w:space="0"/>
                    <w:bottom w:val="single" w:color="000000" w:sz="12" w:space="0"/>
                    <w:right w:val="single" w:color="000000" w:sz="12" w:space="0"/>
                  </w:tcBorders>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szCs w:val="21"/>
                    </w:rPr>
                    <w:t>益阳市城市生活垃圾焚烧发电厂项目位于益阳市谢林港镇青山村，总占地面积60000m</w:t>
                  </w:r>
                  <w:r>
                    <w:rPr>
                      <w:rFonts w:hint="eastAsia" w:ascii="Times New Roman" w:hAnsi="Times New Roman"/>
                      <w:szCs w:val="21"/>
                      <w:vertAlign w:val="superscript"/>
                    </w:rPr>
                    <w:t>2</w:t>
                  </w:r>
                  <w:r>
                    <w:rPr>
                      <w:rFonts w:hint="eastAsia" w:ascii="Times New Roman" w:hAnsi="Times New Roman"/>
                      <w:szCs w:val="21"/>
                    </w:rPr>
                    <w:t>，处理规模为垃圾进厂量800t/d(365d/a)、垃圾入炉量700t/d(333d/a)，采用机械炉排炉焚烧工艺，服务范围为益阳市主城区及其周边部分乡镇和东部新区</w:t>
                  </w:r>
                </w:p>
              </w:tc>
            </w:tr>
          </w:tbl>
          <w:p>
            <w:pPr>
              <w:kinsoku w:val="0"/>
              <w:overflowPunct w:val="0"/>
              <w:spacing w:line="360" w:lineRule="auto"/>
              <w:textAlignment w:val="baseline"/>
              <w:rPr>
                <w:rFonts w:ascii="Times New Roman" w:hAnsi="Times New Roman"/>
                <w:b/>
                <w:spacing w:val="8"/>
                <w:sz w:val="24"/>
                <w:szCs w:val="24"/>
              </w:rPr>
            </w:pPr>
            <w:bookmarkStart w:id="8" w:name="_Toc319845219"/>
            <w:bookmarkStart w:id="9" w:name="_Toc367620155"/>
            <w:r>
              <w:rPr>
                <w:rFonts w:hint="eastAsia" w:ascii="Times New Roman" w:hAnsi="Times New Roman"/>
                <w:b/>
                <w:spacing w:val="8"/>
                <w:sz w:val="24"/>
                <w:szCs w:val="24"/>
              </w:rPr>
              <w:t>4</w:t>
            </w:r>
            <w:r>
              <w:rPr>
                <w:rFonts w:ascii="Times New Roman" w:hAnsi="Times New Roman"/>
                <w:b/>
                <w:spacing w:val="8"/>
                <w:sz w:val="24"/>
                <w:szCs w:val="24"/>
              </w:rPr>
              <w:t xml:space="preserve"> 生产规模</w:t>
            </w:r>
          </w:p>
          <w:p>
            <w:pPr>
              <w:kinsoku w:val="0"/>
              <w:overflowPunct w:val="0"/>
              <w:spacing w:line="360" w:lineRule="auto"/>
              <w:textAlignment w:val="baseline"/>
              <w:rPr>
                <w:rFonts w:ascii="Times New Roman" w:hAnsi="Times New Roman"/>
                <w:b/>
                <w:spacing w:val="8"/>
                <w:sz w:val="24"/>
                <w:szCs w:val="24"/>
              </w:rPr>
            </w:pPr>
          </w:p>
          <w:p>
            <w:pPr>
              <w:kinsoku w:val="0"/>
              <w:overflowPunct w:val="0"/>
              <w:spacing w:line="360" w:lineRule="auto"/>
              <w:textAlignment w:val="baseline"/>
              <w:rPr>
                <w:rFonts w:ascii="Times New Roman" w:hAnsi="Times New Roman"/>
                <w:b/>
                <w:spacing w:val="8"/>
                <w:sz w:val="24"/>
                <w:szCs w:val="24"/>
              </w:rPr>
            </w:pPr>
          </w:p>
          <w:p>
            <w:pPr>
              <w:kinsoku w:val="0"/>
              <w:overflowPunct w:val="0"/>
              <w:spacing w:line="360" w:lineRule="auto"/>
              <w:textAlignment w:val="baseline"/>
              <w:rPr>
                <w:rFonts w:ascii="Times New Roman" w:hAnsi="Times New Roman"/>
                <w:b/>
                <w:spacing w:val="8"/>
                <w:sz w:val="24"/>
                <w:szCs w:val="24"/>
              </w:rPr>
            </w:pPr>
          </w:p>
          <w:p>
            <w:pPr>
              <w:tabs>
                <w:tab w:val="left" w:pos="5000"/>
              </w:tabs>
              <w:kinsoku w:val="0"/>
              <w:overflowPunct w:val="0"/>
              <w:spacing w:line="360" w:lineRule="auto"/>
              <w:jc w:val="center"/>
              <w:rPr>
                <w:rFonts w:ascii="Times New Roman" w:hAnsi="Times New Roman"/>
                <w:b/>
                <w:sz w:val="24"/>
              </w:rPr>
            </w:pPr>
            <w:r>
              <w:rPr>
                <w:rFonts w:hint="eastAsia" w:ascii="Times New Roman" w:hAnsi="Times New Roman"/>
                <w:b/>
                <w:sz w:val="24"/>
              </w:rPr>
              <w:t xml:space="preserve">表1-2  </w:t>
            </w:r>
            <w:r>
              <w:rPr>
                <w:rFonts w:hint="eastAsia" w:ascii="Times New Roman" w:hAnsi="Times New Roman" w:cs="宋体"/>
                <w:b/>
                <w:color w:val="000000" w:themeColor="text1"/>
                <w:sz w:val="24"/>
                <w:szCs w:val="24"/>
                <w14:textFill>
                  <w14:solidFill>
                    <w14:schemeClr w14:val="tx1"/>
                  </w14:solidFill>
                </w14:textFill>
              </w:rPr>
              <w:t>项目主要产品名称及产量</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4"/>
              <w:gridCol w:w="1309"/>
              <w:gridCol w:w="1308"/>
              <w:gridCol w:w="727"/>
              <w:gridCol w:w="2472"/>
              <w:gridCol w:w="24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b/>
                      <w:color w:val="000000" w:themeColor="text1"/>
                      <w:szCs w:val="21"/>
                      <w14:textFill>
                        <w14:solidFill>
                          <w14:schemeClr w14:val="tx1"/>
                        </w14:solidFill>
                      </w14:textFill>
                    </w:rPr>
                  </w:pPr>
                  <w:r>
                    <w:rPr>
                      <w:rFonts w:hint="eastAsia" w:ascii="Times New Roman" w:hAnsi="Times New Roman" w:cs="宋体"/>
                      <w:b/>
                      <w:color w:val="000000" w:themeColor="text1"/>
                      <w:szCs w:val="21"/>
                      <w14:textFill>
                        <w14:solidFill>
                          <w14:schemeClr w14:val="tx1"/>
                        </w14:solidFill>
                      </w14:textFill>
                    </w:rPr>
                    <w:t>序号</w:t>
                  </w:r>
                </w:p>
              </w:tc>
              <w:tc>
                <w:tcPr>
                  <w:tcW w:w="1276" w:type="dxa"/>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主要产品</w:t>
                  </w:r>
                </w:p>
              </w:tc>
              <w:tc>
                <w:tcPr>
                  <w:tcW w:w="1275" w:type="dxa"/>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项目年产量</w:t>
                  </w:r>
                </w:p>
              </w:tc>
              <w:tc>
                <w:tcPr>
                  <w:tcW w:w="709" w:type="dxa"/>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单位</w:t>
                  </w:r>
                </w:p>
              </w:tc>
              <w:tc>
                <w:tcPr>
                  <w:tcW w:w="2410" w:type="dxa"/>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规格</w:t>
                  </w:r>
                </w:p>
              </w:tc>
              <w:tc>
                <w:tcPr>
                  <w:tcW w:w="2428" w:type="dxa"/>
                  <w:shd w:val="clear" w:color="auto" w:fill="auto"/>
                  <w:vAlign w:val="center"/>
                </w:tcPr>
                <w:p>
                  <w:pPr>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w:t>
                  </w:r>
                </w:p>
              </w:tc>
              <w:tc>
                <w:tcPr>
                  <w:tcW w:w="127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碎石</w:t>
                  </w:r>
                </w:p>
              </w:tc>
              <w:tc>
                <w:tcPr>
                  <w:tcW w:w="127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709"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万t/a</w:t>
                  </w:r>
                </w:p>
              </w:tc>
              <w:tc>
                <w:tcPr>
                  <w:tcW w:w="241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c>
                <w:tcPr>
                  <w:tcW w:w="2428" w:type="dxa"/>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利用废石、不合格产品以及外购的建筑垃圾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w:t>
                  </w:r>
                </w:p>
              </w:tc>
              <w:tc>
                <w:tcPr>
                  <w:tcW w:w="127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烧结页岩砖</w:t>
                  </w:r>
                </w:p>
              </w:tc>
              <w:tc>
                <w:tcPr>
                  <w:tcW w:w="127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6</w:t>
                  </w:r>
                  <w:r>
                    <w:rPr>
                      <w:rFonts w:ascii="Times New Roman" w:hAnsi="Times New Roman"/>
                      <w:color w:val="000000" w:themeColor="text1"/>
                      <w:szCs w:val="21"/>
                      <w14:textFill>
                        <w14:solidFill>
                          <w14:schemeClr w14:val="tx1"/>
                        </w14:solidFill>
                      </w14:textFill>
                    </w:rPr>
                    <w:t>000</w:t>
                  </w:r>
                </w:p>
              </w:tc>
              <w:tc>
                <w:tcPr>
                  <w:tcW w:w="709"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万块/a</w:t>
                  </w:r>
                </w:p>
              </w:tc>
              <w:tc>
                <w:tcPr>
                  <w:tcW w:w="241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bCs/>
                      <w:snapToGrid w:val="0"/>
                      <w:color w:val="000000" w:themeColor="text1"/>
                      <w:kern w:val="0"/>
                      <w:szCs w:val="21"/>
                      <w14:textFill>
                        <w14:solidFill>
                          <w14:schemeClr w14:val="tx1"/>
                        </w14:solidFill>
                      </w14:textFill>
                    </w:rPr>
                    <w:t>烧结页岩砖主要尺寸为=240mm×115mm×53mm</w:t>
                  </w:r>
                  <w:r>
                    <w:rPr>
                      <w:rFonts w:hint="eastAsia" w:ascii="Times New Roman" w:hAnsi="Times New Roman"/>
                      <w:bCs/>
                      <w:snapToGrid w:val="0"/>
                      <w:color w:val="000000" w:themeColor="text1"/>
                      <w:kern w:val="0"/>
                      <w:szCs w:val="21"/>
                      <w14:textFill>
                        <w14:solidFill>
                          <w14:schemeClr w14:val="tx1"/>
                        </w14:solidFill>
                      </w14:textFill>
                    </w:rPr>
                    <w:t>平均</w:t>
                  </w:r>
                  <w:r>
                    <w:rPr>
                      <w:rFonts w:ascii="Times New Roman" w:hAnsi="Times New Roman"/>
                      <w:bCs/>
                      <w:snapToGrid w:val="0"/>
                      <w:color w:val="000000" w:themeColor="text1"/>
                      <w:kern w:val="0"/>
                      <w:szCs w:val="21"/>
                      <w14:textFill>
                        <w14:solidFill>
                          <w14:schemeClr w14:val="tx1"/>
                        </w14:solidFill>
                      </w14:textFill>
                    </w:rPr>
                    <w:t>3</w:t>
                  </w:r>
                  <w:r>
                    <w:rPr>
                      <w:rFonts w:hint="eastAsia" w:ascii="Times New Roman" w:hAnsi="Times New Roman"/>
                      <w:bCs/>
                      <w:snapToGrid w:val="0"/>
                      <w:color w:val="000000" w:themeColor="text1"/>
                      <w:kern w:val="0"/>
                      <w:szCs w:val="21"/>
                      <w14:textFill>
                        <w14:solidFill>
                          <w14:schemeClr w14:val="tx1"/>
                        </w14:solidFill>
                      </w14:textFill>
                    </w:rPr>
                    <w:t>kg</w:t>
                  </w:r>
                  <w:r>
                    <w:rPr>
                      <w:rFonts w:ascii="Times New Roman" w:hAnsi="Times New Roman"/>
                      <w:bCs/>
                      <w:snapToGrid w:val="0"/>
                      <w:color w:val="000000" w:themeColor="text1"/>
                      <w:kern w:val="0"/>
                      <w:szCs w:val="21"/>
                      <w14:textFill>
                        <w14:solidFill>
                          <w14:schemeClr w14:val="tx1"/>
                        </w14:solidFill>
                      </w14:textFill>
                    </w:rPr>
                    <w:t>/</w:t>
                  </w:r>
                  <w:r>
                    <w:rPr>
                      <w:rFonts w:hint="eastAsia" w:ascii="Times New Roman" w:hAnsi="Times New Roman"/>
                      <w:bCs/>
                      <w:snapToGrid w:val="0"/>
                      <w:color w:val="000000" w:themeColor="text1"/>
                      <w:kern w:val="0"/>
                      <w:szCs w:val="21"/>
                      <w14:textFill>
                        <w14:solidFill>
                          <w14:schemeClr w14:val="tx1"/>
                        </w14:solidFill>
                      </w14:textFill>
                    </w:rPr>
                    <w:t>块，共约</w:t>
                  </w:r>
                  <w:r>
                    <w:rPr>
                      <w:rFonts w:ascii="Times New Roman" w:hAnsi="Times New Roman"/>
                      <w:bCs/>
                      <w:snapToGrid w:val="0"/>
                      <w:color w:val="000000" w:themeColor="text1"/>
                      <w:kern w:val="0"/>
                      <w:szCs w:val="21"/>
                      <w14:textFill>
                        <w14:solidFill>
                          <w14:schemeClr w14:val="tx1"/>
                        </w14:solidFill>
                      </w14:textFill>
                    </w:rPr>
                    <w:t>18</w:t>
                  </w:r>
                  <w:r>
                    <w:rPr>
                      <w:rFonts w:hint="eastAsia" w:ascii="Times New Roman" w:hAnsi="Times New Roman"/>
                      <w:bCs/>
                      <w:snapToGrid w:val="0"/>
                      <w:color w:val="000000" w:themeColor="text1"/>
                      <w:kern w:val="0"/>
                      <w:szCs w:val="21"/>
                      <w14:textFill>
                        <w14:solidFill>
                          <w14:schemeClr w14:val="tx1"/>
                        </w14:solidFill>
                      </w14:textFill>
                    </w:rPr>
                    <w:t>万t/a</w:t>
                  </w:r>
                </w:p>
              </w:tc>
              <w:tc>
                <w:tcPr>
                  <w:tcW w:w="2428" w:type="dxa"/>
                  <w:shd w:val="clear" w:color="auto" w:fill="auto"/>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在现有采矿区所提供的原料页岩基础上，外购其他合法来源的原料页岩补足</w:t>
                  </w:r>
                </w:p>
              </w:tc>
            </w:tr>
          </w:tbl>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5</w:t>
            </w:r>
            <w:r>
              <w:rPr>
                <w:rFonts w:ascii="Times New Roman" w:hAnsi="Times New Roman"/>
                <w:b/>
                <w:spacing w:val="8"/>
                <w:sz w:val="24"/>
                <w:szCs w:val="24"/>
              </w:rPr>
              <w:t xml:space="preserve"> 主要原辅材料</w:t>
            </w:r>
          </w:p>
          <w:p>
            <w:pPr>
              <w:tabs>
                <w:tab w:val="left" w:pos="5000"/>
              </w:tabs>
              <w:kinsoku w:val="0"/>
              <w:overflowPunct w:val="0"/>
              <w:spacing w:line="360" w:lineRule="auto"/>
              <w:ind w:firstLine="480" w:firstLineChars="200"/>
              <w:rPr>
                <w:rFonts w:ascii="Times New Roman" w:hAnsi="Times New Roman"/>
                <w:sz w:val="24"/>
              </w:rPr>
            </w:pPr>
            <w:r>
              <w:rPr>
                <w:rFonts w:ascii="Times New Roman" w:hAnsi="Times New Roman"/>
                <w:sz w:val="24"/>
              </w:rPr>
              <w:t>本项目主要原材料的年需用量见表1-</w:t>
            </w:r>
            <w:r>
              <w:rPr>
                <w:rFonts w:hint="eastAsia" w:ascii="Times New Roman" w:hAnsi="Times New Roman"/>
                <w:sz w:val="24"/>
              </w:rPr>
              <w:t>3</w:t>
            </w:r>
            <w:r>
              <w:rPr>
                <w:rFonts w:ascii="Times New Roman" w:hAnsi="Times New Roman"/>
                <w:sz w:val="24"/>
              </w:rPr>
              <w:t>。</w:t>
            </w:r>
          </w:p>
          <w:p>
            <w:pPr>
              <w:tabs>
                <w:tab w:val="left" w:pos="5000"/>
              </w:tabs>
              <w:kinsoku w:val="0"/>
              <w:overflowPunct w:val="0"/>
              <w:spacing w:line="360" w:lineRule="auto"/>
              <w:jc w:val="center"/>
              <w:rPr>
                <w:rFonts w:ascii="Times New Roman" w:hAnsi="Times New Roman"/>
                <w:b/>
                <w:sz w:val="24"/>
              </w:rPr>
            </w:pPr>
            <w:r>
              <w:rPr>
                <w:rFonts w:ascii="Times New Roman" w:hAnsi="Times New Roman"/>
                <w:b/>
                <w:sz w:val="24"/>
              </w:rPr>
              <w:t>表1-</w:t>
            </w:r>
            <w:r>
              <w:rPr>
                <w:rFonts w:hint="eastAsia" w:ascii="Times New Roman" w:hAnsi="Times New Roman"/>
                <w:b/>
                <w:sz w:val="24"/>
              </w:rPr>
              <w:t>3</w:t>
            </w:r>
            <w:r>
              <w:rPr>
                <w:rFonts w:ascii="Times New Roman" w:hAnsi="Times New Roman"/>
                <w:b/>
                <w:sz w:val="24"/>
              </w:rPr>
              <w:t xml:space="preserve">  项目主要原辅材料年用量表</w:t>
            </w:r>
          </w:p>
          <w:bookmarkEnd w:id="8"/>
          <w:bookmarkEnd w:id="9"/>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620"/>
              <w:gridCol w:w="1309"/>
              <w:gridCol w:w="872"/>
              <w:gridCol w:w="1163"/>
              <w:gridCol w:w="33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ascii="Times New Roman" w:hAnsi="Times New Roman"/>
                      <w:b/>
                      <w:bCs/>
                      <w:color w:val="000000" w:themeColor="text1"/>
                      <w:kern w:val="21"/>
                      <w:szCs w:val="21"/>
                      <w14:textFill>
                        <w14:solidFill>
                          <w14:schemeClr w14:val="tx1"/>
                        </w14:solidFill>
                      </w14:textFill>
                    </w:rPr>
                    <w:t>序号</w:t>
                  </w:r>
                </w:p>
              </w:tc>
              <w:tc>
                <w:tcPr>
                  <w:tcW w:w="1580"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hint="eastAsia" w:ascii="Times New Roman" w:hAnsi="Times New Roman"/>
                      <w:b/>
                      <w:bCs/>
                      <w:color w:val="000000" w:themeColor="text1"/>
                      <w:kern w:val="21"/>
                      <w:szCs w:val="21"/>
                      <w14:textFill>
                        <w14:solidFill>
                          <w14:schemeClr w14:val="tx1"/>
                        </w14:solidFill>
                      </w14:textFill>
                    </w:rPr>
                    <w:t>生产线</w:t>
                  </w:r>
                </w:p>
              </w:tc>
              <w:tc>
                <w:tcPr>
                  <w:tcW w:w="1276"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ascii="Times New Roman" w:hAnsi="Times New Roman"/>
                      <w:b/>
                      <w:bCs/>
                      <w:color w:val="000000" w:themeColor="text1"/>
                      <w:kern w:val="21"/>
                      <w:szCs w:val="21"/>
                      <w14:textFill>
                        <w14:solidFill>
                          <w14:schemeClr w14:val="tx1"/>
                        </w14:solidFill>
                      </w14:textFill>
                    </w:rPr>
                    <w:t>原辅料名称</w:t>
                  </w:r>
                </w:p>
              </w:tc>
              <w:tc>
                <w:tcPr>
                  <w:tcW w:w="850"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ascii="Times New Roman" w:hAnsi="Times New Roman"/>
                      <w:b/>
                      <w:bCs/>
                      <w:color w:val="000000" w:themeColor="text1"/>
                      <w:kern w:val="21"/>
                      <w:szCs w:val="21"/>
                      <w14:textFill>
                        <w14:solidFill>
                          <w14:schemeClr w14:val="tx1"/>
                        </w14:solidFill>
                      </w14:textFill>
                    </w:rPr>
                    <w:t>单位</w:t>
                  </w:r>
                </w:p>
              </w:tc>
              <w:tc>
                <w:tcPr>
                  <w:tcW w:w="1134"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ascii="Times New Roman" w:hAnsi="Times New Roman"/>
                      <w:b/>
                      <w:bCs/>
                      <w:color w:val="000000" w:themeColor="text1"/>
                      <w:kern w:val="21"/>
                      <w:szCs w:val="21"/>
                      <w14:textFill>
                        <w14:solidFill>
                          <w14:schemeClr w14:val="tx1"/>
                        </w14:solidFill>
                      </w14:textFill>
                    </w:rPr>
                    <w:t>数量</w:t>
                  </w:r>
                </w:p>
              </w:tc>
              <w:tc>
                <w:tcPr>
                  <w:tcW w:w="3279" w:type="dxa"/>
                  <w:vAlign w:val="center"/>
                </w:tcPr>
                <w:p>
                  <w:pPr>
                    <w:jc w:val="center"/>
                    <w:rPr>
                      <w:rFonts w:ascii="Times New Roman" w:hAnsi="Times New Roman"/>
                      <w:b/>
                      <w:bCs/>
                      <w:color w:val="000000" w:themeColor="text1"/>
                      <w:kern w:val="21"/>
                      <w:szCs w:val="21"/>
                      <w14:textFill>
                        <w14:solidFill>
                          <w14:schemeClr w14:val="tx1"/>
                        </w14:solidFill>
                      </w14:textFill>
                    </w:rPr>
                  </w:pPr>
                  <w:r>
                    <w:rPr>
                      <w:rFonts w:ascii="Times New Roman" w:hAnsi="Times New Roman"/>
                      <w:b/>
                      <w:bCs/>
                      <w:color w:val="000000" w:themeColor="text1"/>
                      <w:kern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1</w:t>
                  </w:r>
                </w:p>
              </w:tc>
              <w:tc>
                <w:tcPr>
                  <w:tcW w:w="1580" w:type="dxa"/>
                  <w:vMerge w:val="restart"/>
                  <w:vAlign w:val="center"/>
                </w:tcPr>
                <w:p>
                  <w:pPr>
                    <w:jc w:val="center"/>
                    <w:rPr>
                      <w:rFonts w:ascii="Times New Roman" w:hAnsi="Times New Roman"/>
                      <w:kern w:val="21"/>
                      <w:szCs w:val="21"/>
                    </w:rPr>
                  </w:pPr>
                  <w:r>
                    <w:rPr>
                      <w:rFonts w:hint="eastAsia" w:ascii="Times New Roman" w:hAnsi="Times New Roman"/>
                      <w:kern w:val="21"/>
                      <w:szCs w:val="21"/>
                    </w:rPr>
                    <w:t>碎石生产线</w:t>
                  </w:r>
                </w:p>
              </w:tc>
              <w:tc>
                <w:tcPr>
                  <w:tcW w:w="1276" w:type="dxa"/>
                  <w:shd w:val="clear" w:color="auto" w:fill="auto"/>
                  <w:vAlign w:val="center"/>
                </w:tcPr>
                <w:p>
                  <w:pPr>
                    <w:jc w:val="center"/>
                    <w:rPr>
                      <w:rFonts w:ascii="Times New Roman" w:hAnsi="Times New Roman"/>
                      <w:kern w:val="21"/>
                      <w:szCs w:val="21"/>
                      <w:u w:val="single"/>
                    </w:rPr>
                  </w:pPr>
                  <w:r>
                    <w:rPr>
                      <w:rFonts w:hint="eastAsia" w:ascii="Times New Roman" w:hAnsi="Times New Roman"/>
                      <w:color w:val="000000" w:themeColor="text1"/>
                      <w:szCs w:val="20"/>
                      <w:u w:val="single"/>
                      <w14:textFill>
                        <w14:solidFill>
                          <w14:schemeClr w14:val="tx1"/>
                        </w14:solidFill>
                      </w14:textFill>
                    </w:rPr>
                    <w:t>建筑垃圾</w:t>
                  </w:r>
                </w:p>
              </w:tc>
              <w:tc>
                <w:tcPr>
                  <w:tcW w:w="850" w:type="dxa"/>
                  <w:vAlign w:val="center"/>
                </w:tcPr>
                <w:p>
                  <w:pPr>
                    <w:jc w:val="center"/>
                    <w:rPr>
                      <w:rFonts w:ascii="Times New Roman" w:hAnsi="Times New Roman"/>
                      <w:kern w:val="21"/>
                      <w:szCs w:val="21"/>
                      <w:u w:val="single"/>
                    </w:rPr>
                  </w:pPr>
                  <w:r>
                    <w:rPr>
                      <w:rFonts w:ascii="Times New Roman" w:hAnsi="Times New Roman"/>
                      <w:color w:val="000000" w:themeColor="text1"/>
                      <w:szCs w:val="21"/>
                      <w:u w:val="single"/>
                      <w14:textFill>
                        <w14:solidFill>
                          <w14:schemeClr w14:val="tx1"/>
                        </w14:solidFill>
                      </w14:textFill>
                    </w:rPr>
                    <w:t>万t/a</w:t>
                  </w:r>
                </w:p>
              </w:tc>
              <w:tc>
                <w:tcPr>
                  <w:tcW w:w="1134" w:type="dxa"/>
                  <w:shd w:val="clear" w:color="auto" w:fill="auto"/>
                  <w:vAlign w:val="center"/>
                </w:tcPr>
                <w:p>
                  <w:pPr>
                    <w:jc w:val="center"/>
                    <w:rPr>
                      <w:rFonts w:ascii="Times New Roman" w:hAnsi="Times New Roman"/>
                      <w:kern w:val="21"/>
                      <w:szCs w:val="21"/>
                      <w:u w:val="single"/>
                    </w:rPr>
                  </w:pPr>
                  <w:r>
                    <w:rPr>
                      <w:rFonts w:ascii="Times New Roman" w:hAnsi="Times New Roman"/>
                      <w:color w:val="000000" w:themeColor="text1"/>
                      <w:szCs w:val="20"/>
                      <w:u w:val="single"/>
                      <w14:textFill>
                        <w14:solidFill>
                          <w14:schemeClr w14:val="tx1"/>
                        </w14:solidFill>
                      </w14:textFill>
                    </w:rPr>
                    <w:t>6.31</w:t>
                  </w:r>
                </w:p>
              </w:tc>
              <w:tc>
                <w:tcPr>
                  <w:tcW w:w="3279" w:type="dxa"/>
                  <w:shd w:val="clear" w:color="auto" w:fill="auto"/>
                  <w:vAlign w:val="center"/>
                </w:tcPr>
                <w:p>
                  <w:pPr>
                    <w:jc w:val="center"/>
                    <w:rPr>
                      <w:rFonts w:ascii="Times New Roman" w:hAnsi="Times New Roman"/>
                      <w:kern w:val="21"/>
                      <w:szCs w:val="21"/>
                      <w:u w:val="single"/>
                    </w:rPr>
                  </w:pPr>
                  <w:r>
                    <w:rPr>
                      <w:rFonts w:ascii="Times New Roman" w:hAnsi="Times New Roman"/>
                      <w:color w:val="000000" w:themeColor="text1"/>
                      <w:szCs w:val="21"/>
                      <w:u w:val="single"/>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2</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不合格砖块</w:t>
                  </w:r>
                </w:p>
              </w:tc>
              <w:tc>
                <w:tcPr>
                  <w:tcW w:w="850" w:type="dxa"/>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万t/a</w:t>
                  </w:r>
                </w:p>
              </w:tc>
              <w:tc>
                <w:tcPr>
                  <w:tcW w:w="1134"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2</w:t>
                  </w:r>
                  <w:r>
                    <w:rPr>
                      <w:rFonts w:ascii="Times New Roman" w:hAnsi="Times New Roman"/>
                      <w:color w:val="000000" w:themeColor="text1"/>
                      <w:szCs w:val="20"/>
                      <w:u w:val="single"/>
                      <w14:textFill>
                        <w14:solidFill>
                          <w14:schemeClr w14:val="tx1"/>
                        </w14:solidFill>
                      </w14:textFill>
                    </w:rPr>
                    <w:t>.7</w:t>
                  </w:r>
                </w:p>
              </w:tc>
              <w:tc>
                <w:tcPr>
                  <w:tcW w:w="3279" w:type="dxa"/>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制砖区平均每年产生1</w:t>
                  </w:r>
                  <w:r>
                    <w:rPr>
                      <w:rFonts w:ascii="Times New Roman" w:hAnsi="Times New Roman"/>
                      <w:color w:val="000000" w:themeColor="text1"/>
                      <w:szCs w:val="21"/>
                      <w:u w:val="single"/>
                      <w14:textFill>
                        <w14:solidFill>
                          <w14:schemeClr w14:val="tx1"/>
                        </w14:solidFill>
                      </w14:textFill>
                    </w:rPr>
                    <w:t>5</w:t>
                  </w:r>
                  <w:r>
                    <w:rPr>
                      <w:rFonts w:hint="eastAsia" w:ascii="Times New Roman" w:hAnsi="Times New Roman"/>
                      <w:color w:val="000000" w:themeColor="text1"/>
                      <w:szCs w:val="21"/>
                      <w:u w:val="single"/>
                      <w14:textFill>
                        <w14:solidFill>
                          <w14:schemeClr w14:val="tx1"/>
                        </w14:solidFill>
                      </w14:textFill>
                    </w:rPr>
                    <w:t>%的不合格产品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3</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废石</w:t>
                  </w:r>
                </w:p>
              </w:tc>
              <w:tc>
                <w:tcPr>
                  <w:tcW w:w="850" w:type="dxa"/>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万t/a</w:t>
                  </w:r>
                </w:p>
              </w:tc>
              <w:tc>
                <w:tcPr>
                  <w:tcW w:w="1134"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0.99</w:t>
                  </w:r>
                </w:p>
              </w:tc>
              <w:tc>
                <w:tcPr>
                  <w:tcW w:w="3279" w:type="dxa"/>
                  <w:shd w:val="clear" w:color="auto" w:fill="auto"/>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采石场平均每年产生1</w:t>
                  </w:r>
                  <w:r>
                    <w:rPr>
                      <w:rFonts w:ascii="Times New Roman" w:hAnsi="Times New Roman"/>
                      <w:color w:val="000000" w:themeColor="text1"/>
                      <w:szCs w:val="21"/>
                      <w:u w:val="single"/>
                      <w14:textFill>
                        <w14:solidFill>
                          <w14:schemeClr w14:val="tx1"/>
                        </w14:solidFill>
                      </w14:textFill>
                    </w:rPr>
                    <w:t>5</w:t>
                  </w:r>
                  <w:r>
                    <w:rPr>
                      <w:rFonts w:hint="eastAsia" w:ascii="Times New Roman" w:hAnsi="Times New Roman"/>
                      <w:color w:val="000000" w:themeColor="text1"/>
                      <w:szCs w:val="21"/>
                      <w:u w:val="single"/>
                      <w14:textFill>
                        <w14:solidFill>
                          <w14:schemeClr w14:val="tx1"/>
                        </w14:solidFill>
                      </w14:textFill>
                    </w:rPr>
                    <w:t>%的废石，硬度适用于作为碎石外售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4</w:t>
                  </w:r>
                </w:p>
              </w:tc>
              <w:tc>
                <w:tcPr>
                  <w:tcW w:w="1580" w:type="dxa"/>
                  <w:vMerge w:val="restart"/>
                  <w:vAlign w:val="center"/>
                </w:tcPr>
                <w:p>
                  <w:pPr>
                    <w:jc w:val="center"/>
                    <w:rPr>
                      <w:rFonts w:ascii="Times New Roman" w:hAnsi="Times New Roman"/>
                      <w:kern w:val="21"/>
                      <w:szCs w:val="21"/>
                    </w:rPr>
                  </w:pPr>
                  <w:r>
                    <w:rPr>
                      <w:rFonts w:hint="eastAsia" w:ascii="Times New Roman" w:hAnsi="Times New Roman"/>
                      <w:kern w:val="21"/>
                      <w:szCs w:val="21"/>
                    </w:rPr>
                    <w:t>页岩砖生产线</w:t>
                  </w:r>
                </w:p>
              </w:tc>
              <w:tc>
                <w:tcPr>
                  <w:tcW w:w="1276"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煤渣</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22105</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益阳市购买，厂内最大储存量约1000t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5</w:t>
                  </w:r>
                </w:p>
              </w:tc>
              <w:tc>
                <w:tcPr>
                  <w:tcW w:w="1580" w:type="dxa"/>
                  <w:vMerge w:val="continue"/>
                  <w:vAlign w:val="center"/>
                </w:tcPr>
                <w:p>
                  <w:pPr>
                    <w:jc w:val="center"/>
                    <w:rPr>
                      <w:rFonts w:ascii="Times New Roman" w:hAnsi="Times New Roman"/>
                      <w:kern w:val="21"/>
                      <w:szCs w:val="21"/>
                    </w:rPr>
                  </w:pPr>
                </w:p>
              </w:tc>
              <w:tc>
                <w:tcPr>
                  <w:tcW w:w="1276" w:type="dxa"/>
                  <w:vMerge w:val="restart"/>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页岩</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56100</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项目北侧采石场供应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6</w:t>
                  </w:r>
                </w:p>
              </w:tc>
              <w:tc>
                <w:tcPr>
                  <w:tcW w:w="1580" w:type="dxa"/>
                  <w:vMerge w:val="continue"/>
                  <w:vAlign w:val="center"/>
                </w:tcPr>
                <w:p>
                  <w:pPr>
                    <w:jc w:val="center"/>
                    <w:rPr>
                      <w:rFonts w:ascii="Times New Roman" w:hAnsi="Times New Roman"/>
                      <w:kern w:val="21"/>
                      <w:szCs w:val="21"/>
                    </w:rPr>
                  </w:pPr>
                </w:p>
              </w:tc>
              <w:tc>
                <w:tcPr>
                  <w:tcW w:w="1276" w:type="dxa"/>
                  <w:vMerge w:val="continue"/>
                  <w:shd w:val="clear" w:color="auto" w:fill="auto"/>
                  <w:vAlign w:val="center"/>
                </w:tcPr>
                <w:p>
                  <w:pPr>
                    <w:jc w:val="center"/>
                    <w:rPr>
                      <w:rFonts w:ascii="Times New Roman" w:hAnsi="Times New Roman"/>
                      <w:color w:val="000000" w:themeColor="text1"/>
                      <w:szCs w:val="20"/>
                      <w14:textFill>
                        <w14:solidFill>
                          <w14:schemeClr w14:val="tx1"/>
                        </w14:solidFill>
                      </w14:textFill>
                    </w:rPr>
                  </w:pPr>
                </w:p>
              </w:tc>
              <w:tc>
                <w:tcPr>
                  <w:tcW w:w="850" w:type="dxa"/>
                  <w:vAlign w:val="center"/>
                </w:tcPr>
                <w:p>
                  <w:pPr>
                    <w:pStyle w:val="36"/>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101795</w:t>
                  </w:r>
                </w:p>
              </w:tc>
              <w:tc>
                <w:tcPr>
                  <w:tcW w:w="3279"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外购合法来源的页岩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7</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生石灰</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26.5</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桃江县购买（用于脱硫废水处理），最大储存量0.5t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8</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烧碱</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26.5</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桃江县购买（用于废气处理），最大储存量约1t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9</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生物质</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32</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桃江县购买（用于引火）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dxa"/>
                  <w:shd w:val="clear" w:color="auto" w:fill="auto"/>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1</w:t>
                  </w:r>
                  <w:r>
                    <w:rPr>
                      <w:rFonts w:ascii="Times New Roman" w:hAnsi="Times New Roman"/>
                      <w:color w:val="000000" w:themeColor="text1"/>
                      <w:kern w:val="21"/>
                      <w:szCs w:val="21"/>
                      <w14:textFill>
                        <w14:solidFill>
                          <w14:schemeClr w14:val="tx1"/>
                        </w14:solidFill>
                      </w14:textFill>
                    </w:rPr>
                    <w:t>0</w:t>
                  </w:r>
                </w:p>
              </w:tc>
              <w:tc>
                <w:tcPr>
                  <w:tcW w:w="1580" w:type="dxa"/>
                  <w:vMerge w:val="continue"/>
                  <w:vAlign w:val="center"/>
                </w:tcPr>
                <w:p>
                  <w:pPr>
                    <w:jc w:val="center"/>
                    <w:rPr>
                      <w:rFonts w:ascii="Times New Roman" w:hAnsi="Times New Roman"/>
                      <w:kern w:val="21"/>
                      <w:szCs w:val="21"/>
                    </w:rPr>
                  </w:pPr>
                </w:p>
              </w:tc>
              <w:tc>
                <w:tcPr>
                  <w:tcW w:w="1276"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无烟煤</w:t>
                  </w:r>
                </w:p>
              </w:tc>
              <w:tc>
                <w:tcPr>
                  <w:tcW w:w="850" w:type="dxa"/>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t/a</w:t>
                  </w:r>
                </w:p>
              </w:tc>
              <w:tc>
                <w:tcPr>
                  <w:tcW w:w="1134" w:type="dxa"/>
                  <w:shd w:val="clear" w:color="auto" w:fill="auto"/>
                  <w:vAlign w:val="center"/>
                </w:tcPr>
                <w:p>
                  <w:pPr>
                    <w:pStyle w:val="36"/>
                    <w:overflowPunct/>
                    <w:autoSpaceDE/>
                    <w:autoSpaceDN/>
                    <w:adjustRightInd/>
                    <w:spacing w:line="240" w:lineRule="auto"/>
                    <w:textAlignment w:val="auto"/>
                    <w:rPr>
                      <w:rFonts w:ascii="Times New Roman"/>
                      <w:kern w:val="21"/>
                      <w:sz w:val="21"/>
                      <w:szCs w:val="21"/>
                    </w:rPr>
                  </w:pPr>
                  <w:r>
                    <w:rPr>
                      <w:rFonts w:ascii="Times New Roman"/>
                      <w:color w:val="000000" w:themeColor="text1"/>
                      <w:sz w:val="21"/>
                      <w:szCs w:val="21"/>
                      <w14:textFill>
                        <w14:solidFill>
                          <w14:schemeClr w14:val="tx1"/>
                        </w14:solidFill>
                      </w14:textFill>
                    </w:rPr>
                    <w:t>9473.7</w:t>
                  </w:r>
                </w:p>
              </w:tc>
              <w:tc>
                <w:tcPr>
                  <w:tcW w:w="3279" w:type="dxa"/>
                  <w:shd w:val="clear" w:color="auto" w:fill="auto"/>
                  <w:vAlign w:val="center"/>
                </w:tcPr>
                <w:p>
                  <w:pPr>
                    <w:jc w:val="center"/>
                    <w:rPr>
                      <w:rFonts w:ascii="Times New Roman" w:hAnsi="Times New Roman"/>
                      <w:kern w:val="21"/>
                      <w:szCs w:val="21"/>
                    </w:rPr>
                  </w:pPr>
                  <w:r>
                    <w:rPr>
                      <w:rFonts w:ascii="Times New Roman" w:hAnsi="Times New Roman"/>
                      <w:color w:val="000000" w:themeColor="text1"/>
                      <w:szCs w:val="20"/>
                      <w14:textFill>
                        <w14:solidFill>
                          <w14:schemeClr w14:val="tx1"/>
                        </w14:solidFill>
                      </w14:textFill>
                    </w:rPr>
                    <w:t>益阳市购买，厂内最大储存量约150t</w:t>
                  </w:r>
                </w:p>
              </w:tc>
            </w:tr>
          </w:tbl>
          <w:p>
            <w:pPr>
              <w:kinsoku w:val="0"/>
              <w:overflowPunct w:val="0"/>
              <w:spacing w:line="360" w:lineRule="auto"/>
              <w:ind w:firstLine="514" w:firstLineChars="200"/>
              <w:textAlignment w:val="baseline"/>
              <w:rPr>
                <w:rFonts w:ascii="Times New Roman" w:hAnsi="Times New Roman"/>
                <w:b/>
                <w:spacing w:val="8"/>
                <w:sz w:val="24"/>
                <w:szCs w:val="24"/>
              </w:rPr>
            </w:pPr>
            <w:r>
              <w:rPr>
                <w:rFonts w:hint="eastAsia" w:ascii="Times New Roman" w:hAnsi="Times New Roman"/>
                <w:b/>
                <w:spacing w:val="8"/>
                <w:sz w:val="24"/>
                <w:szCs w:val="24"/>
              </w:rPr>
              <w:t>理化性质分析：</w:t>
            </w:r>
          </w:p>
          <w:p>
            <w:pPr>
              <w:spacing w:line="360" w:lineRule="auto"/>
              <w:ind w:firstLine="480" w:firstLineChars="200"/>
              <w:textAlignment w:val="baseline"/>
              <w:rPr>
                <w:rFonts w:ascii="Times New Roman" w:hAnsi="Times New Roman"/>
                <w:sz w:val="24"/>
              </w:rPr>
            </w:pPr>
            <w:r>
              <w:rPr>
                <w:rFonts w:hint="eastAsia" w:ascii="Times New Roman" w:hAnsi="Times New Roman"/>
                <w:sz w:val="24"/>
              </w:rPr>
              <w:t>页岩：页岩是粘土岩的一种，是由粘土物质经压实作用、脱水作用、重结晶作用后形成的微小颗粒，易裂碎，很容易分裂成明显的岩层。页岩具有页状或薄片状层理，用硬物击打易裂成碎片，具有良好的热工性能。本项目所需页岩由项目采矿区页岩矿提供。</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煤渣：工业固体废物的一种，火力发电厂、工业和民用锅炉及其他设备燃煤排出的废渣，又称炉渣。主要成分是二氧化硅、氧化铝、</w:t>
            </w:r>
            <w:r>
              <w:fldChar w:fldCharType="begin"/>
            </w:r>
            <w:r>
              <w:instrText xml:space="preserve"> HYPERLINK "https://baike.sogou.com/lemma/ShowInnerLink.htm?lemmaId=546316" \t "https://baike.sogou.com/_blank" </w:instrText>
            </w:r>
            <w:r>
              <w:fldChar w:fldCharType="separate"/>
            </w:r>
            <w:r>
              <w:rPr>
                <w:rStyle w:val="27"/>
                <w:rFonts w:ascii="Times New Roman" w:hAnsi="Times New Roman"/>
                <w:color w:val="000000" w:themeColor="text1"/>
                <w:sz w:val="24"/>
                <w:szCs w:val="24"/>
                <w:u w:val="none"/>
                <w14:textFill>
                  <w14:solidFill>
                    <w14:schemeClr w14:val="tx1"/>
                  </w14:solidFill>
                </w14:textFill>
              </w:rPr>
              <w:t>氧化铁</w:t>
            </w:r>
            <w:r>
              <w:rPr>
                <w:rStyle w:val="27"/>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w:t>
            </w:r>
            <w:r>
              <w:fldChar w:fldCharType="begin"/>
            </w:r>
            <w:r>
              <w:instrText xml:space="preserve"> HYPERLINK "https://baike.sogou.com/lemma/ShowInnerLink.htm?lemmaId=726565" \t "https://baike.sogou.com/_blank" </w:instrText>
            </w:r>
            <w:r>
              <w:fldChar w:fldCharType="separate"/>
            </w:r>
            <w:r>
              <w:rPr>
                <w:rStyle w:val="27"/>
                <w:rFonts w:ascii="Times New Roman" w:hAnsi="Times New Roman"/>
                <w:color w:val="000000" w:themeColor="text1"/>
                <w:sz w:val="24"/>
                <w:szCs w:val="24"/>
                <w:u w:val="none"/>
                <w14:textFill>
                  <w14:solidFill>
                    <w14:schemeClr w14:val="tx1"/>
                  </w14:solidFill>
                </w14:textFill>
              </w:rPr>
              <w:t>氧化钙</w:t>
            </w:r>
            <w:r>
              <w:rPr>
                <w:rStyle w:val="27"/>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w:t>
            </w:r>
            <w:r>
              <w:fldChar w:fldCharType="begin"/>
            </w:r>
            <w:r>
              <w:instrText xml:space="preserve"> HYPERLINK "https://baike.sogou.com/lemma/ShowInnerLink.htm?lemmaId=332430" \t "https://baike.sogou.com/_blank" </w:instrText>
            </w:r>
            <w:r>
              <w:fldChar w:fldCharType="separate"/>
            </w:r>
            <w:r>
              <w:rPr>
                <w:rStyle w:val="27"/>
                <w:rFonts w:ascii="Times New Roman" w:hAnsi="Times New Roman"/>
                <w:color w:val="000000" w:themeColor="text1"/>
                <w:sz w:val="24"/>
                <w:szCs w:val="24"/>
                <w:u w:val="none"/>
                <w14:textFill>
                  <w14:solidFill>
                    <w14:schemeClr w14:val="tx1"/>
                  </w14:solidFill>
                </w14:textFill>
              </w:rPr>
              <w:t>氧化镁</w:t>
            </w:r>
            <w:r>
              <w:rPr>
                <w:rStyle w:val="27"/>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等。根据成分的不同，可用于制造水泥、砖和耐火材料等。项目所需煤渣由企业自益阳市购买，分批次购买运回。</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无烟煤：俗称白煤或红煤。是煤化程度最大的煤。无烟煤固定碳含量高，挥发分产率低，密度大，硬度大，燃点高；其表面颜色为黑色，以脂摩擦不致染污，断口成贝壳状，燃烧时火焰短而少烟；不结焦，一般含碳量在90%以上，挥发物在10%以下；无胶质层厚度，热值约6000-6500千卡/公斤。</w:t>
            </w:r>
          </w:p>
          <w:p>
            <w:pPr>
              <w:spacing w:line="360" w:lineRule="auto"/>
              <w:ind w:firstLine="480" w:firstLineChars="200"/>
              <w:rPr>
                <w:rFonts w:ascii="Times New Roman" w:hAnsi="Times New Roman"/>
                <w:bCs/>
                <w:sz w:val="24"/>
                <w:szCs w:val="24"/>
              </w:rPr>
            </w:pPr>
            <w:r>
              <w:rPr>
                <w:rFonts w:ascii="Times New Roman" w:hAnsi="Times New Roman"/>
                <w:bCs/>
                <w:sz w:val="24"/>
                <w:szCs w:val="24"/>
              </w:rPr>
              <w:t>烧碱：氢氧化钠，化学式为NaOH，俗称烧碱、火碱、苛性钠，为一种具有强腐蚀性的强碱，一般为片状或块状形态，易溶于水（溶于水时放热）并形成碱性溶液，另有潮解性，易吸取空气中的水蒸气（潮解）和二氧化碳（变质），可加入盐酸检验是否变质。纯品是无色透明的晶体</w:t>
            </w:r>
            <w:r>
              <w:rPr>
                <w:rFonts w:hint="eastAsia" w:ascii="Times New Roman" w:hAnsi="Times New Roman"/>
                <w:bCs/>
                <w:sz w:val="24"/>
                <w:szCs w:val="24"/>
              </w:rPr>
              <w:t>，</w:t>
            </w:r>
            <w:r>
              <w:rPr>
                <w:rFonts w:ascii="Times New Roman" w:hAnsi="Times New Roman"/>
                <w:bCs/>
                <w:sz w:val="24"/>
                <w:szCs w:val="24"/>
              </w:rPr>
              <w:t>密度2.130g/cm</w:t>
            </w:r>
            <w:r>
              <w:rPr>
                <w:rFonts w:ascii="Times New Roman" w:hAnsi="Times New Roman"/>
                <w:bCs/>
                <w:sz w:val="24"/>
                <w:szCs w:val="24"/>
                <w:vertAlign w:val="superscript"/>
              </w:rPr>
              <w:t>3</w:t>
            </w:r>
            <w:r>
              <w:rPr>
                <w:rFonts w:ascii="Times New Roman" w:hAnsi="Times New Roman"/>
                <w:bCs/>
                <w:sz w:val="24"/>
                <w:szCs w:val="24"/>
              </w:rPr>
              <w:t>，熔点318.4℃，沸点1390℃。工业品含有少量的氯化钠和碳酸钠，是白色不透明的晶体。有块状，片状，粒状和棒状等。式量39.997。</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生石灰：主要成分为氧化钙，通常制法为将主要成分为碳酸钙的天然岩石，在高温下煅烧，即可分解生成二氧化碳以及氧化钙（化学式：CaO，即生石灰，又称云石）。</w:t>
            </w:r>
          </w:p>
          <w:p>
            <w:pPr>
              <w:spacing w:line="360" w:lineRule="auto"/>
              <w:ind w:firstLine="480" w:firstLineChars="200"/>
              <w:rPr>
                <w:rFonts w:ascii="Times New Roman" w:hAnsi="Times New Roman"/>
                <w:color w:val="000000" w:themeColor="text1"/>
                <w:sz w:val="24"/>
                <w:szCs w:val="20"/>
                <w14:textFill>
                  <w14:solidFill>
                    <w14:schemeClr w14:val="tx1"/>
                  </w14:solidFill>
                </w14:textFill>
              </w:rPr>
            </w:pPr>
            <w:r>
              <w:rPr>
                <w:rFonts w:ascii="Times New Roman" w:hAnsi="Times New Roman"/>
                <w:color w:val="000000" w:themeColor="text1"/>
                <w:sz w:val="24"/>
                <w:szCs w:val="20"/>
                <w14:textFill>
                  <w14:solidFill>
                    <w14:schemeClr w14:val="tx1"/>
                  </w14:solidFill>
                </w14:textFill>
              </w:rPr>
              <w:t>按建设单位提供的资料，项目使用页岩</w:t>
            </w:r>
            <w:r>
              <w:rPr>
                <w:rFonts w:hint="eastAsia" w:ascii="Times New Roman" w:hAnsi="Times New Roman"/>
                <w:color w:val="000000" w:themeColor="text1"/>
                <w:sz w:val="24"/>
                <w:szCs w:val="20"/>
                <w14:textFill>
                  <w14:solidFill>
                    <w14:schemeClr w14:val="tx1"/>
                  </w14:solidFill>
                </w14:textFill>
              </w:rPr>
              <w:t>、</w:t>
            </w:r>
            <w:r>
              <w:rPr>
                <w:rFonts w:ascii="Times New Roman" w:hAnsi="Times New Roman"/>
                <w:color w:val="000000" w:themeColor="text1"/>
                <w:sz w:val="24"/>
                <w:szCs w:val="20"/>
                <w14:textFill>
                  <w14:solidFill>
                    <w14:schemeClr w14:val="tx1"/>
                  </w14:solidFill>
                </w14:textFill>
              </w:rPr>
              <w:t>煤渣</w:t>
            </w:r>
            <w:r>
              <w:rPr>
                <w:rFonts w:hint="eastAsia" w:ascii="Times New Roman" w:hAnsi="Times New Roman"/>
                <w:color w:val="000000" w:themeColor="text1"/>
                <w:sz w:val="24"/>
                <w:szCs w:val="20"/>
                <w14:textFill>
                  <w14:solidFill>
                    <w14:schemeClr w14:val="tx1"/>
                  </w14:solidFill>
                </w14:textFill>
              </w:rPr>
              <w:t>和</w:t>
            </w:r>
            <w:r>
              <w:rPr>
                <w:rFonts w:ascii="Times New Roman" w:hAnsi="Times New Roman"/>
                <w:color w:val="000000" w:themeColor="text1"/>
                <w:sz w:val="24"/>
                <w:szCs w:val="20"/>
                <w14:textFill>
                  <w14:solidFill>
                    <w14:schemeClr w14:val="tx1"/>
                  </w14:solidFill>
                </w14:textFill>
              </w:rPr>
              <w:t>无烟煤主要成分见表1-4</w:t>
            </w:r>
            <w:r>
              <w:rPr>
                <w:rFonts w:hint="eastAsia" w:ascii="Times New Roman" w:hAnsi="Times New Roman"/>
                <w:color w:val="000000" w:themeColor="text1"/>
                <w:sz w:val="24"/>
                <w:szCs w:val="20"/>
                <w14:textFill>
                  <w14:solidFill>
                    <w14:schemeClr w14:val="tx1"/>
                  </w14:solidFill>
                </w14:textFill>
              </w:rPr>
              <w:t>~</w:t>
            </w:r>
            <w:r>
              <w:rPr>
                <w:rFonts w:ascii="Times New Roman" w:hAnsi="Times New Roman"/>
                <w:color w:val="000000" w:themeColor="text1"/>
                <w:sz w:val="24"/>
                <w:szCs w:val="20"/>
                <w14:textFill>
                  <w14:solidFill>
                    <w14:schemeClr w14:val="tx1"/>
                  </w14:solidFill>
                </w14:textFill>
              </w:rPr>
              <w:t>5。</w:t>
            </w:r>
          </w:p>
          <w:p>
            <w:pPr>
              <w:spacing w:line="360" w:lineRule="auto"/>
              <w:jc w:val="center"/>
              <w:rPr>
                <w:rFonts w:ascii="Times New Roman" w:hAnsi="Times New Roman"/>
                <w:b/>
                <w:bCs/>
                <w:sz w:val="24"/>
                <w:szCs w:val="24"/>
              </w:rPr>
            </w:pPr>
            <w:r>
              <w:rPr>
                <w:rFonts w:hint="eastAsia" w:ascii="Times New Roman" w:hAnsi="Times New Roman"/>
                <w:b/>
                <w:bCs/>
                <w:color w:val="000000" w:themeColor="text1"/>
                <w:sz w:val="24"/>
                <w:szCs w:val="20"/>
                <w14:textFill>
                  <w14:solidFill>
                    <w14:schemeClr w14:val="tx1"/>
                  </w14:solidFill>
                </w14:textFill>
              </w:rPr>
              <w:t>表1</w:t>
            </w:r>
            <w:r>
              <w:rPr>
                <w:rFonts w:ascii="Times New Roman" w:hAnsi="Times New Roman"/>
                <w:b/>
                <w:bCs/>
                <w:color w:val="000000" w:themeColor="text1"/>
                <w:sz w:val="24"/>
                <w:szCs w:val="20"/>
                <w14:textFill>
                  <w14:solidFill>
                    <w14:schemeClr w14:val="tx1"/>
                  </w14:solidFill>
                </w14:textFill>
              </w:rPr>
              <w:t xml:space="preserve">-4  </w:t>
            </w:r>
            <w:r>
              <w:rPr>
                <w:rFonts w:hint="eastAsia" w:ascii="Times New Roman" w:hAnsi="Times New Roman"/>
                <w:b/>
                <w:bCs/>
                <w:color w:val="000000" w:themeColor="text1"/>
                <w:sz w:val="24"/>
                <w:szCs w:val="20"/>
                <w14:textFill>
                  <w14:solidFill>
                    <w14:schemeClr w14:val="tx1"/>
                  </w14:solidFill>
                </w14:textFill>
              </w:rPr>
              <w:t>页岩和煤渣主要成分及比例</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1"/>
              <w:gridCol w:w="75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425"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种类</w:t>
                  </w:r>
                </w:p>
              </w:tc>
              <w:tc>
                <w:tcPr>
                  <w:tcW w:w="7389"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主要成分及比例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页岩</w:t>
                  </w:r>
                </w:p>
              </w:tc>
              <w:tc>
                <w:tcPr>
                  <w:tcW w:w="7389"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SiO</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68.98%、Al</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w:t>
                  </w:r>
                  <w:r>
                    <w:rPr>
                      <w:rFonts w:ascii="Times New Roman" w:hAnsi="Times New Roman"/>
                      <w:color w:val="000000" w:themeColor="text1"/>
                      <w:szCs w:val="24"/>
                      <w:vertAlign w:val="sub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15.07%、Fe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w:t>
                  </w:r>
                  <w:r>
                    <w:rPr>
                      <w:rFonts w:ascii="Times New Roman" w:hAnsi="Times New Roman"/>
                      <w:color w:val="000000" w:themeColor="text1"/>
                      <w:szCs w:val="24"/>
                      <w:vertAlign w:val="sub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5.26%、TiO0.77%、CaO1.69%、MgO1.70%、F0.002%、S0.015%、K</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O与Na</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O0.35%、其它6.163%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煤渣</w:t>
                  </w:r>
                </w:p>
              </w:tc>
              <w:tc>
                <w:tcPr>
                  <w:tcW w:w="7389"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SiO</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40</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50</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、Al</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w:t>
                  </w:r>
                  <w:r>
                    <w:rPr>
                      <w:rFonts w:ascii="Times New Roman" w:hAnsi="Times New Roman"/>
                      <w:color w:val="000000" w:themeColor="text1"/>
                      <w:szCs w:val="24"/>
                      <w:vertAlign w:val="sub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30</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35</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、Fe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O</w:t>
                  </w:r>
                  <w:r>
                    <w:rPr>
                      <w:rFonts w:ascii="Times New Roman" w:hAnsi="Times New Roman"/>
                      <w:color w:val="000000" w:themeColor="text1"/>
                      <w:szCs w:val="24"/>
                      <w:vertAlign w:val="sub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4</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20</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、CaO1</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5</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及少量镁、硫、碳等</w:t>
                  </w:r>
                </w:p>
              </w:tc>
            </w:tr>
          </w:tbl>
          <w:p>
            <w:pPr>
              <w:spacing w:line="360" w:lineRule="auto"/>
              <w:jc w:val="center"/>
              <w:rPr>
                <w:rFonts w:ascii="Times New Roman" w:hAnsi="Times New Roman"/>
                <w:b/>
                <w:bCs/>
                <w:sz w:val="24"/>
                <w:szCs w:val="24"/>
              </w:rPr>
            </w:pPr>
            <w:r>
              <w:rPr>
                <w:rFonts w:hint="eastAsia" w:ascii="Times New Roman" w:hAnsi="Times New Roman"/>
                <w:b/>
                <w:bCs/>
                <w:sz w:val="24"/>
                <w:szCs w:val="24"/>
              </w:rPr>
              <w:t>表1</w:t>
            </w:r>
            <w:r>
              <w:rPr>
                <w:rFonts w:ascii="Times New Roman" w:hAnsi="Times New Roman"/>
                <w:b/>
                <w:bCs/>
                <w:sz w:val="24"/>
                <w:szCs w:val="24"/>
              </w:rPr>
              <w:t xml:space="preserve">-5  </w:t>
            </w:r>
            <w:r>
              <w:rPr>
                <w:rFonts w:hint="eastAsia" w:ascii="Times New Roman" w:hAnsi="Times New Roman"/>
                <w:b/>
                <w:bCs/>
                <w:sz w:val="24"/>
                <w:szCs w:val="24"/>
              </w:rPr>
              <w:t>无烟煤主要成分及比例</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2036"/>
              <w:gridCol w:w="1163"/>
              <w:gridCol w:w="1163"/>
              <w:gridCol w:w="1599"/>
              <w:gridCol w:w="1017"/>
              <w:gridCol w:w="8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141"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燃料名称</w:t>
                  </w:r>
                </w:p>
              </w:tc>
              <w:tc>
                <w:tcPr>
                  <w:tcW w:w="1985"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年最大用量（t/a）</w:t>
                  </w:r>
                </w:p>
              </w:tc>
              <w:tc>
                <w:tcPr>
                  <w:tcW w:w="1134"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硫分</w:t>
                  </w:r>
                </w:p>
              </w:tc>
              <w:tc>
                <w:tcPr>
                  <w:tcW w:w="1134"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挥发分</w:t>
                  </w:r>
                </w:p>
              </w:tc>
              <w:tc>
                <w:tcPr>
                  <w:tcW w:w="1559"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热值（卡/克）</w:t>
                  </w:r>
                </w:p>
              </w:tc>
              <w:tc>
                <w:tcPr>
                  <w:tcW w:w="992" w:type="dxa"/>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灰分</w:t>
                  </w:r>
                </w:p>
              </w:tc>
              <w:tc>
                <w:tcPr>
                  <w:tcW w:w="869" w:type="dxa"/>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无烟煤</w:t>
                  </w:r>
                </w:p>
              </w:tc>
              <w:tc>
                <w:tcPr>
                  <w:tcW w:w="198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9473.7</w:t>
                  </w:r>
                </w:p>
              </w:tc>
              <w:tc>
                <w:tcPr>
                  <w:tcW w:w="113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0.73</w:t>
                  </w:r>
                </w:p>
              </w:tc>
              <w:tc>
                <w:tcPr>
                  <w:tcW w:w="113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32</w:t>
                  </w:r>
                </w:p>
              </w:tc>
              <w:tc>
                <w:tcPr>
                  <w:tcW w:w="1559"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700</w:t>
                  </w:r>
                </w:p>
              </w:tc>
              <w:tc>
                <w:tcPr>
                  <w:tcW w:w="99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5</w:t>
                  </w:r>
                </w:p>
              </w:tc>
              <w:tc>
                <w:tcPr>
                  <w:tcW w:w="86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2.27</w:t>
                  </w:r>
                </w:p>
              </w:tc>
            </w:tr>
          </w:tbl>
          <w:p>
            <w:pPr>
              <w:spacing w:line="360" w:lineRule="auto"/>
              <w:ind w:firstLine="480" w:firstLineChars="200"/>
              <w:textAlignment w:val="baseline"/>
              <w:rPr>
                <w:rFonts w:ascii="Times New Roman" w:hAnsi="Times New Roman"/>
                <w:bCs/>
                <w:sz w:val="24"/>
                <w:szCs w:val="24"/>
                <w:u w:val="single"/>
              </w:rPr>
            </w:pPr>
            <w:r>
              <w:rPr>
                <w:rFonts w:hint="eastAsia" w:ascii="Times New Roman" w:hAnsi="Times New Roman"/>
                <w:bCs/>
                <w:sz w:val="24"/>
                <w:szCs w:val="24"/>
                <w:u w:val="single"/>
              </w:rPr>
              <w:t>建筑垃圾种类繁多，并不是所有的建筑垃圾的成份均可作为本项目再利用的原料，为便于建设单位收集，建立建筑垃圾负面清单。本项目的建筑垃圾进料负面清单见下表。</w:t>
            </w: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ind w:firstLine="480" w:firstLineChars="200"/>
              <w:textAlignment w:val="baseline"/>
              <w:rPr>
                <w:rFonts w:ascii="Times New Roman" w:hAnsi="Times New Roman"/>
                <w:bCs/>
                <w:sz w:val="24"/>
                <w:szCs w:val="24"/>
              </w:rPr>
            </w:pPr>
          </w:p>
          <w:p>
            <w:pPr>
              <w:spacing w:line="360" w:lineRule="auto"/>
              <w:jc w:val="center"/>
              <w:textAlignment w:val="baseline"/>
              <w:rPr>
                <w:rFonts w:ascii="Times New Roman" w:hAnsi="Times New Roman"/>
                <w:b/>
                <w:spacing w:val="8"/>
                <w:sz w:val="24"/>
                <w:szCs w:val="24"/>
                <w:u w:val="single"/>
              </w:rPr>
            </w:pPr>
            <w:r>
              <w:rPr>
                <w:rFonts w:hint="eastAsia" w:ascii="Times New Roman" w:hAnsi="Times New Roman"/>
                <w:b/>
                <w:sz w:val="24"/>
                <w:szCs w:val="24"/>
                <w:u w:val="single"/>
              </w:rPr>
              <w:t>表1</w:t>
            </w:r>
            <w:r>
              <w:rPr>
                <w:rFonts w:ascii="Times New Roman" w:hAnsi="Times New Roman"/>
                <w:b/>
                <w:sz w:val="24"/>
                <w:szCs w:val="24"/>
                <w:u w:val="single"/>
              </w:rPr>
              <w:t xml:space="preserve">-6  </w:t>
            </w:r>
            <w:r>
              <w:rPr>
                <w:rFonts w:hint="eastAsia" w:ascii="Times New Roman" w:hAnsi="Times New Roman"/>
                <w:b/>
                <w:sz w:val="24"/>
                <w:szCs w:val="24"/>
                <w:u w:val="single"/>
              </w:rPr>
              <w:t>建筑垃圾进料负面清单</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5310"/>
              <w:gridCol w:w="2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847" w:type="dxa"/>
                  <w:shd w:val="clear" w:color="auto" w:fill="auto"/>
                  <w:vAlign w:val="center"/>
                </w:tcPr>
                <w:p>
                  <w:pPr>
                    <w:pStyle w:val="21"/>
                    <w:tabs>
                      <w:tab w:val="left" w:pos="0"/>
                    </w:tabs>
                    <w:spacing w:after="0"/>
                    <w:ind w:firstLine="0" w:firstLineChars="0"/>
                    <w:jc w:val="center"/>
                    <w:rPr>
                      <w:b/>
                      <w:color w:val="000000"/>
                      <w:szCs w:val="21"/>
                      <w:u w:val="single"/>
                    </w:rPr>
                  </w:pPr>
                  <w:r>
                    <w:rPr>
                      <w:b/>
                      <w:color w:val="000000"/>
                      <w:szCs w:val="21"/>
                      <w:u w:val="single"/>
                    </w:rPr>
                    <w:t>种类</w:t>
                  </w:r>
                </w:p>
              </w:tc>
              <w:tc>
                <w:tcPr>
                  <w:tcW w:w="5750" w:type="dxa"/>
                  <w:shd w:val="clear" w:color="auto" w:fill="auto"/>
                  <w:vAlign w:val="center"/>
                </w:tcPr>
                <w:p>
                  <w:pPr>
                    <w:pStyle w:val="21"/>
                    <w:tabs>
                      <w:tab w:val="left" w:pos="0"/>
                    </w:tabs>
                    <w:spacing w:after="0"/>
                    <w:ind w:firstLine="0" w:firstLineChars="0"/>
                    <w:jc w:val="center"/>
                    <w:rPr>
                      <w:b/>
                      <w:color w:val="000000"/>
                      <w:szCs w:val="21"/>
                      <w:u w:val="single"/>
                    </w:rPr>
                  </w:pPr>
                  <w:r>
                    <w:rPr>
                      <w:b/>
                      <w:color w:val="000000"/>
                      <w:szCs w:val="21"/>
                      <w:u w:val="single"/>
                    </w:rPr>
                    <w:t>主要组分</w:t>
                  </w:r>
                </w:p>
              </w:tc>
              <w:tc>
                <w:tcPr>
                  <w:tcW w:w="2155" w:type="dxa"/>
                  <w:shd w:val="clear" w:color="auto" w:fill="auto"/>
                  <w:vAlign w:val="center"/>
                </w:tcPr>
                <w:p>
                  <w:pPr>
                    <w:pStyle w:val="21"/>
                    <w:tabs>
                      <w:tab w:val="left" w:pos="0"/>
                    </w:tabs>
                    <w:spacing w:after="0"/>
                    <w:ind w:firstLine="0" w:firstLineChars="0"/>
                    <w:jc w:val="center"/>
                    <w:rPr>
                      <w:b/>
                      <w:color w:val="000000"/>
                      <w:szCs w:val="21"/>
                      <w:u w:val="single"/>
                    </w:rPr>
                  </w:pPr>
                  <w:r>
                    <w:rPr>
                      <w:b/>
                      <w:color w:val="000000"/>
                      <w:szCs w:val="21"/>
                      <w:u w:val="single"/>
                    </w:rPr>
                    <w:t>负面</w:t>
                  </w:r>
                  <w:r>
                    <w:rPr>
                      <w:rFonts w:hint="eastAsia" w:ascii="宋体" w:hAnsi="宋体"/>
                      <w:b/>
                      <w:color w:val="000000"/>
                      <w:szCs w:val="21"/>
                      <w:u w:val="single"/>
                    </w:rPr>
                    <w:t>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旧建筑物拆除垃圾</w:t>
                  </w: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废砖、</w:t>
                  </w:r>
                  <w:r>
                    <w:rPr>
                      <w:rFonts w:hint="eastAsia" w:ascii="宋体" w:hAnsi="宋体"/>
                      <w:bCs/>
                      <w:color w:val="000000"/>
                      <w:szCs w:val="21"/>
                      <w:u w:val="single"/>
                    </w:rPr>
                    <w:t>废</w:t>
                  </w:r>
                  <w:r>
                    <w:rPr>
                      <w:bCs/>
                      <w:color w:val="000000"/>
                      <w:szCs w:val="21"/>
                      <w:u w:val="single"/>
                    </w:rPr>
                    <w:t>石头、废旧混凝土、废钢筋、砂浆渣土、废木料、碎玻璃、废瓷砖等</w:t>
                  </w:r>
                </w:p>
              </w:tc>
              <w:tc>
                <w:tcPr>
                  <w:tcW w:w="2155" w:type="dxa"/>
                  <w:vMerge w:val="restart"/>
                  <w:shd w:val="clear" w:color="auto" w:fill="auto"/>
                  <w:vAlign w:val="center"/>
                </w:tcPr>
                <w:p>
                  <w:pPr>
                    <w:pStyle w:val="21"/>
                    <w:tabs>
                      <w:tab w:val="left" w:pos="0"/>
                    </w:tabs>
                    <w:spacing w:after="0"/>
                    <w:ind w:firstLine="0" w:firstLineChars="0"/>
                    <w:jc w:val="center"/>
                    <w:rPr>
                      <w:bCs/>
                      <w:color w:val="000000"/>
                      <w:szCs w:val="21"/>
                      <w:u w:val="single"/>
                    </w:rPr>
                  </w:pPr>
                  <w:r>
                    <w:rPr>
                      <w:rFonts w:hint="eastAsia" w:ascii="宋体" w:hAnsi="宋体"/>
                      <w:bCs/>
                      <w:color w:val="000000"/>
                      <w:szCs w:val="21"/>
                      <w:u w:val="single"/>
                    </w:rPr>
                    <w:t>含有危险废物、沥青和危险化学品的建筑垃圾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vMerge w:val="restart"/>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建筑施工垃圾</w:t>
                  </w: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剩余混凝土</w:t>
                  </w:r>
                </w:p>
              </w:tc>
              <w:tc>
                <w:tcPr>
                  <w:tcW w:w="2155"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vMerge w:val="continue"/>
                  <w:shd w:val="clear" w:color="auto" w:fill="auto"/>
                  <w:vAlign w:val="center"/>
                </w:tcPr>
                <w:p>
                  <w:pPr>
                    <w:pStyle w:val="21"/>
                    <w:tabs>
                      <w:tab w:val="left" w:pos="0"/>
                    </w:tabs>
                    <w:spacing w:after="0"/>
                    <w:ind w:firstLine="0" w:firstLineChars="0"/>
                    <w:jc w:val="center"/>
                    <w:rPr>
                      <w:b/>
                      <w:color w:val="000000"/>
                      <w:szCs w:val="24"/>
                      <w:u w:val="single"/>
                    </w:rPr>
                  </w:pP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建筑碎料：凿除抹灰时的旧混凝土、砂浆等矿物材料及木材、金属、纸和其他废料</w:t>
                  </w:r>
                </w:p>
              </w:tc>
              <w:tc>
                <w:tcPr>
                  <w:tcW w:w="2155"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房屋装饰装修产生的废料：废钢筋各种废钢配件、金属管线废料、木屑、包装箱、散落的砂浆和混凝土，搬运过程散落的黄砂、石子等</w:t>
                  </w:r>
                </w:p>
              </w:tc>
              <w:tc>
                <w:tcPr>
                  <w:tcW w:w="2155"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vMerge w:val="restart"/>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道路开挖垃圾</w:t>
                  </w: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混凝土道路开挖：废混凝土</w:t>
                  </w:r>
                </w:p>
              </w:tc>
              <w:tc>
                <w:tcPr>
                  <w:tcW w:w="2155"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vMerge w:val="continue"/>
                  <w:shd w:val="clear" w:color="auto" w:fill="auto"/>
                  <w:vAlign w:val="center"/>
                </w:tcPr>
                <w:p>
                  <w:pPr>
                    <w:pStyle w:val="21"/>
                    <w:tabs>
                      <w:tab w:val="left" w:pos="0"/>
                    </w:tabs>
                    <w:spacing w:after="0"/>
                    <w:ind w:firstLine="0" w:firstLineChars="0"/>
                    <w:jc w:val="center"/>
                    <w:rPr>
                      <w:b/>
                      <w:color w:val="000000"/>
                      <w:szCs w:val="24"/>
                      <w:u w:val="single"/>
                    </w:rPr>
                  </w:pPr>
                </w:p>
              </w:tc>
              <w:tc>
                <w:tcPr>
                  <w:tcW w:w="5750" w:type="dxa"/>
                  <w:shd w:val="clear" w:color="auto" w:fill="auto"/>
                  <w:vAlign w:val="center"/>
                </w:tcPr>
                <w:p>
                  <w:pPr>
                    <w:pStyle w:val="21"/>
                    <w:tabs>
                      <w:tab w:val="left" w:pos="0"/>
                    </w:tabs>
                    <w:spacing w:after="0"/>
                    <w:ind w:firstLine="0" w:firstLineChars="0"/>
                    <w:jc w:val="center"/>
                    <w:rPr>
                      <w:bCs/>
                      <w:color w:val="000000"/>
                      <w:szCs w:val="21"/>
                      <w:u w:val="single"/>
                    </w:rPr>
                  </w:pPr>
                  <w:r>
                    <w:rPr>
                      <w:bCs/>
                      <w:color w:val="000000"/>
                      <w:szCs w:val="21"/>
                      <w:u w:val="single"/>
                    </w:rPr>
                    <w:t>沥青道路开挖废混凝土、废沥青混凝土</w:t>
                  </w:r>
                </w:p>
              </w:tc>
              <w:tc>
                <w:tcPr>
                  <w:tcW w:w="2155" w:type="dxa"/>
                  <w:vMerge w:val="continue"/>
                  <w:shd w:val="clear" w:color="auto" w:fill="auto"/>
                  <w:vAlign w:val="center"/>
                </w:tcPr>
                <w:p>
                  <w:pPr>
                    <w:pStyle w:val="21"/>
                    <w:tabs>
                      <w:tab w:val="left" w:pos="0"/>
                    </w:tabs>
                    <w:spacing w:after="0"/>
                    <w:ind w:firstLine="0" w:firstLineChars="0"/>
                    <w:jc w:val="center"/>
                    <w:rPr>
                      <w:bCs/>
                      <w:color w:val="000000"/>
                      <w:szCs w:val="21"/>
                      <w:u w:val="single"/>
                    </w:rPr>
                  </w:pPr>
                </w:p>
              </w:tc>
            </w:tr>
          </w:tbl>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6</w:t>
            </w:r>
            <w:r>
              <w:rPr>
                <w:rFonts w:ascii="Times New Roman" w:hAnsi="Times New Roman"/>
                <w:b/>
                <w:spacing w:val="8"/>
                <w:sz w:val="24"/>
                <w:szCs w:val="24"/>
              </w:rPr>
              <w:t xml:space="preserve"> 主要设备及选型</w:t>
            </w:r>
          </w:p>
          <w:p>
            <w:pPr>
              <w:tabs>
                <w:tab w:val="left" w:pos="5000"/>
              </w:tabs>
              <w:kinsoku w:val="0"/>
              <w:overflowPunct w:val="0"/>
              <w:spacing w:line="360" w:lineRule="auto"/>
              <w:jc w:val="center"/>
              <w:rPr>
                <w:rFonts w:ascii="Times New Roman" w:hAnsi="Times New Roman"/>
                <w:b/>
                <w:sz w:val="24"/>
              </w:rPr>
            </w:pPr>
            <w:r>
              <w:rPr>
                <w:rFonts w:ascii="Times New Roman" w:hAnsi="Times New Roman"/>
                <w:b/>
                <w:sz w:val="24"/>
              </w:rPr>
              <w:t>表1-7  项目主要生产设备一览表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4"/>
              <w:gridCol w:w="1017"/>
              <w:gridCol w:w="2472"/>
              <w:gridCol w:w="1744"/>
              <w:gridCol w:w="872"/>
              <w:gridCol w:w="22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992" w:type="dxa"/>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生产线</w:t>
                  </w:r>
                </w:p>
              </w:tc>
              <w:tc>
                <w:tcPr>
                  <w:tcW w:w="2410"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设备名称</w:t>
                  </w:r>
                </w:p>
              </w:tc>
              <w:tc>
                <w:tcPr>
                  <w:tcW w:w="1701"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型号和规格</w:t>
                  </w:r>
                </w:p>
              </w:tc>
              <w:tc>
                <w:tcPr>
                  <w:tcW w:w="850"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数量</w:t>
                  </w:r>
                </w:p>
              </w:tc>
              <w:tc>
                <w:tcPr>
                  <w:tcW w:w="2145" w:type="dxa"/>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p>
              </w:tc>
              <w:tc>
                <w:tcPr>
                  <w:tcW w:w="992"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碎石生产线</w:t>
                  </w:r>
                </w:p>
              </w:tc>
              <w:tc>
                <w:tcPr>
                  <w:tcW w:w="241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szCs w:val="21"/>
                    </w:rPr>
                    <w:t>圆锥破碎机</w:t>
                  </w:r>
                </w:p>
              </w:tc>
              <w:tc>
                <w:tcPr>
                  <w:tcW w:w="170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szCs w:val="21"/>
                    </w:rPr>
                    <w:t>HPY300</w:t>
                  </w:r>
                </w:p>
              </w:tc>
              <w:tc>
                <w:tcPr>
                  <w:tcW w:w="85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szCs w:val="21"/>
                    </w:rPr>
                    <w:t>1台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szCs w:val="21"/>
                    </w:rPr>
                    <w:t>振动筛</w:t>
                  </w:r>
                </w:p>
              </w:tc>
              <w:tc>
                <w:tcPr>
                  <w:tcW w:w="1701" w:type="dxa"/>
                  <w:shd w:val="clear" w:color="auto" w:fill="auto"/>
                  <w:vAlign w:val="center"/>
                </w:tcPr>
                <w:p>
                  <w:pPr>
                    <w:jc w:val="center"/>
                    <w:rPr>
                      <w:rFonts w:ascii="Times New Roman" w:hAnsi="Times New Roman"/>
                      <w:szCs w:val="21"/>
                    </w:rPr>
                  </w:pPr>
                  <w:r>
                    <w:rPr>
                      <w:rFonts w:ascii="Times New Roman" w:hAnsi="Times New Roman"/>
                      <w:szCs w:val="21"/>
                    </w:rPr>
                    <w:t>3YS2270</w:t>
                  </w:r>
                </w:p>
              </w:tc>
              <w:tc>
                <w:tcPr>
                  <w:tcW w:w="850" w:type="dxa"/>
                  <w:shd w:val="clear" w:color="auto" w:fill="auto"/>
                  <w:vAlign w:val="center"/>
                </w:tcPr>
                <w:p>
                  <w:pPr>
                    <w:jc w:val="center"/>
                    <w:rPr>
                      <w:rFonts w:ascii="Times New Roman" w:hAnsi="Times New Roman"/>
                      <w:szCs w:val="21"/>
                    </w:rPr>
                  </w:pPr>
                  <w:r>
                    <w:rPr>
                      <w:rFonts w:ascii="Times New Roman" w:hAnsi="Times New Roman"/>
                      <w:szCs w:val="21"/>
                    </w:rPr>
                    <w:t>1台</w:t>
                  </w:r>
                </w:p>
              </w:tc>
              <w:tc>
                <w:tcPr>
                  <w:tcW w:w="2145"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szCs w:val="21"/>
                    </w:rPr>
                    <w:t>鄂式破碎机</w:t>
                  </w:r>
                </w:p>
              </w:tc>
              <w:tc>
                <w:tcPr>
                  <w:tcW w:w="1701" w:type="dxa"/>
                  <w:shd w:val="clear" w:color="auto" w:fill="auto"/>
                  <w:vAlign w:val="center"/>
                </w:tcPr>
                <w:p>
                  <w:pPr>
                    <w:jc w:val="center"/>
                    <w:rPr>
                      <w:rFonts w:ascii="Times New Roman" w:hAnsi="Times New Roman"/>
                      <w:szCs w:val="21"/>
                    </w:rPr>
                  </w:pPr>
                  <w:r>
                    <w:rPr>
                      <w:rFonts w:ascii="Times New Roman" w:hAnsi="Times New Roman"/>
                      <w:szCs w:val="21"/>
                    </w:rPr>
                    <w:t>PE600×900</w:t>
                  </w:r>
                </w:p>
              </w:tc>
              <w:tc>
                <w:tcPr>
                  <w:tcW w:w="850" w:type="dxa"/>
                  <w:shd w:val="clear" w:color="auto" w:fill="auto"/>
                  <w:vAlign w:val="center"/>
                </w:tcPr>
                <w:p>
                  <w:pPr>
                    <w:jc w:val="center"/>
                    <w:rPr>
                      <w:rFonts w:ascii="Times New Roman" w:hAnsi="Times New Roman"/>
                      <w:szCs w:val="21"/>
                    </w:rPr>
                  </w:pPr>
                  <w:r>
                    <w:rPr>
                      <w:rFonts w:ascii="Times New Roman" w:hAnsi="Times New Roman"/>
                      <w:szCs w:val="21"/>
                    </w:rPr>
                    <w:t>1台</w:t>
                  </w:r>
                </w:p>
              </w:tc>
              <w:tc>
                <w:tcPr>
                  <w:tcW w:w="2145"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szCs w:val="21"/>
                    </w:rPr>
                    <w:t>给料机</w:t>
                  </w:r>
                </w:p>
              </w:tc>
              <w:tc>
                <w:tcPr>
                  <w:tcW w:w="1701" w:type="dxa"/>
                  <w:shd w:val="clear" w:color="auto" w:fill="auto"/>
                  <w:vAlign w:val="center"/>
                </w:tcPr>
                <w:p>
                  <w:pPr>
                    <w:jc w:val="center"/>
                    <w:rPr>
                      <w:rFonts w:ascii="Times New Roman" w:hAnsi="Times New Roman"/>
                      <w:szCs w:val="21"/>
                    </w:rPr>
                  </w:pPr>
                  <w:r>
                    <w:rPr>
                      <w:rFonts w:ascii="Times New Roman" w:hAnsi="Times New Roman"/>
                      <w:szCs w:val="21"/>
                    </w:rPr>
                    <w:t>4000×800</w:t>
                  </w:r>
                </w:p>
              </w:tc>
              <w:tc>
                <w:tcPr>
                  <w:tcW w:w="850" w:type="dxa"/>
                  <w:shd w:val="clear" w:color="auto" w:fill="auto"/>
                  <w:vAlign w:val="center"/>
                </w:tcPr>
                <w:p>
                  <w:pPr>
                    <w:jc w:val="center"/>
                    <w:rPr>
                      <w:rFonts w:ascii="Times New Roman" w:hAnsi="Times New Roman"/>
                      <w:szCs w:val="21"/>
                    </w:rPr>
                  </w:pPr>
                  <w:r>
                    <w:rPr>
                      <w:rFonts w:ascii="Times New Roman" w:hAnsi="Times New Roman"/>
                      <w:szCs w:val="21"/>
                    </w:rPr>
                    <w:t>1台</w:t>
                  </w:r>
                </w:p>
              </w:tc>
              <w:tc>
                <w:tcPr>
                  <w:tcW w:w="2145"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szCs w:val="21"/>
                    </w:rPr>
                    <w:t>皮带输送机</w:t>
                  </w:r>
                </w:p>
              </w:tc>
              <w:tc>
                <w:tcPr>
                  <w:tcW w:w="1701" w:type="dxa"/>
                  <w:shd w:val="clear" w:color="auto" w:fill="auto"/>
                  <w:vAlign w:val="center"/>
                </w:tcPr>
                <w:p>
                  <w:pPr>
                    <w:jc w:val="center"/>
                    <w:rPr>
                      <w:rFonts w:ascii="Times New Roman" w:hAnsi="Times New Roman"/>
                      <w:szCs w:val="21"/>
                    </w:rPr>
                  </w:pPr>
                  <w:r>
                    <w:rPr>
                      <w:rFonts w:hint="eastAsia" w:ascii="Times New Roman" w:hAnsi="Times New Roman"/>
                      <w:szCs w:val="21"/>
                    </w:rPr>
                    <w:t>/</w:t>
                  </w:r>
                </w:p>
              </w:tc>
              <w:tc>
                <w:tcPr>
                  <w:tcW w:w="850" w:type="dxa"/>
                  <w:shd w:val="clear" w:color="auto" w:fill="auto"/>
                  <w:vAlign w:val="center"/>
                </w:tcPr>
                <w:p>
                  <w:pPr>
                    <w:jc w:val="center"/>
                    <w:rPr>
                      <w:rFonts w:ascii="Times New Roman" w:hAnsi="Times New Roman"/>
                      <w:szCs w:val="21"/>
                    </w:rPr>
                  </w:pPr>
                  <w:r>
                    <w:rPr>
                      <w:rFonts w:ascii="Times New Roman" w:hAnsi="Times New Roman"/>
                      <w:szCs w:val="21"/>
                    </w:rPr>
                    <w:t>5台</w:t>
                  </w:r>
                </w:p>
              </w:tc>
              <w:tc>
                <w:tcPr>
                  <w:tcW w:w="2145"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6</w:t>
                  </w:r>
                </w:p>
              </w:tc>
              <w:tc>
                <w:tcPr>
                  <w:tcW w:w="992" w:type="dxa"/>
                  <w:vMerge w:val="restart"/>
                  <w:vAlign w:val="center"/>
                </w:tcPr>
                <w:p>
                  <w:pPr>
                    <w:jc w:val="center"/>
                    <w:rPr>
                      <w:rFonts w:ascii="Times New Roman" w:hAnsi="Times New Roman"/>
                      <w:szCs w:val="21"/>
                    </w:rPr>
                  </w:pPr>
                  <w:r>
                    <w:rPr>
                      <w:rFonts w:hint="eastAsia" w:ascii="Times New Roman" w:hAnsi="Times New Roman"/>
                      <w:szCs w:val="21"/>
                    </w:rPr>
                    <w:t>页岩砖生产线</w:t>
                  </w: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链板给料机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XGL100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4台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w:t>
                  </w:r>
                  <w:r>
                    <w:rPr>
                      <w:rFonts w:hint="eastAsia" w:ascii="Times New Roman" w:hAnsi="Times New Roman"/>
                      <w:color w:val="000000" w:themeColor="text1"/>
                      <w:szCs w:val="21"/>
                      <w14:textFill>
                        <w14:solidFill>
                          <w14:schemeClr w14:val="tx1"/>
                        </w14:solidFill>
                      </w14:textFill>
                    </w:rPr>
                    <w:t>新增2</w:t>
                  </w:r>
                  <w:r>
                    <w:rPr>
                      <w:rFonts w:ascii="Times New Roman" w:hAnsi="Times New Roman"/>
                      <w:color w:val="000000" w:themeColor="text1"/>
                      <w:szCs w:val="2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颚式破碎机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Φ2000*1200PC</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1台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破碎工序，利旧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锤式破碎机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Φ1300*1300PC</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1台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破碎工序，利旧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搅拌机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SJ400X45</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破碎工序，新增</w:t>
                  </w: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0</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滚筒筛</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GS2.2m*6m</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2台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破碎工序，新增</w:t>
                  </w: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1</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输送带</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SD800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10条</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破碎工序，新增</w:t>
                  </w: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2</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可移布料机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SD800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陈化工序，新增1台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3</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挖掘机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DQY50-950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4</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陈化工序，新增2台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4</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轴流风机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ZDZL-22A</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陈化工序，新增1台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输送带</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SD800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16条</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陈化工序，新增8条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箱式给料机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XGD100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粗碎对辊机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800*800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细对辊机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800*800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双轴搅拌挤出机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SJJ400*42</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0"/>
                      <w14:textFill>
                        <w14:solidFill>
                          <w14:schemeClr w14:val="tx1"/>
                        </w14:solidFill>
                      </w14:textFill>
                    </w:rPr>
                    <w:t>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制砖工序，新增1台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0</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真空挤砖机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JKY600-4.0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0"/>
                      <w14:textFill>
                        <w14:solidFill>
                          <w14:schemeClr w14:val="tx1"/>
                        </w14:solidFill>
                      </w14:textFill>
                    </w:rPr>
                    <w:t>1台</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制砖工序，利旧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1</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输送带</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SD800</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12条</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制砖工序，新增6条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2</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自动码坯机系统（含切坯、切条机）</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4"/>
                      <w14:textFill>
                        <w14:solidFill>
                          <w14:schemeClr w14:val="tx1"/>
                        </w14:solidFill>
                      </w14:textFill>
                    </w:rPr>
                    <w:t>2套</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码坯工序，新增2套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3</w:t>
                  </w:r>
                </w:p>
              </w:tc>
              <w:tc>
                <w:tcPr>
                  <w:tcW w:w="992" w:type="dxa"/>
                  <w:vMerge w:val="continue"/>
                  <w:vAlign w:val="center"/>
                </w:tcPr>
                <w:p>
                  <w:pPr>
                    <w:jc w:val="center"/>
                    <w:rPr>
                      <w:rFonts w:ascii="Times New Roman" w:hAnsi="Times New Roman"/>
                      <w:szCs w:val="21"/>
                    </w:rPr>
                  </w:pPr>
                </w:p>
              </w:tc>
              <w:tc>
                <w:tcPr>
                  <w:tcW w:w="241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隧道窑窑体</w:t>
                  </w:r>
                </w:p>
              </w:tc>
              <w:tc>
                <w:tcPr>
                  <w:tcW w:w="1701"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w:t>
                  </w:r>
                </w:p>
              </w:tc>
              <w:tc>
                <w:tcPr>
                  <w:tcW w:w="850" w:type="dxa"/>
                  <w:shd w:val="clear" w:color="auto" w:fill="auto"/>
                  <w:vAlign w:val="center"/>
                </w:tcPr>
                <w:p>
                  <w:pPr>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1套</w:t>
                  </w:r>
                </w:p>
              </w:tc>
              <w:tc>
                <w:tcPr>
                  <w:tcW w:w="214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焙烧工序，新增1套</w:t>
                  </w:r>
                </w:p>
              </w:tc>
            </w:tr>
          </w:tbl>
          <w:p>
            <w:pPr>
              <w:spacing w:line="360" w:lineRule="auto"/>
              <w:jc w:val="center"/>
              <w:textAlignment w:val="baseline"/>
              <w:rPr>
                <w:rFonts w:ascii="Times New Roman" w:hAnsi="Times New Roman"/>
                <w:b/>
                <w:sz w:val="24"/>
                <w:szCs w:val="24"/>
              </w:rPr>
            </w:pPr>
            <w:r>
              <w:rPr>
                <w:rFonts w:hint="eastAsia" w:ascii="Times New Roman" w:hAnsi="Times New Roman"/>
                <w:b/>
                <w:sz w:val="24"/>
                <w:szCs w:val="24"/>
              </w:rPr>
              <w:t>表1</w:t>
            </w:r>
            <w:r>
              <w:rPr>
                <w:rFonts w:ascii="Times New Roman" w:hAnsi="Times New Roman"/>
                <w:b/>
                <w:sz w:val="24"/>
                <w:szCs w:val="24"/>
              </w:rPr>
              <w:t xml:space="preserve">-8  </w:t>
            </w:r>
            <w:r>
              <w:rPr>
                <w:rFonts w:hint="eastAsia" w:ascii="Times New Roman" w:hAnsi="Times New Roman"/>
                <w:b/>
                <w:sz w:val="24"/>
                <w:szCs w:val="24"/>
              </w:rPr>
              <w:t>隧道窑窑体内设备清单</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94"/>
              <w:gridCol w:w="1689"/>
              <w:gridCol w:w="3112"/>
              <w:gridCol w:w="1699"/>
              <w:gridCol w:w="15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0" w:type="dxa"/>
                  <w:vAlign w:val="center"/>
                </w:tcPr>
                <w:p>
                  <w:pPr>
                    <w:pStyle w:val="9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689" w:type="dxa"/>
                  <w:vAlign w:val="center"/>
                </w:tcPr>
                <w:p>
                  <w:pPr>
                    <w:pStyle w:val="9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组成系统</w:t>
                  </w:r>
                </w:p>
              </w:tc>
              <w:tc>
                <w:tcPr>
                  <w:tcW w:w="3118" w:type="dxa"/>
                  <w:vAlign w:val="center"/>
                </w:tcPr>
                <w:p>
                  <w:pPr>
                    <w:pStyle w:val="9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组成单元</w:t>
                  </w:r>
                </w:p>
              </w:tc>
              <w:tc>
                <w:tcPr>
                  <w:tcW w:w="1699" w:type="dxa"/>
                  <w:vAlign w:val="center"/>
                </w:tcPr>
                <w:p>
                  <w:pPr>
                    <w:pStyle w:val="9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1544" w:type="dxa"/>
                  <w:vAlign w:val="center"/>
                </w:tcPr>
                <w:p>
                  <w:pPr>
                    <w:pStyle w:val="9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传动系统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电机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减速机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主动轮</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从动轮</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钢轨</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钢轨预埋件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窑体钢构</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钢骨架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69.5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板材</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88.74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管道系统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回热管道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70.6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预热管道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分流管道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热风高压特殊风机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管道闸阀</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25.46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干燥系统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观察窗</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观察门</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梯形喷嘴</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660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三角喷嘴</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回风管道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窑体耐火系统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耐火材料</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141.12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保温材料</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43.92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耐火管</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操作台</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操作室</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配电室</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配电柜</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手自一体操作系统</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人机操作界面</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控制仪表</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补偿导线</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米</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3990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检测热导偶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支</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火线系统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闸阀</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管道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吨</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30.7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变频风机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调压系统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传动轴</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传动电机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耐火布</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83.5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配重</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输送系统</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环形运坯机</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其他配件</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689" w:type="dxa"/>
                  <w:vMerge w:val="restart"/>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配套设施</w:t>
                  </w: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环形滑触线</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米</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1710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集电器</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配煤台</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电缆电线</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米</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1107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68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118"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人行通道</w:t>
                  </w:r>
                </w:p>
              </w:tc>
              <w:tc>
                <w:tcPr>
                  <w:tcW w:w="1699"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1544" w:type="dxa"/>
                  <w:vAlign w:val="center"/>
                </w:tcPr>
                <w:p>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990" w:type="dxa"/>
                  <w:vAlign w:val="center"/>
                </w:tcPr>
                <w:p>
                  <w:pPr>
                    <w:pStyle w:val="90"/>
                    <w:rPr>
                      <w:b/>
                      <w:color w:val="auto"/>
                      <w:spacing w:val="8"/>
                      <w:sz w:val="24"/>
                    </w:rPr>
                  </w:pPr>
                  <w:r>
                    <w:rPr>
                      <w:rFonts w:hint="eastAsia"/>
                      <w:color w:val="auto"/>
                      <w:szCs w:val="21"/>
                    </w:rPr>
                    <w:t>11</w:t>
                  </w:r>
                </w:p>
              </w:tc>
              <w:tc>
                <w:tcPr>
                  <w:tcW w:w="1689" w:type="dxa"/>
                  <w:vAlign w:val="center"/>
                </w:tcPr>
                <w:p>
                  <w:pPr>
                    <w:pStyle w:val="90"/>
                    <w:rPr>
                      <w:color w:val="auto"/>
                      <w:szCs w:val="21"/>
                    </w:rPr>
                  </w:pPr>
                  <w:r>
                    <w:rPr>
                      <w:rFonts w:hint="eastAsia"/>
                      <w:color w:val="auto"/>
                      <w:szCs w:val="21"/>
                    </w:rPr>
                    <w:t>窑炉尾气在线监控</w:t>
                  </w:r>
                </w:p>
              </w:tc>
              <w:tc>
                <w:tcPr>
                  <w:tcW w:w="3118" w:type="dxa"/>
                  <w:vAlign w:val="center"/>
                </w:tcPr>
                <w:p>
                  <w:pPr>
                    <w:pStyle w:val="90"/>
                    <w:rPr>
                      <w:b/>
                      <w:color w:val="auto"/>
                      <w:spacing w:val="8"/>
                      <w:sz w:val="24"/>
                    </w:rPr>
                  </w:pPr>
                  <w:r>
                    <w:rPr>
                      <w:rFonts w:hint="eastAsia"/>
                      <w:color w:val="auto"/>
                      <w:szCs w:val="21"/>
                    </w:rPr>
                    <w:t>自动在线监测系统</w:t>
                  </w:r>
                </w:p>
              </w:tc>
              <w:tc>
                <w:tcPr>
                  <w:tcW w:w="1699" w:type="dxa"/>
                  <w:vAlign w:val="center"/>
                </w:tcPr>
                <w:p>
                  <w:pPr>
                    <w:pStyle w:val="90"/>
                    <w:rPr>
                      <w:color w:val="auto"/>
                      <w:szCs w:val="21"/>
                    </w:rPr>
                  </w:pPr>
                  <w:r>
                    <w:rPr>
                      <w:color w:val="auto"/>
                      <w:szCs w:val="21"/>
                    </w:rPr>
                    <w:t>套</w:t>
                  </w:r>
                </w:p>
              </w:tc>
              <w:tc>
                <w:tcPr>
                  <w:tcW w:w="1544" w:type="dxa"/>
                  <w:vAlign w:val="center"/>
                </w:tcPr>
                <w:p>
                  <w:pPr>
                    <w:pStyle w:val="90"/>
                    <w:rPr>
                      <w:color w:val="auto"/>
                      <w:szCs w:val="21"/>
                    </w:rPr>
                  </w:pPr>
                  <w:r>
                    <w:rPr>
                      <w:rFonts w:hint="eastAsia"/>
                      <w:color w:val="auto"/>
                      <w:szCs w:val="21"/>
                    </w:rPr>
                    <w:t>1</w:t>
                  </w:r>
                </w:p>
              </w:tc>
            </w:tr>
          </w:tbl>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7</w:t>
            </w:r>
            <w:r>
              <w:rPr>
                <w:rFonts w:ascii="Times New Roman" w:hAnsi="Times New Roman"/>
                <w:b/>
                <w:spacing w:val="8"/>
                <w:sz w:val="24"/>
                <w:szCs w:val="24"/>
              </w:rPr>
              <w:t xml:space="preserve"> 公用及辅助工程</w:t>
            </w:r>
          </w:p>
          <w:p>
            <w:pPr>
              <w:pStyle w:val="58"/>
              <w:kinsoku w:val="0"/>
              <w:overflowPunct w:val="0"/>
              <w:spacing w:line="360" w:lineRule="auto"/>
              <w:jc w:val="left"/>
              <w:rPr>
                <w:rFonts w:ascii="Times New Roman" w:hAnsi="Times New Roman" w:cs="Times New Roman"/>
                <w:spacing w:val="8"/>
              </w:rPr>
            </w:pPr>
            <w:r>
              <w:rPr>
                <w:rFonts w:hint="eastAsia" w:ascii="Times New Roman" w:hAnsi="Times New Roman" w:cs="Times New Roman"/>
                <w:spacing w:val="8"/>
              </w:rPr>
              <w:t>7</w:t>
            </w:r>
            <w:r>
              <w:rPr>
                <w:rFonts w:ascii="Times New Roman" w:hAnsi="Times New Roman" w:cs="Times New Roman"/>
                <w:spacing w:val="8"/>
              </w:rPr>
              <w:t>.1 给排水工程</w:t>
            </w:r>
          </w:p>
          <w:p>
            <w:pPr>
              <w:pStyle w:val="58"/>
              <w:kinsoku w:val="0"/>
              <w:overflowPunct w:val="0"/>
              <w:spacing w:line="360" w:lineRule="auto"/>
              <w:ind w:firstLine="480" w:firstLineChars="200"/>
              <w:jc w:val="left"/>
              <w:rPr>
                <w:rFonts w:ascii="Times New Roman" w:hAnsi="Times New Roman" w:cs="Times New Roman"/>
                <w:b w:val="0"/>
                <w:szCs w:val="24"/>
              </w:rPr>
            </w:pPr>
            <w:r>
              <w:rPr>
                <w:rFonts w:hint="eastAsia" w:ascii="Times New Roman" w:hAnsi="Times New Roman" w:cs="Times New Roman"/>
                <w:b w:val="0"/>
                <w:szCs w:val="24"/>
              </w:rPr>
              <w:t>（1）给水系统</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本项目给水水源为由鸬鹚渡镇百亩村地下水供水，可以满足本工程的用水要求，项目用水包括生活用水、搅拌用水、搅拌机清洗用水、喷淋用水、脱硫系统补充水以及降尘用水。</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①生活用水：本项目劳动定员为</w:t>
            </w:r>
            <w:r>
              <w:rPr>
                <w:rFonts w:ascii="Times New Roman" w:hAnsi="Times New Roman" w:cs="Times New Roman"/>
                <w:b w:val="0"/>
                <w:szCs w:val="24"/>
              </w:rPr>
              <w:t>24</w:t>
            </w:r>
            <w:r>
              <w:rPr>
                <w:rFonts w:hint="eastAsia" w:ascii="Times New Roman" w:hAnsi="Times New Roman" w:cs="Times New Roman"/>
                <w:b w:val="0"/>
                <w:szCs w:val="24"/>
              </w:rPr>
              <w:t>人，厂内设有食堂，无住宿，根据《湖南省用水定额》（DB43/T388-201</w:t>
            </w:r>
            <w:r>
              <w:rPr>
                <w:rFonts w:ascii="Times New Roman" w:hAnsi="Times New Roman" w:cs="Times New Roman"/>
                <w:b w:val="0"/>
                <w:szCs w:val="24"/>
              </w:rPr>
              <w:t>8</w:t>
            </w:r>
            <w:r>
              <w:rPr>
                <w:rFonts w:hint="eastAsia" w:ascii="Times New Roman" w:hAnsi="Times New Roman" w:cs="Times New Roman"/>
                <w:b w:val="0"/>
                <w:szCs w:val="24"/>
              </w:rPr>
              <w:t>），由于本项目不提供住宿，故生活用水按50L/人d计，因此职工生活用水量为</w:t>
            </w:r>
            <w:r>
              <w:rPr>
                <w:rFonts w:ascii="Times New Roman" w:hAnsi="Times New Roman" w:cs="Times New Roman"/>
                <w:b w:val="0"/>
                <w:szCs w:val="24"/>
              </w:rPr>
              <w:t>1.2</w:t>
            </w:r>
            <w:r>
              <w:rPr>
                <w:rFonts w:hint="eastAsia" w:ascii="Times New Roman" w:hAnsi="Times New Roman" w:cs="Times New Roman"/>
                <w:b w:val="0"/>
                <w:szCs w:val="24"/>
              </w:rPr>
              <w:t>m</w:t>
            </w:r>
            <w:r>
              <w:rPr>
                <w:rFonts w:hint="eastAsia" w:ascii="Times New Roman" w:hAnsi="Times New Roman" w:cs="Times New Roman"/>
                <w:b w:val="0"/>
                <w:szCs w:val="24"/>
                <w:vertAlign w:val="superscript"/>
              </w:rPr>
              <w:t>3</w:t>
            </w:r>
            <w:r>
              <w:rPr>
                <w:rFonts w:hint="eastAsia" w:ascii="Times New Roman" w:hAnsi="Times New Roman" w:cs="Times New Roman"/>
                <w:b w:val="0"/>
                <w:szCs w:val="24"/>
              </w:rPr>
              <w:t>/d（2</w:t>
            </w:r>
            <w:r>
              <w:rPr>
                <w:rFonts w:ascii="Times New Roman" w:hAnsi="Times New Roman" w:cs="Times New Roman"/>
                <w:b w:val="0"/>
                <w:szCs w:val="24"/>
              </w:rPr>
              <w:t>88</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/a）。</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②搅拌用水：根据建设方提供的资料，本项目搅拌用水量为3</w:t>
            </w:r>
            <w:r>
              <w:rPr>
                <w:rFonts w:ascii="Times New Roman" w:hAnsi="Times New Roman" w:cs="Times New Roman"/>
                <w:b w:val="0"/>
                <w:szCs w:val="24"/>
              </w:rPr>
              <w:t>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/d（7</w:t>
            </w:r>
            <w:r>
              <w:rPr>
                <w:rFonts w:ascii="Times New Roman" w:hAnsi="Times New Roman" w:cs="Times New Roman"/>
                <w:b w:val="0"/>
                <w:szCs w:val="24"/>
              </w:rPr>
              <w:t>200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/a）。</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③搅拌机清洗用水：根据建设方提供的资料，预计搅拌机清洗用水量为</w:t>
            </w:r>
            <w:r>
              <w:rPr>
                <w:rFonts w:ascii="Times New Roman" w:hAnsi="Times New Roman" w:cs="Times New Roman"/>
                <w:b w:val="0"/>
                <w:szCs w:val="24"/>
              </w:rPr>
              <w:t>0.1</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/d（2</w:t>
            </w:r>
            <w:r>
              <w:rPr>
                <w:rFonts w:ascii="Times New Roman" w:hAnsi="Times New Roman" w:cs="Times New Roman"/>
                <w:b w:val="0"/>
                <w:szCs w:val="24"/>
              </w:rPr>
              <w:t>4</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/a）。</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④喷淋用水：本项目设置两套喷淋式除尘器，喷淋循环水量为</w:t>
            </w:r>
            <w:r>
              <w:rPr>
                <w:rFonts w:ascii="Times New Roman" w:hAnsi="Times New Roman" w:cs="Times New Roman"/>
                <w:b w:val="0"/>
                <w:szCs w:val="24"/>
              </w:rPr>
              <w:t>5</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/次，补充耗损量为0</w:t>
            </w:r>
            <w:r>
              <w:rPr>
                <w:rFonts w:ascii="Times New Roman" w:hAnsi="Times New Roman" w:cs="Times New Roman"/>
                <w:b w:val="0"/>
                <w:szCs w:val="24"/>
              </w:rPr>
              <w:t>.5</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ascii="Times New Roman" w:hAnsi="Times New Roman" w:cs="Times New Roman"/>
                <w:b w:val="0"/>
                <w:szCs w:val="24"/>
              </w:rPr>
              <w:t>/</w:t>
            </w:r>
            <w:r>
              <w:rPr>
                <w:rFonts w:hint="eastAsia" w:ascii="Times New Roman" w:hAnsi="Times New Roman" w:cs="Times New Roman"/>
                <w:b w:val="0"/>
                <w:szCs w:val="24"/>
              </w:rPr>
              <w:t>d（1</w:t>
            </w:r>
            <w:r>
              <w:rPr>
                <w:rFonts w:ascii="Times New Roman" w:hAnsi="Times New Roman" w:cs="Times New Roman"/>
                <w:b w:val="0"/>
                <w:szCs w:val="24"/>
              </w:rPr>
              <w:t>20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/a）。</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⑤脱硫系统补充水：脱硫废水在加入石灰水沉淀后，可循环使用，定期补充烧碱和水，循环水量为1</w:t>
            </w:r>
            <w:r>
              <w:rPr>
                <w:rFonts w:ascii="Times New Roman" w:hAnsi="Times New Roman" w:cs="Times New Roman"/>
                <w:b w:val="0"/>
                <w:szCs w:val="24"/>
              </w:rPr>
              <w:t>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ascii="Times New Roman" w:hAnsi="Times New Roman" w:cs="Times New Roman"/>
                <w:b w:val="0"/>
                <w:szCs w:val="24"/>
              </w:rPr>
              <w:t>/</w:t>
            </w:r>
            <w:r>
              <w:rPr>
                <w:rFonts w:hint="eastAsia" w:ascii="Times New Roman" w:hAnsi="Times New Roman" w:cs="Times New Roman"/>
                <w:b w:val="0"/>
                <w:szCs w:val="24"/>
              </w:rPr>
              <w:t>次，补充水量为2m</w:t>
            </w:r>
            <w:r>
              <w:rPr>
                <w:rFonts w:ascii="Times New Roman" w:hAnsi="Times New Roman" w:cs="Times New Roman"/>
                <w:b w:val="0"/>
                <w:szCs w:val="24"/>
                <w:vertAlign w:val="superscript"/>
              </w:rPr>
              <w:t>3</w:t>
            </w:r>
            <w:r>
              <w:rPr>
                <w:rFonts w:hint="eastAsia" w:ascii="Times New Roman" w:hAnsi="Times New Roman" w:cs="Times New Roman"/>
                <w:b w:val="0"/>
                <w:szCs w:val="24"/>
              </w:rPr>
              <w:t>/d（4</w:t>
            </w:r>
            <w:r>
              <w:rPr>
                <w:rFonts w:ascii="Times New Roman" w:hAnsi="Times New Roman" w:cs="Times New Roman"/>
                <w:b w:val="0"/>
                <w:szCs w:val="24"/>
              </w:rPr>
              <w:t>80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/a）。</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⑥降尘用水：项目生产过程中开采、破碎、筛分工序产生的粉尘，采用湿法降尘，以减少粉尘的外排；对于各皮带输送段的下料处安装水雾化喷淋，减少粉尘的产生；对运输道路和产品堆场进行洒水抑尘。项目降尘用水量约2</w:t>
            </w:r>
            <w:r>
              <w:rPr>
                <w:rFonts w:ascii="Times New Roman" w:hAnsi="Times New Roman" w:cs="Times New Roman"/>
                <w:b w:val="0"/>
                <w:szCs w:val="24"/>
              </w:rPr>
              <w:t>0</w:t>
            </w:r>
            <w:r>
              <w:rPr>
                <w:rFonts w:hint="eastAsia" w:ascii="Times New Roman" w:hAnsi="Times New Roman" w:cs="Times New Roman"/>
                <w:b w:val="0"/>
                <w:szCs w:val="24"/>
              </w:rPr>
              <w:t>m</w:t>
            </w:r>
            <w:r>
              <w:rPr>
                <w:rFonts w:ascii="Times New Roman" w:hAnsi="Times New Roman" w:cs="Times New Roman"/>
                <w:b w:val="0"/>
                <w:szCs w:val="24"/>
                <w:vertAlign w:val="superscript"/>
              </w:rPr>
              <w:t>3</w:t>
            </w:r>
            <w:r>
              <w:rPr>
                <w:rFonts w:hint="eastAsia" w:ascii="Times New Roman" w:hAnsi="Times New Roman" w:cs="Times New Roman"/>
                <w:b w:val="0"/>
                <w:szCs w:val="24"/>
              </w:rPr>
              <w:t>/d（</w:t>
            </w:r>
            <w:r>
              <w:rPr>
                <w:rFonts w:ascii="Times New Roman" w:hAnsi="Times New Roman" w:cs="Times New Roman"/>
                <w:b w:val="0"/>
                <w:szCs w:val="24"/>
              </w:rPr>
              <w:t>480</w:t>
            </w:r>
            <w:r>
              <w:rPr>
                <w:rFonts w:hint="eastAsia" w:ascii="Times New Roman" w:hAnsi="Times New Roman" w:cs="Times New Roman"/>
                <w:b w:val="0"/>
                <w:szCs w:val="24"/>
              </w:rPr>
              <w:t>0m</w:t>
            </w:r>
            <w:r>
              <w:rPr>
                <w:rFonts w:hint="eastAsia" w:ascii="Times New Roman" w:hAnsi="Times New Roman" w:cs="Times New Roman"/>
                <w:b w:val="0"/>
                <w:szCs w:val="24"/>
                <w:vertAlign w:val="superscript"/>
              </w:rPr>
              <w:t>3</w:t>
            </w:r>
            <w:r>
              <w:rPr>
                <w:rFonts w:hint="eastAsia" w:ascii="Times New Roman" w:hAnsi="Times New Roman" w:cs="Times New Roman"/>
                <w:b w:val="0"/>
                <w:szCs w:val="24"/>
              </w:rPr>
              <w:t>/a）。</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详细用水量估算见表1-9。</w:t>
            </w:r>
          </w:p>
          <w:p>
            <w:pPr>
              <w:spacing w:line="360" w:lineRule="auto"/>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表1-9  用水量估算表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609"/>
              <w:gridCol w:w="1583"/>
              <w:gridCol w:w="1361"/>
              <w:gridCol w:w="1857"/>
              <w:gridCol w:w="18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66" w:type="dxa"/>
                  <w:gridSpan w:val="2"/>
                  <w:vAlign w:val="center"/>
                </w:tcPr>
                <w:p>
                  <w:pPr>
                    <w:jc w:val="center"/>
                    <w:rPr>
                      <w:rFonts w:ascii="Times New Roman" w:hAnsi="Times New Roman"/>
                      <w:b/>
                      <w:color w:val="000000" w:themeColor="text1"/>
                      <w:kern w:val="21"/>
                      <w:szCs w:val="21"/>
                      <w14:textFill>
                        <w14:solidFill>
                          <w14:schemeClr w14:val="tx1"/>
                        </w14:solidFill>
                      </w14:textFill>
                    </w:rPr>
                  </w:pPr>
                  <w:r>
                    <w:rPr>
                      <w:rFonts w:ascii="Times New Roman" w:hAnsi="Times New Roman"/>
                      <w:b/>
                      <w:color w:val="000000" w:themeColor="text1"/>
                      <w:kern w:val="21"/>
                      <w:szCs w:val="21"/>
                      <w14:textFill>
                        <w14:solidFill>
                          <w14:schemeClr w14:val="tx1"/>
                        </w14:solidFill>
                      </w14:textFill>
                    </w:rPr>
                    <w:t>名称</w:t>
                  </w:r>
                </w:p>
              </w:tc>
              <w:tc>
                <w:tcPr>
                  <w:tcW w:w="1544" w:type="dxa"/>
                  <w:vAlign w:val="center"/>
                </w:tcPr>
                <w:p>
                  <w:pPr>
                    <w:jc w:val="center"/>
                    <w:rPr>
                      <w:rFonts w:ascii="Times New Roman" w:hAnsi="Times New Roman"/>
                      <w:b/>
                      <w:color w:val="000000" w:themeColor="text1"/>
                      <w:kern w:val="21"/>
                      <w:szCs w:val="21"/>
                      <w14:textFill>
                        <w14:solidFill>
                          <w14:schemeClr w14:val="tx1"/>
                        </w14:solidFill>
                      </w14:textFill>
                    </w:rPr>
                  </w:pPr>
                  <w:r>
                    <w:rPr>
                      <w:rFonts w:ascii="Times New Roman" w:hAnsi="Times New Roman"/>
                      <w:b/>
                      <w:color w:val="000000" w:themeColor="text1"/>
                      <w:kern w:val="21"/>
                      <w:szCs w:val="21"/>
                      <w14:textFill>
                        <w14:solidFill>
                          <w14:schemeClr w14:val="tx1"/>
                        </w14:solidFill>
                      </w14:textFill>
                    </w:rPr>
                    <w:t>用水定额</w:t>
                  </w:r>
                </w:p>
              </w:tc>
              <w:tc>
                <w:tcPr>
                  <w:tcW w:w="1327" w:type="dxa"/>
                  <w:vAlign w:val="center"/>
                </w:tcPr>
                <w:p>
                  <w:pPr>
                    <w:jc w:val="center"/>
                    <w:rPr>
                      <w:rFonts w:ascii="Times New Roman" w:hAnsi="Times New Roman"/>
                      <w:b/>
                      <w:color w:val="000000" w:themeColor="text1"/>
                      <w:kern w:val="21"/>
                      <w:szCs w:val="21"/>
                      <w14:textFill>
                        <w14:solidFill>
                          <w14:schemeClr w14:val="tx1"/>
                        </w14:solidFill>
                      </w14:textFill>
                    </w:rPr>
                  </w:pPr>
                  <w:r>
                    <w:rPr>
                      <w:rFonts w:ascii="Times New Roman" w:hAnsi="Times New Roman"/>
                      <w:b/>
                      <w:color w:val="000000" w:themeColor="text1"/>
                      <w:kern w:val="21"/>
                      <w:szCs w:val="21"/>
                      <w14:textFill>
                        <w14:solidFill>
                          <w14:schemeClr w14:val="tx1"/>
                        </w14:solidFill>
                      </w14:textFill>
                    </w:rPr>
                    <w:t>用水规模</w:t>
                  </w:r>
                </w:p>
              </w:tc>
              <w:tc>
                <w:tcPr>
                  <w:tcW w:w="1811" w:type="dxa"/>
                  <w:vAlign w:val="center"/>
                </w:tcPr>
                <w:p>
                  <w:pPr>
                    <w:jc w:val="center"/>
                    <w:rPr>
                      <w:rFonts w:ascii="Times New Roman" w:hAnsi="Times New Roman"/>
                      <w:b/>
                      <w:color w:val="000000" w:themeColor="text1"/>
                      <w:kern w:val="21"/>
                      <w:szCs w:val="21"/>
                      <w14:textFill>
                        <w14:solidFill>
                          <w14:schemeClr w14:val="tx1"/>
                        </w14:solidFill>
                      </w14:textFill>
                    </w:rPr>
                  </w:pPr>
                  <w:r>
                    <w:rPr>
                      <w:rFonts w:ascii="Times New Roman" w:hAnsi="Times New Roman"/>
                      <w:b/>
                      <w:color w:val="000000" w:themeColor="text1"/>
                      <w:kern w:val="21"/>
                      <w:szCs w:val="21"/>
                      <w14:textFill>
                        <w14:solidFill>
                          <w14:schemeClr w14:val="tx1"/>
                        </w14:solidFill>
                      </w14:textFill>
                    </w:rPr>
                    <w:t>用水量（m</w:t>
                  </w:r>
                  <w:r>
                    <w:rPr>
                      <w:rFonts w:ascii="Times New Roman" w:hAnsi="Times New Roman"/>
                      <w:b/>
                      <w:color w:val="000000" w:themeColor="text1"/>
                      <w:kern w:val="21"/>
                      <w:szCs w:val="21"/>
                      <w:vertAlign w:val="superscript"/>
                      <w14:textFill>
                        <w14:solidFill>
                          <w14:schemeClr w14:val="tx1"/>
                        </w14:solidFill>
                      </w14:textFill>
                    </w:rPr>
                    <w:t>3</w:t>
                  </w:r>
                  <w:r>
                    <w:rPr>
                      <w:rFonts w:ascii="Times New Roman" w:hAnsi="Times New Roman"/>
                      <w:b/>
                      <w:color w:val="000000" w:themeColor="text1"/>
                      <w:kern w:val="21"/>
                      <w:szCs w:val="21"/>
                      <w14:textFill>
                        <w14:solidFill>
                          <w14:schemeClr w14:val="tx1"/>
                        </w14:solidFill>
                      </w14:textFill>
                    </w:rPr>
                    <w:t>/d）</w:t>
                  </w:r>
                </w:p>
              </w:tc>
              <w:tc>
                <w:tcPr>
                  <w:tcW w:w="1766" w:type="dxa"/>
                  <w:vAlign w:val="center"/>
                </w:tcPr>
                <w:p>
                  <w:pPr>
                    <w:jc w:val="center"/>
                    <w:rPr>
                      <w:rFonts w:ascii="Times New Roman" w:hAnsi="Times New Roman"/>
                      <w:b/>
                      <w:color w:val="000000" w:themeColor="text1"/>
                      <w:kern w:val="21"/>
                      <w:szCs w:val="21"/>
                      <w14:textFill>
                        <w14:solidFill>
                          <w14:schemeClr w14:val="tx1"/>
                        </w14:solidFill>
                      </w14:textFill>
                    </w:rPr>
                  </w:pPr>
                  <w:r>
                    <w:rPr>
                      <w:rFonts w:ascii="Times New Roman" w:hAnsi="Times New Roman"/>
                      <w:b/>
                      <w:color w:val="000000" w:themeColor="text1"/>
                      <w:kern w:val="21"/>
                      <w:szCs w:val="21"/>
                      <w14:textFill>
                        <w14:solidFill>
                          <w14:schemeClr w14:val="tx1"/>
                        </w14:solidFill>
                      </w14:textFill>
                    </w:rPr>
                    <w:t>用水量（m</w:t>
                  </w:r>
                  <w:r>
                    <w:rPr>
                      <w:rFonts w:ascii="Times New Roman" w:hAnsi="Times New Roman"/>
                      <w:b/>
                      <w:color w:val="000000" w:themeColor="text1"/>
                      <w:kern w:val="21"/>
                      <w:szCs w:val="21"/>
                      <w:vertAlign w:val="superscript"/>
                      <w14:textFill>
                        <w14:solidFill>
                          <w14:schemeClr w14:val="tx1"/>
                        </w14:solidFill>
                      </w14:textFill>
                    </w:rPr>
                    <w:t>3</w:t>
                  </w:r>
                  <w:r>
                    <w:rPr>
                      <w:rFonts w:ascii="Times New Roman" w:hAnsi="Times New Roman"/>
                      <w:b/>
                      <w:color w:val="000000" w:themeColor="text1"/>
                      <w:kern w:val="21"/>
                      <w:szCs w:val="2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66" w:type="dxa"/>
                  <w:gridSpan w:val="2"/>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生活用水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50L/人·d</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24人</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1.2</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7" w:type="dxa"/>
                  <w:vMerge w:val="restart"/>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生产用水</w:t>
                  </w:r>
                </w:p>
              </w:tc>
              <w:tc>
                <w:tcPr>
                  <w:tcW w:w="1569"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搅拌用水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30</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7200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7" w:type="dxa"/>
                  <w:vMerge w:val="continue"/>
                  <w:vAlign w:val="center"/>
                </w:tcPr>
                <w:p>
                  <w:pPr>
                    <w:jc w:val="center"/>
                    <w:rPr>
                      <w:rFonts w:ascii="Times New Roman" w:hAnsi="Times New Roman"/>
                      <w:color w:val="000000" w:themeColor="text1"/>
                      <w:kern w:val="21"/>
                      <w:szCs w:val="21"/>
                      <w14:textFill>
                        <w14:solidFill>
                          <w14:schemeClr w14:val="tx1"/>
                        </w14:solidFill>
                      </w14:textFill>
                    </w:rPr>
                  </w:pPr>
                </w:p>
              </w:tc>
              <w:tc>
                <w:tcPr>
                  <w:tcW w:w="1569"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搅拌机清洗用水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0</w:t>
                  </w:r>
                  <w:r>
                    <w:rPr>
                      <w:rFonts w:ascii="Times New Roman" w:hAnsi="Times New Roman"/>
                      <w:color w:val="000000" w:themeColor="text1"/>
                      <w:kern w:val="21"/>
                      <w:szCs w:val="21"/>
                      <w14:textFill>
                        <w14:solidFill>
                          <w14:schemeClr w14:val="tx1"/>
                        </w14:solidFill>
                      </w14:textFill>
                    </w:rPr>
                    <w:t>.1</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2</w:t>
                  </w:r>
                  <w:r>
                    <w:rPr>
                      <w:rFonts w:ascii="Times New Roman" w:hAnsi="Times New Roman"/>
                      <w:color w:val="000000" w:themeColor="text1"/>
                      <w:kern w:val="21"/>
                      <w:szCs w:val="2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7" w:type="dxa"/>
                  <w:vMerge w:val="continue"/>
                  <w:vAlign w:val="center"/>
                </w:tcPr>
                <w:p>
                  <w:pPr>
                    <w:jc w:val="center"/>
                    <w:rPr>
                      <w:rFonts w:ascii="Times New Roman" w:hAnsi="Times New Roman"/>
                      <w:color w:val="000000" w:themeColor="text1"/>
                      <w:kern w:val="21"/>
                      <w:szCs w:val="21"/>
                      <w14:textFill>
                        <w14:solidFill>
                          <w14:schemeClr w14:val="tx1"/>
                        </w14:solidFill>
                      </w14:textFill>
                    </w:rPr>
                  </w:pPr>
                </w:p>
              </w:tc>
              <w:tc>
                <w:tcPr>
                  <w:tcW w:w="1569"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降尘洒水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20</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4800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7" w:type="dxa"/>
                  <w:vMerge w:val="continue"/>
                  <w:vAlign w:val="center"/>
                </w:tcPr>
                <w:p>
                  <w:pPr>
                    <w:jc w:val="center"/>
                    <w:rPr>
                      <w:rFonts w:ascii="Times New Roman" w:hAnsi="Times New Roman"/>
                      <w:color w:val="000000" w:themeColor="text1"/>
                      <w:kern w:val="21"/>
                      <w:szCs w:val="21"/>
                      <w14:textFill>
                        <w14:solidFill>
                          <w14:schemeClr w14:val="tx1"/>
                        </w14:solidFill>
                      </w14:textFill>
                    </w:rPr>
                  </w:pPr>
                </w:p>
              </w:tc>
              <w:tc>
                <w:tcPr>
                  <w:tcW w:w="1569"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喷淋补充水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0.5</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1</w:t>
                  </w:r>
                  <w:r>
                    <w:rPr>
                      <w:rFonts w:ascii="Times New Roman" w:hAnsi="Times New Roman"/>
                      <w:color w:val="000000" w:themeColor="text1"/>
                      <w:kern w:val="21"/>
                      <w:szCs w:val="2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7" w:type="dxa"/>
                  <w:vMerge w:val="continue"/>
                  <w:vAlign w:val="center"/>
                </w:tcPr>
                <w:p>
                  <w:pPr>
                    <w:jc w:val="center"/>
                    <w:rPr>
                      <w:rFonts w:ascii="Times New Roman" w:hAnsi="Times New Roman"/>
                      <w:color w:val="000000" w:themeColor="text1"/>
                      <w:kern w:val="21"/>
                      <w:szCs w:val="21"/>
                      <w14:textFill>
                        <w14:solidFill>
                          <w14:schemeClr w14:val="tx1"/>
                        </w14:solidFill>
                      </w14:textFill>
                    </w:rPr>
                  </w:pPr>
                </w:p>
              </w:tc>
              <w:tc>
                <w:tcPr>
                  <w:tcW w:w="1569"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脱硫补充水</w:t>
                  </w:r>
                </w:p>
              </w:tc>
              <w:tc>
                <w:tcPr>
                  <w:tcW w:w="1544"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327"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2</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4</w:t>
                  </w:r>
                  <w:r>
                    <w:rPr>
                      <w:rFonts w:ascii="Times New Roman" w:hAnsi="Times New Roman"/>
                      <w:color w:val="000000" w:themeColor="text1"/>
                      <w:kern w:val="21"/>
                      <w:szCs w:val="21"/>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66" w:type="dxa"/>
                  <w:gridSpan w:val="2"/>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用水总量</w:t>
                  </w:r>
                </w:p>
              </w:tc>
              <w:tc>
                <w:tcPr>
                  <w:tcW w:w="2871" w:type="dxa"/>
                  <w:gridSpan w:val="2"/>
                  <w:vAlign w:val="center"/>
                </w:tcPr>
                <w:p>
                  <w:pPr>
                    <w:jc w:val="center"/>
                    <w:rPr>
                      <w:rFonts w:ascii="Times New Roman" w:hAnsi="Times New Roman"/>
                      <w:color w:val="000000" w:themeColor="text1"/>
                      <w:kern w:val="21"/>
                      <w:szCs w:val="21"/>
                      <w14:textFill>
                        <w14:solidFill>
                          <w14:schemeClr w14:val="tx1"/>
                        </w14:solidFill>
                      </w14:textFill>
                    </w:rPr>
                  </w:pPr>
                  <w:r>
                    <w:rPr>
                      <w:rFonts w:hint="eastAsia" w:ascii="Times New Roman" w:hAnsi="Times New Roman"/>
                      <w:color w:val="000000" w:themeColor="text1"/>
                      <w:kern w:val="21"/>
                      <w:szCs w:val="21"/>
                      <w14:textFill>
                        <w14:solidFill>
                          <w14:schemeClr w14:val="tx1"/>
                        </w14:solidFill>
                      </w14:textFill>
                    </w:rPr>
                    <w:t>/</w:t>
                  </w:r>
                </w:p>
              </w:tc>
              <w:tc>
                <w:tcPr>
                  <w:tcW w:w="1811"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53.8</w:t>
                  </w:r>
                </w:p>
              </w:tc>
              <w:tc>
                <w:tcPr>
                  <w:tcW w:w="1766" w:type="dxa"/>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12912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66" w:type="dxa"/>
                  <w:gridSpan w:val="2"/>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备注</w:t>
                  </w:r>
                </w:p>
              </w:tc>
              <w:tc>
                <w:tcPr>
                  <w:tcW w:w="6448" w:type="dxa"/>
                  <w:gridSpan w:val="4"/>
                  <w:vAlign w:val="center"/>
                </w:tcPr>
                <w:p>
                  <w:pPr>
                    <w:jc w:val="center"/>
                    <w:rPr>
                      <w:rFonts w:ascii="Times New Roman" w:hAnsi="Times New Roman"/>
                      <w:color w:val="000000" w:themeColor="text1"/>
                      <w:kern w:val="21"/>
                      <w:szCs w:val="2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年用水量均按年工作240d计算</w:t>
                  </w:r>
                </w:p>
              </w:tc>
            </w:tr>
          </w:tbl>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（2）排水系统</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本项目排水采用雨污分流制，本项目排水包括生活污水、初期雨水、</w:t>
            </w:r>
            <w:r>
              <w:rPr>
                <w:rFonts w:hint="eastAsia" w:ascii="Times New Roman" w:hAnsi="Times New Roman"/>
                <w:color w:val="000000" w:themeColor="text1"/>
                <w:sz w:val="24"/>
                <w14:textFill>
                  <w14:solidFill>
                    <w14:schemeClr w14:val="tx1"/>
                  </w14:solidFill>
                </w14:textFill>
              </w:rPr>
              <w:t>搅拌机清洗废水、喷淋废水、脱硫废水以及降尘废水</w:t>
            </w:r>
            <w:r>
              <w:rPr>
                <w:rFonts w:ascii="Times New Roman" w:hAnsi="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t>生活污水</w:t>
            </w:r>
          </w:p>
          <w:p>
            <w:pPr>
              <w:spacing w:line="360" w:lineRule="auto"/>
              <w:ind w:firstLine="480" w:firstLineChars="200"/>
              <w:rPr>
                <w:rFonts w:ascii="Times New Roman" w:hAnsi="Times New Roman"/>
                <w:sz w:val="24"/>
                <w:szCs w:val="24"/>
              </w:rPr>
            </w:pPr>
            <w:r>
              <w:rPr>
                <w:rFonts w:ascii="Times New Roman" w:hAnsi="Times New Roman"/>
                <w:color w:val="000000" w:themeColor="text1"/>
                <w:sz w:val="24"/>
                <w14:textFill>
                  <w14:solidFill>
                    <w14:schemeClr w14:val="tx1"/>
                  </w14:solidFill>
                </w14:textFill>
              </w:rPr>
              <w:t>本项目生活污水的产生系数按用水量的80%计算，因此生活污水量为</w:t>
            </w:r>
            <w:r>
              <w:rPr>
                <w:rFonts w:hint="eastAsia" w:ascii="Times New Roman" w:hAnsi="Times New Roman"/>
                <w:color w:val="000000" w:themeColor="text1"/>
                <w:sz w:val="24"/>
                <w14:textFill>
                  <w14:solidFill>
                    <w14:schemeClr w14:val="tx1"/>
                  </w14:solidFill>
                </w14:textFill>
              </w:rPr>
              <w:t>0</w:t>
            </w:r>
            <w:r>
              <w:rPr>
                <w:rFonts w:ascii="Times New Roman" w:hAnsi="Times New Roman"/>
                <w:color w:val="000000" w:themeColor="text1"/>
                <w:sz w:val="24"/>
                <w14:textFill>
                  <w14:solidFill>
                    <w14:schemeClr w14:val="tx1"/>
                  </w14:solidFill>
                </w14:textFill>
              </w:rPr>
              <w:t>.96m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/d（230.4m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/a），经</w:t>
            </w:r>
            <w:r>
              <w:rPr>
                <w:rFonts w:hint="eastAsia" w:ascii="Times New Roman" w:hAnsi="Times New Roman"/>
                <w:color w:val="000000" w:themeColor="text1"/>
                <w:sz w:val="24"/>
                <w14:textFill>
                  <w14:solidFill>
                    <w14:schemeClr w14:val="tx1"/>
                  </w14:solidFill>
                </w14:textFill>
              </w:rPr>
              <w:t>隔油池+</w:t>
            </w:r>
            <w:r>
              <w:rPr>
                <w:rFonts w:ascii="Times New Roman" w:hAnsi="Times New Roman"/>
                <w:color w:val="000000" w:themeColor="text1"/>
                <w:sz w:val="24"/>
                <w14:textFill>
                  <w14:solidFill>
                    <w14:schemeClr w14:val="tx1"/>
                  </w14:solidFill>
                </w14:textFill>
              </w:rPr>
              <w:t>化粪池处理后，用于周边</w:t>
            </w:r>
            <w:r>
              <w:rPr>
                <w:rFonts w:hint="eastAsia" w:ascii="Times New Roman" w:hAnsi="Times New Roman"/>
                <w:color w:val="000000" w:themeColor="text1"/>
                <w:sz w:val="24"/>
                <w14:textFill>
                  <w14:solidFill>
                    <w14:schemeClr w14:val="tx1"/>
                  </w14:solidFill>
                </w14:textFill>
              </w:rPr>
              <w:t>菜地</w:t>
            </w:r>
            <w:r>
              <w:rPr>
                <w:rFonts w:ascii="Times New Roman" w:hAnsi="Times New Roman"/>
                <w:color w:val="000000" w:themeColor="text1"/>
                <w:sz w:val="24"/>
                <w14:textFill>
                  <w14:solidFill>
                    <w14:schemeClr w14:val="tx1"/>
                  </w14:solidFill>
                </w14:textFill>
              </w:rPr>
              <w:t>施肥，综合消纳。</w:t>
            </w:r>
          </w:p>
          <w:p>
            <w:pPr>
              <w:pStyle w:val="7"/>
              <w:spacing w:after="0"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初期雨水</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即降雨形成地面径流后10~15min的污染较大的雨水量。初期雨水与气象条件密切相关，具有间歇性、时间间隔变化大等特点，初期雨水中主要污染因子为COD、石油类及SS。</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项目初期雨水采用如下公式计算：</w:t>
            </w:r>
          </w:p>
          <w:p>
            <w:pPr>
              <w:spacing w:line="360" w:lineRule="auto"/>
              <w:jc w:val="center"/>
              <w:rPr>
                <w:rFonts w:ascii="Times New Roman" w:hAnsi="Times New Roman"/>
                <w:kern w:val="0"/>
                <w:sz w:val="24"/>
                <w:szCs w:val="24"/>
              </w:rPr>
            </w:pPr>
            <w:r>
              <w:rPr>
                <w:rFonts w:ascii="Times New Roman" w:hAnsi="Times New Roman"/>
                <w:kern w:val="0"/>
                <w:sz w:val="24"/>
                <w:szCs w:val="24"/>
              </w:rPr>
              <w:t>Q=qFψ</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式中：Q—雨水量（m</w:t>
            </w:r>
            <w:r>
              <w:rPr>
                <w:rFonts w:ascii="Times New Roman" w:hAnsi="Times New Roman"/>
                <w:kern w:val="0"/>
                <w:sz w:val="24"/>
                <w:szCs w:val="24"/>
                <w:vertAlign w:val="superscript"/>
              </w:rPr>
              <w:t>3</w:t>
            </w:r>
            <w:r>
              <w:rPr>
                <w:rFonts w:ascii="Times New Roman" w:hAnsi="Times New Roman"/>
                <w:kern w:val="0"/>
                <w:sz w:val="24"/>
                <w:szCs w:val="24"/>
              </w:rPr>
              <w:t>）；</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q—暴雨量，L/s·hm</w:t>
            </w:r>
            <w:r>
              <w:rPr>
                <w:rFonts w:ascii="Times New Roman" w:hAnsi="Times New Roman"/>
                <w:kern w:val="0"/>
                <w:sz w:val="24"/>
                <w:szCs w:val="24"/>
                <w:vertAlign w:val="superscript"/>
              </w:rPr>
              <w:t>2</w:t>
            </w:r>
            <w:r>
              <w:rPr>
                <w:rFonts w:ascii="Times New Roman" w:hAnsi="Times New Roman"/>
                <w:kern w:val="0"/>
                <w:sz w:val="24"/>
                <w:szCs w:val="24"/>
              </w:rPr>
              <w:t>；</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Ψ—径流系数，取ψ=0.5；</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F—汇水面积（</w:t>
            </w:r>
            <w:r>
              <w:rPr>
                <w:rFonts w:hint="eastAsia" w:ascii="Times New Roman" w:hAnsi="Times New Roman"/>
                <w:kern w:val="0"/>
                <w:sz w:val="24"/>
                <w:szCs w:val="24"/>
              </w:rPr>
              <w:t>h</w:t>
            </w:r>
            <w:r>
              <w:rPr>
                <w:rFonts w:ascii="Times New Roman" w:hAnsi="Times New Roman"/>
                <w:kern w:val="0"/>
                <w:sz w:val="24"/>
                <w:szCs w:val="24"/>
              </w:rPr>
              <w:t>m</w:t>
            </w:r>
            <w:r>
              <w:rPr>
                <w:rFonts w:ascii="Times New Roman" w:hAnsi="Times New Roman"/>
                <w:kern w:val="0"/>
                <w:sz w:val="24"/>
                <w:szCs w:val="24"/>
                <w:vertAlign w:val="superscript"/>
              </w:rPr>
              <w:t>2</w:t>
            </w:r>
            <w:r>
              <w:rPr>
                <w:rFonts w:ascii="Times New Roman" w:hAnsi="Times New Roman"/>
                <w:kern w:val="0"/>
                <w:sz w:val="24"/>
                <w:szCs w:val="24"/>
              </w:rPr>
              <w:t>），本项目约2公顷；</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暴雨量q采用暴雨强度公式（益阳市）计算：</w:t>
            </w:r>
          </w:p>
          <w:p>
            <w:pPr>
              <w:tabs>
                <w:tab w:val="left" w:pos="1610"/>
              </w:tabs>
              <w:spacing w:line="360" w:lineRule="auto"/>
              <w:jc w:val="center"/>
              <w:rPr>
                <w:rFonts w:ascii="Times New Roman" w:hAnsi="Times New Roman"/>
                <w:b/>
                <w:kern w:val="0"/>
                <w:sz w:val="24"/>
                <w:szCs w:val="24"/>
              </w:rPr>
            </w:pPr>
            <w:r>
              <w:rPr>
                <w:rFonts w:ascii="Times New Roman" w:hAnsi="Times New Roman"/>
                <w:b/>
                <w:kern w:val="0"/>
                <w:position w:val="-24"/>
                <w:sz w:val="24"/>
                <w:szCs w:val="24"/>
              </w:rPr>
              <w:object>
                <v:shape id="_x0000_i1025" o:spt="75" type="#_x0000_t75" style="height:28.5pt;width:115.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式中：P—重现期P=1年（年均暴雨次数以40次/年计）；</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t—降雨历时，取15min；</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计算得暴雨量q为188L/s·hm</w:t>
            </w:r>
            <w:r>
              <w:rPr>
                <w:rFonts w:ascii="Times New Roman" w:hAnsi="Times New Roman"/>
                <w:kern w:val="0"/>
                <w:sz w:val="24"/>
                <w:szCs w:val="24"/>
                <w:vertAlign w:val="superscript"/>
              </w:rPr>
              <w:t>2</w:t>
            </w:r>
            <w:r>
              <w:rPr>
                <w:rFonts w:ascii="Times New Roman" w:hAnsi="Times New Roman"/>
                <w:kern w:val="0"/>
                <w:sz w:val="24"/>
                <w:szCs w:val="24"/>
              </w:rPr>
              <w:t>；</w:t>
            </w:r>
          </w:p>
          <w:p>
            <w:pPr>
              <w:pStyle w:val="7"/>
              <w:spacing w:after="0"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因此：初期雨水量为188m</w:t>
            </w:r>
            <w:r>
              <w:rPr>
                <w:rFonts w:ascii="Times New Roman" w:hAnsi="Times New Roman"/>
                <w:sz w:val="24"/>
                <w:szCs w:val="24"/>
                <w:vertAlign w:val="superscript"/>
              </w:rPr>
              <w:t>3</w:t>
            </w:r>
            <w:r>
              <w:rPr>
                <w:rFonts w:ascii="Times New Roman" w:hAnsi="Times New Roman"/>
                <w:sz w:val="24"/>
                <w:szCs w:val="24"/>
              </w:rPr>
              <w:t>/次，约7520m</w:t>
            </w:r>
            <w:r>
              <w:rPr>
                <w:rFonts w:ascii="Times New Roman" w:hAnsi="Times New Roman"/>
                <w:sz w:val="24"/>
                <w:szCs w:val="24"/>
                <w:vertAlign w:val="superscript"/>
              </w:rPr>
              <w:t>3</w:t>
            </w:r>
            <w:r>
              <w:rPr>
                <w:rFonts w:ascii="Times New Roman" w:hAnsi="Times New Roman"/>
                <w:sz w:val="24"/>
                <w:szCs w:val="24"/>
              </w:rPr>
              <w:t>/年。</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初期雨水经厂区内雨水导流设施收集排入</w:t>
            </w:r>
            <w:r>
              <w:rPr>
                <w:rFonts w:hint="eastAsia" w:ascii="Times New Roman" w:hAnsi="Times New Roman"/>
                <w:color w:val="000000" w:themeColor="text1"/>
                <w:sz w:val="24"/>
                <w14:textFill>
                  <w14:solidFill>
                    <w14:schemeClr w14:val="tx1"/>
                  </w14:solidFill>
                </w14:textFill>
              </w:rPr>
              <w:t>沉淀池</w:t>
            </w:r>
            <w:r>
              <w:rPr>
                <w:rFonts w:ascii="Times New Roman" w:hAnsi="Times New Roman"/>
                <w:color w:val="000000" w:themeColor="text1"/>
                <w:sz w:val="24"/>
                <w14:textFill>
                  <w14:solidFill>
                    <w14:schemeClr w14:val="tx1"/>
                  </w14:solidFill>
                </w14:textFill>
              </w:rPr>
              <w:t>，经沉淀处理后</w:t>
            </w:r>
            <w:r>
              <w:rPr>
                <w:rFonts w:hint="eastAsia" w:ascii="Times New Roman" w:hAnsi="Times New Roman"/>
                <w:color w:val="000000" w:themeColor="text1"/>
                <w:sz w:val="24"/>
                <w14:textFill>
                  <w14:solidFill>
                    <w14:schemeClr w14:val="tx1"/>
                  </w14:solidFill>
                </w14:textFill>
              </w:rPr>
              <w:t>全部用于搅拌用水</w:t>
            </w:r>
            <w:r>
              <w:rPr>
                <w:rFonts w:ascii="Times New Roman" w:hAnsi="Times New Roman"/>
                <w:color w:val="000000" w:themeColor="text1"/>
                <w:sz w:val="24"/>
                <w14:textFill>
                  <w14:solidFill>
                    <w14:schemeClr w14:val="tx1"/>
                  </w14:solidFill>
                </w14:textFill>
              </w:rPr>
              <w:t>以及洒水抑尘。</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ascii="Times New Roman" w:hAnsi="Times New Roman"/>
                <w:color w:val="000000" w:themeColor="text1"/>
                <w:sz w:val="24"/>
                <w14:textFill>
                  <w14:solidFill>
                    <w14:schemeClr w14:val="tx1"/>
                  </w14:solidFill>
                </w14:textFill>
              </w:rPr>
              <w:t>搅拌机清洗废水</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搅拌机清洗废水产生量为</w:t>
            </w:r>
            <w:r>
              <w:rPr>
                <w:rFonts w:ascii="Times New Roman" w:hAnsi="Times New Roman"/>
                <w:sz w:val="24"/>
                <w:szCs w:val="36"/>
              </w:rPr>
              <w:t>0.1</w:t>
            </w:r>
            <w:r>
              <w:rPr>
                <w:rFonts w:hint="eastAsia" w:ascii="Times New Roman" w:hAnsi="Times New Roman"/>
                <w:sz w:val="24"/>
                <w:szCs w:val="36"/>
              </w:rPr>
              <w:t>t/d（2</w:t>
            </w:r>
            <w:r>
              <w:rPr>
                <w:rFonts w:ascii="Times New Roman" w:hAnsi="Times New Roman"/>
                <w:sz w:val="24"/>
                <w:szCs w:val="36"/>
              </w:rPr>
              <w:t>4</w:t>
            </w:r>
            <w:r>
              <w:rPr>
                <w:rFonts w:hint="eastAsia" w:ascii="Times New Roman" w:hAnsi="Times New Roman"/>
                <w:sz w:val="24"/>
                <w:szCs w:val="36"/>
              </w:rPr>
              <w:t>t/a），通过沉淀后用于搅拌用水，不外排。</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hint="eastAsia" w:ascii="Times New Roman" w:hAnsi="Times New Roman"/>
                <w:color w:val="000000" w:themeColor="text1"/>
                <w:sz w:val="24"/>
                <w14:textFill>
                  <w14:solidFill>
                    <w14:schemeClr w14:val="tx1"/>
                  </w14:solidFill>
                </w14:textFill>
              </w:rPr>
              <w:t>喷淋废水</w:t>
            </w:r>
          </w:p>
          <w:p>
            <w:pPr>
              <w:pStyle w:val="7"/>
              <w:spacing w:after="0" w:line="360" w:lineRule="auto"/>
              <w:ind w:firstLine="480" w:firstLineChars="200"/>
              <w:rPr>
                <w:rFonts w:ascii="宋体" w:hAns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本项目喷淋废水经沉淀处理后可循环使用，不外排，循环水量为5m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/次。</w:t>
            </w:r>
          </w:p>
          <w:p>
            <w:pPr>
              <w:pStyle w:val="7"/>
              <w:spacing w:after="0"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⑤脱硫废水</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本项目双碱湿法脱硫除尘系统运行过程中会产生一定量的脱硫废水，脱硫废水在经石灰水沉淀后，可循环使用，定期补充烧碱和水，循环水量为10m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/次</w:t>
            </w:r>
            <w:r>
              <w:rPr>
                <w:rFonts w:hint="eastAsia" w:ascii="Times New Roman" w:hAnsi="Times New Roman"/>
                <w:color w:val="000000" w:themeColor="text1"/>
                <w:sz w:val="24"/>
                <w14:textFill>
                  <w14:solidFill>
                    <w14:schemeClr w14:val="tx1"/>
                  </w14:solidFill>
                </w14:textFill>
              </w:rPr>
              <w:t>，不外排。</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rFonts w:hint="eastAsia" w:ascii="Times New Roman" w:hAnsi="Times New Roman"/>
                <w:color w:val="000000" w:themeColor="text1"/>
                <w:sz w:val="24"/>
                <w14:textFill>
                  <w14:solidFill>
                    <w14:schemeClr w14:val="tx1"/>
                  </w14:solidFill>
                </w14:textFill>
              </w:rPr>
              <w:t>降尘废水</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本项目在开采、破碎、筛分、运输等工序以及堆场堆场采取洒水措施来减少扬尘</w:t>
            </w:r>
            <w:r>
              <w:rPr>
                <w:rFonts w:hint="eastAsia" w:ascii="Times New Roman" w:hAnsi="Times New Roman"/>
                <w:color w:val="000000" w:themeColor="text1"/>
                <w:sz w:val="24"/>
                <w14:textFill>
                  <w14:solidFill>
                    <w14:schemeClr w14:val="tx1"/>
                  </w14:solidFill>
                </w14:textFill>
              </w:rPr>
              <w:t>，项目洒水抑尘用水量约</w:t>
            </w:r>
            <w:r>
              <w:rPr>
                <w:rFonts w:ascii="Times New Roman" w:hAnsi="Times New Roman"/>
                <w:color w:val="000000" w:themeColor="text1"/>
                <w:sz w:val="24"/>
                <w14:textFill>
                  <w14:solidFill>
                    <w14:schemeClr w14:val="tx1"/>
                  </w14:solidFill>
                </w14:textFill>
              </w:rPr>
              <w:t>48</w:t>
            </w:r>
            <w:r>
              <w:rPr>
                <w:rFonts w:hint="eastAsia" w:ascii="Times New Roman" w:hAnsi="Times New Roman"/>
                <w:color w:val="000000" w:themeColor="text1"/>
                <w:sz w:val="24"/>
                <w14:textFill>
                  <w14:solidFill>
                    <w14:schemeClr w14:val="tx1"/>
                  </w14:solidFill>
                </w14:textFill>
              </w:rPr>
              <w:t>00m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/a，自然蒸发</w:t>
            </w:r>
            <w:r>
              <w:rPr>
                <w:rFonts w:ascii="Times New Roman" w:hAnsi="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本项目水平衡图见下图。</w:t>
            </w:r>
          </w:p>
          <w:p>
            <w:pPr>
              <w:kinsoku w:val="0"/>
              <w:overflowPunct w:val="0"/>
              <w:spacing w:line="360" w:lineRule="auto"/>
              <w:jc w:val="center"/>
              <w:rPr>
                <w:rFonts w:ascii="Times New Roman" w:hAnsi="Times New Roman"/>
                <w:sz w:val="24"/>
                <w:u w:val="single"/>
              </w:rPr>
            </w:pPr>
            <w:r>
              <w:rPr>
                <w:rFonts w:ascii="Times New Roman" w:hAnsi="Times New Roman"/>
                <w:sz w:val="24"/>
                <w:u w:val="single"/>
              </w:rPr>
              <mc:AlternateContent>
                <mc:Choice Requires="wpc">
                  <w:drawing>
                    <wp:inline distT="0" distB="0" distL="0" distR="0">
                      <wp:extent cx="5672455" cy="5751830"/>
                      <wp:effectExtent l="0" t="0" r="23495" b="20320"/>
                      <wp:docPr id="133" name="画布 491"/>
                      <wp:cNvGraphicFramePr/>
                      <a:graphic xmlns:a="http://schemas.openxmlformats.org/drawingml/2006/main">
                        <a:graphicData uri="http://schemas.microsoft.com/office/word/2010/wordprocessingCanvas">
                          <wpc:wpc>
                            <wpc:bg>
                              <a:noFill/>
                            </wpc:bg>
                            <wpc:whole>
                              <a:ln>
                                <a:noFill/>
                              </a:ln>
                            </wpc:whole>
                            <wps:wsp>
                              <wps:cNvPr id="68" name="矩形 2135"/>
                              <wps:cNvSpPr>
                                <a:spLocks noChangeArrowheads="1"/>
                              </wps:cNvSpPr>
                              <wps:spPr bwMode="auto">
                                <a:xfrm>
                                  <a:off x="0" y="2151457"/>
                                  <a:ext cx="737307" cy="273203"/>
                                </a:xfrm>
                                <a:prstGeom prst="rect">
                                  <a:avLst/>
                                </a:prstGeom>
                                <a:solidFill>
                                  <a:srgbClr val="FFFFFF"/>
                                </a:solidFill>
                                <a:ln w="9525">
                                  <a:solidFill>
                                    <a:srgbClr val="000000"/>
                                  </a:solidFill>
                                  <a:prstDash val="dash"/>
                                  <a:miter lim="800000"/>
                                </a:ln>
                              </wps:spPr>
                              <wps:txbx>
                                <w:txbxContent>
                                  <w:p>
                                    <w:pPr>
                                      <w:jc w:val="center"/>
                                    </w:pPr>
                                    <w:r>
                                      <w:rPr>
                                        <w:rFonts w:hint="eastAsia"/>
                                      </w:rPr>
                                      <w:t>给水总量</w:t>
                                    </w:r>
                                  </w:p>
                                </w:txbxContent>
                              </wps:txbx>
                              <wps:bodyPr rot="0" vert="horz" wrap="square" lIns="0" tIns="45720" rIns="0" bIns="45720" anchor="t" anchorCtr="0" upright="1">
                                <a:noAutofit/>
                              </wps:bodyPr>
                            </wps:wsp>
                            <wps:wsp>
                              <wps:cNvPr id="71" name="矩形 2135"/>
                              <wps:cNvSpPr>
                                <a:spLocks noChangeArrowheads="1"/>
                              </wps:cNvSpPr>
                              <wps:spPr bwMode="auto">
                                <a:xfrm>
                                  <a:off x="1706866" y="5479871"/>
                                  <a:ext cx="1138811" cy="272403"/>
                                </a:xfrm>
                                <a:prstGeom prst="rect">
                                  <a:avLst/>
                                </a:prstGeom>
                                <a:solidFill>
                                  <a:srgbClr val="FFFFFF"/>
                                </a:solidFill>
                                <a:ln w="9525">
                                  <a:solidFill>
                                    <a:srgbClr val="000000"/>
                                  </a:solidFill>
                                  <a:miter lim="800000"/>
                                </a:ln>
                              </wps:spPr>
                              <wps:txbx>
                                <w:txbxContent>
                                  <w:p>
                                    <w:pPr>
                                      <w:jc w:val="center"/>
                                    </w:pPr>
                                    <w:r>
                                      <w:rPr>
                                        <w:rFonts w:hint="eastAsia"/>
                                      </w:rPr>
                                      <w:t>雨水收集沉淀池</w:t>
                                    </w:r>
                                  </w:p>
                                </w:txbxContent>
                              </wps:txbx>
                              <wps:bodyPr rot="0" vert="horz" wrap="square" lIns="91440" tIns="45720" rIns="91440" bIns="45720" anchor="t" anchorCtr="0" upright="1">
                                <a:noAutofit/>
                              </wps:bodyPr>
                            </wps:wsp>
                            <wps:wsp>
                              <wps:cNvPr id="72" name="矩形 2135"/>
                              <wps:cNvSpPr>
                                <a:spLocks noChangeArrowheads="1"/>
                              </wps:cNvSpPr>
                              <wps:spPr bwMode="auto">
                                <a:xfrm>
                                  <a:off x="3547035" y="5479155"/>
                                  <a:ext cx="1499614" cy="272403"/>
                                </a:xfrm>
                                <a:prstGeom prst="rect">
                                  <a:avLst/>
                                </a:prstGeom>
                                <a:solidFill>
                                  <a:srgbClr val="FFFFFF"/>
                                </a:solidFill>
                                <a:ln w="9525">
                                  <a:solidFill>
                                    <a:srgbClr val="000000"/>
                                  </a:solidFill>
                                  <a:miter lim="800000"/>
                                </a:ln>
                              </wps:spPr>
                              <wps:txbx>
                                <w:txbxContent>
                                  <w:p>
                                    <w:pPr>
                                      <w:jc w:val="center"/>
                                    </w:pPr>
                                    <w:r>
                                      <w:rPr>
                                        <w:rFonts w:hint="eastAsia"/>
                                      </w:rPr>
                                      <w:t>全部用于生产或降尘</w:t>
                                    </w:r>
                                  </w:p>
                                </w:txbxContent>
                              </wps:txbx>
                              <wps:bodyPr rot="0" vert="horz" wrap="square" lIns="91440" tIns="45720" rIns="91440" bIns="45720" anchor="t" anchorCtr="0" upright="1">
                                <a:noAutofit/>
                              </wps:bodyPr>
                            </wps:wsp>
                            <wps:wsp>
                              <wps:cNvPr id="73" name="矩形 2177"/>
                              <wps:cNvSpPr>
                                <a:spLocks noChangeArrowheads="1"/>
                              </wps:cNvSpPr>
                              <wps:spPr bwMode="auto">
                                <a:xfrm flipH="1" flipV="1">
                                  <a:off x="2941586" y="5352380"/>
                                  <a:ext cx="410904" cy="198202"/>
                                </a:xfrm>
                                <a:prstGeom prst="rect">
                                  <a:avLst/>
                                </a:prstGeom>
                                <a:noFill/>
                                <a:ln>
                                  <a:noFill/>
                                </a:ln>
                              </wps:spPr>
                              <wps:txbx>
                                <w:txbxContent>
                                  <w:p>
                                    <w:pPr>
                                      <w:jc w:val="center"/>
                                      <w:rPr>
                                        <w:rFonts w:ascii="Times New Roman" w:hAnsi="Times New Roman"/>
                                      </w:rPr>
                                    </w:pPr>
                                    <w:r>
                                      <w:rPr>
                                        <w:rFonts w:ascii="Times New Roman" w:hAnsi="Times New Roman"/>
                                      </w:rPr>
                                      <w:t>7520</w:t>
                                    </w:r>
                                  </w:p>
                                </w:txbxContent>
                              </wps:txbx>
                              <wps:bodyPr rot="0" vert="horz" wrap="square" lIns="18000" tIns="10800" rIns="18000" bIns="10800" anchor="t" anchorCtr="0" upright="1">
                                <a:noAutofit/>
                              </wps:bodyPr>
                            </wps:wsp>
                            <wps:wsp>
                              <wps:cNvPr id="75" name="矩形 2135"/>
                              <wps:cNvSpPr>
                                <a:spLocks noChangeArrowheads="1"/>
                              </wps:cNvSpPr>
                              <wps:spPr bwMode="auto">
                                <a:xfrm>
                                  <a:off x="0" y="5479871"/>
                                  <a:ext cx="831808" cy="272403"/>
                                </a:xfrm>
                                <a:prstGeom prst="rect">
                                  <a:avLst/>
                                </a:prstGeom>
                                <a:solidFill>
                                  <a:srgbClr val="FFFFFF"/>
                                </a:solidFill>
                                <a:ln w="9525">
                                  <a:solidFill>
                                    <a:srgbClr val="000000"/>
                                  </a:solidFill>
                                  <a:prstDash val="dash"/>
                                  <a:miter lim="800000"/>
                                </a:ln>
                              </wps:spPr>
                              <wps:txbx>
                                <w:txbxContent>
                                  <w:p>
                                    <w:pPr>
                                      <w:jc w:val="center"/>
                                    </w:pPr>
                                    <w:r>
                                      <w:rPr>
                                        <w:rFonts w:hint="eastAsia"/>
                                      </w:rPr>
                                      <w:t>初期雨水</w:t>
                                    </w:r>
                                  </w:p>
                                </w:txbxContent>
                              </wps:txbx>
                              <wps:bodyPr rot="0" vert="horz" wrap="square" lIns="91440" tIns="45720" rIns="91440" bIns="45720" anchor="t" anchorCtr="0" upright="1">
                                <a:noAutofit/>
                              </wps:bodyPr>
                            </wps:wsp>
                            <wps:wsp>
                              <wps:cNvPr id="76" name="矩形 2177"/>
                              <wps:cNvSpPr>
                                <a:spLocks noChangeArrowheads="1"/>
                              </wps:cNvSpPr>
                              <wps:spPr bwMode="auto">
                                <a:xfrm flipH="1" flipV="1">
                                  <a:off x="940897" y="5433244"/>
                                  <a:ext cx="467005" cy="169202"/>
                                </a:xfrm>
                                <a:prstGeom prst="rect">
                                  <a:avLst/>
                                </a:prstGeom>
                                <a:noFill/>
                                <a:ln>
                                  <a:noFill/>
                                </a:ln>
                              </wps:spPr>
                              <wps:txbx>
                                <w:txbxContent>
                                  <w:p>
                                    <w:pPr>
                                      <w:jc w:val="center"/>
                                      <w:rPr>
                                        <w:rFonts w:ascii="Times New Roman" w:hAnsi="Times New Roman"/>
                                      </w:rPr>
                                    </w:pPr>
                                    <w:r>
                                      <w:rPr>
                                        <w:rFonts w:ascii="Times New Roman" w:hAnsi="Times New Roman"/>
                                      </w:rPr>
                                      <w:t>7520</w:t>
                                    </w:r>
                                  </w:p>
                                </w:txbxContent>
                              </wps:txbx>
                              <wps:bodyPr rot="0" vert="horz" wrap="square" lIns="18000" tIns="10800" rIns="18000" bIns="10800" anchor="t" anchorCtr="0" upright="1">
                                <a:noAutofit/>
                              </wps:bodyPr>
                            </wps:wsp>
                            <wps:wsp>
                              <wps:cNvPr id="79" name="自选图形 469"/>
                              <wps:cNvCnPr>
                                <a:cxnSpLocks noChangeShapeType="1"/>
                                <a:stCxn id="75" idx="3"/>
                                <a:endCxn id="71" idx="1"/>
                              </wps:cNvCnPr>
                              <wps:spPr bwMode="auto">
                                <a:xfrm>
                                  <a:off x="831808" y="5615454"/>
                                  <a:ext cx="875058" cy="0"/>
                                </a:xfrm>
                                <a:prstGeom prst="straightConnector1">
                                  <a:avLst/>
                                </a:prstGeom>
                                <a:noFill/>
                                <a:ln w="9525">
                                  <a:solidFill>
                                    <a:srgbClr val="000000"/>
                                  </a:solidFill>
                                  <a:round/>
                                  <a:tailEnd type="triangle" w="med" len="med"/>
                                </a:ln>
                              </wps:spPr>
                              <wps:bodyPr/>
                            </wps:wsp>
                            <wps:wsp>
                              <wps:cNvPr id="80" name="自选图形 469"/>
                              <wps:cNvCnPr>
                                <a:cxnSpLocks noChangeShapeType="1"/>
                                <a:stCxn id="71" idx="3"/>
                                <a:endCxn id="72" idx="1"/>
                              </wps:cNvCnPr>
                              <wps:spPr bwMode="auto">
                                <a:xfrm flipV="1">
                                  <a:off x="2845677" y="5615342"/>
                                  <a:ext cx="701358" cy="731"/>
                                </a:xfrm>
                                <a:prstGeom prst="straightConnector1">
                                  <a:avLst/>
                                </a:prstGeom>
                                <a:noFill/>
                                <a:ln w="9525">
                                  <a:solidFill>
                                    <a:srgbClr val="000000"/>
                                  </a:solidFill>
                                  <a:round/>
                                  <a:tailEnd type="triangle" w="med" len="med"/>
                                </a:ln>
                              </wps:spPr>
                              <wps:bodyPr/>
                            </wps:wsp>
                            <wps:wsp>
                              <wps:cNvPr id="81" name="AutoShape 56"/>
                              <wps:cNvCnPr>
                                <a:cxnSpLocks noChangeShapeType="1"/>
                                <a:stCxn id="68" idx="3"/>
                                <a:endCxn id="1920" idx="1"/>
                              </wps:cNvCnPr>
                              <wps:spPr bwMode="auto">
                                <a:xfrm flipV="1">
                                  <a:off x="737307" y="534636"/>
                                  <a:ext cx="549205" cy="1753164"/>
                                </a:xfrm>
                                <a:prstGeom prst="bentConnector3">
                                  <a:avLst>
                                    <a:gd name="adj1" fmla="val 50000"/>
                                  </a:avLst>
                                </a:prstGeom>
                                <a:noFill/>
                                <a:ln w="9525">
                                  <a:solidFill>
                                    <a:srgbClr val="000000"/>
                                  </a:solidFill>
                                  <a:miter lim="800000"/>
                                  <a:tailEnd type="triangle" w="med" len="med"/>
                                </a:ln>
                              </wps:spPr>
                              <wps:bodyPr/>
                            </wps:wsp>
                            <wps:wsp>
                              <wps:cNvPr id="1920" name="矩形 473"/>
                              <wps:cNvSpPr>
                                <a:spLocks noChangeArrowheads="1"/>
                              </wps:cNvSpPr>
                              <wps:spPr bwMode="auto">
                                <a:xfrm>
                                  <a:off x="1286512" y="398804"/>
                                  <a:ext cx="824208"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生活用水</w:t>
                                    </w:r>
                                  </w:p>
                                </w:txbxContent>
                              </wps:txbx>
                              <wps:bodyPr rot="0" vert="horz" wrap="square" lIns="91440" tIns="45720" rIns="91440" bIns="45720" anchor="t" anchorCtr="0" upright="1">
                                <a:noAutofit/>
                              </wps:bodyPr>
                            </wps:wsp>
                            <wps:wsp>
                              <wps:cNvPr id="1921" name="AutoShape 56"/>
                              <wps:cNvCnPr>
                                <a:cxnSpLocks noChangeShapeType="1"/>
                                <a:stCxn id="68" idx="3"/>
                                <a:endCxn id="1931" idx="1"/>
                              </wps:cNvCnPr>
                              <wps:spPr bwMode="auto">
                                <a:xfrm>
                                  <a:off x="737307" y="2287800"/>
                                  <a:ext cx="549205" cy="437357"/>
                                </a:xfrm>
                                <a:prstGeom prst="bentConnector3">
                                  <a:avLst>
                                    <a:gd name="adj1" fmla="val 50000"/>
                                  </a:avLst>
                                </a:prstGeom>
                                <a:noFill/>
                                <a:ln w="9525">
                                  <a:solidFill>
                                    <a:srgbClr val="000000"/>
                                  </a:solidFill>
                                  <a:miter lim="800000"/>
                                  <a:tailEnd type="triangle" w="med" len="med"/>
                                </a:ln>
                              </wps:spPr>
                              <wps:bodyPr/>
                            </wps:wsp>
                            <wps:wsp>
                              <wps:cNvPr id="1922" name="矩形 475"/>
                              <wps:cNvSpPr>
                                <a:spLocks noChangeArrowheads="1"/>
                              </wps:cNvSpPr>
                              <wps:spPr bwMode="auto">
                                <a:xfrm>
                                  <a:off x="2580213" y="398958"/>
                                  <a:ext cx="1110711"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隔油池+化粪池</w:t>
                                    </w:r>
                                  </w:p>
                                </w:txbxContent>
                              </wps:txbx>
                              <wps:bodyPr rot="0" vert="horz" wrap="square" lIns="91440" tIns="45720" rIns="91440" bIns="45720" anchor="t" anchorCtr="0" upright="1">
                                <a:noAutofit/>
                              </wps:bodyPr>
                            </wps:wsp>
                            <wps:wsp>
                              <wps:cNvPr id="1923" name="自选图形 469"/>
                              <wps:cNvCnPr>
                                <a:cxnSpLocks noChangeShapeType="1"/>
                                <a:stCxn id="1920" idx="3"/>
                                <a:endCxn id="1922" idx="1"/>
                              </wps:cNvCnPr>
                              <wps:spPr bwMode="auto">
                                <a:xfrm>
                                  <a:off x="2110720" y="534706"/>
                                  <a:ext cx="469493" cy="154"/>
                                </a:xfrm>
                                <a:prstGeom prst="straightConnector1">
                                  <a:avLst/>
                                </a:prstGeom>
                                <a:noFill/>
                                <a:ln w="9525">
                                  <a:solidFill>
                                    <a:srgbClr val="000000"/>
                                  </a:solidFill>
                                  <a:round/>
                                  <a:tailEnd type="triangle" w="med" len="med"/>
                                </a:ln>
                              </wps:spPr>
                              <wps:bodyPr/>
                            </wps:wsp>
                            <wps:wsp>
                              <wps:cNvPr id="1924" name="自选图形 469"/>
                              <wps:cNvCnPr>
                                <a:cxnSpLocks noChangeShapeType="1"/>
                                <a:stCxn id="1922" idx="3"/>
                                <a:endCxn id="1925" idx="1"/>
                              </wps:cNvCnPr>
                              <wps:spPr bwMode="auto">
                                <a:xfrm flipV="1">
                                  <a:off x="3690924" y="534821"/>
                                  <a:ext cx="514717" cy="39"/>
                                </a:xfrm>
                                <a:prstGeom prst="straightConnector1">
                                  <a:avLst/>
                                </a:prstGeom>
                                <a:noFill/>
                                <a:ln w="9525">
                                  <a:solidFill>
                                    <a:srgbClr val="000000"/>
                                  </a:solidFill>
                                  <a:round/>
                                  <a:tailEnd type="triangle" w="med" len="med"/>
                                </a:ln>
                              </wps:spPr>
                              <wps:bodyPr/>
                            </wps:wsp>
                            <wps:wsp>
                              <wps:cNvPr id="1925" name="矩形 478"/>
                              <wps:cNvSpPr>
                                <a:spLocks noChangeArrowheads="1"/>
                              </wps:cNvSpPr>
                              <wps:spPr bwMode="auto">
                                <a:xfrm>
                                  <a:off x="4205641" y="398919"/>
                                  <a:ext cx="1466814"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菜地施肥，综合消纳</w:t>
                                    </w:r>
                                  </w:p>
                                </w:txbxContent>
                              </wps:txbx>
                              <wps:bodyPr rot="0" vert="horz" wrap="square" lIns="91440" tIns="45720" rIns="91440" bIns="45720" anchor="t" anchorCtr="0" upright="1">
                                <a:noAutofit/>
                              </wps:bodyPr>
                            </wps:wsp>
                            <wps:wsp>
                              <wps:cNvPr id="1926" name="矩形 479"/>
                              <wps:cNvSpPr>
                                <a:spLocks noChangeArrowheads="1"/>
                              </wps:cNvSpPr>
                              <wps:spPr bwMode="auto">
                                <a:xfrm>
                                  <a:off x="831808" y="353785"/>
                                  <a:ext cx="380304" cy="180902"/>
                                </a:xfrm>
                                <a:prstGeom prst="rect">
                                  <a:avLst/>
                                </a:prstGeom>
                                <a:noFill/>
                                <a:ln>
                                  <a:noFill/>
                                </a:ln>
                              </wps:spPr>
                              <wps:txbx>
                                <w:txbxContent>
                                  <w:p>
                                    <w:pPr>
                                      <w:jc w:val="center"/>
                                      <w:rPr>
                                        <w:kern w:val="0"/>
                                        <w:sz w:val="24"/>
                                        <w:szCs w:val="24"/>
                                      </w:rPr>
                                    </w:pPr>
                                    <w:r>
                                      <w:rPr>
                                        <w:rFonts w:ascii="Times New Roman" w:hAnsi="Times New Roman"/>
                                        <w:szCs w:val="21"/>
                                      </w:rPr>
                                      <w:t>288</w:t>
                                    </w:r>
                                  </w:p>
                                </w:txbxContent>
                              </wps:txbx>
                              <wps:bodyPr rot="0" vert="horz" wrap="square" lIns="18000" tIns="10800" rIns="18000" bIns="10800" anchor="t" anchorCtr="0" upright="1">
                                <a:noAutofit/>
                              </wps:bodyPr>
                            </wps:wsp>
                            <wps:wsp>
                              <wps:cNvPr id="1927" name="矩形 480"/>
                              <wps:cNvSpPr>
                                <a:spLocks noChangeArrowheads="1"/>
                              </wps:cNvSpPr>
                              <wps:spPr bwMode="auto">
                                <a:xfrm>
                                  <a:off x="2137620" y="353639"/>
                                  <a:ext cx="380304" cy="181002"/>
                                </a:xfrm>
                                <a:prstGeom prst="rect">
                                  <a:avLst/>
                                </a:prstGeom>
                                <a:noFill/>
                                <a:ln>
                                  <a:noFill/>
                                </a:ln>
                              </wps:spPr>
                              <wps:txbx>
                                <w:txbxContent>
                                  <w:p>
                                    <w:pPr>
                                      <w:jc w:val="center"/>
                                      <w:rPr>
                                        <w:kern w:val="0"/>
                                        <w:sz w:val="24"/>
                                        <w:szCs w:val="24"/>
                                      </w:rPr>
                                    </w:pPr>
                                    <w:r>
                                      <w:rPr>
                                        <w:rFonts w:ascii="Times New Roman" w:hAnsi="Times New Roman"/>
                                        <w:szCs w:val="21"/>
                                      </w:rPr>
                                      <w:t>230.4</w:t>
                                    </w:r>
                                  </w:p>
                                </w:txbxContent>
                              </wps:txbx>
                              <wps:bodyPr rot="0" vert="horz" wrap="square" lIns="18000" tIns="10800" rIns="18000" bIns="10800" anchor="t" anchorCtr="0" upright="1">
                                <a:noAutofit/>
                              </wps:bodyPr>
                            </wps:wsp>
                            <wps:wsp>
                              <wps:cNvPr id="1928" name="AutoShape 35"/>
                              <wps:cNvCnPr>
                                <a:cxnSpLocks noChangeShapeType="1"/>
                                <a:stCxn id="1920" idx="0"/>
                                <a:endCxn id="1929" idx="1"/>
                              </wps:cNvCnPr>
                              <wps:spPr bwMode="auto">
                                <a:xfrm rot="5400000" flipH="1" flipV="1">
                                  <a:off x="1745407" y="84436"/>
                                  <a:ext cx="267522" cy="361104"/>
                                </a:xfrm>
                                <a:prstGeom prst="curvedConnector2">
                                  <a:avLst/>
                                </a:prstGeom>
                                <a:noFill/>
                                <a:ln w="9525">
                                  <a:solidFill>
                                    <a:srgbClr val="000000"/>
                                  </a:solidFill>
                                  <a:prstDash val="dash"/>
                                  <a:round/>
                                  <a:tailEnd type="triangle" w="med" len="med"/>
                                </a:ln>
                              </wps:spPr>
                              <wps:bodyPr/>
                            </wps:wsp>
                            <wps:wsp>
                              <wps:cNvPr id="1929" name="矩形 482"/>
                              <wps:cNvSpPr>
                                <a:spLocks noChangeArrowheads="1"/>
                              </wps:cNvSpPr>
                              <wps:spPr bwMode="auto">
                                <a:xfrm>
                                  <a:off x="2059720" y="36001"/>
                                  <a:ext cx="359603" cy="190502"/>
                                </a:xfrm>
                                <a:prstGeom prst="rect">
                                  <a:avLst/>
                                </a:prstGeom>
                                <a:noFill/>
                                <a:ln>
                                  <a:noFill/>
                                </a:ln>
                              </wps:spPr>
                              <wps:txbx>
                                <w:txbxContent>
                                  <w:p>
                                    <w:pPr>
                                      <w:jc w:val="center"/>
                                      <w:rPr>
                                        <w:kern w:val="0"/>
                                        <w:szCs w:val="21"/>
                                      </w:rPr>
                                    </w:pPr>
                                    <w:r>
                                      <w:rPr>
                                        <w:rFonts w:ascii="Times New Roman" w:hAnsi="Times New Roman"/>
                                        <w:szCs w:val="21"/>
                                      </w:rPr>
                                      <w:t>57.6</w:t>
                                    </w:r>
                                  </w:p>
                                </w:txbxContent>
                              </wps:txbx>
                              <wps:bodyPr rot="0" vert="horz" wrap="square" lIns="18000" tIns="10800" rIns="18000" bIns="10800" anchor="t" anchorCtr="0" upright="1">
                                <a:noAutofit/>
                              </wps:bodyPr>
                            </wps:wsp>
                            <wps:wsp>
                              <wps:cNvPr id="1930" name="矩形 483"/>
                              <wps:cNvSpPr>
                                <a:spLocks noChangeArrowheads="1"/>
                              </wps:cNvSpPr>
                              <wps:spPr bwMode="auto">
                                <a:xfrm>
                                  <a:off x="3690924" y="353885"/>
                                  <a:ext cx="380304" cy="180902"/>
                                </a:xfrm>
                                <a:prstGeom prst="rect">
                                  <a:avLst/>
                                </a:prstGeom>
                                <a:noFill/>
                                <a:ln>
                                  <a:noFill/>
                                </a:ln>
                              </wps:spPr>
                              <wps:txbx>
                                <w:txbxContent>
                                  <w:p>
                                    <w:pPr>
                                      <w:jc w:val="center"/>
                                      <w:rPr>
                                        <w:kern w:val="0"/>
                                        <w:sz w:val="24"/>
                                        <w:szCs w:val="24"/>
                                      </w:rPr>
                                    </w:pPr>
                                    <w:r>
                                      <w:rPr>
                                        <w:rFonts w:ascii="Times New Roman" w:hAnsi="Times New Roman"/>
                                        <w:szCs w:val="21"/>
                                      </w:rPr>
                                      <w:t>230.4</w:t>
                                    </w:r>
                                  </w:p>
                                </w:txbxContent>
                              </wps:txbx>
                              <wps:bodyPr rot="0" vert="horz" wrap="square" lIns="18000" tIns="10800" rIns="18000" bIns="10800" anchor="t" anchorCtr="0" upright="1">
                                <a:noAutofit/>
                              </wps:bodyPr>
                            </wps:wsp>
                            <wps:wsp>
                              <wps:cNvPr id="1931" name="矩形 484"/>
                              <wps:cNvSpPr>
                                <a:spLocks noChangeArrowheads="1"/>
                              </wps:cNvSpPr>
                              <wps:spPr bwMode="auto">
                                <a:xfrm>
                                  <a:off x="1286512" y="2589562"/>
                                  <a:ext cx="1029810"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降尘用水</w:t>
                                    </w:r>
                                  </w:p>
                                </w:txbxContent>
                              </wps:txbx>
                              <wps:bodyPr rot="0" vert="horz" wrap="square" lIns="91440" tIns="45720" rIns="91440" bIns="45720" anchor="t" anchorCtr="0" upright="1">
                                <a:noAutofit/>
                              </wps:bodyPr>
                            </wps:wsp>
                            <wps:wsp>
                              <wps:cNvPr id="1932" name="矩形 486"/>
                              <wps:cNvSpPr>
                                <a:spLocks noChangeArrowheads="1"/>
                              </wps:cNvSpPr>
                              <wps:spPr bwMode="auto">
                                <a:xfrm>
                                  <a:off x="3007029" y="2589562"/>
                                  <a:ext cx="824308"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自然蒸发</w:t>
                                    </w:r>
                                  </w:p>
                                </w:txbxContent>
                              </wps:txbx>
                              <wps:bodyPr rot="0" vert="horz" wrap="square" lIns="91440" tIns="45720" rIns="91440" bIns="45720" anchor="t" anchorCtr="0" upright="1">
                                <a:noAutofit/>
                              </wps:bodyPr>
                            </wps:wsp>
                            <wps:wsp>
                              <wps:cNvPr id="1933" name="自选图形 469"/>
                              <wps:cNvCnPr>
                                <a:cxnSpLocks noChangeShapeType="1"/>
                                <a:stCxn id="1931" idx="3"/>
                                <a:endCxn id="1932" idx="1"/>
                              </wps:cNvCnPr>
                              <wps:spPr bwMode="auto">
                                <a:xfrm>
                                  <a:off x="2316322" y="2725157"/>
                                  <a:ext cx="690707" cy="0"/>
                                </a:xfrm>
                                <a:prstGeom prst="straightConnector1">
                                  <a:avLst/>
                                </a:prstGeom>
                                <a:noFill/>
                                <a:ln w="9525">
                                  <a:solidFill>
                                    <a:srgbClr val="000000"/>
                                  </a:solidFill>
                                  <a:round/>
                                  <a:tailEnd type="triangle" w="med" len="med"/>
                                </a:ln>
                              </wps:spPr>
                              <wps:bodyPr/>
                            </wps:wsp>
                            <wps:wsp>
                              <wps:cNvPr id="1934" name="矩形 488"/>
                              <wps:cNvSpPr>
                                <a:spLocks noChangeArrowheads="1"/>
                              </wps:cNvSpPr>
                              <wps:spPr bwMode="auto">
                                <a:xfrm>
                                  <a:off x="980710" y="2424660"/>
                                  <a:ext cx="380404" cy="181002"/>
                                </a:xfrm>
                                <a:prstGeom prst="rect">
                                  <a:avLst/>
                                </a:prstGeom>
                                <a:noFill/>
                                <a:ln>
                                  <a:noFill/>
                                </a:ln>
                              </wps:spPr>
                              <wps:txbx>
                                <w:txbxContent>
                                  <w:p>
                                    <w:pPr>
                                      <w:jc w:val="center"/>
                                      <w:rPr>
                                        <w:kern w:val="0"/>
                                        <w:sz w:val="24"/>
                                        <w:szCs w:val="24"/>
                                      </w:rPr>
                                    </w:pPr>
                                    <w:r>
                                      <w:rPr>
                                        <w:rFonts w:ascii="Times New Roman" w:hAnsi="Times New Roman"/>
                                        <w:szCs w:val="21"/>
                                      </w:rPr>
                                      <w:t>4800</w:t>
                                    </w:r>
                                  </w:p>
                                </w:txbxContent>
                              </wps:txbx>
                              <wps:bodyPr rot="0" vert="horz" wrap="square" lIns="18000" tIns="10800" rIns="18000" bIns="10800" anchor="t" anchorCtr="0" upright="1">
                                <a:noAutofit/>
                              </wps:bodyPr>
                            </wps:wsp>
                            <wps:wsp>
                              <wps:cNvPr id="1935" name="矩形 489"/>
                              <wps:cNvSpPr>
                                <a:spLocks noChangeArrowheads="1"/>
                              </wps:cNvSpPr>
                              <wps:spPr bwMode="auto">
                                <a:xfrm>
                                  <a:off x="2457424" y="2512461"/>
                                  <a:ext cx="380404" cy="180902"/>
                                </a:xfrm>
                                <a:prstGeom prst="rect">
                                  <a:avLst/>
                                </a:prstGeom>
                                <a:noFill/>
                                <a:ln>
                                  <a:noFill/>
                                </a:ln>
                              </wps:spPr>
                              <wps:txbx>
                                <w:txbxContent>
                                  <w:p>
                                    <w:pPr>
                                      <w:jc w:val="center"/>
                                      <w:rPr>
                                        <w:kern w:val="0"/>
                                        <w:sz w:val="24"/>
                                        <w:szCs w:val="24"/>
                                      </w:rPr>
                                    </w:pPr>
                                    <w:r>
                                      <w:rPr>
                                        <w:rFonts w:ascii="Times New Roman" w:hAnsi="Times New Roman"/>
                                        <w:szCs w:val="21"/>
                                      </w:rPr>
                                      <w:t>4800</w:t>
                                    </w:r>
                                  </w:p>
                                </w:txbxContent>
                              </wps:txbx>
                              <wps:bodyPr rot="0" vert="horz" wrap="square" lIns="18000" tIns="10800" rIns="18000" bIns="10800" anchor="t" anchorCtr="0" upright="1">
                                <a:noAutofit/>
                              </wps:bodyPr>
                            </wps:wsp>
                            <wps:wsp>
                              <wps:cNvPr id="1940" name="AutoShape 56"/>
                              <wps:cNvCnPr>
                                <a:cxnSpLocks noChangeShapeType="1"/>
                                <a:stCxn id="68" idx="3"/>
                                <a:endCxn id="217" idx="1"/>
                              </wps:cNvCnPr>
                              <wps:spPr bwMode="auto">
                                <a:xfrm flipV="1">
                                  <a:off x="737307" y="1359231"/>
                                  <a:ext cx="549205" cy="928828"/>
                                </a:xfrm>
                                <a:prstGeom prst="bentConnector3">
                                  <a:avLst>
                                    <a:gd name="adj1" fmla="val 50000"/>
                                  </a:avLst>
                                </a:prstGeom>
                                <a:noFill/>
                                <a:ln w="9525">
                                  <a:solidFill>
                                    <a:srgbClr val="000000"/>
                                  </a:solidFill>
                                  <a:miter lim="800000"/>
                                  <a:tailEnd type="triangle" w="med" len="med"/>
                                </a:ln>
                              </wps:spPr>
                              <wps:bodyPr/>
                            </wps:wsp>
                            <wps:wsp>
                              <wps:cNvPr id="1941" name="矩形 155"/>
                              <wps:cNvSpPr>
                                <a:spLocks noChangeArrowheads="1"/>
                              </wps:cNvSpPr>
                              <wps:spPr bwMode="auto">
                                <a:xfrm>
                                  <a:off x="1286512" y="3189668"/>
                                  <a:ext cx="1132811"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脱硫系统补充水</w:t>
                                    </w:r>
                                  </w:p>
                                </w:txbxContent>
                              </wps:txbx>
                              <wps:bodyPr rot="0" vert="horz" wrap="square" lIns="91440" tIns="45720" rIns="91440" bIns="45720" anchor="t" anchorCtr="0" upright="1">
                                <a:noAutofit/>
                              </wps:bodyPr>
                            </wps:wsp>
                            <wps:wsp>
                              <wps:cNvPr id="1942" name="矩形 156"/>
                              <wps:cNvSpPr>
                                <a:spLocks noChangeArrowheads="1"/>
                              </wps:cNvSpPr>
                              <wps:spPr bwMode="auto">
                                <a:xfrm>
                                  <a:off x="3073130" y="3189668"/>
                                  <a:ext cx="809308"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脱硫水</w:t>
                                    </w:r>
                                  </w:p>
                                </w:txbxContent>
                              </wps:txbx>
                              <wps:bodyPr rot="0" vert="horz" wrap="square" lIns="91440" tIns="45720" rIns="91440" bIns="45720" anchor="t" anchorCtr="0" upright="1">
                                <a:noAutofit/>
                              </wps:bodyPr>
                            </wps:wsp>
                            <wps:wsp>
                              <wps:cNvPr id="1943" name="AutoShape 56"/>
                              <wps:cNvCnPr>
                                <a:cxnSpLocks noChangeShapeType="1"/>
                                <a:stCxn id="68" idx="3"/>
                                <a:endCxn id="1941" idx="1"/>
                              </wps:cNvCnPr>
                              <wps:spPr bwMode="auto">
                                <a:xfrm>
                                  <a:off x="737307" y="2288059"/>
                                  <a:ext cx="549205" cy="1037511"/>
                                </a:xfrm>
                                <a:prstGeom prst="bentConnector3">
                                  <a:avLst>
                                    <a:gd name="adj1" fmla="val 50000"/>
                                  </a:avLst>
                                </a:prstGeom>
                                <a:noFill/>
                                <a:ln w="9525">
                                  <a:solidFill>
                                    <a:srgbClr val="000000"/>
                                  </a:solidFill>
                                  <a:miter lim="800000"/>
                                  <a:tailEnd type="triangle" w="med" len="med"/>
                                </a:ln>
                              </wps:spPr>
                              <wps:bodyPr/>
                            </wps:wsp>
                            <wps:wsp>
                              <wps:cNvPr id="1944" name="矩形 158"/>
                              <wps:cNvSpPr>
                                <a:spLocks noChangeArrowheads="1"/>
                              </wps:cNvSpPr>
                              <wps:spPr bwMode="auto">
                                <a:xfrm>
                                  <a:off x="1008610" y="3027766"/>
                                  <a:ext cx="380404" cy="181002"/>
                                </a:xfrm>
                                <a:prstGeom prst="rect">
                                  <a:avLst/>
                                </a:prstGeom>
                                <a:noFill/>
                                <a:ln>
                                  <a:noFill/>
                                </a:ln>
                              </wps:spPr>
                              <wps:txbx>
                                <w:txbxContent>
                                  <w:p>
                                    <w:pPr>
                                      <w:jc w:val="center"/>
                                      <w:rPr>
                                        <w:kern w:val="0"/>
                                        <w:sz w:val="24"/>
                                        <w:szCs w:val="24"/>
                                      </w:rPr>
                                    </w:pPr>
                                    <w:r>
                                      <w:rPr>
                                        <w:rFonts w:ascii="Times New Roman" w:hAnsi="Times New Roman"/>
                                        <w:szCs w:val="21"/>
                                      </w:rPr>
                                      <w:t>480</w:t>
                                    </w:r>
                                  </w:p>
                                </w:txbxContent>
                              </wps:txbx>
                              <wps:bodyPr rot="0" vert="horz" wrap="square" lIns="18000" tIns="10800" rIns="18000" bIns="10800" anchor="t" anchorCtr="0" upright="1">
                                <a:noAutofit/>
                              </wps:bodyPr>
                            </wps:wsp>
                            <wps:wsp>
                              <wps:cNvPr id="1945" name="自选图形 469"/>
                              <wps:cNvCnPr>
                                <a:cxnSpLocks noChangeShapeType="1"/>
                                <a:stCxn id="1941" idx="3"/>
                                <a:endCxn id="1942" idx="1"/>
                              </wps:cNvCnPr>
                              <wps:spPr bwMode="auto">
                                <a:xfrm>
                                  <a:off x="2419323" y="3325198"/>
                                  <a:ext cx="653807" cy="0"/>
                                </a:xfrm>
                                <a:prstGeom prst="straightConnector1">
                                  <a:avLst/>
                                </a:prstGeom>
                                <a:noFill/>
                                <a:ln w="9525">
                                  <a:solidFill>
                                    <a:srgbClr val="000000"/>
                                  </a:solidFill>
                                  <a:round/>
                                  <a:tailEnd type="triangle" w="med" len="med"/>
                                </a:ln>
                              </wps:spPr>
                              <wps:bodyPr/>
                            </wps:wsp>
                            <wps:wsp>
                              <wps:cNvPr id="1946" name="矩形 160"/>
                              <wps:cNvSpPr>
                                <a:spLocks noChangeArrowheads="1"/>
                              </wps:cNvSpPr>
                              <wps:spPr bwMode="auto">
                                <a:xfrm>
                                  <a:off x="2517924" y="3123067"/>
                                  <a:ext cx="380404" cy="180902"/>
                                </a:xfrm>
                                <a:prstGeom prst="rect">
                                  <a:avLst/>
                                </a:prstGeom>
                                <a:noFill/>
                                <a:ln>
                                  <a:noFill/>
                                </a:ln>
                              </wps:spPr>
                              <wps:txbx>
                                <w:txbxContent>
                                  <w:p>
                                    <w:pPr>
                                      <w:jc w:val="center"/>
                                      <w:rPr>
                                        <w:kern w:val="0"/>
                                        <w:sz w:val="24"/>
                                        <w:szCs w:val="24"/>
                                      </w:rPr>
                                    </w:pPr>
                                    <w:r>
                                      <w:rPr>
                                        <w:rFonts w:ascii="Times New Roman" w:hAnsi="Times New Roman"/>
                                        <w:szCs w:val="21"/>
                                      </w:rPr>
                                      <w:t>480</w:t>
                                    </w:r>
                                  </w:p>
                                </w:txbxContent>
                              </wps:txbx>
                              <wps:bodyPr rot="0" vert="horz" wrap="square" lIns="18000" tIns="10800" rIns="18000" bIns="10800" anchor="t" anchorCtr="0" upright="1">
                                <a:noAutofit/>
                              </wps:bodyPr>
                            </wps:wsp>
                            <wps:wsp>
                              <wps:cNvPr id="1947" name="矩形 161"/>
                              <wps:cNvSpPr>
                                <a:spLocks noChangeArrowheads="1"/>
                              </wps:cNvSpPr>
                              <wps:spPr bwMode="auto">
                                <a:xfrm>
                                  <a:off x="4468743" y="3189668"/>
                                  <a:ext cx="809008"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脱硫废水</w:t>
                                    </w:r>
                                  </w:p>
                                </w:txbxContent>
                              </wps:txbx>
                              <wps:bodyPr rot="0" vert="horz" wrap="square" lIns="91440" tIns="45720" rIns="91440" bIns="45720" anchor="t" anchorCtr="0" upright="1">
                                <a:noAutofit/>
                              </wps:bodyPr>
                            </wps:wsp>
                            <wps:wsp>
                              <wps:cNvPr id="1948" name="自选图形 469"/>
                              <wps:cNvCnPr>
                                <a:cxnSpLocks noChangeShapeType="1"/>
                                <a:stCxn id="1942" idx="3"/>
                                <a:endCxn id="1947" idx="1"/>
                              </wps:cNvCnPr>
                              <wps:spPr bwMode="auto">
                                <a:xfrm>
                                  <a:off x="3882438" y="3325198"/>
                                  <a:ext cx="586305" cy="0"/>
                                </a:xfrm>
                                <a:prstGeom prst="straightConnector1">
                                  <a:avLst/>
                                </a:prstGeom>
                                <a:noFill/>
                                <a:ln w="9525">
                                  <a:solidFill>
                                    <a:srgbClr val="000000"/>
                                  </a:solidFill>
                                  <a:round/>
                                  <a:tailEnd type="triangle" w="med" len="med"/>
                                </a:ln>
                              </wps:spPr>
                              <wps:bodyPr/>
                            </wps:wsp>
                            <wps:wsp>
                              <wps:cNvPr id="1949" name="矩形 163"/>
                              <wps:cNvSpPr>
                                <a:spLocks noChangeArrowheads="1"/>
                              </wps:cNvSpPr>
                              <wps:spPr bwMode="auto">
                                <a:xfrm>
                                  <a:off x="4000539" y="3780274"/>
                                  <a:ext cx="1046110" cy="271803"/>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废水处理设施</w:t>
                                    </w:r>
                                  </w:p>
                                </w:txbxContent>
                              </wps:txbx>
                              <wps:bodyPr rot="0" vert="horz" wrap="square" lIns="91440" tIns="45720" rIns="91440" bIns="45720" anchor="t" anchorCtr="0" upright="1">
                                <a:noAutofit/>
                              </wps:bodyPr>
                            </wps:wsp>
                            <wps:wsp>
                              <wps:cNvPr id="1950" name="AutoShape 56"/>
                              <wps:cNvCnPr>
                                <a:cxnSpLocks noChangeShapeType="1"/>
                                <a:stCxn id="1947" idx="3"/>
                                <a:endCxn id="1949" idx="3"/>
                              </wps:cNvCnPr>
                              <wps:spPr bwMode="auto">
                                <a:xfrm flipH="1">
                                  <a:off x="5046649" y="3325570"/>
                                  <a:ext cx="231102" cy="590606"/>
                                </a:xfrm>
                                <a:prstGeom prst="bentConnector3">
                                  <a:avLst>
                                    <a:gd name="adj1" fmla="val -98917"/>
                                  </a:avLst>
                                </a:prstGeom>
                                <a:noFill/>
                                <a:ln w="9525">
                                  <a:solidFill>
                                    <a:srgbClr val="000000"/>
                                  </a:solidFill>
                                  <a:miter lim="800000"/>
                                  <a:tailEnd type="triangle" w="med" len="med"/>
                                </a:ln>
                              </wps:spPr>
                              <wps:bodyPr/>
                            </wps:wsp>
                            <wps:wsp>
                              <wps:cNvPr id="1951" name="AutoShape 56"/>
                              <wps:cNvCnPr>
                                <a:cxnSpLocks noChangeShapeType="1"/>
                                <a:stCxn id="1949" idx="1"/>
                                <a:endCxn id="1942" idx="2"/>
                              </wps:cNvCnPr>
                              <wps:spPr bwMode="auto">
                                <a:xfrm rot="10800000">
                                  <a:off x="3477785" y="3461086"/>
                                  <a:ext cx="522755" cy="454655"/>
                                </a:xfrm>
                                <a:prstGeom prst="bentConnector2">
                                  <a:avLst/>
                                </a:prstGeom>
                                <a:noFill/>
                                <a:ln w="9525">
                                  <a:solidFill>
                                    <a:srgbClr val="000000"/>
                                  </a:solidFill>
                                  <a:miter lim="800000"/>
                                  <a:tailEnd type="triangle" w="med" len="med"/>
                                </a:ln>
                              </wps:spPr>
                              <wps:bodyPr/>
                            </wps:wsp>
                            <wps:wsp>
                              <wps:cNvPr id="128" name="矩形 168"/>
                              <wps:cNvSpPr>
                                <a:spLocks noChangeArrowheads="1"/>
                              </wps:cNvSpPr>
                              <wps:spPr bwMode="auto">
                                <a:xfrm>
                                  <a:off x="3980439" y="3132568"/>
                                  <a:ext cx="380404" cy="181002"/>
                                </a:xfrm>
                                <a:prstGeom prst="rect">
                                  <a:avLst/>
                                </a:prstGeom>
                                <a:noFill/>
                                <a:ln>
                                  <a:noFill/>
                                </a:ln>
                              </wps:spPr>
                              <wps:txbx>
                                <w:txbxContent>
                                  <w:p>
                                    <w:pPr>
                                      <w:jc w:val="center"/>
                                      <w:rPr>
                                        <w:kern w:val="0"/>
                                        <w:sz w:val="24"/>
                                        <w:szCs w:val="24"/>
                                      </w:rPr>
                                    </w:pPr>
                                    <w:r>
                                      <w:rPr>
                                        <w:rFonts w:ascii="Times New Roman" w:hAnsi="Times New Roman"/>
                                        <w:szCs w:val="21"/>
                                      </w:rPr>
                                      <w:t>490</w:t>
                                    </w:r>
                                  </w:p>
                                </w:txbxContent>
                              </wps:txbx>
                              <wps:bodyPr rot="0" vert="horz" wrap="square" lIns="18000" tIns="10800" rIns="18000" bIns="10800" anchor="t" anchorCtr="0" upright="1">
                                <a:noAutofit/>
                              </wps:bodyPr>
                            </wps:wsp>
                            <wps:wsp>
                              <wps:cNvPr id="129" name="AutoShape 35"/>
                              <wps:cNvCnPr>
                                <a:cxnSpLocks noChangeShapeType="1"/>
                                <a:stCxn id="1947" idx="0"/>
                                <a:endCxn id="130" idx="1"/>
                              </wps:cNvCnPr>
                              <wps:spPr bwMode="auto">
                                <a:xfrm rot="5400000" flipH="1" flipV="1">
                                  <a:off x="4905634" y="2946396"/>
                                  <a:ext cx="210528" cy="275303"/>
                                </a:xfrm>
                                <a:prstGeom prst="curvedConnector2">
                                  <a:avLst/>
                                </a:prstGeom>
                                <a:noFill/>
                                <a:ln w="9525">
                                  <a:solidFill>
                                    <a:srgbClr val="000000"/>
                                  </a:solidFill>
                                  <a:prstDash val="dash"/>
                                  <a:round/>
                                  <a:tailEnd type="triangle" w="med" len="med"/>
                                </a:ln>
                              </wps:spPr>
                              <wps:bodyPr/>
                            </wps:wsp>
                            <wps:wsp>
                              <wps:cNvPr id="130" name="矩形 170"/>
                              <wps:cNvSpPr>
                                <a:spLocks noChangeArrowheads="1"/>
                              </wps:cNvSpPr>
                              <wps:spPr bwMode="auto">
                                <a:xfrm>
                                  <a:off x="5148550" y="2883865"/>
                                  <a:ext cx="359403" cy="190502"/>
                                </a:xfrm>
                                <a:prstGeom prst="rect">
                                  <a:avLst/>
                                </a:prstGeom>
                                <a:noFill/>
                                <a:ln>
                                  <a:noFill/>
                                </a:ln>
                              </wps:spPr>
                              <wps:txbx>
                                <w:txbxContent>
                                  <w:p>
                                    <w:pPr>
                                      <w:jc w:val="center"/>
                                      <w:rPr>
                                        <w:kern w:val="0"/>
                                        <w:sz w:val="24"/>
                                        <w:szCs w:val="24"/>
                                      </w:rPr>
                                    </w:pPr>
                                    <w:r>
                                      <w:rPr>
                                        <w:rFonts w:ascii="Times New Roman" w:hAnsi="Times New Roman"/>
                                        <w:szCs w:val="21"/>
                                      </w:rPr>
                                      <w:t>480</w:t>
                                    </w:r>
                                  </w:p>
                                </w:txbxContent>
                              </wps:txbx>
                              <wps:bodyPr rot="0" vert="horz" wrap="square" lIns="18000" tIns="10800" rIns="18000" bIns="10800" anchor="t" anchorCtr="0" upright="1">
                                <a:noAutofit/>
                              </wps:bodyPr>
                            </wps:wsp>
                            <wps:wsp>
                              <wps:cNvPr id="131" name="矩形 171"/>
                              <wps:cNvSpPr>
                                <a:spLocks noChangeArrowheads="1"/>
                              </wps:cNvSpPr>
                              <wps:spPr bwMode="auto">
                                <a:xfrm>
                                  <a:off x="5127650" y="3551672"/>
                                  <a:ext cx="380304" cy="181002"/>
                                </a:xfrm>
                                <a:prstGeom prst="rect">
                                  <a:avLst/>
                                </a:prstGeom>
                                <a:noFill/>
                                <a:ln>
                                  <a:noFill/>
                                </a:ln>
                              </wps:spPr>
                              <wps:txbx>
                                <w:txbxContent>
                                  <w:p>
                                    <w:pPr>
                                      <w:jc w:val="center"/>
                                      <w:rPr>
                                        <w:kern w:val="0"/>
                                        <w:sz w:val="24"/>
                                        <w:szCs w:val="24"/>
                                      </w:rPr>
                                    </w:pPr>
                                    <w:r>
                                      <w:rPr>
                                        <w:rFonts w:ascii="Times New Roman" w:hAnsi="Times New Roman"/>
                                        <w:szCs w:val="21"/>
                                      </w:rPr>
                                      <w:t>10</w:t>
                                    </w:r>
                                  </w:p>
                                </w:txbxContent>
                              </wps:txbx>
                              <wps:bodyPr rot="0" vert="horz" wrap="square" lIns="18000" tIns="10800" rIns="18000" bIns="10800" anchor="t" anchorCtr="0" upright="1">
                                <a:noAutofit/>
                              </wps:bodyPr>
                            </wps:wsp>
                            <wps:wsp>
                              <wps:cNvPr id="132" name="矩形 172"/>
                              <wps:cNvSpPr>
                                <a:spLocks noChangeArrowheads="1"/>
                              </wps:cNvSpPr>
                              <wps:spPr bwMode="auto">
                                <a:xfrm>
                                  <a:off x="3502034" y="3684973"/>
                                  <a:ext cx="380404" cy="181002"/>
                                </a:xfrm>
                                <a:prstGeom prst="rect">
                                  <a:avLst/>
                                </a:prstGeom>
                                <a:noFill/>
                                <a:ln>
                                  <a:noFill/>
                                </a:ln>
                              </wps:spPr>
                              <wps:txbx>
                                <w:txbxContent>
                                  <w:p>
                                    <w:pPr>
                                      <w:jc w:val="center"/>
                                      <w:rPr>
                                        <w:kern w:val="0"/>
                                        <w:sz w:val="24"/>
                                        <w:szCs w:val="24"/>
                                      </w:rPr>
                                    </w:pPr>
                                    <w:r>
                                      <w:rPr>
                                        <w:rFonts w:ascii="Times New Roman" w:hAnsi="Times New Roman"/>
                                        <w:szCs w:val="21"/>
                                      </w:rPr>
                                      <w:t>10</w:t>
                                    </w:r>
                                  </w:p>
                                </w:txbxContent>
                              </wps:txbx>
                              <wps:bodyPr rot="0" vert="horz" wrap="square" lIns="18000" tIns="10800" rIns="18000" bIns="10800" anchor="t" anchorCtr="0" upright="1">
                                <a:noAutofit/>
                              </wps:bodyPr>
                            </wps:wsp>
                            <wps:wsp>
                              <wps:cNvPr id="201" name="矩形 201"/>
                              <wps:cNvSpPr>
                                <a:spLocks noChangeArrowheads="1"/>
                              </wps:cNvSpPr>
                              <wps:spPr bwMode="auto">
                                <a:xfrm>
                                  <a:off x="1294313" y="4439941"/>
                                  <a:ext cx="1150097"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喷淋水补充水</w:t>
                                    </w:r>
                                  </w:p>
                                </w:txbxContent>
                              </wps:txbx>
                              <wps:bodyPr rot="0" vert="horz" wrap="square" lIns="91440" tIns="45720" rIns="91440" bIns="45720" anchor="t" anchorCtr="0" upright="1">
                                <a:noAutofit/>
                              </wps:bodyPr>
                            </wps:wsp>
                            <wps:wsp>
                              <wps:cNvPr id="202" name="AutoShape 56"/>
                              <wps:cNvCnPr>
                                <a:cxnSpLocks noChangeShapeType="1"/>
                                <a:stCxn id="68" idx="3"/>
                                <a:endCxn id="201" idx="1"/>
                              </wps:cNvCnPr>
                              <wps:spPr bwMode="auto">
                                <a:xfrm>
                                  <a:off x="737307" y="2288059"/>
                                  <a:ext cx="557006" cy="2287440"/>
                                </a:xfrm>
                                <a:prstGeom prst="bentConnector3">
                                  <a:avLst>
                                    <a:gd name="adj1" fmla="val 50000"/>
                                  </a:avLst>
                                </a:prstGeom>
                                <a:noFill/>
                                <a:ln w="9525">
                                  <a:solidFill>
                                    <a:srgbClr val="000000"/>
                                  </a:solidFill>
                                  <a:miter lim="800000"/>
                                  <a:tailEnd type="triangle" w="med" len="med"/>
                                </a:ln>
                              </wps:spPr>
                              <wps:bodyPr/>
                            </wps:wsp>
                            <wps:wsp>
                              <wps:cNvPr id="203" name="矩形 203"/>
                              <wps:cNvSpPr>
                                <a:spLocks noChangeArrowheads="1"/>
                              </wps:cNvSpPr>
                              <wps:spPr bwMode="auto">
                                <a:xfrm>
                                  <a:off x="2932061" y="4440454"/>
                                  <a:ext cx="808990"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喷淋水</w:t>
                                    </w:r>
                                  </w:p>
                                </w:txbxContent>
                              </wps:txbx>
                              <wps:bodyPr rot="0" vert="horz" wrap="square" lIns="91440" tIns="45720" rIns="91440" bIns="45720" anchor="t" anchorCtr="0" upright="1">
                                <a:noAutofit/>
                              </wps:bodyPr>
                            </wps:wsp>
                            <wps:wsp>
                              <wps:cNvPr id="204" name="自选图形 469"/>
                              <wps:cNvCnPr>
                                <a:cxnSpLocks noChangeShapeType="1"/>
                                <a:stCxn id="201" idx="3"/>
                                <a:endCxn id="203" idx="1"/>
                              </wps:cNvCnPr>
                              <wps:spPr bwMode="auto">
                                <a:xfrm>
                                  <a:off x="2444410" y="4575007"/>
                                  <a:ext cx="487651" cy="513"/>
                                </a:xfrm>
                                <a:prstGeom prst="straightConnector1">
                                  <a:avLst/>
                                </a:prstGeom>
                                <a:noFill/>
                                <a:ln w="9525">
                                  <a:solidFill>
                                    <a:srgbClr val="000000"/>
                                  </a:solidFill>
                                  <a:round/>
                                  <a:tailEnd type="triangle" w="med" len="med"/>
                                </a:ln>
                              </wps:spPr>
                              <wps:bodyPr/>
                            </wps:wsp>
                            <wps:wsp>
                              <wps:cNvPr id="205" name="矩形 205"/>
                              <wps:cNvSpPr>
                                <a:spLocks noChangeArrowheads="1"/>
                              </wps:cNvSpPr>
                              <wps:spPr bwMode="auto">
                                <a:xfrm>
                                  <a:off x="994156" y="4259403"/>
                                  <a:ext cx="380365" cy="180975"/>
                                </a:xfrm>
                                <a:prstGeom prst="rect">
                                  <a:avLst/>
                                </a:prstGeom>
                                <a:noFill/>
                                <a:ln>
                                  <a:noFill/>
                                </a:ln>
                              </wps:spPr>
                              <wps:txbx>
                                <w:txbxContent>
                                  <w:p>
                                    <w:pPr>
                                      <w:jc w:val="center"/>
                                      <w:rPr>
                                        <w:kern w:val="0"/>
                                        <w:sz w:val="24"/>
                                        <w:szCs w:val="24"/>
                                      </w:rPr>
                                    </w:pPr>
                                    <w:r>
                                      <w:rPr>
                                        <w:rFonts w:ascii="Times New Roman" w:hAnsi="Times New Roman"/>
                                        <w:szCs w:val="21"/>
                                      </w:rPr>
                                      <w:t>120</w:t>
                                    </w:r>
                                  </w:p>
                                </w:txbxContent>
                              </wps:txbx>
                              <wps:bodyPr rot="0" vert="horz" wrap="square" lIns="18000" tIns="10800" rIns="18000" bIns="10800" anchor="t" anchorCtr="0" upright="1">
                                <a:noAutofit/>
                              </wps:bodyPr>
                            </wps:wsp>
                            <wps:wsp>
                              <wps:cNvPr id="206" name="矩形 206"/>
                              <wps:cNvSpPr>
                                <a:spLocks noChangeArrowheads="1"/>
                              </wps:cNvSpPr>
                              <wps:spPr bwMode="auto">
                                <a:xfrm>
                                  <a:off x="2471391" y="4395080"/>
                                  <a:ext cx="380365" cy="180340"/>
                                </a:xfrm>
                                <a:prstGeom prst="rect">
                                  <a:avLst/>
                                </a:prstGeom>
                                <a:noFill/>
                                <a:ln>
                                  <a:noFill/>
                                </a:ln>
                              </wps:spPr>
                              <wps:txbx>
                                <w:txbxContent>
                                  <w:p>
                                    <w:pPr>
                                      <w:jc w:val="center"/>
                                      <w:rPr>
                                        <w:kern w:val="0"/>
                                        <w:sz w:val="24"/>
                                        <w:szCs w:val="24"/>
                                      </w:rPr>
                                    </w:pPr>
                                    <w:r>
                                      <w:rPr>
                                        <w:rFonts w:ascii="Times New Roman" w:hAnsi="Times New Roman"/>
                                        <w:szCs w:val="21"/>
                                      </w:rPr>
                                      <w:t>120</w:t>
                                    </w:r>
                                  </w:p>
                                </w:txbxContent>
                              </wps:txbx>
                              <wps:bodyPr rot="0" vert="horz" wrap="square" lIns="18000" tIns="10800" rIns="18000" bIns="10800" anchor="t" anchorCtr="0" upright="1">
                                <a:noAutofit/>
                              </wps:bodyPr>
                            </wps:wsp>
                            <wps:wsp>
                              <wps:cNvPr id="207" name="矩形 207"/>
                              <wps:cNvSpPr>
                                <a:spLocks noChangeArrowheads="1"/>
                              </wps:cNvSpPr>
                              <wps:spPr bwMode="auto">
                                <a:xfrm>
                                  <a:off x="4251066" y="4440616"/>
                                  <a:ext cx="808990" cy="270510"/>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喷淋废水</w:t>
                                    </w:r>
                                  </w:p>
                                </w:txbxContent>
                              </wps:txbx>
                              <wps:bodyPr rot="0" vert="horz" wrap="square" lIns="91440" tIns="45720" rIns="91440" bIns="45720" anchor="t" anchorCtr="0" upright="1">
                                <a:noAutofit/>
                              </wps:bodyPr>
                            </wps:wsp>
                            <wps:wsp>
                              <wps:cNvPr id="208" name="自选图形 469"/>
                              <wps:cNvCnPr>
                                <a:cxnSpLocks noChangeShapeType="1"/>
                                <a:stCxn id="203" idx="3"/>
                                <a:endCxn id="207" idx="1"/>
                              </wps:cNvCnPr>
                              <wps:spPr bwMode="auto">
                                <a:xfrm flipV="1">
                                  <a:off x="3741051" y="4575365"/>
                                  <a:ext cx="510015" cy="155"/>
                                </a:xfrm>
                                <a:prstGeom prst="straightConnector1">
                                  <a:avLst/>
                                </a:prstGeom>
                                <a:noFill/>
                                <a:ln w="9525">
                                  <a:solidFill>
                                    <a:srgbClr val="000000"/>
                                  </a:solidFill>
                                  <a:round/>
                                  <a:tailEnd type="triangle" w="med" len="med"/>
                                </a:ln>
                              </wps:spPr>
                              <wps:bodyPr/>
                            </wps:wsp>
                            <wps:wsp>
                              <wps:cNvPr id="209" name="矩形 209"/>
                              <wps:cNvSpPr>
                                <a:spLocks noChangeArrowheads="1"/>
                              </wps:cNvSpPr>
                              <wps:spPr bwMode="auto">
                                <a:xfrm>
                                  <a:off x="4231906" y="4977462"/>
                                  <a:ext cx="1045845"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废水处理设施</w:t>
                                    </w:r>
                                  </w:p>
                                </w:txbxContent>
                              </wps:txbx>
                              <wps:bodyPr rot="0" vert="horz" wrap="square" lIns="91440" tIns="45720" rIns="91440" bIns="45720" anchor="t" anchorCtr="0" upright="1">
                                <a:noAutofit/>
                              </wps:bodyPr>
                            </wps:wsp>
                            <wps:wsp>
                              <wps:cNvPr id="210" name="AutoShape 56"/>
                              <wps:cNvCnPr>
                                <a:cxnSpLocks noChangeShapeType="1"/>
                                <a:stCxn id="207" idx="3"/>
                                <a:endCxn id="209" idx="3"/>
                              </wps:cNvCnPr>
                              <wps:spPr bwMode="auto">
                                <a:xfrm>
                                  <a:off x="5060056" y="4575871"/>
                                  <a:ext cx="217695" cy="537164"/>
                                </a:xfrm>
                                <a:prstGeom prst="bentConnector3">
                                  <a:avLst>
                                    <a:gd name="adj1" fmla="val 205009"/>
                                  </a:avLst>
                                </a:prstGeom>
                                <a:noFill/>
                                <a:ln w="9525">
                                  <a:solidFill>
                                    <a:srgbClr val="000000"/>
                                  </a:solidFill>
                                  <a:miter lim="800000"/>
                                  <a:tailEnd type="triangle" w="med" len="med"/>
                                </a:ln>
                              </wps:spPr>
                              <wps:bodyPr/>
                            </wps:wsp>
                            <wps:wsp>
                              <wps:cNvPr id="211" name="AutoShape 56"/>
                              <wps:cNvCnPr>
                                <a:cxnSpLocks noChangeShapeType="1"/>
                                <a:stCxn id="209" idx="1"/>
                                <a:endCxn id="203" idx="2"/>
                              </wps:cNvCnPr>
                              <wps:spPr bwMode="auto">
                                <a:xfrm rot="10800000">
                                  <a:off x="3336556" y="4711078"/>
                                  <a:ext cx="895350" cy="401392"/>
                                </a:xfrm>
                                <a:prstGeom prst="bentConnector2">
                                  <a:avLst/>
                                </a:prstGeom>
                                <a:noFill/>
                                <a:ln w="9525">
                                  <a:solidFill>
                                    <a:srgbClr val="000000"/>
                                  </a:solidFill>
                                  <a:miter lim="800000"/>
                                  <a:tailEnd type="triangle" w="med" len="med"/>
                                </a:ln>
                              </wps:spPr>
                              <wps:bodyPr/>
                            </wps:wsp>
                            <wps:wsp>
                              <wps:cNvPr id="212" name="矩形 212"/>
                              <wps:cNvSpPr>
                                <a:spLocks noChangeArrowheads="1"/>
                              </wps:cNvSpPr>
                              <wps:spPr bwMode="auto">
                                <a:xfrm>
                                  <a:off x="3831337" y="4393922"/>
                                  <a:ext cx="380365" cy="180975"/>
                                </a:xfrm>
                                <a:prstGeom prst="rect">
                                  <a:avLst/>
                                </a:prstGeom>
                                <a:noFill/>
                                <a:ln>
                                  <a:noFill/>
                                </a:ln>
                              </wps:spPr>
                              <wps:txbx>
                                <w:txbxContent>
                                  <w:p>
                                    <w:pPr>
                                      <w:jc w:val="center"/>
                                      <w:rPr>
                                        <w:kern w:val="0"/>
                                        <w:sz w:val="24"/>
                                        <w:szCs w:val="24"/>
                                      </w:rPr>
                                    </w:pPr>
                                    <w:r>
                                      <w:rPr>
                                        <w:rFonts w:ascii="Times New Roman" w:hAnsi="Times New Roman"/>
                                        <w:szCs w:val="21"/>
                                      </w:rPr>
                                      <w:t>125</w:t>
                                    </w:r>
                                  </w:p>
                                </w:txbxContent>
                              </wps:txbx>
                              <wps:bodyPr rot="0" vert="horz" wrap="square" lIns="18000" tIns="10800" rIns="18000" bIns="10800" anchor="t" anchorCtr="0" upright="1">
                                <a:noAutofit/>
                              </wps:bodyPr>
                            </wps:wsp>
                            <wps:wsp>
                              <wps:cNvPr id="213" name="矩形 213"/>
                              <wps:cNvSpPr>
                                <a:spLocks noChangeArrowheads="1"/>
                              </wps:cNvSpPr>
                              <wps:spPr bwMode="auto">
                                <a:xfrm>
                                  <a:off x="5127588" y="4785437"/>
                                  <a:ext cx="380365" cy="180975"/>
                                </a:xfrm>
                                <a:prstGeom prst="rect">
                                  <a:avLst/>
                                </a:prstGeom>
                                <a:noFill/>
                                <a:ln>
                                  <a:noFill/>
                                </a:ln>
                              </wps:spPr>
                              <wps:txbx>
                                <w:txbxContent>
                                  <w:p>
                                    <w:pPr>
                                      <w:jc w:val="center"/>
                                      <w:rPr>
                                        <w:kern w:val="0"/>
                                        <w:sz w:val="24"/>
                                        <w:szCs w:val="24"/>
                                      </w:rPr>
                                    </w:pPr>
                                    <w:r>
                                      <w:rPr>
                                        <w:rFonts w:ascii="Times New Roman" w:hAnsi="Times New Roman"/>
                                        <w:szCs w:val="21"/>
                                      </w:rPr>
                                      <w:t>5</w:t>
                                    </w:r>
                                  </w:p>
                                </w:txbxContent>
                              </wps:txbx>
                              <wps:bodyPr rot="0" vert="horz" wrap="square" lIns="18000" tIns="10800" rIns="18000" bIns="10800" anchor="t" anchorCtr="0" upright="1">
                                <a:noAutofit/>
                              </wps:bodyPr>
                            </wps:wsp>
                            <wps:wsp>
                              <wps:cNvPr id="214" name="矩形 214"/>
                              <wps:cNvSpPr>
                                <a:spLocks noChangeArrowheads="1"/>
                              </wps:cNvSpPr>
                              <wps:spPr bwMode="auto">
                                <a:xfrm>
                                  <a:off x="3502034" y="4921901"/>
                                  <a:ext cx="380365" cy="180975"/>
                                </a:xfrm>
                                <a:prstGeom prst="rect">
                                  <a:avLst/>
                                </a:prstGeom>
                                <a:noFill/>
                                <a:ln>
                                  <a:noFill/>
                                </a:ln>
                              </wps:spPr>
                              <wps:txbx>
                                <w:txbxContent>
                                  <w:p>
                                    <w:pPr>
                                      <w:jc w:val="center"/>
                                      <w:rPr>
                                        <w:kern w:val="0"/>
                                        <w:sz w:val="24"/>
                                        <w:szCs w:val="24"/>
                                      </w:rPr>
                                    </w:pPr>
                                    <w:r>
                                      <w:rPr>
                                        <w:rFonts w:ascii="Times New Roman" w:hAnsi="Times New Roman"/>
                                        <w:szCs w:val="21"/>
                                      </w:rPr>
                                      <w:t>5</w:t>
                                    </w:r>
                                  </w:p>
                                </w:txbxContent>
                              </wps:txbx>
                              <wps:bodyPr rot="0" vert="horz" wrap="square" lIns="18000" tIns="10800" rIns="18000" bIns="10800" anchor="t" anchorCtr="0" upright="1">
                                <a:noAutofit/>
                              </wps:bodyPr>
                            </wps:wsp>
                            <wps:wsp>
                              <wps:cNvPr id="215" name="矩形 215"/>
                              <wps:cNvSpPr>
                                <a:spLocks noChangeArrowheads="1"/>
                              </wps:cNvSpPr>
                              <wps:spPr bwMode="auto">
                                <a:xfrm>
                                  <a:off x="5060056" y="4123159"/>
                                  <a:ext cx="358775" cy="189865"/>
                                </a:xfrm>
                                <a:prstGeom prst="rect">
                                  <a:avLst/>
                                </a:prstGeom>
                                <a:noFill/>
                                <a:ln>
                                  <a:noFill/>
                                </a:ln>
                              </wps:spPr>
                              <wps:txbx>
                                <w:txbxContent>
                                  <w:p>
                                    <w:pPr>
                                      <w:jc w:val="center"/>
                                      <w:rPr>
                                        <w:kern w:val="0"/>
                                        <w:sz w:val="24"/>
                                        <w:szCs w:val="24"/>
                                      </w:rPr>
                                    </w:pPr>
                                    <w:r>
                                      <w:rPr>
                                        <w:rFonts w:ascii="Times New Roman" w:hAnsi="Times New Roman"/>
                                        <w:szCs w:val="21"/>
                                      </w:rPr>
                                      <w:t>120</w:t>
                                    </w:r>
                                  </w:p>
                                </w:txbxContent>
                              </wps:txbx>
                              <wps:bodyPr rot="0" vert="horz" wrap="square" lIns="18000" tIns="10800" rIns="18000" bIns="10800" anchor="t" anchorCtr="0" upright="1">
                                <a:noAutofit/>
                              </wps:bodyPr>
                            </wps:wsp>
                            <wps:wsp>
                              <wps:cNvPr id="216" name="AutoShape 35"/>
                              <wps:cNvCnPr>
                                <a:cxnSpLocks noChangeShapeType="1"/>
                                <a:stCxn id="207" idx="0"/>
                                <a:endCxn id="215" idx="1"/>
                              </wps:cNvCnPr>
                              <wps:spPr bwMode="auto">
                                <a:xfrm rot="5400000" flipH="1" flipV="1">
                                  <a:off x="4746558" y="4126627"/>
                                  <a:ext cx="222501" cy="404495"/>
                                </a:xfrm>
                                <a:prstGeom prst="curvedConnector2">
                                  <a:avLst/>
                                </a:prstGeom>
                                <a:noFill/>
                                <a:ln w="9525">
                                  <a:solidFill>
                                    <a:srgbClr val="000000"/>
                                  </a:solidFill>
                                  <a:prstDash val="dash"/>
                                  <a:round/>
                                  <a:tailEnd type="triangle" w="med" len="med"/>
                                </a:ln>
                              </wps:spPr>
                              <wps:bodyPr/>
                            </wps:wsp>
                            <wps:wsp>
                              <wps:cNvPr id="217" name="矩形 217"/>
                              <wps:cNvSpPr>
                                <a:spLocks noChangeArrowheads="1"/>
                              </wps:cNvSpPr>
                              <wps:spPr bwMode="auto">
                                <a:xfrm>
                                  <a:off x="1286512" y="1223673"/>
                                  <a:ext cx="1132811"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搅拌机</w:t>
                                    </w:r>
                                    <w:r>
                                      <w:rPr>
                                        <w:szCs w:val="21"/>
                                      </w:rPr>
                                      <w:t>清洗</w:t>
                                    </w:r>
                                    <w:r>
                                      <w:rPr>
                                        <w:rFonts w:hint="eastAsia"/>
                                        <w:szCs w:val="21"/>
                                      </w:rPr>
                                      <w:t>用水</w:t>
                                    </w:r>
                                  </w:p>
                                </w:txbxContent>
                              </wps:txbx>
                              <wps:bodyPr rot="0" vert="horz" wrap="square" lIns="91440" tIns="45720" rIns="91440" bIns="45720" anchor="t" anchorCtr="0" upright="1">
                                <a:noAutofit/>
                              </wps:bodyPr>
                            </wps:wsp>
                            <wps:wsp>
                              <wps:cNvPr id="218" name="矩形 218"/>
                              <wps:cNvSpPr>
                                <a:spLocks noChangeArrowheads="1"/>
                              </wps:cNvSpPr>
                              <wps:spPr bwMode="auto">
                                <a:xfrm>
                                  <a:off x="3099701" y="1223548"/>
                                  <a:ext cx="1132205" cy="270510"/>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搅拌机清洗用水</w:t>
                                    </w:r>
                                  </w:p>
                                </w:txbxContent>
                              </wps:txbx>
                              <wps:bodyPr rot="0" vert="horz" wrap="square" lIns="91440" tIns="45720" rIns="91440" bIns="45720" anchor="t" anchorCtr="0" upright="1">
                                <a:noAutofit/>
                              </wps:bodyPr>
                            </wps:wsp>
                            <wps:wsp>
                              <wps:cNvPr id="219" name="自选图形 469"/>
                              <wps:cNvCnPr>
                                <a:cxnSpLocks noChangeShapeType="1"/>
                                <a:stCxn id="217" idx="3"/>
                                <a:endCxn id="218" idx="1"/>
                              </wps:cNvCnPr>
                              <wps:spPr bwMode="auto">
                                <a:xfrm flipV="1">
                                  <a:off x="2419323" y="1358803"/>
                                  <a:ext cx="680378" cy="443"/>
                                </a:xfrm>
                                <a:prstGeom prst="straightConnector1">
                                  <a:avLst/>
                                </a:prstGeom>
                                <a:noFill/>
                                <a:ln w="9525">
                                  <a:solidFill>
                                    <a:srgbClr val="000000"/>
                                  </a:solidFill>
                                  <a:round/>
                                  <a:tailEnd type="triangle" w="med" len="med"/>
                                </a:ln>
                              </wps:spPr>
                              <wps:bodyPr/>
                            </wps:wsp>
                            <wps:wsp>
                              <wps:cNvPr id="220" name="自选图形 469"/>
                              <wps:cNvCnPr>
                                <a:cxnSpLocks noChangeShapeType="1"/>
                                <a:stCxn id="218" idx="3"/>
                                <a:endCxn id="221" idx="1"/>
                              </wps:cNvCnPr>
                              <wps:spPr bwMode="auto">
                                <a:xfrm>
                                  <a:off x="4231906" y="1358803"/>
                                  <a:ext cx="567087" cy="443"/>
                                </a:xfrm>
                                <a:prstGeom prst="straightConnector1">
                                  <a:avLst/>
                                </a:prstGeom>
                                <a:noFill/>
                                <a:ln w="9525">
                                  <a:solidFill>
                                    <a:srgbClr val="000000"/>
                                  </a:solidFill>
                                  <a:round/>
                                  <a:tailEnd type="triangle" w="med" len="med"/>
                                </a:ln>
                              </wps:spPr>
                              <wps:bodyPr/>
                            </wps:wsp>
                            <wps:wsp>
                              <wps:cNvPr id="221" name="矩形 221"/>
                              <wps:cNvSpPr>
                                <a:spLocks noChangeArrowheads="1"/>
                              </wps:cNvSpPr>
                              <wps:spPr bwMode="auto">
                                <a:xfrm>
                                  <a:off x="4798993" y="1223673"/>
                                  <a:ext cx="824230"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沉淀池</w:t>
                                    </w:r>
                                  </w:p>
                                </w:txbxContent>
                              </wps:txbx>
                              <wps:bodyPr rot="0" vert="horz" wrap="square" lIns="91440" tIns="45720" rIns="91440" bIns="45720" anchor="t" anchorCtr="0" upright="1">
                                <a:noAutofit/>
                              </wps:bodyPr>
                            </wps:wsp>
                            <wps:wsp>
                              <wps:cNvPr id="222" name="矩形 222"/>
                              <wps:cNvSpPr>
                                <a:spLocks noChangeArrowheads="1"/>
                              </wps:cNvSpPr>
                              <wps:spPr bwMode="auto">
                                <a:xfrm>
                                  <a:off x="980710" y="1174094"/>
                                  <a:ext cx="379730" cy="180340"/>
                                </a:xfrm>
                                <a:prstGeom prst="rect">
                                  <a:avLst/>
                                </a:prstGeom>
                                <a:noFill/>
                                <a:ln>
                                  <a:noFill/>
                                </a:ln>
                              </wps:spPr>
                              <wps:txbx>
                                <w:txbxContent>
                                  <w:p>
                                    <w:pPr>
                                      <w:jc w:val="center"/>
                                      <w:rPr>
                                        <w:kern w:val="0"/>
                                        <w:sz w:val="24"/>
                                        <w:szCs w:val="24"/>
                                      </w:rPr>
                                    </w:pPr>
                                    <w:r>
                                      <w:rPr>
                                        <w:rFonts w:ascii="Times New Roman" w:hAnsi="Times New Roman"/>
                                        <w:szCs w:val="21"/>
                                      </w:rPr>
                                      <w:t>24</w:t>
                                    </w:r>
                                  </w:p>
                                </w:txbxContent>
                              </wps:txbx>
                              <wps:bodyPr rot="0" vert="horz" wrap="square" lIns="18000" tIns="10800" rIns="18000" bIns="10800" anchor="t" anchorCtr="0" upright="1">
                                <a:noAutofit/>
                              </wps:bodyPr>
                            </wps:wsp>
                            <wps:wsp>
                              <wps:cNvPr id="223" name="矩形 223"/>
                              <wps:cNvSpPr>
                                <a:spLocks noChangeArrowheads="1"/>
                              </wps:cNvSpPr>
                              <wps:spPr bwMode="auto">
                                <a:xfrm>
                                  <a:off x="2527501" y="1195745"/>
                                  <a:ext cx="379730" cy="179705"/>
                                </a:xfrm>
                                <a:prstGeom prst="rect">
                                  <a:avLst/>
                                </a:prstGeom>
                                <a:noFill/>
                                <a:ln>
                                  <a:noFill/>
                                </a:ln>
                              </wps:spPr>
                              <wps:txbx>
                                <w:txbxContent>
                                  <w:p>
                                    <w:pPr>
                                      <w:jc w:val="center"/>
                                      <w:rPr>
                                        <w:kern w:val="0"/>
                                        <w:sz w:val="24"/>
                                        <w:szCs w:val="24"/>
                                      </w:rPr>
                                    </w:pPr>
                                    <w:r>
                                      <w:rPr>
                                        <w:rFonts w:ascii="Times New Roman" w:hAnsi="Times New Roman"/>
                                        <w:szCs w:val="21"/>
                                      </w:rPr>
                                      <w:t>24</w:t>
                                    </w:r>
                                  </w:p>
                                </w:txbxContent>
                              </wps:txbx>
                              <wps:bodyPr rot="0" vert="horz" wrap="square" lIns="18000" tIns="10800" rIns="18000" bIns="10800" anchor="t" anchorCtr="0" upright="1">
                                <a:noAutofit/>
                              </wps:bodyPr>
                            </wps:wsp>
                            <wps:wsp>
                              <wps:cNvPr id="256" name="矩形 256"/>
                              <wps:cNvSpPr>
                                <a:spLocks noChangeArrowheads="1"/>
                              </wps:cNvSpPr>
                              <wps:spPr bwMode="auto">
                                <a:xfrm>
                                  <a:off x="4275853" y="1179530"/>
                                  <a:ext cx="379730" cy="179705"/>
                                </a:xfrm>
                                <a:prstGeom prst="rect">
                                  <a:avLst/>
                                </a:prstGeom>
                                <a:noFill/>
                                <a:ln>
                                  <a:noFill/>
                                </a:ln>
                              </wps:spPr>
                              <wps:txbx>
                                <w:txbxContent>
                                  <w:p>
                                    <w:pPr>
                                      <w:jc w:val="center"/>
                                      <w:rPr>
                                        <w:kern w:val="0"/>
                                        <w:sz w:val="24"/>
                                        <w:szCs w:val="24"/>
                                      </w:rPr>
                                    </w:pPr>
                                    <w:r>
                                      <w:rPr>
                                        <w:rFonts w:ascii="Times New Roman" w:hAnsi="Times New Roman"/>
                                        <w:szCs w:val="21"/>
                                      </w:rPr>
                                      <w:t>24</w:t>
                                    </w:r>
                                  </w:p>
                                </w:txbxContent>
                              </wps:txbx>
                              <wps:bodyPr rot="0" vert="horz" wrap="square" lIns="18000" tIns="10800" rIns="18000" bIns="10800" anchor="t" anchorCtr="0" upright="1">
                                <a:noAutofit/>
                              </wps:bodyPr>
                            </wps:wsp>
                            <wps:wsp>
                              <wps:cNvPr id="257" name="矩形 257"/>
                              <wps:cNvSpPr>
                                <a:spLocks noChangeArrowheads="1"/>
                              </wps:cNvSpPr>
                              <wps:spPr bwMode="auto">
                                <a:xfrm>
                                  <a:off x="1294313" y="2015984"/>
                                  <a:ext cx="1125010" cy="271145"/>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搅拌用水</w:t>
                                    </w:r>
                                  </w:p>
                                </w:txbxContent>
                              </wps:txbx>
                              <wps:bodyPr rot="0" vert="horz" wrap="square" lIns="91440" tIns="45720" rIns="91440" bIns="45720" anchor="t" anchorCtr="0" upright="1">
                                <a:noAutofit/>
                              </wps:bodyPr>
                            </wps:wsp>
                            <wps:wsp>
                              <wps:cNvPr id="258" name="AutoShape 56"/>
                              <wps:cNvCnPr>
                                <a:cxnSpLocks noChangeShapeType="1"/>
                                <a:stCxn id="68" idx="3"/>
                                <a:endCxn id="257" idx="1"/>
                              </wps:cNvCnPr>
                              <wps:spPr bwMode="auto">
                                <a:xfrm flipV="1">
                                  <a:off x="737307" y="2151542"/>
                                  <a:ext cx="557006" cy="136517"/>
                                </a:xfrm>
                                <a:prstGeom prst="bentConnector3">
                                  <a:avLst>
                                    <a:gd name="adj1" fmla="val 50000"/>
                                  </a:avLst>
                                </a:prstGeom>
                                <a:noFill/>
                                <a:ln w="9525">
                                  <a:solidFill>
                                    <a:srgbClr val="000000"/>
                                  </a:solidFill>
                                  <a:miter lim="800000"/>
                                  <a:tailEnd type="triangle" w="med" len="med"/>
                                </a:ln>
                              </wps:spPr>
                              <wps:bodyPr/>
                            </wps:wsp>
                            <wps:wsp>
                              <wps:cNvPr id="259" name="矩形 259"/>
                              <wps:cNvSpPr>
                                <a:spLocks noChangeArrowheads="1"/>
                              </wps:cNvSpPr>
                              <wps:spPr bwMode="auto">
                                <a:xfrm>
                                  <a:off x="3265814" y="2015984"/>
                                  <a:ext cx="1388758" cy="270510"/>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全部进入产品蒸发</w:t>
                                    </w:r>
                                  </w:p>
                                </w:txbxContent>
                              </wps:txbx>
                              <wps:bodyPr rot="0" vert="horz" wrap="square" lIns="91440" tIns="45720" rIns="91440" bIns="45720" anchor="t" anchorCtr="0" upright="1">
                                <a:noAutofit/>
                              </wps:bodyPr>
                            </wps:wsp>
                            <wps:wsp>
                              <wps:cNvPr id="260" name="自选图形 469"/>
                              <wps:cNvCnPr>
                                <a:cxnSpLocks noChangeShapeType="1"/>
                                <a:stCxn id="257" idx="3"/>
                                <a:endCxn id="259" idx="1"/>
                              </wps:cNvCnPr>
                              <wps:spPr bwMode="auto">
                                <a:xfrm flipV="1">
                                  <a:off x="2419323" y="2151239"/>
                                  <a:ext cx="846491" cy="318"/>
                                </a:xfrm>
                                <a:prstGeom prst="straightConnector1">
                                  <a:avLst/>
                                </a:prstGeom>
                                <a:noFill/>
                                <a:ln w="9525">
                                  <a:solidFill>
                                    <a:srgbClr val="000000"/>
                                  </a:solidFill>
                                  <a:round/>
                                  <a:tailEnd type="triangle" w="med" len="med"/>
                                </a:ln>
                              </wps:spPr>
                              <wps:bodyPr/>
                            </wps:wsp>
                            <wps:wsp>
                              <wps:cNvPr id="261" name="矩形 261"/>
                              <wps:cNvSpPr>
                                <a:spLocks noChangeArrowheads="1"/>
                              </wps:cNvSpPr>
                              <wps:spPr bwMode="auto">
                                <a:xfrm>
                                  <a:off x="983146" y="1865002"/>
                                  <a:ext cx="379730" cy="179705"/>
                                </a:xfrm>
                                <a:prstGeom prst="rect">
                                  <a:avLst/>
                                </a:prstGeom>
                                <a:noFill/>
                                <a:ln>
                                  <a:noFill/>
                                </a:ln>
                              </wps:spPr>
                              <wps:txbx>
                                <w:txbxContent>
                                  <w:p>
                                    <w:pPr>
                                      <w:jc w:val="center"/>
                                      <w:rPr>
                                        <w:kern w:val="0"/>
                                        <w:sz w:val="24"/>
                                        <w:szCs w:val="24"/>
                                      </w:rPr>
                                    </w:pPr>
                                    <w:r>
                                      <w:rPr>
                                        <w:rFonts w:ascii="Times New Roman" w:hAnsi="Times New Roman"/>
                                        <w:szCs w:val="21"/>
                                      </w:rPr>
                                      <w:t>7200</w:t>
                                    </w:r>
                                  </w:p>
                                </w:txbxContent>
                              </wps:txbx>
                              <wps:bodyPr rot="0" vert="horz" wrap="square" lIns="18000" tIns="10800" rIns="18000" bIns="10800" anchor="t" anchorCtr="0" upright="1">
                                <a:noAutofit/>
                              </wps:bodyPr>
                            </wps:wsp>
                            <wps:wsp>
                              <wps:cNvPr id="262" name="矩形 262"/>
                              <wps:cNvSpPr>
                                <a:spLocks noChangeArrowheads="1"/>
                              </wps:cNvSpPr>
                              <wps:spPr bwMode="auto">
                                <a:xfrm>
                                  <a:off x="2635185" y="1968802"/>
                                  <a:ext cx="379730" cy="179070"/>
                                </a:xfrm>
                                <a:prstGeom prst="rect">
                                  <a:avLst/>
                                </a:prstGeom>
                                <a:noFill/>
                                <a:ln>
                                  <a:noFill/>
                                </a:ln>
                              </wps:spPr>
                              <wps:txbx>
                                <w:txbxContent>
                                  <w:p>
                                    <w:pPr>
                                      <w:jc w:val="center"/>
                                      <w:rPr>
                                        <w:kern w:val="0"/>
                                        <w:sz w:val="24"/>
                                        <w:szCs w:val="24"/>
                                      </w:rPr>
                                    </w:pPr>
                                    <w:r>
                                      <w:rPr>
                                        <w:rFonts w:ascii="Times New Roman" w:hAnsi="Times New Roman"/>
                                        <w:szCs w:val="21"/>
                                      </w:rPr>
                                      <w:t>7224</w:t>
                                    </w:r>
                                  </w:p>
                                </w:txbxContent>
                              </wps:txbx>
                              <wps:bodyPr rot="0" vert="horz" wrap="square" lIns="18000" tIns="10800" rIns="18000" bIns="10800" anchor="t" anchorCtr="0" upright="1">
                                <a:noAutofit/>
                              </wps:bodyPr>
                            </wps:wsp>
                            <wps:wsp>
                              <wps:cNvPr id="263" name="AutoShape 56"/>
                              <wps:cNvCnPr>
                                <a:cxnSpLocks noChangeShapeType="1"/>
                                <a:stCxn id="221" idx="2"/>
                                <a:endCxn id="257" idx="0"/>
                              </wps:cNvCnPr>
                              <wps:spPr bwMode="auto">
                                <a:xfrm rot="5400000">
                                  <a:off x="3273409" y="78054"/>
                                  <a:ext cx="521109" cy="3354290"/>
                                </a:xfrm>
                                <a:prstGeom prst="bentConnector3">
                                  <a:avLst>
                                    <a:gd name="adj1" fmla="val 50000"/>
                                  </a:avLst>
                                </a:prstGeom>
                                <a:noFill/>
                                <a:ln w="9525">
                                  <a:solidFill>
                                    <a:srgbClr val="000000"/>
                                  </a:solidFill>
                                  <a:miter lim="800000"/>
                                  <a:tailEnd type="triangle" w="med" len="med"/>
                                </a:ln>
                              </wps:spPr>
                              <wps:bodyPr/>
                            </wps:wsp>
                            <wps:wsp>
                              <wps:cNvPr id="264" name="矩形 264"/>
                              <wps:cNvSpPr>
                                <a:spLocks noChangeArrowheads="1"/>
                              </wps:cNvSpPr>
                              <wps:spPr bwMode="auto">
                                <a:xfrm>
                                  <a:off x="3131401" y="1571434"/>
                                  <a:ext cx="939827" cy="204369"/>
                                </a:xfrm>
                                <a:prstGeom prst="rect">
                                  <a:avLst/>
                                </a:prstGeom>
                                <a:noFill/>
                                <a:ln>
                                  <a:noFill/>
                                </a:ln>
                              </wps:spPr>
                              <wps:txbx>
                                <w:txbxContent>
                                  <w:p>
                                    <w:pPr>
                                      <w:jc w:val="center"/>
                                      <w:rPr>
                                        <w:kern w:val="0"/>
                                        <w:sz w:val="24"/>
                                        <w:szCs w:val="24"/>
                                      </w:rPr>
                                    </w:pPr>
                                    <w:r>
                                      <w:rPr>
                                        <w:rFonts w:ascii="Times New Roman" w:hAnsi="Times New Roman"/>
                                        <w:szCs w:val="21"/>
                                      </w:rPr>
                                      <w:t>用于</w:t>
                                    </w:r>
                                    <w:r>
                                      <w:rPr>
                                        <w:rFonts w:hint="eastAsia" w:ascii="Times New Roman" w:hAnsi="Times New Roman"/>
                                        <w:szCs w:val="21"/>
                                      </w:rPr>
                                      <w:t>生产</w:t>
                                    </w:r>
                                    <w:r>
                                      <w:rPr>
                                        <w:rFonts w:ascii="Times New Roman" w:hAnsi="Times New Roman"/>
                                        <w:szCs w:val="21"/>
                                      </w:rPr>
                                      <w:t>24</w:t>
                                    </w:r>
                                  </w:p>
                                </w:txbxContent>
                              </wps:txbx>
                              <wps:bodyPr rot="0" vert="horz" wrap="square" lIns="18000" tIns="10800" rIns="18000" bIns="10800" anchor="t" anchorCtr="0" upright="1">
                                <a:noAutofit/>
                              </wps:bodyPr>
                            </wps:wsp>
                          </wpc:wpc>
                        </a:graphicData>
                      </a:graphic>
                    </wp:inline>
                  </w:drawing>
                </mc:Choice>
                <mc:Fallback>
                  <w:pict>
                    <v:group id="画布 491" o:spid="_x0000_s1026" o:spt="203" style="height:452.9pt;width:446.65pt;" coordsize="5672455,5752099" editas="canvas" o:gfxdata="UEsDBAoAAAAAAIdO4kAAAAAAAAAAAAAAAAAEAAAAZHJzL1BLAwQUAAAACACHTuJADYJsQdcAAAAF&#10;AQAADwAAAGRycy9kb3ducmV2LnhtbE2PQUvDQBCF74L/YRnBi9jdWpQ0zaSHglhEKE1tz9vsmASz&#10;s2l2m9R/7+pFLwOP93jvm2x5sa0YqPeNY4TpRIEgLp1puEJ43z3fJyB80Gx065gQvsjDMr++ynRq&#10;3MhbGopQiVjCPtUIdQhdKqUva7LaT1xHHL0P11sdouwraXo9xnLbygelnqTVDceFWne0qqn8LM4W&#10;YSw3w2H39iI3d4e149P6tCr2r4i3N1O1ABHoEv7C8IMf0SGPTEd3ZuNFixAfCb83esl8NgNxRJir&#10;xwRknsn/9Pk3UEsDBBQAAAAIAIdO4kDKfB0joxAAAM62AAAOAAAAZHJzL2Uyb0RvYy54bWztXctu&#10;49YZ3hfoOwjaZ8xzDg8vQjxB4EnSAGkbIGn3tCRLSiVSIeWxJ6sCXRTdd9dFge7aJyhQtG8TpH2L&#10;fv+58CbK9sgSLXtOFhOJlHk5/Phfvv/28Se3q+Xg7TQvFll6PmSvvOFgmo6zySKdnQ9/8+3nH0XD&#10;QbFJ0kmyzNLp+fDdtBh+8vrnP/v4Zj2a8myeLSfTfICDpMXoZn0+nG8269HZWTGeT1dJ8SpbT1Ps&#10;vMryVbLB13x2NsmTGxx9tTzjnhec3WT5ZJ1n42lRYOsbvXNojpg/5IDZ1dViPH2Tja9X03Sjj5pP&#10;l8kGt1TMF+ti+Fpd7dXVdLz59dVVMd0MludD3OlG/YuT4PMl/Xv2+uNkNMuT9XwxNpeQPOQSWve0&#10;ShYpTloe6k2ySQbX+WLrUKvFOM+K7GrzapytzvSNqBXBXTCvtTZf5Nn1Wt3LbHQzW5eLjgfVWvW9&#10;Dzv+1duv88FiAiQIMRykyQqP/Kc//+vHf/5h4MeM1udmPRvhZ1/k62/WX+dmw0x/o1u+vcpX9H/c&#10;zOBWrey7cmWnt5vBGBtlEHJfyuFgjH0ylNyLY7324zke0Nbfjeef3fOXZ/bEZ3R95eXcrIHKolqq&#10;4nFL9c08WU/VEyhoDcxSBXhFzEr99e8//vtvA86E1EulfkbrRCtSrL/Kxr8rBml2MU/S2fTTPM9u&#10;5tNkgqtSS4trr/0BfSnwp4PLm19mEzyH5HqTKVR1LjFnkvky1MtoFzoUofBCvc48FNwTtL9crGS0&#10;zovNF9NsNaAP58Mcb4g6RfL2q2Kjf2p/om4hWy4mny+WS/Uln11eLPPB2wRv0+fqP3P0ov6zZTq4&#10;OR/Gkkt15Ma+on4IT/3XdQi6hDdJMdenmuCTvs3VYgPhs1yszodR/Y+XKW7Srh9Bthhtbi9vFViL&#10;0WU2eYdlzTP9+kP44cM8y38YDm7w6p8Pi++vk3w6HCy/TPFoSE6oD1hdji+53XpZ35qkYxzifLgZ&#10;DvTHi42WK9frfDGb4wxM3X6afYrHeLVQi0sXpq/GXC+wqi/36KAN2dOCloVeEAXBcEASwA/jCBeE&#10;55OMLHQZE1HEcJUkIzjkxTPFbi8YjZnvd+PU7HneWOVPi1UBgHoQ6RarDKqriVU/jgPmO6ySsLxP&#10;nr5wrFZmkzUGQqWUSdbDZjiKMTC4Wi7WvyAVoz791iobY4Px2GcyMrJWSC4iY+laWeszL/YMfFkc&#10;cY8bLWwtDWsDPNBMSDOyEdQrQqo4GZUbYHocVDkz0vtWQTMP36yCNnu04DN7np2Shsx5esuyUz1H&#10;AgsMw/eZa+cntSxfuCSEwGmB98klYex7UQx/SBmdQnDfbypyPwg9z/ilLIidIDwVbyW2WPrvH//x&#10;v9//6ce//IccbT9QtIFRrRep9rPHt+k3LVdbOe7fvlvDizZuRrG5uE0V0xHieS8mYCWUbwwHJJ2U&#10;u6BQ1a6Ge67PQyd9kHtuJSVhLmDSly3MRaH0pJGkSi/vds+LTZ6QM3mRpSk89SzXPuUOZ71UuqRz&#10;H+2Dg3xKJ0qlb5LF8rN0Mtio9dzkC5AZyymc5/PhajqB2zwFk0if8Otufa99XtpNq9if0wu7x4ik&#10;I8DIYqUDRvBf9oNRtzkX+SDQjBQDooSvzLXKdQ49EFAGUaHQ2LX82Bbl4zD1UP61m/2L8Ny1miNi&#10;R/1mIAPC/uPEErGKO8QSg2I6KKIsTUgiSviBUJdf4Un6OKHViqEULFAibLecugQPX8ooURGK5ArM&#10;Jma5ksl35K+slmDYQSEOJDF4RmYoiaakh/U8Gl7EQQRaJzGTjJ6vdNOwaJhcfqikkUHiUXxPejDG&#10;z2Q8CiSDsAOORBxFcCmVwrBuZsR9XvkM8B+eJxvdCZxuRbc/6/yyfQNA9SnEJnThnoq4hvKasOQ8&#10;ColyaKC8Li19xF90TMYJy+435KlMQSCwzSr78AQqtX1sYcll5CFQaIVlDIOtASPGmBdW8Q8nLe+K&#10;0b14aVmyyod3XGrW5Lbrol+T/ZyXmszkBGYyWrWFidhfE+xw5P0Y90hsIlxk2rlbYDqP5XEeC54p&#10;uH5tJx4FTtbd7YSTZVvem1Lp9IVFEHvqdjSwIpgVDSmKnIiQmQQIocgihyvkaR0lDwa4wsNt+R9K&#10;q/Xkf8C7kIEPG0/7HzEzSUXW/2B+EERVmNap1A9apbbDE0hCIdnRE1ZrrLCQIoxaGQUI0YoyIhsh&#10;OusisieRNgUZB23SlHE6mt4TbuAyhIGxpACcQCu1iqtrAod5DjinkW8H4IDQ1cCpiOJGnuie8Ssc&#10;2bLBlomoIljYidDZfva7zpCUvs6svCfHhIUIbFGqKXRv5PttCpkHyPKFXUgGvgjgDdxj44+v87fT&#10;Sckh84pD1q7B8WjhXRkBLyH+pdHQkl5Ks/QlvTwZWz9QBJ7XstaFjAOQwtoNjD3phNepCC9RRk5/&#10;0mltftRnZKHu5kHrRc5ceh5Z5iwmyr0lcJTo70ng1ENSYFxjGbRi5czjccSAbp3I5nzCD9knFFsh&#10;AWTN9ucTCs8LAUdlQ3WCFQFU4QKoDyvbeekhgao+7xgcbhkp7eJw6TXZz6WohwSQRiLIJYBHgPIe&#10;ydq1a2B2Q1u7ZvNCduSju4jAYyMCoowIlPZdn8xtHCHWqcNDyBEBTWs9WVP2CVbDr+gwx2qcShUh&#10;7Lstyj/qk0ZFGXEIwBiVyQCdtkvZQI4jUk8HOVSw2ObDjpw4ySkUuJ/m6ow+1lKBkHEbc51rW5Gx&#10;9VQg8H8RKEBNX+3QYy5vUnUU6DkrnKE8zkLRaD9T4fkETirKqmJEKZtRbNRC81ottHNSP2QnFdn+&#10;TUaFNaTmsfPW0E9CMKIDicnvAiuilc5JfWBviZfupPpl3loV82qgdc+Y153FESTN91PyNfe0ptqR&#10;5RshbtEUyXXVzjwRSqRqOt2uV6Cjwvvp0nxR4tkWl316tvBVo8C4tsLjYYieJ1ilykZ0ru1pNsiB&#10;VVi6tsdg2Eop1cWwkY5/tAjjPtxzDglMmlqAYYtbZmWASJpj2MjIP3q7JaCpnW/GNMnVk4+Bxx/a&#10;RFnBuPCCVquwphxyRMkJESXtjDOmSa6ekOP7QRSSIXeHwQ8l5yKoQzhFH3bzI0i5MsntKDrTqsVO&#10;nbk3t1cz+5FaghgrbmKXzkQfJWFroV1UyvZ9PVI9gV+2/bC8XNBn1hFlPkok2CowoNCTh62CZqQx&#10;Ui6jE31O9LFYHimeAaFqJVun2LP5vWqnbSH7kB41VUZvTQBKQDqg984IQBm2QrEIciBnSkNexl6g&#10;S/l2V1XtFdP4KI5ixGo0neCaQVB/651tobvbkgCPZVDjsNwb8GghZ2Ot9Xzz0nXVFSvGSH0QHlVH&#10;XtWqjzqB1EAp/DCkEhkFSohcUCpNEgW55aHtJ4089EA36HwgKHtMLu9sHfGse45UVQ2liu6TXkOb&#10;Ec+3KhpRMtkOnTXdWpc5cjJuLeU5tsP/hymHKdWl1Vw18USBq/2ItfeqhvFRvBBQThW0KLqvokqr&#10;JbA48yS9OjrrWIr7WuG4ehiEfJujJd5ryMEOJblV1oC25KRZeqJWUJ0eSbIbCSZRJNA+qanXkFRC&#10;fc9dQQzaNpI9cDLSa6usgen+9b0Bh4eBAY6QkmGeRgs4jfphp/ZOBzhb2Rv60fUEHIGaOs8oJhFE&#10;fqwbxLlwZH5x2vM6MA/I2kvG0KYt/akqBjMGeT9KVaG8N6acuUYcmzE0cKTeyqaQCsNo6Ae7fbAT&#10;nTXT6aLhLjqSGlx3v26zitpmb9n2R077Ue/HfpZ9jWi4N+sHdBgIL41xNP+jqSt3gnwv9st1Qn3w&#10;TLRdAISgalSdmslXPWlZjrwLD0Fasut9YGS75zfa0MdV3MDJyjvmb73sHElOZU0aqoePmFZCcTty&#10;QG/EnlRITWBigoKP6TEa6ZjkhwrWplngR3BU8CaQVSBhP9wpLV0d3+Pq+FSX7pbc67OnKVmF0PNK&#10;7HFNXTRsRJCxAhSHpjOQJ64bru5vIjYmHGh+wAweOrTBhpILGi2kBwG+uDlDUFZWCJXORZ+F7xxN&#10;GgXGiyrgCERS2wOqWsAR95ld9/kWDjiYzXsAApVT+mhL4Bx92llN/fhIa/TMFEkytALW4tkxo6pm&#10;aHn49d0a6D7g7J5eetQBqM4pfY85ybt8giOmplXGVJehZdM3dIWI8UEeFBGnuX7taX4ihMFFJhU5&#10;FzC5SKM2tCxA7jGrZe+LhDuT67EmVxnHLFVnnwXwPvJxkIWj0RCHob/d4MiXGBjkeDmXo4ags9XW&#10;h00JUmaAIt+6xJ/NFtLO33uIv5qil0g0Q0i9FHpb46JR2h/EBuXop3ucEUXwr8BxGwvCpaXtkZaG&#10;QQDHgqCFmY1LVFkflXY+ZE6agOK1iMSgDi9sVVeh2RyibVru+pjIFuuT7xzE1qCKXU7aq3G2OsNg&#10;qfdPfeQ0gqrplGALTKSe2F+B3t5CwOgjA03EePAdwXlHg8zRx+20sjrUOJ4WcJTS6gk4mJ0WykgX&#10;n/jId8X0qKZl36JBHH92IuNpOQ2VaAGnzy6n9awOzGqEQ2CVYNU/zRGvGJx7ehIHJmsLOH0S9g2z&#10;GlXBrN3mAnNkQxqQTOEbNHsxCYqOsd9QHIvUgm5sYb70N8mYg+g0wKlcuUOkT1eu3Hb2NCdWab8c&#10;i/fLngaLIWmAMRlQjAcBZm40GC7OuaR8KEIlous+HD96HjtNa5c9fYzsadVNryW8+iT/6729Geci&#10;aOcyttumuTSLDzfNgpXsv6VpsaVHn9CLY4xlVyKNsCpRKN8QaYTVcsg2D12k6sNt8Qf73er2I6QE&#10;lS1QO6haekn21O9dkap6AyL0R0UXNXtO45YE2ALaTOtxtBi5U4m7SNUjI1U0Jkqr62PAykLHPuIa&#10;/UqzvveDVS0CUA90dYJJBqEXmfxzZKg7MK2WKTpbHWfWJ6dn2rT9sKU/fYphjUjs0OUInbYf2rig&#10;yZUWLRz0vKtGmGf5D8PBTZ6sz4fF99dJPh0Oll+maN3ywjNstwa9w33sEaq12QYMU/K8uNVERoQo&#10;wjJIpc7OLreNGI2rxZNTLNQ6sSXilFbpKRrAJaIB1mVAOw8MWCTU1kr16sDBZ7SlutOAui+3zSVF&#10;HigpkqLCTeBgS4+6kaJI0uhGdH1EdwEHnHQM/Xdx4jWeGIHUBk6/hFpV44nSERlHLVXFGPGuzqo6&#10;d7lkmE9nsVoFIBpi7vCt3Tm9H/s5kveNb0Fog0m0rmooWFmr9mSIn5Ydydz4lo5q6Kdq8Y5CI4tE&#10;S+3qKGZPdprggYwoAQDBqG6piaai0MjWF3XU7gdM7aLnt9HwR+DgSvHYwcHRS3JA0Vmndkl2cvRg&#10;a8jOyEcXSROixZgY2rk7Puuo3UdSu1Rr3vQ4em0RHiPjkfrbqyQR9CXSc9udp3ryDgeKRdq46ZMa&#10;44GQzPT1ZHGAAFHLAmtwYyENhL1bkDiKQyU5H32cBR6cBc5hrX8VV1B6yiKhFkcq9ZtGgbHvHlRI&#10;p1rLSmro3eosy0MQrtCNEF3o8C1bDq9EvQLtpUQjgaA9R9OOOzVZI4lfqJ51pk4kGc0m5l1LJt9B&#10;Xl+tlsn58G2yHLh+L4/t9xJs5d9iCx5UXy4Ag/6zVK0MmY8Oaw1rCEUAEZLYFI7Q8UMEtohohyfp&#10;5BhlV85GN7O1shtniFrNF+M3ySapf8fnm/VoyrN5tpxM89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BMTAABbQ29udGVudF9UeXBlc10ueG1s&#10;UEsBAhQACgAAAAAAh07iQAAAAAAAAAAAAAAAAAYAAAAAAAAAAAAQAAAA9REAAF9yZWxzL1BLAQIU&#10;ABQAAAAIAIdO4kCKFGY80QAAAJQBAAALAAAAAAAAAAEAIAAAABkSAABfcmVscy8ucmVsc1BLAQIU&#10;AAoAAAAAAIdO4kAAAAAAAAAAAAAAAAAEAAAAAAAAAAAAEAAAAAAAAABkcnMvUEsBAhQAFAAAAAgA&#10;h07iQA2CbEHXAAAABQEAAA8AAAAAAAAAAQAgAAAAIgAAAGRycy9kb3ducmV2LnhtbFBLAQIUABQA&#10;AAAIAIdO4kDKfB0joxAAAM62AAAOAAAAAAAAAAEAIAAAACYBAABkcnMvZTJvRG9jLnhtbFBLBQYA&#10;AAAABgAGAFkBAAA7FAAAAAA=&#10;">
                      <o:lock v:ext="edit" aspectratio="f"/>
                      <v:shape id="画布 491" o:spid="_x0000_s1026" style="position:absolute;left:0;top:0;height:5752099;width:5672455;" filled="f" stroked="f" coordsize="21600,21600" o:gfxdata="UEsDBAoAAAAAAIdO4kAAAAAAAAAAAAAAAAAEAAAAZHJzL1BLAwQUAAAACACHTuJADYJsQdcAAAAF&#10;AQAADwAAAGRycy9kb3ducmV2LnhtbE2PQUvDQBCF74L/YRnBi9jdWpQ0zaSHglhEKE1tz9vsmASz&#10;s2l2m9R/7+pFLwOP93jvm2x5sa0YqPeNY4TpRIEgLp1puEJ43z3fJyB80Gx065gQvsjDMr++ynRq&#10;3MhbGopQiVjCPtUIdQhdKqUva7LaT1xHHL0P11sdouwraXo9xnLbygelnqTVDceFWne0qqn8LM4W&#10;YSw3w2H39iI3d4e149P6tCr2r4i3N1O1ABHoEv7C8IMf0SGPTEd3ZuNFixAfCb83esl8NgNxRJir&#10;xwRknsn/9Pk3UEsDBBQAAAAIAIdO4kC58B4ZWxAAAEe2AAAOAAAAZHJzL2Uyb0RvYy54bWztXcuO&#10;68YR3QfIPwjc+w67m83HwLqGMTdODNjJBexkz5E4IzkSKVOax/UquyDfkEWA7JJ/SP7GSPIXOdXN&#10;5kvUPDQiRzPTXtgaSaYo8bAep05Vff7F7XIxuk7y9TxLxw575zqjJJ1k03l6OXZ+//1Xn4XOaL2J&#10;02m8yNJk7HxK1s4X73/5i89vVqcJz2bZYprkIxwkXZ/erMbObLNZnZ6crCezZBmv32WrJMWLF1m+&#10;jDf4M788mebxDY6+XJxw1/VPbrJ8usqzSbJe49kP+kWnOGL+kANmFxfzSfIhm1wtk3Sjj5oni3iD&#10;r7SezVdr570624uLZLL53cXFOtmMFmMH33Sj/o0PweNz+vfJ+8/j08s8Xs3mk+IU4oecQus7LeN5&#10;ig8tD/Uh3sSjq3y+dajlfJJn6+xi826SLU/0F1G/CL4Fc1u/zVmcXsf6y0zwW5sTxKMDHvf8ks47&#10;zb6aLxb4NU5w9FN6jv57g6ud0MuLtPkm/Yx6b/GemxXgsF6VwFg/7RS/m8WrRF3G9enkt9cf89F8&#10;OnZ8YDONl0Dlf/72j5//9fcRZ0LSNaRPx9u+W33M6UTXq2+yyR/XozQ7m8XpZfJlnmc3sySe4qwY&#10;vR9nXvsf6I81/tfR+c232RRHj682mbqctxf5kg6ICzW6Vaj5NHY4k8yTgcZOcrsZTfBSIALhBs5o&#10;Qm8IBHeF+pz41Bxila83v06y5YgejJ0c0FQfEV9/s97QKcWn5i3qK2SL+ZSuifojvzw/W+Sj6xgw&#10;/kr9Uxx9XX/bIh3djJ1IcqmO3HhtXT+Eq/7pOgSdwod4PdMfNcUj/TWX8w3u+sV8OXbC+v9MwFA/&#10;Jv1++jpsbs9vi0tynk0/4WfNM33fwergwSzLf3JGN7jnxs76x6s4T5zR4usUl4ZuUPUAvy7HH7l5&#10;9rz+bJxOcIixs3FG+uHZRt/QV6t8fjnDJzD19dPsS1zGi7n6cekS67MpzhdY1afbO2gD9rygZYHr&#10;h77vjIBM6QVRiBPC9YlPDXQZE2HIcJYau9x7odgdBKMR87xunBavvGys8ufFqgBAXZh0g1UmlXmv&#10;YdWLIp95FqtkLO+zp68cq2ILq4Fyyg3ffuBgYHSxmK9+Qy5GPfqDcTZFgMAjj8mwsLVCchEWIaax&#10;tR5zI7eAL4tC7vLCC+8ZJpRx2x0xmg5unuqcGfl946CZi7+Mgy5e0YaveOXFOWnYnOePLDvdcyjw&#10;AyPwfeHe+Vkjy1duCWFwWuB9dksYeW4YIR9SQacQ3POaQafnB66Lm45QzfzIGsJjyVYig6X//vmf&#10;//vTX37+678p0fb8iK5f4VrPUp1nT27T71qptkrcv/+0QhZdpBnrzdltqtL3ANd7PkWyrHJjBHXp&#10;tHwJDlW91EjP9ec8OD03lpIw5zPpyRbmwkC6srCkyi8j597hd9ebPKZk8ixLU2TqWa5zyh3JesML&#10;PzkHz7OrdKoytE08X/wqnY426vfc5HOQGYsEyfPYWSZTpM0JKDx6hHfju3Qk4zrnpZfpVxwu6UXc&#10;U5ikHmBksNIBI+Qv+8GoO5wLPenDlCorBkQJT4VrVToSuCCgCkQFQmPXYgpQ64P9C3HdtZsjYkcZ&#10;mpH0n26WiFXcYZYYHNNBEWVoQjJRwvOFOv0KT9LDBxqvGEjBfGXCdtupcxDgpY0SFaFI/M7ltPi5&#10;4ukPlK8sF6C2QSGOJDF4hc1QFk1Zjzr7eFiD1knMxKcv17ppWDRCLi9Q1qhwkH0T0YyHvmQwdsCR&#10;iMIQKaVyGCbNDLnHq5wB+cPLZKM7gdPt6PZnnV93bgCoPofZhC/c0xGT5SrYlJqx5DwMiHJooLxu&#10;LT3UX3RNxhrL7jvkuUJBILDNKnvIBHAlBzKWXIYuCoXGWEYI2BowYoy5QVX/sNbyrhrdq7eWJat8&#10;+MSlFk1upy76NtkveanZTE5gpqBVR5io/TXBjkTei/AdFe+iE+TdBtNmwQ+VanTrFXBNwfXrOLEX&#10;OJl0txNOhm15NKXSmQsLP3LV19HAChFWNKwoNBEBKwQQQpFFFlcQ7fSSCQNXuLit/EN5tYFcKrIL&#10;6XuI8XT+ETF1was8lnm+H1ZlWutS37RLbZcnIEIZMPyrscJCiiBsKQpQohVlRTZEddZWZI9CNgUb&#10;B2/StHG6mj6QjUPKEPhFJAXg+NqpVTauCRzmWuAch94OwAGhq4FTEcUNneie9Ssc2bDBhomoKlh4&#10;EaWz/eJ3rZCUnlZW3qMxYQEKWyQ1he8NPa9NIXM/kJRwU4AvfGQD9zDIk6v8OpmWHDKvOGSEdwjh&#10;+qOFdykCXkP9S6OhZb2UZxnKerkyMnmg8F23Fa0LGfkghXUaGLnSGq9jMV6irJwWGncvHLKyUE/z&#10;4PVCGy69DJU5i4hybxkcZfoHMjj1khQY10j6rVo5c3kUMqBbC9lsTviWc0KxVRKAana4koBw3QBw&#10;VDFUJ1hRQBW2gPqwtp3XXhIQvZYEykppF4dLt8l+KUW9JAAZiaCUABkBD7hk7d41MLuB6V0zuhCr&#10;i+uJuRVlRaCM74ZkbqMQtU5dHoJGBDStyWSLPkawGl5Fh1lW41i6CBHfbVH+4ZA0KkdTJgBTuEwG&#10;6LRTygZyLJF6PMihhsU2H9azcJJTKXA/z9VZfaxJgaC4jbjW2lZkbF0KBP4vBAWo6asdfszqJj/m&#10;9ANRcjicKpyhPc5AsfB+RYfnMySpaKuKUKUknFQ4Qi80r/VC2yT1LSepUPs3GRXWsJp9i3wxT0Iw&#10;ogOJye8CK6qVNkl94GyJ156kemWSWtW8Gmjds+Z1Z3MEWfP9nHwtPa25dqh8Q9Qtmia57tqZKwIJ&#10;qab17foXOKKOL/j2dmaLVni6UkP5dtcN/SK1FS4PAsw8afh2m9oe54AcIKdMbftQSZZWqothIx//&#10;ZBPGPaTnHBaYPLUAwxa1wkoflTTLsBXJRr8zwoCmtt6MaZJrIDuEyx8YoaxgXLh+a1RY0w5ZouSI&#10;iJK24oxpkmsg5HieHwYUyN0R8MPJ2Qqqg6TobQ8/gpUrRW69+EzjFjt95t7cXi3sh7QENVZ8iV0+&#10;E3OUhOmFtlUpM3C1p6qUV479MLycP6TqiJSPEgJbBQY0evKg1dAMGSNpGa3ps6aPRbKnegaMqrFs&#10;nWbP6HvVi2aE7ENm1FSK3poBlIC0T/ddYQBl0CrFosgBzZSGvIxcX7fy7e6q2qum8VkURqjVaDrB&#10;DoOgwdI75zHvavKTZVHjsNwb8GggZ2qtdb15mbrqjpUiSH0QHtVEXjWqjyaB1EApvCCgFhkFSphc&#10;UCpNEgXa8gBDOZWIDzp0Xw/ofCAoBxSXd46OeNEzR6quhtJFD0mvYcyI6xkXjSqZbJfOmmmtVY4c&#10;TVpLOsd2+f8w7TCluzSeq2aeqHC1H7H2qG4YD80LPmmq4EUxfRVdWi2DxZkr6dbRqmMp7huFY/th&#10;UPJt7nR41NKCHU5yq60BY8kHLA6gOz2UFDcSTMJQYHxS069BVEJzz21DDMY2UjxwNNZrq62B6fn1&#10;A3FymLIV+AVwhJTMD1ptDXB7tf5h6/aOBzhb6g196QYCjkBPnVs4JuGHXqQHxFVSIxsvHWc5Eot4&#10;TLxUBNr0zIB1bIQx0P0oV4X23og0c406NmMY4EizlYtGKiyjoTfszsGOdNdMZ4qGb9EharDT/brD&#10;KhqbvRXb9yz7UffHfpF9jWi4V/UDOgyEl8Y4hv/R1pU7Qb4X+2UnoT54GdkuAMJQNbpOi81XA3lZ&#10;Dt2FiyItxfUeMLI98xtj6KOqbmBt5R37t163RpJTW5OG6uErppVR3K4c0B2xJxVSM5jYoOBhe4xG&#10;usQke+iJGmGBFyJRwZ1AUYFE/HCntbST/Z422U9N6W7ZvSFnmlJUCD+vzB7X1EUDDJSVguLQdAZ0&#10;4nrg6v4hYmMguOYHzMLIAwdsaLmg1UJ6EeCr2zMEZ2WMUJlcDNn4zjGkUUSFvxSopLYXVLWAI+4L&#10;u+7LLSxwsBT3AAQqJ/loy+D0vu2s5n48yBrdYoskBVo+a/Hs2FFVC7RcvPtuD3QfcHZvL+11AapN&#10;Sh+xoHhXTtCjNK0KproCLSPf0B0ij6mI016/9jY/ESDgopCKkguEXORRG14WIHeZ8bL3VcJtyPXU&#10;kKusY5auc8gGeA96HKhwNBqiIPC2Bxx5EguDLC9nNWooOhtvfVhJkAoDFPnWZf6MWkgnf48wfzVH&#10;LyE0Q0m9NHpb66LR2u9HBcoxT7efFUXIr8BxFxGElaXtIUvDIoC+IGhgZuoSleqj8s6H1KQJOF6D&#10;SCzqcINWdxWGzaHapu2uh41skf7wnYvYGlSx1aS9m2TLE6zcebz0kdMKqmZSgmcQIg3E/grM9hYC&#10;QR8FaCLChe8ozlsaZIY5bsel6lDreFrAUU5rIOCQqkOGuvnEg94V26OakX2LBrH82ZGsp+W0VKIF&#10;nCGnnNZVHdjViITAOMFqfpolXrE49/gsDkLWFnCGJOwbYTW6gll7zAX2yAa0IJnKNxj2UggULWO/&#10;oToWuQW9v27wmVUcRGcBnCqVO4R8ukrlttXTnFil/TQWj1NPg8WQtMCYAijGfR87NxoMF+dckh6K&#10;UInquofEj67HztDaqqf7UE+raXot4zUk+V+f7c04F35by9gem2ZlFm9XZsFK9t/QtHhmwJzQjSKs&#10;ZVcmjbAq0SjfMGmE1XLJNg9spertjvhD/G58ew+SoHIEagdVSzfJnv69q1JVH0CE+aiYomY+s0hL&#10;fDwD2kz7cYwYudOJ20rVEytVtCZKu+s+YGWgYy5xjX6lXd/7wapWAagXujrBJP3ADQv9ORTqFkzL&#10;RYoxuv3s+uR0TZuxH54Zzp9iWSOEHbodoTP2wxgXDLnSpoWDnrfdCLMs/8kZ3eTxauysf7yK88QZ&#10;Lb5OMbrllStstxa9I30cEKq13QYMW/LcqDVERgRowiqQSpOdrbaNGI2L+bNTLDQ6sWXilFcZqBrA&#10;JaoBJmXAeBksWCTU1lr16sDBY4ylujOAuk/bZkWRBxJFUlW4CRw8M6BvpCqSLHwjpj5iuoAFTjqB&#10;/zvb5GOSAV0daY8nViC1gTMsoVb1eKJ1REZhy1UxRryrjaoUiN72qEfspzNYrQoQDTN3+NHunO6P&#10;/RLJ+9a3oLTBJEZXNRysrHV7MtRPy4lkdn1LRze0roRRBEIB0nDrW9BoZJBoqF1dxRwoThPclyEJ&#10;AFCM6raaGCoKj2xyUUvtvmFqFzO/Cw/fAwdXmscODo5ukgOazjq1S7aTYwZbw3aGHqZIFiVarImh&#10;F3fXZy21+0Rql3rNmxnHoCPCIygeab69EolgLpHe224z1aNPONAs0sbNkNQY94VkxVxPFvkoELUi&#10;sAY3FtBC2LsNiaU4lMgZwVe/6yxw4QxwDhv9q7qC8lMGCbU6UunfNAqK+O7ho2UlDfRuTZblAQhX&#10;+EaYLkz4lq2EV6JfgV4loZFA0Z5jaMednqwh4hdqZl3RJxKfXk6Ley2e/gB7fbFcxGPnOl6M7LyX&#10;p8578bf0t3gGF2qoFIDB/xmqVgbMw4S1RjSEJoAQIjaFI0z8EL5pItqRSVo7RlnkBNXLiYobL1G1&#10;ms0nH+JNXP9b5ZqnCc9m2WKa5O//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sSAABbQ29udGVudF9UeXBlc10ueG1sUEsBAhQACgAAAAAAh07i&#10;QAAAAAAAAAAAAAAAAAYAAAAAAAAAAAAQAAAArREAAF9yZWxzL1BLAQIUABQAAAAIAIdO4kCKFGY8&#10;0QAAAJQBAAALAAAAAAAAAAEAIAAAANERAABfcmVscy8ucmVsc1BLAQIUAAoAAAAAAIdO4kAAAAAA&#10;AAAAAAAAAAAEAAAAAAAAAAAAEAAAAAAAAABkcnMvUEsBAhQAFAAAAAgAh07iQA2CbEHXAAAABQEA&#10;AA8AAAAAAAAAAQAgAAAAIgAAAGRycy9kb3ducmV2LnhtbFBLAQIUABQAAAAIAIdO4kC58B4ZWxAA&#10;AEe2AAAOAAAAAAAAAAEAIAAAACYBAABkcnMvZTJvRG9jLnhtbFBLBQYAAAAABgAGAFkBAADzEwAA&#10;AAA=&#10;">
                        <v:fill on="f" focussize="0,0"/>
                        <v:stroke on="f"/>
                        <v:imagedata o:title=""/>
                        <o:lock v:ext="edit" aspectratio="f"/>
                      </v:shape>
                      <v:rect id="矩形 2135" o:spid="_x0000_s1026" o:spt="1" style="position:absolute;left:0;top:2151457;height:273203;width:737307;" fillcolor="#FFFFFF" filled="t" stroked="t" coordsize="21600,21600" o:gfxdata="UEsDBAoAAAAAAIdO4kAAAAAAAAAAAAAAAAAEAAAAZHJzL1BLAwQUAAAACACHTuJA9vkPstcAAAAF&#10;AQAADwAAAGRycy9kb3ducmV2LnhtbE2PzU7DMBCE70h9B2srcaN2KJQkxOmBUiEhpRWFB3DjJYmI&#10;1yHe/vD2GC5wWWk0o5lvi+XZ9eKIY+g8aUhmCgRS7W1HjYa31/VVCiKwIWt6T6jhCwMsy8lFYXLr&#10;T/SCxx03IpZQyI2GlnnIpQx1i86EmR+QovfuR2c4yrGRdjSnWO56ea3UQjrTUVxozYAPLdYfu4PT&#10;sFlU2SrZ0mPy3FWfN3frKl09sdaX00Tdg2A8818YfvAjOpSRae8PZIPoNcRH+PdGL83mcxB7DZm6&#10;TUGWhfxPX34DUEsDBBQAAAAIAIdO4kDB6wBrSAIAAJMEAAAOAAAAZHJzL2Uyb0RvYy54bWytVM1u&#10;EzEQviPxDpbvZH9CmrLqpqoSBSEVqFR4AMfrzVr4j7GTTXgZJG48BI+DeA3G3m1JC4ce2IM1Y4+/&#10;mfk+z15cHrQiewFeWlPTYpJTIgy3jTTbmn78sH5xTokPzDRMWSNqehSeXi6eP7voXSVK21nVCCAI&#10;YnzVu5p2IbgqyzzvhGZ+Yp0weNha0CygC9usAdYjulZZmednWW+hcWC58B53V8MhHRHhKYC2bSUX&#10;K8t3WpgwoIJQLGBLvpPO00Wqtm0FD+/b1otAVE2x05BWTIL2Jq7Z4oJVW2Cuk3wsgT2lhEc9aSYN&#10;Jr2HWrHAyA7kX1BacrDetmHCrc6GRhIj2EWRP+LmtmNOpF6Qau/uSff/D5a/298AkU1Nz1B3wzQq&#10;/uvr958/vpGymM4iP73zFYbduhuIHXp3bfknT4xddsxsxRWA7TvBGqyqiPHZgwvR8XiVbPq3tkF0&#10;tgs2UXVoQUdAJIEckiLHmpbFrHg5mw+6iEMgHI/m0/k0n1PCY8B8WubTlIdVdxAOfHgtrCbRqCmg&#10;7CkF21/7EEti1V1IasEq2aylUsmB7WapgOwZPpF1+kZ0fxqmDOlr+mpWzhLygzN/CpGn718QsYQV&#10;892QqkFraFPLgBOlpK7p+ellZUYyI3+DDuGwOYySbGxzRFrBDm8aJxqNzsIXSnp8zzX1n3cMBCXq&#10;jUFp4uNPBrJbogN3u5vTXWY4QtQ0UDKYyzAMy86B3HaYoUjtG3uFMrYykRslHqoZ68W3mjgf5yoO&#10;w6mfov78S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b5D7LXAAAABQEAAA8AAAAAAAAAAQAg&#10;AAAAIgAAAGRycy9kb3ducmV2LnhtbFBLAQIUABQAAAAIAIdO4kDB6wBrSAIAAJMEAAAOAAAAAAAA&#10;AAEAIAAAACYBAABkcnMvZTJvRG9jLnhtbFBLBQYAAAAABgAGAFkBAADgBQAAAAA=&#10;">
                        <v:fill on="t" focussize="0,0"/>
                        <v:stroke color="#000000" miterlimit="8" joinstyle="miter" dashstyle="dash"/>
                        <v:imagedata o:title=""/>
                        <o:lock v:ext="edit" aspectratio="f"/>
                        <v:textbox inset="0mm,1.27mm,0mm,1.27mm">
                          <w:txbxContent>
                            <w:p>
                              <w:pPr>
                                <w:jc w:val="center"/>
                              </w:pPr>
                              <w:r>
                                <w:rPr>
                                  <w:rFonts w:hint="eastAsia"/>
                                </w:rPr>
                                <w:t>给水总量</w:t>
                              </w:r>
                            </w:p>
                          </w:txbxContent>
                        </v:textbox>
                      </v:rect>
                      <v:rect id="矩形 2135" o:spid="_x0000_s1026" o:spt="1" style="position:absolute;left:1706866;top:5479871;height:272403;width:1138811;"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nkUjm0cCAACKBAAADgAAAGRycy9lMm9Eb2MueG1srVTbbtQw&#10;EH1H4h8sv9Nc9tqo2araqgipQKXCB3gdZ2PhG2PvZsvPIPHGR/A5iN9g7KRlW3joA3mIPJnxmTNn&#10;ZnJ2ftCK7AV4aU1Ni5OcEmG4baTZ1vTjh6tXS0p8YKZhyhpR0zvh6fnq5Yuz3lWitJ1VjQCCIMZX&#10;vatpF4KrsszzTmjmT6wTBp2tBc0CmrDNGmA9omuVlXk+z3oLjQPLhff49XJw0hERngNo21ZycWn5&#10;TgsTBlQQigUsyXfSebpKbNtW8PC+bb0IRNUUKw3pjUnwvInvbHXGqi0w10k+UmDPofCkJs2kwaQP&#10;UJcsMLID+ReUlhyst2044VZnQyFJEayiyJ9oc9sxJ1ItKLV3D6L7/wfL3+1vgMimpouCEsM0dvzX&#10;1+8/f3wjZTGZRX165ysMu3U3ECv07tryT54Yu+6Y2YoLANt3gjXIqojx2aML0fB4lWz6t7ZBdLYL&#10;Nkl1aEFHQBSBHPDuIp8v53NK7mo6my5Ol0godUccAuExoJgslwWy5BhRLsppPknpWHWP5MCH18Jq&#10;Eg81Bex+ysT21z5EZqy6D0mVWCWbK6lUMmC7WSsge4aTcpWeEd0fhylD+pqezspZQn7k88cQeXr+&#10;BaFlwAVSUtd0eRykzKhdlGuQPRw2h7EDG9vcoYpghxHGBcZDZ+ELJT2Ob0395x0DQYl6Y7ATp8V0&#10;Guc9GdPZokQDjj2bYw8zHKFqGigZjusw7MjOgdx2mKlI5Rp7gd1rZRIzdnZgNfLGEU0aj+sUd+DY&#10;TlF/fiG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idpTVAAAABQEAAA8AAAAAAAAAAQAgAAAA&#10;IgAAAGRycy9kb3ducmV2LnhtbFBLAQIUABQAAAAIAIdO4kCeRSObRwIAAIoEAAAOAAAAAAAAAAEA&#10;IAAAACQBAABkcnMvZTJvRG9jLnhtbFBLBQYAAAAABgAGAFkBAADdBQAAAAA=&#10;">
                        <v:fill on="t" focussize="0,0"/>
                        <v:stroke color="#000000" miterlimit="8" joinstyle="miter"/>
                        <v:imagedata o:title=""/>
                        <o:lock v:ext="edit" aspectratio="f"/>
                        <v:textbox>
                          <w:txbxContent>
                            <w:p>
                              <w:pPr>
                                <w:jc w:val="center"/>
                              </w:pPr>
                              <w:r>
                                <w:rPr>
                                  <w:rFonts w:hint="eastAsia"/>
                                </w:rPr>
                                <w:t>雨水收集沉淀池</w:t>
                              </w:r>
                            </w:p>
                          </w:txbxContent>
                        </v:textbox>
                      </v:rect>
                      <v:rect id="矩形 2135" o:spid="_x0000_s1026" o:spt="1" style="position:absolute;left:3547035;top:5479155;height:272403;width:1499614;"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UdRriEgCAACKBAAADgAAAGRycy9lMm9Eb2MueG1srVTNbtNA&#10;EL4j8Q6rvVP/1GkaK5uqalWEVKBS4QE263W8Yv+Y3cQpL4PEjYfgcRCvwXjtlrRw6AEfrJnM+Jv5&#10;vpnJ8mxvNNlJCMpZRoujnBJphWuU3TD68cPVq1NKQuS24dpZyeidDPRs9fLFsve1LF3ndCOBIIgN&#10;de8Z7WL0dZYF0UnDw5Hz0mKwdWB4RBc2WQO8R3SjszLPT7LeQePBCRkC/no5BumECM8BdG2rhLx0&#10;YmukjSMqSM0jUgqd8oGuUrdtK0V837ZBRqIZRaYxvbEI2uvhna2WvN4A950SUwv8OS084WS4slj0&#10;AeqSR062oP6CMkqAC66NR8KZbCSSFEEWRf5Em9uOe5m4oNTBP4ge/h+seLe7AaIaRuclJZYbnPiv&#10;r99//vhGyuJ4NujT+1Bj2q2/gYFh8NdOfArEuouO2408B3B9J3mDXRVDfvbog8EJ+ClZ929dg+h8&#10;G12Sat+CGQBRBLJn9HhWzXOsSO4YRXNRzFJ1Xst9JAITimqxOCkqSgRmlPOyyo9TOV7fI3kI8bV0&#10;hgwGo4DTT5X47jrEoTNe36ckJk6r5kppnRzYrC80kB3HTblKz4QeDtO0JT2ji1k5S8iPYuEQIk/P&#10;vyCMinhAWhlGTw+TtJ20G+QaZY/79X6awNo1d6giuHGF8YDR6Bx8oaTH9WU0fN5ykJToNxYnsSiq&#10;atj35FSzeYkOHEbWhxFuBUIxGikZzYs43sjWg9p0WKlIdK07x+m1Kok5THbsauobVzRpPJ3TcAOH&#10;fsr68xey+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4naU1QAAAAUBAAAPAAAAAAAAAAEAIAAA&#10;ACIAAABkcnMvZG93bnJldi54bWxQSwECFAAUAAAACACHTuJAUdRriEgCAACKBAAADgAAAAAAAAAB&#10;ACAAAAAkAQAAZHJzL2Uyb0RvYy54bWxQSwUGAAAAAAYABgBZAQAA3gUAAAAA&#10;">
                        <v:fill on="t" focussize="0,0"/>
                        <v:stroke color="#000000" miterlimit="8" joinstyle="miter"/>
                        <v:imagedata o:title=""/>
                        <o:lock v:ext="edit" aspectratio="f"/>
                        <v:textbox>
                          <w:txbxContent>
                            <w:p>
                              <w:pPr>
                                <w:jc w:val="center"/>
                              </w:pPr>
                              <w:r>
                                <w:rPr>
                                  <w:rFonts w:hint="eastAsia"/>
                                </w:rPr>
                                <w:t>全部用于生产或降尘</w:t>
                              </w:r>
                            </w:p>
                          </w:txbxContent>
                        </v:textbox>
                      </v:rect>
                      <v:rect id="矩形 2177" o:spid="_x0000_s1026" o:spt="1" style="position:absolute;left:2941586;top:5352380;flip:x y;height:198202;width:410904;" filled="f" stroked="f" coordsize="21600,21600" o:gfxdata="UEsDBAoAAAAAAIdO4kAAAAAAAAAAAAAAAAAEAAAAZHJzL1BLAwQUAAAACACHTuJA2KpUJdYAAAAF&#10;AQAADwAAAGRycy9kb3ducmV2LnhtbE2PzU7DMBCE70i8g7VI3KjdVpQkxKkECHGDUnrpzY2XJCJe&#10;B9v9IU/PwgUuK41mNPNtuTy5XhwwxM6ThulEgUCqve2o0bB5e7zKQMRkyJreE2r4wgjL6vysNIX1&#10;R3rFwzo1gksoFkZDm9JQSBnrFp2JEz8gsffugzOJZWikDebI5a6XM6UW0pmOeKE1A963WH+s907D&#10;+Plss3plXe6fFjfbl9lDGO9GrS8vpuoWRMJT+gvDDz6jQ8VMO78nG0WvgR9Jv5e9LJ/PQew05Oo6&#10;A1mV8j999Q1QSwMEFAAAAAgAh07iQGaANmAlAgAAKwQAAA4AAABkcnMvZTJvRG9jLnhtbK1TzW4T&#10;MRC+I/EOlu9kf5K0SZRNVTUqIBWoVODueL1Zi12PGTvZhJdB4sZD8DiI12DsXbVpufTAxZqxx9/M&#10;9/nz8uLQNmyv0GkwBc9GKWfKSCi12Rb808frVzPOnBemFA0YVfCjcvxi9fLFsrMLlUMNTamQEYhx&#10;i84WvPbeLpLEyVq1wo3AKkOHFWArPKW4TUoUHaG3TZKn6VnSAZYWQSrnaHfdH/IBEZ8DCFWlpVqD&#10;3LXK+B4VVSM8UXK1to6v4rRVpaT/UFVOedYUnJj6uFITijdhTVZLsdiisLWWwwjiOSM84dQKbajp&#10;PdRaeMF2qP+BarVEcFD5kYQ26YlERYhFlj7R5q4WVkUuJLWz96K7/wcr3+9vkemy4Odjzoxo6cX/&#10;fP/5+9cPlmfn50GfzroFld3ZWwwMnb0B+cUxA1e1MFt1iQhdrURJU2WhPnl0ISSOrrJN9w5KQhc7&#10;D1GqQ4Utqxpt34SLMfocotCEhGGHgufzSTadnXF2LPh0PM3Hs+HF1MEzSQWTLJ2nE84kFWTzWZ7m&#10;cQKxCOAByKLzrxW0LAQFRzJEbCD2N86HYR9KQrmBa9000RSNebRBhWEnkgt8el38YXMYJNpAeSSa&#10;CL3H6IdRUAN+46wjfxXcfd0JVJw1b02QapamwZB9klLGGZ6ebE5PhJEEVXDPWR9e+d7EO4t6W1On&#10;XjcDlyRvpSO1IH0/1TA3eSgyHvweTHqax6qHP77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iq&#10;VCXWAAAABQEAAA8AAAAAAAAAAQAgAAAAIgAAAGRycy9kb3ducmV2LnhtbFBLAQIUABQAAAAIAIdO&#10;4kBmgDZgJQIAACsEAAAOAAAAAAAAAAEAIAAAACUBAABkcnMvZTJvRG9jLnhtbFBLBQYAAAAABgAG&#10;AFkBAAC8BQAAAAA=&#10;">
                        <v:fill on="f" focussize="0,0"/>
                        <v:stroke on="f"/>
                        <v:imagedata o:title=""/>
                        <o:lock v:ext="edit" aspectratio="f"/>
                        <v:textbox inset="0.5mm,0.3mm,0.5mm,0.3mm">
                          <w:txbxContent>
                            <w:p>
                              <w:pPr>
                                <w:jc w:val="center"/>
                                <w:rPr>
                                  <w:rFonts w:ascii="Times New Roman" w:hAnsi="Times New Roman"/>
                                </w:rPr>
                              </w:pPr>
                              <w:r>
                                <w:rPr>
                                  <w:rFonts w:ascii="Times New Roman" w:hAnsi="Times New Roman"/>
                                </w:rPr>
                                <w:t>7520</w:t>
                              </w:r>
                            </w:p>
                          </w:txbxContent>
                        </v:textbox>
                      </v:rect>
                      <v:rect id="矩形 2135" o:spid="_x0000_s1026" o:spt="1" style="position:absolute;left:0;top:5479871;height:272403;width:831808;" fillcolor="#FFFFFF" filled="t" stroked="t" coordsize="21600,21600" o:gfxdata="UEsDBAoAAAAAAIdO4kAAAAAAAAAAAAAAAAAEAAAAZHJzL1BLAwQUAAAACACHTuJAOloJItcAAAAF&#10;AQAADwAAAGRycy9kb3ducmV2LnhtbE2PzU7DMBCE70i8g7VIXBC126ooTeP0EIljhCg/4ujG2yQl&#10;Xqfxpilvj+ECl5VGM5r5NtteXCfOOITWk4b5TIFAqrxtqdbw+vJ4n4AIbMiazhNq+MIA2/z6KjOp&#10;9RM943nHtYglFFKjoWHuUylD1aAzYeZ7pOgd/OAMRznU0g5miuWukwulHqQzLcWFxvRYNFh97kan&#10;4cCr9+ntaTz1p4/iruayPBaLUuvbm7nagGC88F8YfvAjOuSRae9HskF0GuIj/Hujl6yXSxB7DWu1&#10;SkDmmfxPn38DUEsDBBQAAAAIAIdO4kBu3j3ATgIAAJsEAAAOAAAAZHJzL2Uyb0RvYy54bWytVM1u&#10;EzEQviPxDpbvdH+SkHTVTVUlKkIqUKnwAI7Xm7XwH2Mnm/IySNz6EDwO4jUYe7clLRx6wAdrZmf8&#10;zcw3M3t2ftCK7AV4aU1Ni5OcEmG4baTZ1vTTx8tXC0p8YKZhyhpR01vh6fny5Yuz3lWitJ1VjQCC&#10;IMZXvatpF4KrsszzTmjmT6wTBo2tBc0CqrDNGmA9omuVlXn+OustNA4sF97j1/VgpCMiPAfQtq3k&#10;Ym35TgsTBlQQigUsyXfSebpM2bat4OFD23oRiKopVhrSjUFQ3sQ7W56xagvMdZKPKbDnpPCkJs2k&#10;waAPUGsWGNmB/AtKSw7W2zaccKuzoZDECFZR5E+4uemYE6kWpNq7B9L9/4Pl7/fXQGRT0/mMEsM0&#10;dvzXt7ufP76TspjMIj+98xW63bhriBV6d2X5Z0+MXXXMbMUFgO07wRrMqoj+2aMHUfH4lGz6d7ZB&#10;dLYLNlF1aEFHQCSBHFJHbms6m85PF/OEwypxCISjaTEpFjmOJUeHcl5O80mKw6p7CAc+vBFWkyjU&#10;FLDtKQTbX/kQU2LVvUsqwSrZXEqlkgLbzUoB2TMckct0RnR/7KYM6Wt6OitnCfmRzR9D5On8CyKm&#10;sGa+G0I1KEUvVmkZcKOU1Fjp8WNlRjIjf0MfwmFzGFuysc0t0gp2mGncaBQ6C18p6XGea+q/7BgI&#10;StRbg605LabTuABJmc7mJSpwbNkcW5jhCFXTQMkgrsKwNDsHctthpCLRYOwFtrOVieTY6iGrMW+c&#10;2cT9uF9xKY715PXnn7L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paCSLXAAAABQEAAA8AAAAA&#10;AAAAAQAgAAAAIgAAAGRycy9kb3ducmV2LnhtbFBLAQIUABQAAAAIAIdO4kBu3j3ATgIAAJsEAAAO&#10;AAAAAAAAAAEAIAAAACYBAABkcnMvZTJvRG9jLnhtbFBLBQYAAAAABgAGAFkBAADmBQAAAAA=&#10;">
                        <v:fill on="t" focussize="0,0"/>
                        <v:stroke color="#000000" miterlimit="8" joinstyle="miter" dashstyle="dash"/>
                        <v:imagedata o:title=""/>
                        <o:lock v:ext="edit" aspectratio="f"/>
                        <v:textbox>
                          <w:txbxContent>
                            <w:p>
                              <w:pPr>
                                <w:jc w:val="center"/>
                              </w:pPr>
                              <w:r>
                                <w:rPr>
                                  <w:rFonts w:hint="eastAsia"/>
                                </w:rPr>
                                <w:t>初期雨水</w:t>
                              </w:r>
                            </w:p>
                          </w:txbxContent>
                        </v:textbox>
                      </v:rect>
                      <v:rect id="矩形 2177" o:spid="_x0000_s1026" o:spt="1" style="position:absolute;left:940897;top:5433244;flip:x y;height:169202;width:467005;" filled="f" stroked="f" coordsize="21600,21600" o:gfxdata="UEsDBAoAAAAAAIdO4kAAAAAAAAAAAAAAAAAEAAAAZHJzL1BLAwQUAAAACACHTuJA2KpUJdYAAAAF&#10;AQAADwAAAGRycy9kb3ducmV2LnhtbE2PzU7DMBCE70i8g7VI3KjdVpQkxKkECHGDUnrpzY2XJCJe&#10;B9v9IU/PwgUuK41mNPNtuTy5XhwwxM6ThulEgUCqve2o0bB5e7zKQMRkyJreE2r4wgjL6vysNIX1&#10;R3rFwzo1gksoFkZDm9JQSBnrFp2JEz8gsffugzOJZWikDebI5a6XM6UW0pmOeKE1A963WH+s907D&#10;+Plss3plXe6fFjfbl9lDGO9GrS8vpuoWRMJT+gvDDz6jQ8VMO78nG0WvgR9Jv5e9LJ/PQew05Oo6&#10;A1mV8j999Q1QSwMEFAAAAAgAh07iQBo2mu0lAgAAKgQAAA4AAABkcnMvZTJvRG9jLnhtbK1TzW4T&#10;MRC+I/EOlu9kN9s0P6tsqqpRAalApQJ3x+vNWux6zNjJbngZJG48BI+DeA3G3qhNy6UHLtaMZ/x5&#10;vs+flxd927C9QqfBFHw8SjlTRkKpzbbgnz5ev5pz5rwwpWjAqIIflOMXq5cvlp3NVQY1NKVCRiDG&#10;5Z0teO29zZPEyVq1wo3AKkPFCrAVnlLcJiWKjtDbJsnSdJp0gKVFkMo52l0PRX5ExOcAQlVpqdYg&#10;d60yfkBF1QhPlFytreOrOG1VKek/VJVTnjUFJ6Y+rnQJxZuwJqulyLcobK3lcQTxnBGecGqFNnTp&#10;PdRaeMF2qP+BarVEcFD5kYQ2GYhERYjFOH2izV0trIpcSGpn70V3/w9Wvt/fItNlwWdTzoxo6cX/&#10;fP/5+9cPlo1ns6BPZ11ObXf2FgNDZ29AfnHMwFUtzFZdIkJXK1HSVOPQnzw6EBJHR9mmewcloYud&#10;hyhVX2HLqkbbN+FgjD6HKFxCwrC+4ItJOl/MODsU/HxydpZNJsODqd4zSfXJdJam55xJahhPF1ma&#10;xQFEHrADjkXnXytoWQgKjuSHiC/2N86HWR9aQruBa9000RONebRBjWEncgt0Bll8v+mPCm2gPBBL&#10;hMFi9MEoqAG/cdaRvQruvu4EKs6atyYoNU/T4MchSSnjDE8rm9OKMJKgCu45G8IrP3h4Z1Fva7pp&#10;kM3AJalb6UgtKD9MdZybLBQZH+0ePHqax66HL77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iq&#10;VCXWAAAABQEAAA8AAAAAAAAAAQAgAAAAIgAAAGRycy9kb3ducmV2LnhtbFBLAQIUABQAAAAIAIdO&#10;4kAaNprtJQIAACoEAAAOAAAAAAAAAAEAIAAAACUBAABkcnMvZTJvRG9jLnhtbFBLBQYAAAAABgAG&#10;AFkBAAC8BQAAAAA=&#10;">
                        <v:fill on="f" focussize="0,0"/>
                        <v:stroke on="f"/>
                        <v:imagedata o:title=""/>
                        <o:lock v:ext="edit" aspectratio="f"/>
                        <v:textbox inset="0.5mm,0.3mm,0.5mm,0.3mm">
                          <w:txbxContent>
                            <w:p>
                              <w:pPr>
                                <w:jc w:val="center"/>
                                <w:rPr>
                                  <w:rFonts w:ascii="Times New Roman" w:hAnsi="Times New Roman"/>
                                </w:rPr>
                              </w:pPr>
                              <w:r>
                                <w:rPr>
                                  <w:rFonts w:ascii="Times New Roman" w:hAnsi="Times New Roman"/>
                                </w:rPr>
                                <w:t>7520</w:t>
                              </w:r>
                            </w:p>
                          </w:txbxContent>
                        </v:textbox>
                      </v:rect>
                      <v:shape id="自选图形 469" o:spid="_x0000_s1026" o:spt="32" type="#_x0000_t32" style="position:absolute;left:831808;top:5615454;height:0;width:875058;"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COdQnILAIAACUEAAAOAAAAZHJzL2Uyb0RvYy54bWytk8Fy&#10;2jAQhu+d6TtodC/GBBNgMDlA00vaMpP0AYQkY01lrUYSGG69dfoMvfWYd2jfJjPtW3QlA23SSw7l&#10;YCT/q293f61nV/tGk510XoEpad7rUyINB6HMpqQf7q5fjSnxgRnBNBhZ0oP09Gr+8sWstVM5gBq0&#10;kI4gxPhpa0tah2CnWeZ5LRvme2ClQbEC17CAW7fJhGMt0hudDfr9UdaCE9YBl97j22Un0iPRPQcI&#10;VaW4XALfNtKEjuqkZgFb8rWyns5TtVUleXhfVV4GokuKnYb0xCS4XsdnNp+x6cYxWyt+LIE9p4Qn&#10;PTVMGUx6Ri1ZYGTr1D+oRnEHHqrQ49BkXSPJEewi7z/x5rZmVqZe0Gpvz6b7/4fl73YrR5Qo6eWE&#10;EsMavPGfn+9/ffry8PXHw/dvZDiaRJNa66cYuzArF9vke3Nrb4B/9MTAomZmI1OxdweLgLyz1YfF&#10;3nTsguL/vqQXnSKNOEv5UUqHskd54sZbrG/dvgWBYLYNkGzeV66JdaCBBLHji3zcx7k9lLQY5cWw&#10;GB7z7APhUb8s+gXqHAPSnWdsekJY58MbCQ2Ji5L64Jja1GEBxuD0gMtTQra78QF9wIOnAzG/gWul&#10;dRoibUhb0kkxKNIBD1qJKMYw7zbrhXZkx+IYpl8sEGGPwhxsjUiwwJR+bQQJyc/gFDqsJY0ZGiko&#10;0RK/3bjqKNog7ORWd1lrEIeVi3J8j9OT0h0nPY7n3/sU9efrn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p6LJNcAAAAFAQAADwAAAAAAAAABACAAAAAiAAAAZHJzL2Rvd25yZXYueG1sUEsBAhQA&#10;FAAAAAgAh07iQI51CcgsAgAAJQQAAA4AAAAAAAAAAQAgAAAAJgEAAGRycy9lMm9Eb2MueG1sUEsF&#10;BgAAAAAGAAYAWQEAAMQFAAAAAA==&#10;">
                        <v:fill on="f" focussize="0,0"/>
                        <v:stroke color="#000000" joinstyle="round" endarrow="block"/>
                        <v:imagedata o:title=""/>
                        <o:lock v:ext="edit" aspectratio="f"/>
                      </v:shape>
                      <v:shape id="自选图形 469" o:spid="_x0000_s1026" o:spt="32" type="#_x0000_t32" style="position:absolute;left:2845677;top:5615342;flip:y;height:731;width:701358;" filled="f" stroked="t" coordsize="21600,21600" o:gfxdata="UEsDBAoAAAAAAIdO4kAAAAAAAAAAAAAAAAAEAAAAZHJzL1BLAwQUAAAACACHTuJASgKjWt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5bzOYgDwlIt&#10;EpB5Jv/T5z9QSwMEFAAAAAgAh07iQMsyo9k0AgAAMgQAAA4AAABkcnMvZTJvRG9jLnhtbK2Tv5LT&#10;MBDGe2Z4B4164jj/LxPnioSjOSAzd9ArkmxrkLUaSYmTjo7hGegoeQd4m5uBt2Alhxx3NFfgwpa8&#10;q9+3+3m9uDw0muyl8wpMQfNenxJpOAhlqoK+u716MaPEB2YE02BkQY/S08vl82eL1s7lAGrQQjqC&#10;EOPnrS1oHYKdZ5nntWyY74GVBoMluIYF3LoqE461SG90Nuj3J1kLTlgHXHqPb9ddkJ6I7ilAKEvF&#10;5Rr4rpEmdFQnNQvYkq+V9XSZqi1LycPbsvQyEF1Q7DSkO4rgehvv2XLB5pVjtlb8VAJ7SgmPemqY&#10;Mih6Rq1ZYGTn1D+oRnEHHsrQ49BkXSPJEewi7z/y5qZmVqZe0Gpvz6b7/4flb/YbR5Qo6AwtMazB&#10;L/7z07dfHz/ffflx9/0rGU0uokmt9XPMXZmNi23yg7mx18A/eGJgVTNTyVTs7dEiIO9s9WF1MIk9&#10;zSk+DwUddhFpxDk0OIXSoeyBTtx4i/Vt29cgEMx2AZLNh9I1pNTKvo9qsSK0kqDAYDYaT6ZTSo4F&#10;HU/y8XA0OEkeAuGYMO3nwzGOOMeE6bATZfPIixTrfHgloSFxUVAfHFNVHVZgDI4SuE6L7a99QFOy&#10;+wPxsIErpXWaKG1IW9CL8WCcivOglYjBmOZdtV1pR/YszmS6YokIe5DmYGdEggWm9EsjSEjmBqfQ&#10;bi1pVGikoERL/JHjqqNog7A/1nVfbgviuHExHN/jKCW509jHWf17n7Luf/X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oCo1rWAAAABQEAAA8AAAAAAAAAAQAgAAAAIgAAAGRycy9kb3ducmV2Lnht&#10;bFBLAQIUABQAAAAIAIdO4kDLMqPZNAIAADIEAAAOAAAAAAAAAAEAIAAAACUBAABkcnMvZTJvRG9j&#10;LnhtbFBLBQYAAAAABgAGAFkBAADLBQAAAAA=&#10;">
                        <v:fill on="f" focussize="0,0"/>
                        <v:stroke color="#000000" joinstyle="round" endarrow="block"/>
                        <v:imagedata o:title=""/>
                        <o:lock v:ext="edit" aspectratio="f"/>
                      </v:shape>
                      <v:shape id="AutoShape 56" o:spid="_x0000_s1026" o:spt="34" type="#_x0000_t34" style="position:absolute;left:737307;top:534636;flip:y;height:1753164;width:549205;" filled="f" stroked="t" coordsize="21600,21600" o:gfxdata="UEsDBAoAAAAAAIdO4kAAAAAAAAAAAAAAAAAEAAAAZHJzL1BLAwQUAAAACACHTuJAOrDcrNQAAAAF&#10;AQAADwAAAGRycy9kb3ducmV2LnhtbE2PwU7DMBBE70j8g7WVuFE7rUBpiNNDJE6IAwUhcXPibRJq&#10;r6N404a/x3CBy0qjGc28LfeLd+KMUxwCacjWCgRSG+xAnYa318fbHERkQ9a4QKjhCyPsq+ur0hQ2&#10;XOgFzwfuRCqhWBgNPfNYSBnbHr2J6zAiJe8YJm84yamTdjKXVO6d3Ch1L70ZKC30ZsS6x/Z0mL2G&#10;mp+bpdl8qlHx8SnU7+5jmDOtb1aZegDBuPBfGH7wEzpUiakJM9konIb0CP/e5OW77RZEo2Gn7nKQ&#10;VSn/01ffUEsDBBQAAAAIAIdO4kA6iTO0PQIAAGgEAAAOAAAAZHJzL2Uyb0RvYy54bWytVE1z0zAQ&#10;vTPDf9DoTmzHcdJ64nSYhHIpkJkW7ookxwJ9jaTGzr9nJTuBlksP+OCR/Fbv7b5deX03KIlO3Hlh&#10;dIOLWY4R19QwoY8N/v50/+EGIx+IZkQazRt85h7fbd6/W/e25nPTGcm4Q0Cifd3bBnch2DrLPO24&#10;In5mLNcAtsYpEmDrjhlzpAd2JbN5ni+z3jhmnaHce/i6G0E8Mbq3EJq2FZTvDH1WXIeR1XFJApTk&#10;O2E93qRs25bT8K1tPQ9INhgqDekNIrA+xHe2WZP66IjtBJ1SIG9J4VVNiggNoleqHQkEPTvxD5US&#10;1Blv2jCjRmVjIckRqKLIX3nz2BHLUy1gtbdX0/3/o6VfT3uHBGvwTYGRJgo6/vE5mCSNqmU0qLe+&#10;hrit3rtYIh30o30w9JdH2mw7oo88RT+dLRwuRkt92A468S5hngQbGlyOCNfsAhW3c+hDAtOx7IVS&#10;3HgL2R36L4YBNYG8kslD6xRqpbA/ol7MCYxEILEqV2W+wujc4KpcLMuUPqn5EBAFuFqAYIURBbxY&#10;VWWxXMScMlJHxshjnQ+fuVEoLhp8gPHaGq1hjIwrkxI5PfiQOs0muwj7Cda1SsLgnIhEVQ7PxDtF&#10;g8KFOR7V5l5ImUZPatQ3+LaaV4ndGylYBGOYd8fDVjoEpDCq6ZloX4QpEeBCSqGgh9cgUgci5CfN&#10;UEhtCU5AoyTHUU5xhpHkcP3janRAajDiYvnY84Nh572LcPwOA5ismi5LnPC/9ynqzw9i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sNys1AAAAAUBAAAPAAAAAAAAAAEAIAAAACIAAABkcnMvZG93&#10;bnJldi54bWxQSwECFAAUAAAACACHTuJAOokztD0CAABoBAAADgAAAAAAAAABACAAAAAjAQAAZHJz&#10;L2Uyb0RvYy54bWxQSwUGAAAAAAYABgBZAQAA0gUAAAAA&#10;" adj="10800">
                        <v:fill on="f" focussize="0,0"/>
                        <v:stroke color="#000000" miterlimit="8" joinstyle="miter" endarrow="block"/>
                        <v:imagedata o:title=""/>
                        <o:lock v:ext="edit" aspectratio="f"/>
                      </v:shape>
                      <v:rect id="矩形 473" o:spid="_x0000_s1026" o:spt="1" style="position:absolute;left:1286512;top:398804;height:271803;width:824208;"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dtZyC0cCAACJBAAADgAAAGRycy9lMm9Eb2MueG1srVTNbhMx&#10;EL4j8Q6W73R/mjTJKpuqSlSEVKBS4QEcrzdr4T/GTjbhZZC48RA8DuI1GHvTkhYOPeCD5dkZf57v&#10;m5mdX+61IjsBXlpT0+Isp0QYbhtpNjX9+OH61ZQSH5hpmLJG1PQgPL1cvHwx710lSttZ1QggCGJ8&#10;1buadiG4Kss874Rm/sw6YdDZWtAsoAmbrAHWI7pWWZnnF1lvoXFgufAev64GJz0iwnMAbdtKLlaW&#10;b7UwYUAFoVhASr6TztNFyrZtBQ/v29aLQFRNkWlIOz6C53Xcs8WcVRtgrpP8mAJ7TgpPOGkmDT76&#10;ALVigZEtyL+gtORgvW3DGbc6G4gkRZBFkT/R5q5jTiQuKLV3D6L7/wfL3+1ugcgGO2FWoiiGaaz5&#10;r6/ff/74RkaT8yhQ73yFcXfuFiJF724s/+SJscuOmY24ArB9J1iDaRUxPnt0IRoer5J1/9Y2CM62&#10;wSat9i3oCIgqkD3eLacX46Kk5FDT89l0mo+G6oh9IBz903JU5ticHP3lpJjmKbmMVfc4Dnx4Lawm&#10;8VBTwOKnd9juxoeYF6vuQxIPq2RzLZVKBmzWSwVkx7BRrtNKVJDuaZgypK/pbFyOE/Ijnz+FyNP6&#10;F4SWAedHSY2MToOUOSoXxRpED/v1/qj/2jYH1BDs0ME4v3joLHyhpMfuran/vGUgKFFvDNZhVoxG&#10;sd2TMRpPYmnh1LM+9TDDEaqmgZLhuAzDiGwdyE2HLxWJrrFXWLtWJjFjXYesjnljhyaNj9MUR+DU&#10;TlF//iC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idpTVAAAABQEAAA8AAAAAAAAAAQAgAAAA&#10;IgAAAGRycy9kb3ducmV2LnhtbFBLAQIUABQAAAAIAIdO4kB21nILRwIAAIkEAAAOAAAAAAAAAAEA&#10;IAAAACQBAABkcnMvZTJvRG9jLnhtbFBLBQYAAAAABgAGAFkBAADdBQAAAAA=&#10;">
                        <v:fill on="t" focussize="0,0"/>
                        <v:stroke color="#000000" miterlimit="8" joinstyle="miter"/>
                        <v:imagedata o:title=""/>
                        <o:lock v:ext="edit" aspectratio="f"/>
                        <v:textbox>
                          <w:txbxContent>
                            <w:p>
                              <w:pPr>
                                <w:jc w:val="center"/>
                                <w:rPr>
                                  <w:kern w:val="0"/>
                                  <w:sz w:val="24"/>
                                  <w:szCs w:val="24"/>
                                </w:rPr>
                              </w:pPr>
                              <w:r>
                                <w:rPr>
                                  <w:rFonts w:hint="eastAsia"/>
                                  <w:szCs w:val="21"/>
                                </w:rPr>
                                <w:t>生活用水</w:t>
                              </w:r>
                            </w:p>
                          </w:txbxContent>
                        </v:textbox>
                      </v:rect>
                      <v:shape id="AutoShape 56" o:spid="_x0000_s1026" o:spt="34" type="#_x0000_t34" style="position:absolute;left:737307;top:2287800;height:437357;width:549205;" filled="f" stroked="t" coordsize="21600,21600" o:gfxdata="UEsDBAoAAAAAAIdO4kAAAAAAAAAAAAAAAAAEAAAAZHJzL1BLAwQUAAAACACHTuJAh+9XNtYAAAAF&#10;AQAADwAAAGRycy9kb3ducmV2LnhtbE2PwU7DMBBE70j8g7VIXBC1Q9oqDdn0gOCAhIQaEGc3XpKI&#10;eB1spy1/j+ECl5VGM5p5W21PdhQH8mFwjJAtFAji1pmBO4TXl4frAkSImo0eHRPCFwXY1udnlS6N&#10;O/KODk3sRCrhUGqEPsaplDK0PVkdFm4iTt6781bHJH0njdfHVG5HeaPUWlo9cFro9UR3PbUfzWwR&#10;3uanLPpWrpb3z/SYB7dullefiJcXmboFEekU/8Lwg5/QoU5MezezCWJESI/E35u8YpPnIPYIG7Uq&#10;QNaV/E9ffwNQSwMEFAAAAAgAh07iQDwJJpI3AgAAYAQAAA4AAABkcnMvZTJvRG9jLnhtbK1UwXLb&#10;IBC9d6b/wHCvJctRHHssZzp200vaZCbpB2BAFi2wDGDL/vsuSE6b9JJDOTDALm933z5Y3Z6MJkfp&#10;gwLb0OmkpERaDkLZfUN/PN99uqEkRGYF02BlQ88y0Nv1xw+r3i1lBR1oIT1BEBuWvWtoF6NbFkXg&#10;nTQsTMBJi8YWvGERt35fCM96RDe6qMryuujBC+eByxDwdDsY6Yjo3wMIbau43AI/GGnjgOqlZhFL&#10;Cp1yga5ztm0reXxo2yAj0Q3FSmOeMQiud2ku1iu23HvmOsXHFNh7UnhTk2HKYtAXqC2LjBy8+gfK&#10;KO4hQBsnHEwxFJIZwSqm5RtunjrmZK4FqQ7uhfTw/2D59+OjJ0qgEhbVlBLLDPb88yFCDk7q60RR&#10;78ISPTf20aci+ck+uXvgvwKxsOmY3cvs/Xx2eHk6kBri5mQz8jUqSolTQ2eDRVpxMU0XMwyajfla&#10;8SpS2gSH+e36byAQmmFemeZT603KBAkkCDyfzWflnJJzQ6vqZn5Tjo2Vp0g42uurRVXWlHB0uELf&#10;ep4yKdjyguN8iF8lGJIWDd2hrDZgLcoH/CxHZMf7EHOHxUgSEz8x99ZoFMyRaVKXOEbc0RsjXJDT&#10;VQt3SussOW1J39BFXdUZPYBWIhmTW/D73UZ7gqAo0TxG2FduRkV8iFqZhmLBOAZ2I1P6ixUk5mZE&#10;r7A9WtIUzkhBiZb47NNqYEBbJOJC9NDpHYjzo0/mdI7Cy1SNjyQp++999vrzM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fvVzbWAAAABQEAAA8AAAAAAAAAAQAgAAAAIgAAAGRycy9kb3ducmV2&#10;LnhtbFBLAQIUABQAAAAIAIdO4kA8CSaSNwIAAGAEAAAOAAAAAAAAAAEAIAAAACUBAABkcnMvZTJv&#10;RG9jLnhtbFBLBQYAAAAABgAGAFkBAADOBQAAAAA=&#10;" adj="10800">
                        <v:fill on="f" focussize="0,0"/>
                        <v:stroke color="#000000" miterlimit="8" joinstyle="miter" endarrow="block"/>
                        <v:imagedata o:title=""/>
                        <o:lock v:ext="edit" aspectratio="f"/>
                      </v:shape>
                      <v:rect id="矩形 475" o:spid="_x0000_s1026" o:spt="1" style="position:absolute;left:2580213;top:398958;height:271803;width:1110711;"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lFBZyUkCAACKBAAADgAAAGRycy9lMm9Eb2MueG1srVTNjtMw&#10;EL4j8Q6W7zQ/bWkbNV2tWhUhLbDSwgO4jtNY+I+x23R5GSRu+xA8DuI1mDjZpbtw2AM5RJ7M+Jv5&#10;vpnJ8uKkFTkK8NKakmajlBJhuK2k2Zf008ftqzklPjBTMWWNKOmt8PRi9fLFsnWFyG1jVSWAIIjx&#10;RetK2oTgiiTxvBGa+ZF1wqCztqBZQBP2SQWsRXStkjxNXyethcqB5cJ7/LrpnXRAhOcA2rqWXGws&#10;P2hhQo8KQrGAlHwjnaerWG1dCx4+1LUXgaiSItMQ35gEz7vunayWrNgDc43kQwnsOSU84aSZNJj0&#10;AWrDAiMHkH9BacnBeluHEbc66YlERZBFlj7R5qZhTkQuKLV3D6L7/wfL3x+vgcgKJ2GR55QYprHn&#10;v77d/fzxnUxm006g1vkC427cNXQUvbuy/LMnxq4bZvbiEsC2jWAVlpV18cmjC53h8SrZte9sheDs&#10;EGzU6lSD7gBRBXIqaT6dp3k2puS2pOPFfDGd990Rp0A4+rMsS2dZRgnHgHyWzdNxzMaKeyAHPrwR&#10;VpPuUFLA7sdE7HjlQ1cYK+5DIhGrZLWVSkUD9ru1AnJkOCnb+Azo/jxMGdKWdDHNpxH5kc+fQ6Tx&#10;+ReElgEXSEld0vl5kDKDdJ1averhtDsNDdjZ6hZFBNuPMC4wHhoLXylpcXxL6r8cGAhK1FuDjVhk&#10;k0k379GYTGc5GnDu2Z17mOEIVdJASX9ch35HDg7kvsFMWaRr7CU2r5ZRzK6xfVVD3TiiUeNhnbod&#10;OLdj1J9fyO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OJ2lNUAAAAFAQAADwAAAAAAAAABACAA&#10;AAAiAAAAZHJzL2Rvd25yZXYueG1sUEsBAhQAFAAAAAgAh07iQJRQWclJAgAAigQAAA4AAAAAAAAA&#10;AQAgAAAAJAEAAGRycy9lMm9Eb2MueG1sUEsFBgAAAAAGAAYAWQEAAN8FAAAAAA==&#10;">
                        <v:fill on="t" focussize="0,0"/>
                        <v:stroke color="#000000" miterlimit="8" joinstyle="miter"/>
                        <v:imagedata o:title=""/>
                        <o:lock v:ext="edit" aspectratio="f"/>
                        <v:textbox>
                          <w:txbxContent>
                            <w:p>
                              <w:pPr>
                                <w:jc w:val="center"/>
                                <w:rPr>
                                  <w:kern w:val="0"/>
                                  <w:sz w:val="24"/>
                                  <w:szCs w:val="24"/>
                                </w:rPr>
                              </w:pPr>
                              <w:r>
                                <w:rPr>
                                  <w:rFonts w:hint="eastAsia"/>
                                  <w:szCs w:val="21"/>
                                </w:rPr>
                                <w:t>隔油池+化粪池</w:t>
                              </w:r>
                            </w:p>
                          </w:txbxContent>
                        </v:textbox>
                      </v:rect>
                      <v:shape id="自选图形 469" o:spid="_x0000_s1026" o:spt="32" type="#_x0000_t32" style="position:absolute;left:2110720;top:534706;height:154;width:469493;"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B3w6jJLAIAAC0EAAAOAAAAZHJzL2Uyb0RvYy54bWytU01u&#10;EzEY3SNxB8t7MpnJT8koky4SyqZApZYDOLYnY+HxZ9lOJtmxQ5yBHcveAW5TCW7BZ09S2rLpgllY&#10;tp/9vvfefJ6f71tNdtJ5Baai+WBIiTQchDKbin68uXj1mhIfmBFMg5EVPUhPzxcvX8w7W8oCGtBC&#10;OoIkxpedrWgTgi2zzPNGtswPwEqDYA2uZQGXbpMJxzpkb3VWDIfTrAMnrAMuvcfdVQ/SI6N7DiHU&#10;teJyBXzbShN6Vic1C2jJN8p6ukhq61ry8KGuvQxEVxSdhjRiEZyv45gt5qzcOGYbxY8S2HMkPPHU&#10;MmWw6D3VigVGtk79Q9Uq7sBDHQYc2qw3khJBF/nwSTbXDbMyecGovb0P3f8/Wv5+d+WIEtgJs2JE&#10;iWEt/vNfX25/f/569+3n3Y/vZDydxZg660s8vTRXLhrle3NtL4F/8sTAsmFmI5Pcm4NFgrwP1ofl&#10;3pzYMXIl9hUd9Zg04gFYHMF0MXtUKy68RZXr7h0IJGfbACnsfe3aqAVjJEhc5PnwrMAyh4pORuOz&#10;4fRYaR8IRxyNjGfokSOeT8YRzFh5IrHOh7cSWhInFfXBMbVpwhKMwS4Cl6eSbHfpQ3/xdCEqMHCh&#10;tE7NpA3pKjqbFJN0wYNWIoLxmHeb9VI7smOxHdN3VPHomIOtEYksMKXfGEFCSjU4hTlrSWOFVgpK&#10;tMQ3HGe9JG3Q0imv/petQRyuXITjPnZRMn3s+NimD9fp1N9Xv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p6LJNcAAAAFAQAADwAAAAAAAAABACAAAAAiAAAAZHJzL2Rvd25yZXYueG1sUEsBAhQA&#10;FAAAAAgAh07iQHfDqMksAgAALQQAAA4AAAAAAAAAAQAgAAAAJgEAAGRycy9lMm9Eb2MueG1sUEsF&#10;BgAAAAAGAAYAWQEAAMQFAAAAAA==&#10;">
                        <v:fill on="f" focussize="0,0"/>
                        <v:stroke color="#000000" joinstyle="round" endarrow="block"/>
                        <v:imagedata o:title=""/>
                        <o:lock v:ext="edit" aspectratio="f"/>
                      </v:shape>
                      <v:shape id="自选图形 469" o:spid="_x0000_s1026" o:spt="32" type="#_x0000_t32" style="position:absolute;left:3690924;top:534821;flip:y;height:39;width:514717;" filled="f" stroked="t" coordsize="21600,21600" o:gfxdata="UEsDBAoAAAAAAIdO4kAAAAAAAAAAAAAAAAAEAAAAZHJzL1BLAwQUAAAACACHTuJASgKjWt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5bzOYgDwlIt&#10;EpB5Jv/T5z9QSwMEFAAAAAgAh07iQGf96M8zAgAANgQAAA4AAABkcnMvZTJvRG9jLnhtbK1TzW4T&#10;MRC+I/EOlu9kk81PmyibHhLKpUCkFu6O7c1aeD2W7WQ3N26IZ+DWI+8Ab1MJ3oKxNyltufTAHqyx&#10;v/E38307nl+0tSZ76bwCU9BBr0+JNByEMtuCfri5fHVOiQ/MCKbByIIepKcXi5cv5o2dyRwq0EI6&#10;giTGzxpb0CoEO8syzytZM98DKw2CJbiaBdy6bSYca5C91lne70+yBpywDrj0Hk9XHUiPjO45hFCW&#10;issV8F0tTehYndQsoCRfKevpInVblpKH92XpZSC6oKg0pBWLYLyJa7aYs9nWMVspfmyBPaeFJ5pq&#10;pgwWvadascDIzql/qGrFHXgoQ49DnXVCkiOoYtB/4s11xaxMWtBqb+9N9/+Plr/brx1RAidhmo8o&#10;MazGf/7ry/ffn7/efft59+OWjCbTaFNj/Qyzl2btolDemmt7BfyTJwaWFTNbmdq9OVgkGHTG+rBs&#10;zYk9pxi1BR12mDTiATg+guli9qhW3HiLXW6atyCQnO0CJLPb0tWk1Mp+jBVjV2goiSUm036Scyjo&#10;eDg6z4/9yDYQjvh4MDobnFHCER8mdRmbRbbIYZ0PbyTUJAYF9cExta3CEozBcQLXVWL7Kx/QFrx4&#10;uhAvG7hUWqep0oY0BZ2O83FqzYNWIoIxzbvtZqkd2bM4l+mLriDZozQHOyMSWWBKvzaChGRvcAoN&#10;15LGCrUUlGiJjzlGHYs2SHYyrvt3GxCHtYtwPMdxSuWOox/n9eE+Zf197o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gKjWtYAAAAFAQAADwAAAAAAAAABACAAAAAiAAAAZHJzL2Rvd25yZXYueG1s&#10;UEsBAhQAFAAAAAgAh07iQGf96M8zAgAANgQAAA4AAAAAAAAAAQAgAAAAJQEAAGRycy9lMm9Eb2Mu&#10;eG1sUEsFBgAAAAAGAAYAWQEAAMoFAAAAAA==&#10;">
                        <v:fill on="f" focussize="0,0"/>
                        <v:stroke color="#000000" joinstyle="round" endarrow="block"/>
                        <v:imagedata o:title=""/>
                        <o:lock v:ext="edit" aspectratio="f"/>
                      </v:shape>
                      <v:rect id="矩形 478" o:spid="_x0000_s1026" o:spt="1" style="position:absolute;left:4205641;top:398919;height:271803;width:1466814;"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xWxhVUYCAACKBAAADgAAAGRycy9lMm9Eb2MueG1srVRdjtMw&#10;EH5H4g6W32mSbtpto6arVasipAVWWjiA6ziNhf8Yu03LZZB44xAcB3ENJk52KQtC+0AeIk9m/M18&#10;38xkcXXUihwEeGlNSbNRSokw3FbS7Er6/t3mxYwSH5ipmLJGlPQkPL1aPn+2aF0hxraxqhJAEMT4&#10;onUlbUJwRZJ43gjN/Mg6YdBZW9AsoAm7pALWIrpWyThNp0lroXJgufAev657Jx0Q4SmAtq4lF2vL&#10;91qY0KOCUCwgJd9I5+kyVlvXgoe3de1FIKqkyDTENybB87Z7J8sFK3bAXCP5UAJ7SgmPOGkmDSZ9&#10;gFqzwMge5B9QWnKw3tZhxK1OeiJREWSRpY+0uWuYE5ELSu3dg+j+/8HyN4dbILLCSZiPJ5QYprHn&#10;Pz5//f7tC8kvZ51ArfMFxt25W+goendj+QdPjF01zOzENYBtG8EqLCvr4pPfLnSGx6tk2762FYKz&#10;fbBRq2MNugNEFcixpPk4nUzzjJJTSS/ms3k277sjjoFw9Gf5dDrLcko4Bowvs1l6EbOx4h7IgQ8v&#10;hdWkO5QUsPsxETvc+NAVxor7kEjEKlltpFLRgN12pYAcGE7KJj4Duj8PU4a0JZ1PUKt/Q6Tx+RuE&#10;lgEXSEld0tl5kDKDdJ1averhuD0ODdja6oQigu1HGBcYD42FT5S0OL4l9R/3DAQl6pXBRsyzPO/m&#10;PRr55HKMBpx7tuceZjhClTRQ0h9Xod+RvQO5azBTFukae43Nq2UUs2tsX9VQN45o1HhYp24Hzu0Y&#10;9esX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OJ2lNUAAAAFAQAADwAAAAAAAAABACAAAAAi&#10;AAAAZHJzL2Rvd25yZXYueG1sUEsBAhQAFAAAAAgAh07iQMVsYVVGAgAAigQAAA4AAAAAAAAAAQAg&#10;AAAAJAEAAGRycy9lMm9Eb2MueG1sUEsFBgAAAAAGAAYAWQEAANwFAAAAAA==&#10;">
                        <v:fill on="t" focussize="0,0"/>
                        <v:stroke color="#000000" miterlimit="8" joinstyle="miter"/>
                        <v:imagedata o:title=""/>
                        <o:lock v:ext="edit" aspectratio="f"/>
                        <v:textbox>
                          <w:txbxContent>
                            <w:p>
                              <w:pPr>
                                <w:jc w:val="center"/>
                                <w:rPr>
                                  <w:kern w:val="0"/>
                                  <w:sz w:val="24"/>
                                  <w:szCs w:val="24"/>
                                </w:rPr>
                              </w:pPr>
                              <w:r>
                                <w:rPr>
                                  <w:rFonts w:hint="eastAsia"/>
                                  <w:szCs w:val="21"/>
                                </w:rPr>
                                <w:t>菜地施肥，综合消纳</w:t>
                              </w:r>
                            </w:p>
                          </w:txbxContent>
                        </v:textbox>
                      </v:rect>
                      <v:rect id="矩形 479" o:spid="_x0000_s1026" o:spt="1" style="position:absolute;left:831808;top:353785;height:180902;width:3803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N/zSbgaAgAAFgQAAA4AAABkcnMvZTJvRG9jLnhtbK1TS27bMBDd&#10;F+gdCO5ryXY+smA5CGKkKJC2AdIegKYoi6jEYYe0JfcyBbrLIXqcotfokFJSJ91k0Q3B4QzfzHt8&#10;XF70bcP2Cp0GU/DpJOVMGQmlNtuCf/50/SbjzHlhStGAUQU/KMcvVq9fLTubqxnU0JQKGYEYl3e2&#10;4LX3Nk8SJ2vVCjcBqwwlK8BWeApxm5QoOkJvm2SWpmdJB1haBKmco9P1kOQjIr4EEKpKS7UGuWuV&#10;8QMqqkZ4ouRqbR1fxWmrSkn/saqc8qwpODH1caUmtN+ENVktRb5FYWstxxHES0Z4xqkV2lDTR6i1&#10;8ILtUP8D1WqJ4KDyEwltMhCJihCLafpMm7taWBW5kNTOPoru/h+s/LC/RaZLcsJidsaZES29+e/v&#10;979+/mAn54sgUGddTnV39hYDRWdvQH5xzMBVLcxWXSJCVytR0ljTUJ88uRACR1fZpnsPJYGLnYeo&#10;VV9hGwBJBdYXPJtPs5TMdyj4/HR+np0Oj6N6zySl51k6T084k5SnwkU6i71E/gBj0fm3CloWNgVH&#10;evvYRuxvnA9jifyhJHQ1cK2bJr5/Y54cUGE4iTTC5IMCvt/0oxgbKA9ECGGwE30m2tSA3zjryEoF&#10;d193AhVnzTsTRMnSNHhvCFKKOMPjzOY4I4wkqIJ7zobtlR/8urOotzV1mkZaBi5JyEpHakHkYapx&#10;brJLZDxaO/jxOI5Vf7/z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3/NJuBoCAAAW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288</w:t>
                              </w:r>
                            </w:p>
                          </w:txbxContent>
                        </v:textbox>
                      </v:rect>
                      <v:rect id="矩形 480" o:spid="_x0000_s1026" o:spt="1" style="position:absolute;left:2137620;top:353639;height:181002;width:3803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P28ZgMcAgAAFwQAAA4AAABkcnMvZTJvRG9jLnhtbK1TQW7bMBC8&#10;F+gfCN5rSVbqOILlIIiRokDaBkj7AJqiLKISl13SltzPFOgtj+hzin6jS8pJnPSSQy/CLnc1uzMc&#10;Ls6HrmU7hU6DKXk2STlTRkKlzabkXz5fvZlz5rwwlWjBqJLvlePny9evFr0t1BQaaCuFjECMK3pb&#10;8sZ7WySJk43qhJuAVYaKNWAnPKW4SSoUPaF3bTJN01nSA1YWQSrn6HQ1FvkBEV8CCHWtpVqB3HbK&#10;+BEVVSs8UXKNto4v47Z1raT/VNdOedaWnJj6+KUhFK/DN1kuRLFBYRstDyuIl6zwjFMntKGhD1Ar&#10;4QXbov4HqtMSwUHtJxK6ZCQSFSEWWfpMm9tGWBW5kNTOPoju/h+s/Li7QaYrcsLZ9JQzIzq68z8/&#10;7n7/+slO5lGg3rqC+m7tDQaKzl6D/OqYgctGmI26QIS+UaKitbIgaPLkh5A4+pWt+w9QEbjYeoha&#10;DTV2AZBUYEPJp1l+OpvSxexLnr/NZ/nZeDtq8ExSPZ+neXrCmaR6Ns/SdBqHieIex6Lz7xR0LAQl&#10;R7r8OEfsrp0Pe4niviWMNXCl2zYaoDVPDqgxnEQeYfXgJlf4YT1QdwjXUO2JEcLoJ3pNFDSA3znr&#10;yUsld9+2AhVn7XsTVJmnaTDfmKSUcYbHlfVxRRhJUCX3nI3hpR8Nu7WoNw1NyiItAxekZK0jtcet&#10;DnuTXyLjg7eDIY/z2PX4np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nOmnTAAAABQEAAA8A&#10;AAAAAAAAAQAgAAAAIgAAAGRycy9kb3ducmV2LnhtbFBLAQIUABQAAAAIAIdO4kD9vGYDHAIAABcE&#10;AAAOAAAAAAAAAAEAIAAAACIBAABkcnMvZTJvRG9jLnhtbFBLBQYAAAAABgAGAFkBAACw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230.4</w:t>
                              </w:r>
                            </w:p>
                          </w:txbxContent>
                        </v:textbox>
                      </v:rect>
                      <v:shape id="AutoShape 35" o:spid="_x0000_s1026" o:spt="37" type="#_x0000_t37" style="position:absolute;left:1745407;top:84436;flip:x y;height:361104;width:267522;rotation:5898240f;" filled="f" stroked="t" coordsize="21600,21600" o:gfxdata="UEsDBAoAAAAAAIdO4kAAAAAAAAAAAAAAAAAEAAAAZHJzL1BLAwQUAAAACACHTuJAl11Gc9UAAAAF&#10;AQAADwAAAGRycy9kb3ducmV2LnhtbE2PwU7DMBBE70j8g7VI3KhdSqM0jVMJJDgggdTCB7jxNgnE&#10;62A7Tfv3LFzgMtJqVjNvys3J9eKIIXaeNMxnCgRS7W1HjYb3t8ebHERMhqzpPaGGM0bYVJcXpSms&#10;n2iLx11qBIdQLIyGNqWhkDLWLToTZ35AYu/ggzOJz9BIG8zE4a6Xt0pl0pmOuKE1Az60WH/uRscl&#10;TyH7cMvXc/Z1F2zzPN3T+LLV+vpqrtYgEp7S3zP84DM6VMy09yPZKHoNPCT9Knv5arEAsdewUssc&#10;ZFXK//TVN1BLAwQUAAAACACHTuJA9mWNNzQCAABjBAAADgAAAGRycy9lMm9Eb2MueG1srVTLbtsw&#10;ELwX6D8QvNd6+BULloPCbtpDmhpI2jtNUhZRikuQtGX/fZeU4ybpJYf6ICy1y5md2ZWXt6dOk6N0&#10;XoGpaTHKKZGGg1BmX9OfT3efbijxgRnBNBhZ07P09Hb18cOyt5UsoQUtpCMIYnzV25q2Idgqyzxv&#10;Zcf8CKw0mGzAdSzg0e0z4ViP6J3OyjyfZT04YR1w6T2+3QxJekF07wGEplFcboAfOmnCgOqkZgEl&#10;+VZZT1ep26aRPPxoGi8D0TVFpSE9kQTjXXxmqyWr9o7ZVvFLC+w9LbzR1DFlkPQKtWGBkYNT/0B1&#10;ijvw0IQRhy4bhCRHUEWRv/HmsWVWJi1otbdX0/3/g+UPx60jSuAmLEqcvGEdzvzzIUAiJ+NptKi3&#10;vsLKtdm6KJKfzKO9B/7bEwPrlpm9TNVPZ4uXi8FUH9Yn84yMditxuhoujXiRXFyS6WL2iisevMUO&#10;d/13EAjOsLNk9KlxHXGAA51O8vijpNHKfov8KfoVo9gtmkyQuphPsHJOybmmN5PJeDa0KU+BcEyX&#10;s/m0LCnhmB7PiiKfxHzGqkgUYazz4auEjsSgpvzgjlKswRjcMXBlomLHex+Ga8/l8aqBO6V1WjVt&#10;SF/TxbScpgsetBIxGcu82+/W2pEji8s6iBrAXpVF5A3z7VAnMBqUODgYkUgCU/qLESSkeQSncEJa&#10;0sjcSUGJlvjlx2hA1waFPjs9DHsH4rx1MR3f4+4lKy7fSVzul+dU9fe/Y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11Gc9UAAAAFAQAADwAAAAAAAAABACAAAAAiAAAAZHJzL2Rvd25yZXYueG1s&#10;UEsBAhQAFAAAAAgAh07iQPZljTc0AgAAYwQAAA4AAAAAAAAAAQAgAAAAJAEAAGRycy9lMm9Eb2Mu&#10;eG1sUEsFBgAAAAAGAAYAWQEAAMoFAAAAAA==&#10;">
                        <v:fill on="f" focussize="0,0"/>
                        <v:stroke color="#000000" joinstyle="round" dashstyle="dash" endarrow="block"/>
                        <v:imagedata o:title=""/>
                        <o:lock v:ext="edit" aspectratio="f"/>
                      </v:shape>
                      <v:rect id="矩形 482" o:spid="_x0000_s1026" o:spt="1" style="position:absolute;left:2059720;top:36001;height:190502;width:359603;"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Ai3TV8aAgAAFgQAAA4AAABkcnMvZTJvRG9jLnhtbK1TwW4TMRC9&#10;I/EPlu9knYSEZJVNVTUqQipQqfABjtebtdj1mLGT3fIzSNz6EXwO4jcYe9OSlksPXCyPZ/zmvefx&#10;6qxvG3bQ6A3Ygo9HgjNtFZTG7gr++dPlqwVnPkhbygasLvit9vxs/fLFqnO5nkANTamREYj1eecK&#10;Xofg8izzqtat9CNw2lKyAmxloBB3WYmyI/S2ySZCzLMOsHQISntPp5shyY+I+BxAqCqj9AbUvtU2&#10;DKioGxlIkq+N83yd2FaVVuFjVXkdWFNwUhrSSk1ov41rtl7JfIfS1UYdKcjnUHiiqZXGUtMHqI0M&#10;ku3R/APVGoXgoQojBW02CEmOkIqxeOLNTS2dTlrIau8eTPf/D1Z9OFwjMyVNwnKy5MzKlt789/e7&#10;Xz9/sNeLSTSocz6nuht3jVGid1egvnhm4aKWdqfPEaGrtSyJ1jjWZ48uxMDTVbbt3kNJ4HIfIHnV&#10;V9hGQHKB9QWfiNnyzYQe5rbg07kQCUvmug9MUXo6W87FlDNF6fFSzETilsn8HsahD281tCxuCo70&#10;9qmNPFz5EGnJ/L4kdrVwaZomvX9jHx1QYTxJMiLzwYHQb/ujGVsob0kQwjBO9JloUwN+46yjUSq4&#10;/7qXqDlr3tloykKIOHtDICjiDE8z29OMtIqgCh44G7YXYZjXvUOzq6nTOMmycE5GViZJiyYPrI68&#10;aVyS4uNox3k8jVPV3++8/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CLdNXxoCAAAWBAAA&#10;DgAAAAAAAAABACAAAAAiAQAAZHJzL2Uyb0RvYy54bWxQSwUGAAAAAAYABgBZAQAArgUAAAAA&#10;">
                        <v:fill on="f" focussize="0,0"/>
                        <v:stroke on="f"/>
                        <v:imagedata o:title=""/>
                        <o:lock v:ext="edit" aspectratio="f"/>
                        <v:textbox inset="0.5mm,0.3mm,0.5mm,0.3mm">
                          <w:txbxContent>
                            <w:p>
                              <w:pPr>
                                <w:jc w:val="center"/>
                                <w:rPr>
                                  <w:kern w:val="0"/>
                                  <w:szCs w:val="21"/>
                                </w:rPr>
                              </w:pPr>
                              <w:r>
                                <w:rPr>
                                  <w:rFonts w:ascii="Times New Roman" w:hAnsi="Times New Roman"/>
                                  <w:szCs w:val="21"/>
                                </w:rPr>
                                <w:t>57.6</w:t>
                              </w:r>
                            </w:p>
                          </w:txbxContent>
                        </v:textbox>
                      </v:rect>
                      <v:rect id="矩形 483" o:spid="_x0000_s1026" o:spt="1" style="position:absolute;left:3690924;top:353885;height:180902;width:3803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F2UPNIYAgAAFwQAAA4AAABkcnMvZTJvRG9jLnhtbK1TQW7bMBC8&#10;F+gfCN5r0XYSyILlIIiRokDaBkj7AJqiLKISl13SltLPFOitj8hzin6jS8pJnfSSQy/CLnc1uzMc&#10;Ls+HrmV7jd6ALfl0IjjTVkFl7Lbknz9dvck580HaSrZgdcnvtOfnq9evlr0r9AwaaCuNjECsL3pX&#10;8iYEV2SZV43upJ+A05aKNWAnA6W4zSqUPaF3bTYT4izrASuHoLT3dLoei/yAiC8BhLo2Sq9B7Tpt&#10;w4iKupWBKPnGOM9Xadu61ip8rGuvA2tLTkxD+tIQijfxm62WstiidI1RhxXkS1Z4xqmTxtLQR6i1&#10;DJLt0PwD1RmF4KEOEwVdNhJJihCLqXimzW0jnU5cSGrvHkX3/w9WfdjfIDMVOWExJ1Gs7OjOf3//&#10;+ev+BzvJ51Gg3vmC+m7dDUaK3l2D+uKZhctG2q2+QIS+0bKitaaxP3vyQ0w8/co2/XuoCFzuAiSt&#10;hhq7CEgqsKHk87OFWMxOOLuj+HSe56fj7eghMBXruZgLKiuqT3OxELM0TBYPOA59eKuhYzEoOdLl&#10;pzlyf+1D3EsWDy1xrIUr07bJAK19ckCN8STxiKuPEoRhMxzU2EB1R4wQRj/Ra6KgAfzGWU9eKrn/&#10;upOoOWvf2ahKLkQ035gIyjjD48rmuCKtIqiSB87G8DKMht05NNuGJk0TLQsXpGRtErWo8rjVYW/y&#10;S2J88HY05HGeuv6+5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mc6adMAAAAFAQAADwAAAAAA&#10;AAABACAAAAAiAAAAZHJzL2Rvd25yZXYueG1sUEsBAhQAFAAAAAgAh07iQF2UPNIYAgAAFwQAAA4A&#10;AAAAAAAAAQAgAAAAIgEAAGRycy9lMm9Eb2MueG1sUEsFBgAAAAAGAAYAWQEAAKwFA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230.4</w:t>
                              </w:r>
                            </w:p>
                          </w:txbxContent>
                        </v:textbox>
                      </v:rect>
                      <v:rect id="矩形 484" o:spid="_x0000_s1026" o:spt="1" style="position:absolute;left:1286512;top:2589562;height:271803;width:102981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OCVacEgCAACLBAAADgAAAGRycy9lMm9Eb2MueG1srVTNbtQw&#10;EL4j8Q6W7zQ/3W2z0WarqlURUoFKhQfwOs7Gwn+MvZstL4PEjYfgcRCvwdhJy7Zw6IEcIk9m/M18&#10;38xkebbXiuwEeGlNQ4ujnBJhuG2l2TT044erVxUlPjDTMmWNaOid8PRs9fLFcnC1KG1vVSuAIIjx&#10;9eAa2ofg6izzvBea+SPrhEFnZ0GzgCZsshbYgOhaZWWen2SDhdaB5cJ7/Ho5OumECM8BtF0nubi0&#10;fKuFCSMqCMUCUvK9dJ6uUrVdJ3h433VeBKIaikxDemMSPK/jO1stWb0B5nrJpxLYc0p4wkkzaTDp&#10;A9QlC4xsQf4FpSUH620XjrjV2UgkKYIsivyJNrc9cyJxQam9exDd/z9Y/m53A0S2OAmL44ISwzT2&#10;/NfX7z9/fCOzahYFGpyvMe7W3UCk6N215Z88MfaiZ2YjzgHs0AvWYllFjM8eXYiGx6tkPby1LYKz&#10;bbBJq30HOgKiCmSPd8vqZF6UlNw1tJxXi/lJObZH7APhMSAvF1WBneMx4rSo8uOUjtX3SA58eC2s&#10;JvHQUMD2p0xsd+1DrIzV9yGJiVWyvZJKJQM26wsFZMdwVK7SM6H7wzBlyNDQxbycJ+RHPn8Ikafn&#10;XxBaBtwgJXVDq8MgZSbtolyj7GG/3k8dWNv2DlUEO84wbjAeegtfKBlwfhvqP28ZCErUG4OdWBSz&#10;WRz4ZMzmpyUacOhZH3qY4QjV0EDJeLwI45JsHchNj5mKRNfYc+xeJ5OYsbNjVVPdOKNJ42mf4hIc&#10;2inqzz9k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4naU1QAAAAUBAAAPAAAAAAAAAAEAIAAA&#10;ACIAAABkcnMvZG93bnJldi54bWxQSwECFAAUAAAACACHTuJAOCVacEgCAACLBAAADgAAAAAAAAAB&#10;ACAAAAAkAQAAZHJzL2Uyb0RvYy54bWxQSwUGAAAAAAYABgBZAQAA3gUAAAAA&#10;">
                        <v:fill on="t" focussize="0,0"/>
                        <v:stroke color="#000000" miterlimit="8" joinstyle="miter"/>
                        <v:imagedata o:title=""/>
                        <o:lock v:ext="edit" aspectratio="f"/>
                        <v:textbox>
                          <w:txbxContent>
                            <w:p>
                              <w:pPr>
                                <w:jc w:val="center"/>
                                <w:rPr>
                                  <w:kern w:val="0"/>
                                  <w:sz w:val="24"/>
                                  <w:szCs w:val="24"/>
                                </w:rPr>
                              </w:pPr>
                              <w:r>
                                <w:rPr>
                                  <w:rFonts w:hint="eastAsia"/>
                                  <w:szCs w:val="21"/>
                                </w:rPr>
                                <w:t>降尘用水</w:t>
                              </w:r>
                            </w:p>
                          </w:txbxContent>
                        </v:textbox>
                      </v:rect>
                      <v:rect id="矩形 486" o:spid="_x0000_s1026" o:spt="1" style="position:absolute;left:3007029;top:2589562;height:271803;width:824308;"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xCxwxUcCAACKBAAADgAAAGRycy9lMm9Eb2MueG1srVTNbtQw&#10;EL4j8Q6W72yy2f+o2apqVYRUoFLhAbyOs7HwH2PvZpeXQeLGQ/A4iNdg7KRlWzj0QA6RJzP+Zr5v&#10;ZnJ2ftCK7AV4aU1Fx6OcEmG4raXZVvTjh+tXS0p8YKZmyhpR0aPw9Hz98sVZ50pR2NaqWgBBEOPL&#10;zlW0DcGVWeZ5KzTzI+uEQWdjQbOAJmyzGliH6FplRZ7Ps85C7cBy4T1+veqddECE5wDappFcXFm+&#10;08KEHhWEYgEp+VY6T9ep2qYRPLxvGi8CURVFpiG9MQmeN/Gdrc9YuQXmWsmHEthzSnjCSTNpMOkD&#10;1BULjOxA/gWlJQfrbRNG3OqsJ5IUQRbj/Ik2dy1zInFBqb17EN3/P1j+bn8LRNY4CatJQYlhGnv+&#10;6+v3nz++kelyHgXqnC8x7s7dQqTo3Y3lnzwx9rJlZisuAGzXClZjWeMYnz26EA2PV8mme2trBGe7&#10;YJNWhwZ0BEQVyKGikzxf5MWKkmNFi9lyNZsXfXvEIRCOActiOslxOnkMWIyX+SRlY+U9kAMfXgur&#10;STxUFLD7KRHb3/gQC2PlfUgiYpWsr6VSyYDt5lIB2TOclOv0DOj+NEwZ0lV0NStmCfmRz59C5On5&#10;F4SWARdISY2MToOUGaSLavWqh8PmMDRgY+sjigi2H2FcYDy0Fr5Q0uH4VtR/3jEQlKg3BhuxGk+n&#10;cd6TMZ0tCjTg1LM59TDDEaqigZL+eBn6Hdk5kNsWM40TXWMvsHmNTGLGxvZVDXXjiCaNh3WKO3Bq&#10;p6g/v5D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idpTVAAAABQEAAA8AAAAAAAAAAQAgAAAA&#10;IgAAAGRycy9kb3ducmV2LnhtbFBLAQIUABQAAAAIAIdO4kDELHDFRwIAAIoEAAAOAAAAAAAAAAEA&#10;IAAAACQBAABkcnMvZTJvRG9jLnhtbFBLBQYAAAAABgAGAFkBAADdBQAAAAA=&#10;">
                        <v:fill on="t" focussize="0,0"/>
                        <v:stroke color="#000000" miterlimit="8" joinstyle="miter"/>
                        <v:imagedata o:title=""/>
                        <o:lock v:ext="edit" aspectratio="f"/>
                        <v:textbox>
                          <w:txbxContent>
                            <w:p>
                              <w:pPr>
                                <w:jc w:val="center"/>
                                <w:rPr>
                                  <w:kern w:val="0"/>
                                  <w:sz w:val="24"/>
                                  <w:szCs w:val="24"/>
                                </w:rPr>
                              </w:pPr>
                              <w:r>
                                <w:rPr>
                                  <w:rFonts w:hint="eastAsia"/>
                                  <w:szCs w:val="21"/>
                                </w:rPr>
                                <w:t>自然蒸发</w:t>
                              </w:r>
                            </w:p>
                          </w:txbxContent>
                        </v:textbox>
                      </v:rect>
                      <v:shape id="自选图形 469" o:spid="_x0000_s1026" o:spt="32" type="#_x0000_t32" style="position:absolute;left:2316322;top:2725157;height:0;width:690707;"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DjbvsYLgIAACwEAAAOAAAAZHJzL2Uyb0RvYy54bWytk8GO&#10;0zAQhu9IvIPlO02T0pZGTffQslwWqLTLA7i201g4Hst2m/bGDfEM3DjyDvA2K8FbMHbaZXe57IEc&#10;orFn/M3M7/H84tBqspfOKzAVzQdDSqThIJTZVvTDzeWLV5T4wIxgGoys6FF6erF4/mze2VIW0IAW&#10;0hGEGF92tqJNCLbMMs8b2TI/ACsNOmtwLQu4dNtMONYhvdVZMRxOsg6csA649B53V72TnojuKUCo&#10;a8XlCviulSb0VCc1C9iSb5T1dJGqrWvJw/u69jIQXVHsNKQ/JkF7E//ZYs7KrWO2UfxUAntKCY96&#10;apkymPQOtWKBkZ1T/6BaxR14qMOAQ5v1jSRFsIt8+Eib64ZZmXpBqb29E93/Pyx/t187ogROwmw0&#10;osSwFu/81+fvvz99uf368/bHN/JyMosyddaXGL00axcb5Qdzba+Af/TEwLJhZitTuTdHi4C8F9aH&#10;5cGc6TlF61DRUe+TRtxzFidnOpg9yBUX3mKVm+4tCISzXYAk9qF2bawFZSQILkb5ZFQg6Yj2tBjn&#10;4+kp1SEQjgGT2XA6nFLCMSBdfcbKM8M6H95IaEk0KuqDY2rbhCUYg0MELk8Z2f7KBxQDD54PxAIM&#10;XCqt0yxpQ7qKzsbFOB3woJWIzhjm3Xaz1I7sWZzG9MUCEfYgzMHOiAQLTOnXRpCQRA1Oocxa0pih&#10;lYISLfEJR6unaIOws1z9jW1AHNcuuuM+DlFKdxr4OKX31ynq7yN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6nosk1wAAAAUBAAAPAAAAAAAAAAEAIAAAACIAAABkcnMvZG93bnJldi54bWxQSwEC&#10;FAAUAAAACACHTuJA4277GC4CAAAsBAAADgAAAAAAAAABACAAAAAmAQAAZHJzL2Uyb0RvYy54bWxQ&#10;SwUGAAAAAAYABgBZAQAAxgUAAAAA&#10;">
                        <v:fill on="f" focussize="0,0"/>
                        <v:stroke color="#000000" joinstyle="round" endarrow="block"/>
                        <v:imagedata o:title=""/>
                        <o:lock v:ext="edit" aspectratio="f"/>
                      </v:shape>
                      <v:rect id="矩形 488" o:spid="_x0000_s1026" o:spt="1" style="position:absolute;left:980710;top:2424660;height:1810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FLLiO0ZAgAAFwQAAA4AAABkcnMvZTJvRG9jLnhtbK1TwW7UMBC9&#10;I/EPlu9snO1qSaPNVlVXRUgFKhU+wOs4m4jEY8beTZafQeLGR/A5iN9g7KRlWy49cLE8nvGbec/P&#10;q4uha9lBo2vAFDydCc60UVA2ZlfwTx+vX2WcOS9NKVswuuBH7fjF+uWLVW9zPYca2lIjIxDj8t4W&#10;vPbe5kniVK076WZgtaFkBdhJTyHukhJlT+hdm8yFWCY9YGkRlHaOTjdjkk+I+BxAqKpG6Q2ofaeN&#10;H1FRt9ITJVc31vF1nLaqtPIfqsppz9qCE1MfV2pC+21Yk/VK5juUtm7UNIJ8zghPOHWyMdT0AWoj&#10;vWR7bP6B6hqF4KDyMwVdMhKJihCLVDzR5q6WVkcuJLWzD6K7/wer3h9ukTUlOeH8bMGZkR29+e9v&#10;P379/M4WWRYE6q3Lqe7O3mKg6OwNqM+OGbiqpdnpS0Toay1LGisN9cmjCyFwdJVt+3dQErjce4ha&#10;DRV2AZBUYEPBzzPxOqV3ORZ8vpgvlsvpdfTgmaL8WSYWgkZUVJBmqRDz2Ezm9zgWnX+joWNhU3Ck&#10;x4995OHG+TCXzO9LQlsD103bRgO05tEBFYaTyCOMPkrgh+0wqbGF8kiMEEY/0W+iTQ34lbOevFRw&#10;92UvUXPWvjVBlUyIYL4xEBRxhqeZ7WlGGkVQBfecjdsrPxp2b7HZ1dQpjbQMXJKSVROpBZXHqaa5&#10;yS+R8eTtYMjTOFb9/c/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nOmnTAAAABQEAAA8AAAAA&#10;AAAAAQAgAAAAIgAAAGRycy9kb3ducmV2LnhtbFBLAQIUABQAAAAIAIdO4kBSy4jtGQIAABcEAAAO&#10;AAAAAAAAAAEAIAAAACIBAABkcnMvZTJvRG9jLnhtbFBLBQYAAAAABgAGAFkBAACt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4800</w:t>
                              </w:r>
                            </w:p>
                          </w:txbxContent>
                        </v:textbox>
                      </v:rect>
                      <v:rect id="矩形 489" o:spid="_x0000_s1026" o:spt="1" style="position:absolute;left:2457424;top:2512461;height:1809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GhaZNcbAgAAGAQAAA4AAABkcnMvZTJvRG9jLnhtbK1TS27bMBDd&#10;F+gdCO5rfSKntmA5CGKkKJC2AdIegKYoi6jEYYe0ZfcyBbrrIXqcotfokHJSJ91k0Y0wwxm9mff4&#10;uLjY9x3bKXQaTMWzScqZMhJqbTYV//Tx+tWMM+eFqUUHRlX8oBy/WL58sRhsqXJooasVMgIxrhxs&#10;xVvvbZkkTraqF24CVhkqNoC98JTiJqlRDITed0mepufJAFhbBKmco9PVWORHRHwOIDSNlmoFctsr&#10;40dUVJ3wRMm12jq+jNs2jZL+Q9M45VlXcWLq45eGULwO32S5EOUGhW21PK4gnrPCE0690IaGPkCt&#10;hBdsi/ofqF5LBAeNn0jok5FIVIRYZOkTbe5aYVXkQlI7+yC6+3+w8v3uFpmuyQnzsylnRvR057+/&#10;/fj18zsrZvMg0GBdSX139hYDRWdvQH52zMBVK8xGXSLC0CpR01pZ6E8e/RASR7+y9fAOagIXWw9R&#10;q32DfQAkFdi+4nkxfV3kBWcHiqdZXpxHNFGqvWeSGs5maZFSXVJDNkvnaR6nifIeyKLzbxT0LAQV&#10;R7r9OEjsbpwPi4nyviXMNXCtuy46oDOPDqgxnEQiYfdRA79f749yrKE+ECWE0VD0nChoAb9yNpCZ&#10;Ku6+bAUqzrq3JsgyS9PgvjFJKeMMTyvr04owkqAq7jkbwys/OnZrUW9ampRFWgYuScpGR2pB5nGr&#10;495kmMj4aO7gyNM8dv190M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mc6adMAAAAFAQAADwAA&#10;AAAAAAABACAAAAAiAAAAZHJzL2Rvd25yZXYueG1sUEsBAhQAFAAAAAgAh07iQGhaZNcbAgAAGAQA&#10;AA4AAAAAAAAAAQAgAAAAIgEAAGRycy9lMm9Eb2MueG1sUEsFBgAAAAAGAAYAWQEAAK8FA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4800</w:t>
                              </w:r>
                            </w:p>
                          </w:txbxContent>
                        </v:textbox>
                      </v:rect>
                      <v:shape id="AutoShape 56" o:spid="_x0000_s1026" o:spt="34" type="#_x0000_t34" style="position:absolute;left:737307;top:1359231;flip:y;height:928828;width:549205;" filled="f" stroked="t" coordsize="21600,21600" o:gfxdata="UEsDBAoAAAAAAIdO4kAAAAAAAAAAAAAAAAAEAAAAZHJzL1BLAwQUAAAACACHTuJAOrDcrNQAAAAF&#10;AQAADwAAAGRycy9kb3ducmV2LnhtbE2PwU7DMBBE70j8g7WVuFE7rUBpiNNDJE6IAwUhcXPibRJq&#10;r6N404a/x3CBy0qjGc28LfeLd+KMUxwCacjWCgRSG+xAnYa318fbHERkQ9a4QKjhCyPsq+ur0hQ2&#10;XOgFzwfuRCqhWBgNPfNYSBnbHr2J6zAiJe8YJm84yamTdjKXVO6d3Ch1L70ZKC30ZsS6x/Z0mL2G&#10;mp+bpdl8qlHx8SnU7+5jmDOtb1aZegDBuPBfGH7wEzpUiakJM9konIb0CP/e5OW77RZEo2Gn7nKQ&#10;VSn/01ffUEsDBBQAAAAIAIdO4kCVEzlJOwIAAGkEAAAOAAAAZHJzL2Uyb0RvYy54bWytVE2P2yAQ&#10;vVfqf0DcGzv2Oh9WnFWVdHvZtpF22zsBHNPyJSBx8u87YCftbi97qA8ImOG9mcfDq/uzkujEnRdG&#10;N3g6yTHimhom9KHB358fPiww8oFoRqTRvMEX7vH9+v27VW9rXpjOSMYdAhDt6942uAvB1lnmaccV&#10;8RNjuYZga5wiAZbukDFHekBXMivyfJb1xjHrDOXew+52COIR0b0F0LStoHxr6FFxHQZUxyUJ0JLv&#10;hPV4naptW07Dt7b1PCDZYOg0pBFIYL6PY7ZekfrgiO0EHUsgbynhVU+KCA2kN6gtCQQdnfgHSgnq&#10;jDdtmFCjsqGRpAh0Mc1fafPUEctTLyC1tzfR/f+DpV9PO4cEAycs70AUTRTc+cdjMIkcVbMoUW99&#10;DZkbvXOxSXrWT/bR0F8eabPpiD7wlP18sXB4Oojqw+asE/IMHCXYucHlEOGaXUPFdD7G0qnsBVFc&#10;eAvl7fsvhgEygbKSyufWKdRKYX9EulgSKImAYV7OyxwgL7BfVsuiHIvh54AoxKu7ZZFXGFFIWBaL&#10;RbGIJWWkjogRxzofPnOjUJw0eA/+2hitwUfGlYmJnB59SFfNRrUI+znFqFUSnHMiElU5fCPumA0M&#10;V+R4VJsHIWXyntSoh1qqokro3kjBYjCmeXfYb6RDAApeTd8I+yJNiQAvUgrV4MUtidSBCPlJMxTS&#10;rQQn4J4kx5FOcYaR5PD+42xQQGoQ4ir5cOV7wy47F8NxHxyYpBpfS7T43+uU9ecPsf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rDcrNQAAAAFAQAADwAAAAAAAAABACAAAAAiAAAAZHJzL2Rvd25y&#10;ZXYueG1sUEsBAhQAFAAAAAgAh07iQJUTOUk7AgAAaQQAAA4AAAAAAAAAAQAgAAAAIwEAAGRycy9l&#10;Mm9Eb2MueG1sUEsFBgAAAAAGAAYAWQEAANAFAAAAAA==&#10;" adj="10800">
                        <v:fill on="f" focussize="0,0"/>
                        <v:stroke color="#000000" miterlimit="8" joinstyle="miter" endarrow="block"/>
                        <v:imagedata o:title=""/>
                        <o:lock v:ext="edit" aspectratio="f"/>
                      </v:shape>
                      <v:rect id="矩形 155" o:spid="_x0000_s1026" o:spt="1" style="position:absolute;left:1286512;top:3189668;height:271803;width:1132811;"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CgjuSkkCAACLBAAADgAAAGRycy9lMm9Eb2MueG1srVTNbtNA&#10;EL4j8Q6rvVPHbpI6Vp2qSlSEVKBS4QE263W8Yv+Y3cQpL4PEjYfgcRCvwezaLWnh0AM+WDue2W/m&#10;+2bG5xcHrchegJfW1DQ/mVAiDLeNNNuafvxw9aqkxAdmGqasETW9E55eLF++OO9dJQrbWdUIIAhi&#10;fNW7mnYhuCrLPO+EZv7EOmHQ2VrQLKAJ26wB1iO6Vlkxmcyz3kLjwHLhPX5dD046IsJzAG3bSi7W&#10;lu+0MGFABaFYQEq+k87TZaq2bQUP79vWi0BUTZFpSG9MgudNfGfLc1ZtgblO8rEE9pwSnnDSTBpM&#10;+gC1ZoGRHci/oLTkYL1twwm3OhuIJEWQRT55os1tx5xIXFBq7x5E9/8Plr/b3wCRDU7CYppTYpjG&#10;nv/6+v3nj28kn82iQL3zFcbduhuIFL27tvyTJ8auOma24hLA9p1gDZaVx/js0YVoeLxKNv1b2yA4&#10;2wWbtDq0oCMgqkAOeLco57O8oOSupqd5uZjPy6E94hAIjwH5aVHmWCTHiOIsLyenKR2r7pEc+PBa&#10;WE3ioaaA7U+Z2P7ah1gZq+5DEhOrZHMllUoGbDcrBWTPcFSu0jOi++MwZUhf08WsmCXkRz5/DDFJ&#10;z78gtAy4QUrqmpbHQcqM2kW5BtnDYXMYO7CxzR2qCHaYYdxgPHQWvlDS4/zW1H/eMRCUqDcGO7HI&#10;p9M48MmYzs4KNODYszn2MMMRqqaBkuG4CsOS7BzIbYeZ8kTX2EvsXiuTmLGzQ1Vj3TijSeNxn+IS&#10;HNsp6s8/Z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OJ2lNUAAAAFAQAADwAAAAAAAAABACAA&#10;AAAiAAAAZHJzL2Rvd25yZXYueG1sUEsBAhQAFAAAAAgAh07iQAoI7kpJAgAAiwQAAA4AAAAAAAAA&#10;AQAgAAAAJAEAAGRycy9lMm9Eb2MueG1sUEsFBgAAAAAGAAYAWQEAAN8FAAAAAA==&#10;">
                        <v:fill on="t" focussize="0,0"/>
                        <v:stroke color="#000000" miterlimit="8" joinstyle="miter"/>
                        <v:imagedata o:title=""/>
                        <o:lock v:ext="edit" aspectratio="f"/>
                        <v:textbox>
                          <w:txbxContent>
                            <w:p>
                              <w:pPr>
                                <w:jc w:val="center"/>
                                <w:rPr>
                                  <w:kern w:val="0"/>
                                  <w:sz w:val="24"/>
                                  <w:szCs w:val="24"/>
                                </w:rPr>
                              </w:pPr>
                              <w:r>
                                <w:rPr>
                                  <w:rFonts w:hint="eastAsia"/>
                                  <w:szCs w:val="21"/>
                                </w:rPr>
                                <w:t>脱硫系统补充水</w:t>
                              </w:r>
                            </w:p>
                          </w:txbxContent>
                        </v:textbox>
                      </v:rect>
                      <v:rect id="矩形 156" o:spid="_x0000_s1026" o:spt="1" style="position:absolute;left:3073130;top:3189668;height:271803;width:809308;"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tTfq80kCAACKBAAADgAAAGRycy9lMm9Eb2MueG1srVRLbtsw&#10;EN0X6B0I7htJ/sUWLAeBjRQF0jZA2gPQFGUR5a9D2nJ6mQLd9RA9TtFrdEgpqZN2kUW5EDia0Zt5&#10;b2a0vDhqRQ4CvLSmosVZTokw3NbS7Cr68cPVqzklPjBTM2WNqOid8PRi9fLFsnOlGNnWqloAQRDj&#10;y85VtA3BlVnmeSs082fWCYPOxoJmAU3YZTWwDtG1ykZ5Pss6C7UDy4X3+HbTO+mACM8BtE0judhY&#10;vtfChB4VhGIBKflWOk9XqdqmETy8bxovAlEVRaYhPTEJ3rfxma2WrNwBc63kQwnsOSU84aSZNJj0&#10;AWrDAiN7kH9BacnBetuEM2511hNJiiCLIn+izW3LnEhcUGrvHkT3/w+WvzvcAJE1TsJiMqLEMI09&#10;//X1+88f30gxnUWBOudLjLt1NxApendt+SdPjF23zOzEJYDtWsFqLKuI8dmjD6Lh8VOy7d7aGsHZ&#10;Ptik1bEBHQFRBXKs6Dg/HxdjbMwd3ov5Yjab9+0Rx0A4BszzxTjH6eQYMDov5vk4ZWPlPZADH14L&#10;q0m8VBSw+ykRO1z7EAtj5X1IImKVrK+kUsmA3XatgBwYTspVOgO6Pw1ThnQVXUxH04T8yOdPIfJ0&#10;/gWhZcAFUlJHRvEMQcoM0kW1etXDcXscGrC19R2KCLYfYVxgvLQWvlDS4fhW1H/eMxCUqDcGG7Eo&#10;JpM478mYTM9HaMCpZ3vqYYYjVEUDJf11Hfod2TuQuxYzFYmusZfYvEYmMWNj+6qGunFEk8bDOsUd&#10;OLVT1J9fyO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OJ2lNUAAAAFAQAADwAAAAAAAAABACAA&#10;AAAiAAAAZHJzL2Rvd25yZXYueG1sUEsBAhQAFAAAAAgAh07iQLU36vNJAgAAigQAAA4AAAAAAAAA&#10;AQAgAAAAJAEAAGRycy9lMm9Eb2MueG1sUEsFBgAAAAAGAAYAWQEAAN8FAAAAAA==&#10;">
                        <v:fill on="t" focussize="0,0"/>
                        <v:stroke color="#000000" miterlimit="8" joinstyle="miter"/>
                        <v:imagedata o:title=""/>
                        <o:lock v:ext="edit" aspectratio="f"/>
                        <v:textbox>
                          <w:txbxContent>
                            <w:p>
                              <w:pPr>
                                <w:jc w:val="center"/>
                                <w:rPr>
                                  <w:kern w:val="0"/>
                                  <w:sz w:val="24"/>
                                  <w:szCs w:val="24"/>
                                </w:rPr>
                              </w:pPr>
                              <w:r>
                                <w:rPr>
                                  <w:rFonts w:hint="eastAsia"/>
                                  <w:szCs w:val="21"/>
                                </w:rPr>
                                <w:t>脱硫水</w:t>
                              </w:r>
                            </w:p>
                          </w:txbxContent>
                        </v:textbox>
                      </v:rect>
                      <v:shape id="AutoShape 56" o:spid="_x0000_s1026" o:spt="34" type="#_x0000_t34" style="position:absolute;left:737307;top:2288059;height:1037511;width:549205;" filled="f" stroked="t" coordsize="21600,21600" o:gfxdata="UEsDBAoAAAAAAIdO4kAAAAAAAAAAAAAAAAAEAAAAZHJzL1BLAwQUAAAACACHTuJAh+9XNtYAAAAF&#10;AQAADwAAAGRycy9kb3ducmV2LnhtbE2PwU7DMBBE70j8g7VIXBC1Q9oqDdn0gOCAhIQaEGc3XpKI&#10;eB1spy1/j+ECl5VGM5p5W21PdhQH8mFwjJAtFAji1pmBO4TXl4frAkSImo0eHRPCFwXY1udnlS6N&#10;O/KODk3sRCrhUGqEPsaplDK0PVkdFm4iTt6781bHJH0njdfHVG5HeaPUWlo9cFro9UR3PbUfzWwR&#10;3uanLPpWrpb3z/SYB7dullefiJcXmboFEekU/8Lwg5/QoU5MezezCWJESI/E35u8YpPnIPYIG7Uq&#10;QNaV/E9ffwNQSwMEFAAAAAgAh07iQGGk0co3AgAAYQQAAA4AAABkcnMvZTJvRG9jLnhtbK1Uy27b&#10;MBC8F+g/ELzXkuzID8FyUNhNL2ljIOkH0CRlseULJG3Jf98lJbtNesmhOgikdjmzOzvU+r5XEp25&#10;88LoGheTHCOuqWFCH2v84+Xh0xIjH4hmRBrNa3zhHt9vPn5Yd7biU9MaybhDAKJ91dkatyHYKss8&#10;bbkifmIs1xBsjFMkwNYdM+ZIB+hKZtM8n2edccw6Q7n38HU3BPGI6N4DaJpGUL4z9KS4DgOq45IE&#10;aMm3wnq8SdU2DafhqWk8D0jWGDoN6Q0ksD7Ed7ZZk+roiG0FHUsg7ynhTU+KCA2kN6gdCQSdnPgH&#10;SgnqjDdNmFCjsqGRpAh0UeRvtHluieWpF5Da25vo/v/B0u/nvUOCgRNWdzOMNFEw88+nYBI5KudR&#10;os76CjK3eu9ik7TXz/bR0F8eabNtiT7ylP1ysXC4GET1YdvrhDwHRwnW13g2RLhm1xCQFmMwHcte&#10;McWNt1DfoftmGEATqCvJ3DdOxUpAQATAi9lili8wutR4Ol0u83I1MvUBUYiXd6tpXmJEIaHIZ4uy&#10;GNhIdQWyzoev3CgUFzU+gK+2Rmvwj3GzREnOjz6kEbNRJcJ+QvGNkuCYM5GozOGJxBmpxmxYXZHj&#10;UW0ehJTJc1KjrsarclomdG+kYDEY07w7HrbSIQAFj6ZnhH2VpkSAmyiFqvHylkSqQIT8ohkKaRrB&#10;CZiP5DjSKc4wkhzufVwNlUoNBV+VHkZ9MOyydzEcv4PzUkvjLYnW/nufsv78G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fvVzbWAAAABQEAAA8AAAAAAAAAAQAgAAAAIgAAAGRycy9kb3ducmV2&#10;LnhtbFBLAQIUABQAAAAIAIdO4kBhpNHKNwIAAGEEAAAOAAAAAAAAAAEAIAAAACUBAABkcnMvZTJv&#10;RG9jLnhtbFBLBQYAAAAABgAGAFkBAADOBQAAAAA=&#10;" adj="10800">
                        <v:fill on="f" focussize="0,0"/>
                        <v:stroke color="#000000" miterlimit="8" joinstyle="miter" endarrow="block"/>
                        <v:imagedata o:title=""/>
                        <o:lock v:ext="edit" aspectratio="f"/>
                      </v:shape>
                      <v:rect id="矩形 158" o:spid="_x0000_s1026" o:spt="1" style="position:absolute;left:1008610;top:3027766;height:1810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AXOtdAaAgAAGAQAAA4AAABkcnMvZTJvRG9jLnhtbK1T0W7TMBR9&#10;R+IfLL/TOF3pQtR0mlYNIQ2YNPgA13Eai8TXXLtNx88g8baP4HMQv8G1041uvOyBl8jXvj73nOOT&#10;xdm+79hOozdgK55PBGfaKqiN3VT886fLVwVnPkhbyw6srvit9vxs+fLFYnClnkILXa2REYj15eAq&#10;3obgyizzqtW99BNw2tJhA9jLQCVushrlQOh9l02FmGcDYO0QlPaedlfjIT8g4nMAoWmM0itQ217b&#10;MKKi7mQgSb41zvNlYts0WoWPTeN1YF3FSWlIXxpC63X8ZsuFLDcoXWvUgYJ8DoUnmnppLA19gFrJ&#10;INkWzT9QvVEIHpowUdBno5DkCKnIxRNvblrpdNJCVnv3YLr/f7Dqw+4amakpCW9mM86s7OnNf3+/&#10;+/XzB8tfF9GgwfmS+m7cNUaJ3l2B+uKZhYtW2o0+R4Sh1bImWnnszx5diIWnq2w9vIeawOU2QPJq&#10;32AfAckFtqe7QhTznB7mtuInYnp6Op+Pz6P3gSlqOCnETBBHRQ15Qe3TNE2W90AOfXiroWdxUXGk&#10;10+D5O7Kh0hMlvctca6FS9N1KQGdfbRBjXEnCYncRw/Cfr0/2LGG+pYkIYyBot+JFi3gN84GClPF&#10;/detRM1Z985GWwohYvrGQlDFGR6frI9PpFUEVfHA2bi8CGNitw7NpqVJeZJl4ZysbEySFm0eWR14&#10;U2CS4kO4YyKP69T194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Bc610BoCAAAY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480</w:t>
                              </w:r>
                            </w:p>
                          </w:txbxContent>
                        </v:textbox>
                      </v:rect>
                      <v:shape id="自选图形 469" o:spid="_x0000_s1026" o:spt="32" type="#_x0000_t32" style="position:absolute;left:2419323;top:3325198;height:0;width:653807;"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B8v/SqMAIAACwEAAAOAAAAZHJzL2Uyb0RvYy54bWytk81u&#10;EzEQx+9IvIPlO9ns5oMkyqaHhHIpEKnlARzbm7XweizbySY3bohn4Max7wBvUwnegrE3KW259MAe&#10;VrZn5jczf4/nF4dGk710XoEpad7rUyINB6HMtqQfby5fTSjxgRnBNBhZ0qP09GLx8sW8tTNZQA1a&#10;SEcQYvystSWtQ7CzLPO8lg3zPbDSoLEC17CAW7fNhGMt0hudFf3+OGvBCeuAS+/xdNUZ6YnongOE&#10;qlJcroDvGmlCR3VSs4At+VpZTxep2qqSPHyoKi8D0SXFTkP6YxJcb+I/W8zZbOuYrRU/lcCeU8KT&#10;nhqmDCa9R61YYGTn1D+oRnEHHqrQ49BkXSNJEewi7z/R5rpmVqZeUGpv70X3/w/L3+/XjiiBkzAd&#10;jigxrME7//Xl9vfnr3ffft79+E6G42mUqbV+ht5Ls3axUX4w1/YK+CdPDCxrZrYylXtztAjIO2F9&#10;WB7MmZ5TXB1KOuhs0ogHxuJkTIHZo1xx4y1WuWnfgUA42wVIYh8q18RaUEaC4GKYTwfFgJIjJhkU&#10;o3w6OaU6BMLRYTwaTPqvKeHokK4+Y7Mzwzof3kpoSFyU1AfH1LYOSzAGhwhcnjKy/ZUPKAYGngNi&#10;AQYuldZplrQhbUmno2KUAjxoJaIxunm33Sy1I3sWpzF9sUCEPXJzsDMiwQJT+o0RJCRRg1Mos5Y0&#10;ZmikoERLfMJx1VG0QdhZru7GNiCOaxfN8RyHKKU7DXyc0of75PX3kS/+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qeiyTXAAAABQEAAA8AAAAAAAAAAQAgAAAAIgAAAGRycy9kb3ducmV2LnhtbFBL&#10;AQIUABQAAAAIAIdO4kB8v/SqMAIAACwEAAAOAAAAAAAAAAEAIAAAACYBAABkcnMvZTJvRG9jLnht&#10;bFBLBQYAAAAABgAGAFkBAADIBQAAAAA=&#10;">
                        <v:fill on="f" focussize="0,0"/>
                        <v:stroke color="#000000" joinstyle="round" endarrow="block"/>
                        <v:imagedata o:title=""/>
                        <o:lock v:ext="edit" aspectratio="f"/>
                      </v:shape>
                      <v:rect id="矩形 160" o:spid="_x0000_s1026" o:spt="1" style="position:absolute;left:2517924;top:3123067;height:1809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HEy8qYcAgAAGAQAAA4AAABkcnMvZTJvRG9jLnhtbK1TQW7bMBC8&#10;F+gfCN5rUbbr2ILlIIiRokDaBkj7AJqiLKESl13SltzPFOgtj+hzin6jS8pJnPSSQy/CLnc1uzMc&#10;Ls/7tmF7ja4Gk/N0JDjTRkFRm23Ov3y+ejPnzHlpCtmA0Tk/aMfPV69fLTub6TFU0BQaGYEYl3U2&#10;55X3NksSpyrdSjcCqw0VS8BWekpxmxQoO0Jvm2QsxCzpAAuLoLRzdLoeivyIiC8BhLKslV6D2rXa&#10;+AEVdSM9UXJVbR1fxW3LUiv/qSyd9qzJOTH18UtDKN6Eb7JaymyL0la1Oq4gX7LCM06trA0NfYBa&#10;Sy/ZDut/oNpaITgo/UhBmwxEoiLEIhXPtLmtpNWRC0nt7IPo7v/Bqo/7G2R1QU5YTGecGdnSnf/5&#10;cff710+WzqJAnXUZ9d3aGwwUnb0G9dUxA5eVNFt9gQhdpWVBa6VB0OTJDyFx9CvbdB+gIHC58xC1&#10;6ktsAyCpwPqcj9+mZ4vxlLNDzifpeCJmZ8P16N4zRQ2TuZgKqitqSOdiIcZxmszugSw6/05Dy0KQ&#10;c6Tbj4Pk/tr5sJjM7lvCXANXddNEBzTmyQE1hpNIJOwe7OQy32966g7hBooDUUIYDEXPiYIK8Dtn&#10;HZkp5+7bTqLmrHlvgixzIYL7hkRQxhmeVjanFWkUQeXcczaEl35w7M5iva1oUhppGbggKcs6Unvc&#10;6rg3GSYyPpo7OPI0j12PD3r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nOmnTAAAABQEAAA8A&#10;AAAAAAAAAQAgAAAAIgAAAGRycy9kb3ducmV2LnhtbFBLAQIUABQAAAAIAIdO4kBxMvKmHAIAABgE&#10;AAAOAAAAAAAAAAEAIAAAACIBAABkcnMvZTJvRG9jLnhtbFBLBQYAAAAABgAGAFkBAACw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480</w:t>
                              </w:r>
                            </w:p>
                          </w:txbxContent>
                        </v:textbox>
                      </v:rect>
                      <v:rect id="矩形 161" o:spid="_x0000_s1026" o:spt="1" style="position:absolute;left:4468743;top:3189668;height:271803;width:809008;"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kjlEpkgCAACKBAAADgAAAGRycy9lMm9Eb2MueG1srVTNbtQw&#10;EL4j8Q6W7zTJNt0/NVtVrYqQClQqPIDXcTYWtseMvZstL4PEjYfgcRCvwcRJy7Zw6AEfLE9m/Hm+&#10;b2Zyera3hu0UBg2u4sVRzplyEmrtNhX/+OHq1ZyzEIWrhQGnKn6nAj9bvXxx2vmlmkALplbICMSF&#10;Zecr3sbol1kWZKusCEfglSNnA2hFJBM3WY2iI3RrskmeT7MOsPYIUoVAXy8HJx8R8TmA0DRaqkuQ&#10;W6tcHFBRGRGJUmi1D3yVsm0aJeP7pgkqMlNxYhrTTo/Qed3v2epULDcofKvlmIJ4TgpPOFmhHT36&#10;AHUpomBb1H9BWS0RAjTxSILNBiJJEWJR5E+0uW2FV4kLSR38g+jh/8HKd7sbZLqmTliUM86csFTz&#10;X1+///zxjRXToheo82FJcbf+BnuKwV+D/BSYg4tWuI06R4SuVaKmtFJ89uhCbwS6ytbdW6gJXGwj&#10;JK32DdoekFRg+4qX5XQ+K485u6v4cTFfTKfzoTxqH5mkgHm+yHPqTkkBk1kxz497fyaW90AeQ3yt&#10;wLL+UHGk6qeHxO46xCH0PiQRAaPrK21MMnCzvjDIdoI65SqtET0chhnHuoovTiYnCfmRLxxC5Gn9&#10;C8LqSANktO0Z9WsMMo7I3Ks1qB736/1YgDXUdyQiwtDCNMB0aAG/cNZR+1Y8fN4KVJyZN44KsSjK&#10;su/3ZJQnswkZeOhZH3qEkwRV8cjZcLyIw4xsPepNSy8Via6Dcypeo5OYfapDVmPe1KKpHOM49TNw&#10;aKeoP7+Q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4naU1QAAAAUBAAAPAAAAAAAAAAEAIAAA&#10;ACIAAABkcnMvZG93bnJldi54bWxQSwECFAAUAAAACACHTuJAkjlEpkgCAACKBAAADgAAAAAAAAAB&#10;ACAAAAAkAQAAZHJzL2Uyb0RvYy54bWxQSwUGAAAAAAYABgBZAQAA3gUAAAAA&#10;">
                        <v:fill on="t" focussize="0,0"/>
                        <v:stroke color="#000000" miterlimit="8" joinstyle="miter"/>
                        <v:imagedata o:title=""/>
                        <o:lock v:ext="edit" aspectratio="f"/>
                        <v:textbox>
                          <w:txbxContent>
                            <w:p>
                              <w:pPr>
                                <w:jc w:val="center"/>
                                <w:rPr>
                                  <w:kern w:val="0"/>
                                  <w:sz w:val="24"/>
                                  <w:szCs w:val="24"/>
                                </w:rPr>
                              </w:pPr>
                              <w:r>
                                <w:rPr>
                                  <w:rFonts w:hint="eastAsia"/>
                                  <w:szCs w:val="21"/>
                                </w:rPr>
                                <w:t>脱硫废水</w:t>
                              </w:r>
                            </w:p>
                          </w:txbxContent>
                        </v:textbox>
                      </v:rect>
                      <v:shape id="自选图形 469" o:spid="_x0000_s1026" o:spt="32" type="#_x0000_t32" style="position:absolute;left:3882438;top:3325198;height:0;width:586305;"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DKWxdjLQIAACwEAAAOAAAAZHJzL2Uyb0RvYy54bWytk81u&#10;EzEQx+9IvIPlO9l8k0TZ9JBQLgUitTyAY3t3Lbwey3aymxs3xDNw49h3gLepBG/B2JuUtlx6YA+r&#10;sWf8m5m/x8uLttbkIJ1XYHI66PUpkYaDUKbM6ceby1czSnxgRjANRub0KD29WL18sWzsQg6hAi2k&#10;IwgxftHYnFYh2EWWeV7JmvkeWGnQWYCrWcClKzPhWIP0WmfDfn+aNeCEdcCl97i76Zz0RHTPAUJR&#10;KC43wPe1NKGjOqlZwJZ8paynq1RtUUgePhSFl4HonGKnIf0xCdq7+M9WS7YoHbOV4qcS2HNKeNJT&#10;zZTBpPeoDQuM7J36B1Ur7sBDEXoc6qxrJCmCXQz6T7S5rpiVqReU2tt70f3/w/L3h60jSuAkzMd4&#10;84bVeOe/vtz+/vz17tvPux/fyXg6jzI11i8wem22LjbKW3Ntr4B/8sTAumKmlKncm6NFwKAT1od1&#10;a870IUWrzemo80kjHjhfn5zpYPYoV1x4i1XumncgEM72AZLYbeHqWAvKSCJ4NhuOR9jEEe3RcDKY&#10;z06p2kA4Bkxm01F/QgnHgHT1GVucGdb58FZCTaKRUx8cU2UV1mAMDhG4QcrIDlc+oBh48HwgFmDg&#10;UmmdZkkb0uR0PhlO0gEPWonojGHelbu1duTA4jSmLxaIsEdhDvZGJFhgSr8xgoQkanAKZdaSxgy1&#10;FJRoiU84Wh1FG4Sd5epubAfiuHXRHfdxiFK608DHKX24TlF/H/n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qeiyTXAAAABQEAAA8AAAAAAAAAAQAgAAAAIgAAAGRycy9kb3ducmV2LnhtbFBLAQIU&#10;ABQAAAAIAIdO4kDKWxdjLQIAACwEAAAOAAAAAAAAAAEAIAAAACYBAABkcnMvZTJvRG9jLnhtbFBL&#10;BQYAAAAABgAGAFkBAADFBQAAAAA=&#10;">
                        <v:fill on="f" focussize="0,0"/>
                        <v:stroke color="#000000" joinstyle="round" endarrow="block"/>
                        <v:imagedata o:title=""/>
                        <o:lock v:ext="edit" aspectratio="f"/>
                      </v:shape>
                      <v:rect id="矩形 163" o:spid="_x0000_s1026" o:spt="1" style="position:absolute;left:4000539;top:3780274;height:271803;width:104611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b6qeoUwCAACLBAAADgAAAGRycy9lMm9Eb2MueG1srVRBbtsw&#10;ELwX6B8I3htJjhzbQuQgSJCiQNoGSPsAmqIsoiSXXdKW088U6K2P6HOKfqMrykmdtIccqoPA9a6G&#10;M7O7Pj3bWcO2CoMGV/PiKOdMOQmNduuaf/xw9WrOWYjCNcKAUzW/U4GfLV++OO19pSbQgWkUMgJx&#10;oep9zbsYfZVlQXbKinAEXjlKtoBWRApxnTUoekK3Jpvk+UnWAzYeQaoQ6NfLMcn3iPgcQGhbLdUl&#10;yI1VLo6oqIyIJCl02ge+TGzbVsn4vm2DiszUnJTG9KZL6Lwa3tnyVFRrFL7Tck9BPIfCE01WaEeX&#10;PkBdiijYBvVfUFZLhABtPJJgs1FIcoRUFPkTb2474VXSQlYH/2B6+H+w8t32BpluaBIW5YIzJyz1&#10;/NfX7z9/fGPFyfFgUO9DRXW3/gYHicFfg/wUmIOLTri1OkeEvlOiIVrFUJ89+mAIAn3KVv1baAhc&#10;bCIkr3Yt2gGQXGC7mpd5nk+PicNdzY9n83wyK8f2qF1kkgqKvDwpCuqcpIrJrJjniV4mqnskjyG+&#10;VmDZcKg5UvvTTWJ7HeLATFT3JUkJGN1caWNSgOvVhUG2FTQqV+lJYkjwYZlxrK/5YjqZJuRHuXAI&#10;QWro+ReE1ZE2yGhb8/lhkXF77wa7RtvjbrXbd2AFzR25iDDOMG0wHTrAL5z1NL81D583AhVn5o2j&#10;TiyKshwGPgXldDahAA8zq8OMcJKgah45G48XcVySjUe97uimIsl1cE7da3Uyc+jsyGrPm2Y0ebzf&#10;p2EJDuNU9ec/Z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OJ2lNUAAAAFAQAADwAAAAAAAAAB&#10;ACAAAAAiAAAAZHJzL2Rvd25yZXYueG1sUEsBAhQAFAAAAAgAh07iQG+qnqFMAgAAiwQAAA4AAAAA&#10;AAAAAQAgAAAAJAEAAGRycy9lMm9Eb2MueG1sUEsFBgAAAAAGAAYAWQEAAOIFAAAAAA==&#10;">
                        <v:fill on="t" focussize="0,0"/>
                        <v:stroke color="#000000" miterlimit="8" joinstyle="miter"/>
                        <v:imagedata o:title=""/>
                        <o:lock v:ext="edit" aspectratio="f"/>
                        <v:textbox>
                          <w:txbxContent>
                            <w:p>
                              <w:pPr>
                                <w:jc w:val="center"/>
                                <w:rPr>
                                  <w:kern w:val="0"/>
                                  <w:sz w:val="24"/>
                                  <w:szCs w:val="24"/>
                                </w:rPr>
                              </w:pPr>
                              <w:r>
                                <w:rPr>
                                  <w:rFonts w:hint="eastAsia"/>
                                  <w:szCs w:val="21"/>
                                </w:rPr>
                                <w:t>废水处理设施</w:t>
                              </w:r>
                            </w:p>
                          </w:txbxContent>
                        </v:textbox>
                      </v:rect>
                      <v:shape id="AutoShape 56" o:spid="_x0000_s1026" o:spt="34" type="#_x0000_t34" style="position:absolute;left:5046649;top:3325570;flip:x;height:590606;width:231102;" filled="f" stroked="t" coordsize="21600,21600" o:gfxdata="UEsDBAoAAAAAAIdO4kAAAAAAAAAAAAAAAAAEAAAAZHJzL1BLAwQUAAAACACHTuJAoiAkPdcAAAAF&#10;AQAADwAAAGRycy9kb3ducmV2LnhtbE2PwU7DMBBE70j8g7VI3KhdokKaxqlQJRASpzZcuLnxNkkb&#10;r0PstIWvZ+kFLiuNZjTzNl+eXSeOOITWk4bpRIFAqrxtqdbwXj7fpSBCNGRN5wk1fGGAZXF9lZvM&#10;+hOt8biJteASCpnR0MTYZ1KGqkFnwsT3SOzt/OBMZDnU0g7mxOWuk/dKPUhnWuKFxvS4arA6bEan&#10;4W01+7C719bt10l4eXosy8P4+a317c1ULUBEPMe/MPziMzoUzLT1I9kgOg38SLxc9tJ5koDYapir&#10;WQqyyOV/+uIHUEsDBBQAAAAIAIdO4kCuF+YtPgIAAG4EAAAOAAAAZHJzL2Uyb0RvYy54bWytVMtu&#10;2zAQvBfoPxC8x5Jsyw/BclDYTXtIWwNJP4AmKYstXyBpy/77LinFddJLDtVBWGpHszuzK63uz0qi&#10;E3deGF3jYpRjxDU1TOhDjX8+P9wtMPKBaEak0bzGF+7x/frjh1VnKz42rZGMOwQk2ledrXEbgq2y&#10;zNOWK+JHxnINycY4RQIc3SFjjnTArmQ2zvNZ1hnHrDOUew9Pt30SD4zuPYSmaQTlW0OPiuvQszou&#10;SQBJvhXW43Xqtmk4DT+axvOAZI1BaUh3KALxPt6z9YpUB0dsK+jQAnlPC280KSI0FL1SbUkg6OjE&#10;P1RKUGe8acKIGpX1QpIjoKLI33jz1BLLkxaw2tur6f7/0dLvp51DgsEmLEswRRMFM/90DCYVR+Us&#10;WtRZXwFyo3cuiqRn/WQfDf3tkTablugDT+jni4WXi95UHzZnPTBP5xiic40nfY5rdpNc3iazV7Xi&#10;wVvocN99MwzICXSWjD43TqFGCvs1VoxdgZkISpT5dDabAucFyk3GZTkfpszPAVEAjCdFkY8xogAo&#10;l/ksTxIzUkXKSGSdD1+4USgGNd7Djm2M1rBLxk1SKXJ69CGNmw2OEfarwKhRErbnRCS6Wy6WxTyq&#10;BeIBDtELdXxXmwchZVpAqVFX42U5LhO9N1KwmIww7w77jXQIWGFh0zXQvoIpEeCzlELVeHEFkSoQ&#10;IT9rhkIaTXAChiU5juUUZxhJDj+BGPWdSg0Nv5jez31v2GXnYjo+hzVMkoZPJu757Tmh/v4m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iAkPdcAAAAFAQAADwAAAAAAAAABACAAAAAiAAAAZHJz&#10;L2Rvd25yZXYueG1sUEsBAhQAFAAAAAgAh07iQK4X5i0+AgAAbgQAAA4AAAAAAAAAAQAgAAAAJgEA&#10;AGRycy9lMm9Eb2MueG1sUEsFBgAAAAAGAAYAWQEAANYFAAAAAA==&#10;" adj="-21366">
                        <v:fill on="f" focussize="0,0"/>
                        <v:stroke color="#000000" miterlimit="8" joinstyle="miter" endarrow="block"/>
                        <v:imagedata o:title=""/>
                        <o:lock v:ext="edit" aspectratio="f"/>
                      </v:shape>
                      <v:shape id="AutoShape 56" o:spid="_x0000_s1026" o:spt="33" type="#_x0000_t33" style="position:absolute;left:3477785;top:3461086;height:454655;width:522755;rotation:11796480f;" filled="f" stroked="t" coordsize="21600,21600" o:gfxdata="UEsDBAoAAAAAAIdO4kAAAAAAAAAAAAAAAAAEAAAAZHJzL1BLAwQUAAAACACHTuJAva1f8dUAAAAF&#10;AQAADwAAAGRycy9kb3ducmV2LnhtbE2PzU7DMBCE70i8g7VIvVE7rUBpiFMJJOihHKDwANt4G0fE&#10;6yh20p+nx3CBy0qjGc18W65PrhMTDaH1rCGbKxDEtTctNxo+P55vcxAhIhvsPJOGMwVYV9dXJRbG&#10;H/mdpl1sRCrhUKAGG2NfSBlqSw7D3PfEyTv4wWFMcmikGfCYyl0nF0rdS4ctpwWLPT1Zqr92o9Ow&#10;3cTN4zTabOFHbN8u0+GleZVaz24y9QAi0in+heEHP6FDlZj2fmQTRKchPRJ/b/Ly1XIJYq9hpe5y&#10;kFUp/9NX31BLAwQUAAAACACHTuJAwQTjtiQCAABFBAAADgAAAGRycy9lMm9Eb2MueG1srVNNb9sw&#10;DL0P2H8QdF+ceHE+jDjFkKy7dGuAdj9AkeVYmCQKkhI7/36U7GVtd+lhPhiUSD7yPZGbu14rchHO&#10;SzAVnU2mlAjDoZbmVNGfz/efVpT4wEzNFBhR0avw9G778cOms6XIoQVVC0cQxPiysxVtQ7Bllnne&#10;Cs38BKww6GzAaRbw6E5Z7ViH6Fpl+XS6yDpwtXXAhfd4ux+cdER07wGEppFc7IGftTBhQHVCsYCU&#10;fCutp9vUbdMIHh6bxotAVEWRaUh/LIL2Mf6z7YaVJ8dsK/nYAntPC284aSYNFr1B7Vlg5OzkP1Ba&#10;cgcemjDhoLOBSFIEWcymb7R5apkViQtK7e1NdP//YPmPy8ERWeMkrIsZJYZpfPMv5wCpOCkWUaLO&#10;+hIjd+bgIknemyf7APyXJwZ2LTMnkaKfrxaTZ4OoPux6MyLP1xSt/uYTpn7hzEdnHhOzV7XiwVvs&#10;8Nh9hxrBGXaWhO4bp4kDfNDZdDWNX7pGRQnW+TxfLpergpJrtBcYkniwUvSBcAwo8nxZoJ9jwLyY&#10;L9COxVkZcSNH63z4JkCTaFT0iIO2A2NwoMDlqRS7PPgwJP0JjokG7qVSeM9KZUhX0XWRFynBg5J1&#10;dEafd6fjTjlyYXEyBwID2KswLQNum5K6oiPLhByYVF9NTUJSPDiJb6AEjeW0qClRAnc7WgOkMqOw&#10;UcvhOY9QXw8uuqPGOF2J/bgJcXxfnlPU3+3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9rV/x&#10;1QAAAAUBAAAPAAAAAAAAAAEAIAAAACIAAABkcnMvZG93bnJldi54bWxQSwECFAAUAAAACACHTuJA&#10;wQTjtiQCAABFBAAADgAAAAAAAAABACAAAAAkAQAAZHJzL2Uyb0RvYy54bWxQSwUGAAAAAAYABgBZ&#10;AQAAugUAAAAA&#10;">
                        <v:fill on="f" focussize="0,0"/>
                        <v:stroke color="#000000" miterlimit="8" joinstyle="miter" endarrow="block"/>
                        <v:imagedata o:title=""/>
                        <o:lock v:ext="edit" aspectratio="f"/>
                      </v:shape>
                      <v:rect id="矩形 168" o:spid="_x0000_s1026" o:spt="1" style="position:absolute;left:3980439;top:3132568;height:1810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CewIFcXAgAAFwQAAA4AAABkcnMvZTJvRG9jLnhtbK1TQW7bMBC8&#10;F+gfCN5rSXYaOILlIIiRokDaBkj7gDVFWUQlLrukLaefKdBbH9HnFP1Gl5STOuklh16EXe5qdmc4&#10;XJzv+07sNHmDtpLFJJdCW4W1sZtKfvp49WouhQ9ga+jQ6kreaS/Ply9fLAZX6im22NWaBINYXw6u&#10;km0Irswyr1rdg5+g05aLDVIPgVPaZDXBwOh9l03z/DQbkGpHqLT3fLoai/KASM8BxKYxSq9QbXtt&#10;w4hKuoPAlHxrnJfLtG3TaBU+NI3XQXSVZKYhfXkIx+v4zZYLKDcErjXqsAI8Z4UnnHowloc+QK0g&#10;gNiS+QeqN4rQYxMmCvtsJJIUYRZF/kSb2xacTlxYau8eRPf/D1a9392QMDU7YcoXb6HnK//97cev&#10;n99FcTqP+gzOl9x2624oMvTuGtVnLyxetmA3+oIIh1ZDzVsVsT979ENMPP8q1sM7rBkctgGTVPuG&#10;+gjIIoh9JWdn8/xkdibFHcfFbPp6nA6l3gehYgPX8xMpFDcU8yLPp2kalPdAjnx4o7EXMagk8eWn&#10;QbC79iEuBuV9S5xr8cp0XTJAZx8dcGM8SUTi7qMGYb/eH+RYY33HlAhHP/Fr4qBF+irFwF6qpP+y&#10;BdJSdG9tlGWe59F8Y5JzJgUdV9bHFbCKoSoZpBjDyzAaduvIbFqeVCRaFi9YysYkalHmcavD3uyX&#10;xPjg7WjI4zx1/X3P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Zzpp0wAAAAUBAAAPAAAAAAAA&#10;AAEAIAAAACIAAABkcnMvZG93bnJldi54bWxQSwECFAAUAAAACACHTuJAJ7AgVxcCAAAXBAAADgAA&#10;AAAAAAABACAAAAAiAQAAZHJzL2Uyb0RvYy54bWxQSwUGAAAAAAYABgBZAQAAqw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490</w:t>
                              </w:r>
                            </w:p>
                          </w:txbxContent>
                        </v:textbox>
                      </v:rect>
                      <v:shape id="AutoShape 35" o:spid="_x0000_s1026" o:spt="37" type="#_x0000_t37" style="position:absolute;left:4905634;top:2946396;flip:x y;height:275303;width:210528;rotation:5898240f;" filled="f" stroked="t" coordsize="21600,21600" o:gfxdata="UEsDBAoAAAAAAIdO4kAAAAAAAAAAAAAAAAAEAAAAZHJzL1BLAwQUAAAACACHTuJAl11Gc9UAAAAF&#10;AQAADwAAAGRycy9kb3ducmV2LnhtbE2PwU7DMBBE70j8g7VI3KhdSqM0jVMJJDgggdTCB7jxNgnE&#10;62A7Tfv3LFzgMtJqVjNvys3J9eKIIXaeNMxnCgRS7W1HjYb3t8ebHERMhqzpPaGGM0bYVJcXpSms&#10;n2iLx11qBIdQLIyGNqWhkDLWLToTZ35AYu/ggzOJz9BIG8zE4a6Xt0pl0pmOuKE1Az60WH/uRscl&#10;TyH7cMvXc/Z1F2zzPN3T+LLV+vpqrtYgEp7S3zP84DM6VMy09yPZKHoNPCT9Knv5arEAsdewUssc&#10;ZFXK//TVN1BLAwQUAAAACACHTuJAa2qprDcCAABjBAAADgAAAGRycy9lMm9Eb2MueG1srVTBjtow&#10;EL1X6j9YvpeEQNiCCKsKuu1hu0Xabe/GdohVx2PZhsDfd2yztLu97KEconFm/N68NxOWt6dek6N0&#10;XoFp6HhUUiINB6HMvqE/nu4+fKTEB2YE02BkQ8/S09vV+3fLwS5kBR1oIR1BEOMXg21oF4JdFIXn&#10;neyZH4GVBpMtuJ4FPLp9IRwbEL3XRVWWs2IAJ6wDLr3Ht5ucpBdE9xZAaFvF5Qb4oZcmZFQnNQso&#10;yXfKerpK3bat5OF723oZiG4oKg3piSQY7+KzWC3ZYu+Y7RS/tMDe0sIrTT1TBkmvUBsWGDk49Q9U&#10;r7gDD20YceiLLCQ5girG5StvHjtmZdKCVnt7Nd3/P1j+cNw6ogRuQjWnxLAeR/7pECBxk0kdHRqs&#10;X2Dh2mxd1MhP5tHeA//liYF1x8xepuqns8XL4+ypD+uTycDz6Q3F6HT1WxpxTU5wEimX7hUvqOLB&#10;W+xvN3wDgdgMG0s2n1rXEwc4znpaxh8lrVb2a6RP0c8YxWbRYoLM03lZzyZTSs4NrebT2WQ+y33K&#10;UyAcC6pxWVe4+jwW3NSTchLzBVtEqghknQ9fJPQkBg3lB3eUYg3G4I6BqxIZO977kK89l8erBu6U&#10;1mnVtCFDQ+d1VacLHrQSMRnLvNvv1tqRI4vLmmVlsBdlEXnDfJfrBEZZiYODEYkkMKU/G0FCGkhw&#10;CkekJY3MvRSUaIlffowyujYo9NnrPO0diPPWxXR8j7uXrLh8J3G5/z6nqj//D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11Gc9UAAAAFAQAADwAAAAAAAAABACAAAAAiAAAAZHJzL2Rvd25yZXYu&#10;eG1sUEsBAhQAFAAAAAgAh07iQGtqqaw3AgAAYwQAAA4AAAAAAAAAAQAgAAAAJAEAAGRycy9lMm9E&#10;b2MueG1sUEsFBgAAAAAGAAYAWQEAAM0FAAAAAA==&#10;">
                        <v:fill on="f" focussize="0,0"/>
                        <v:stroke color="#000000" joinstyle="round" dashstyle="dash" endarrow="block"/>
                        <v:imagedata o:title=""/>
                        <o:lock v:ext="edit" aspectratio="f"/>
                      </v:shape>
                      <v:rect id="矩形 170" o:spid="_x0000_s1026" o:spt="1" style="position:absolute;left:5148550;top:2883865;height:190502;width:359403;"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DzBGfEbAgAAFwQAAA4AAABkcnMvZTJvRG9jLnhtbK1TQW7bMBC8&#10;F+gfCN5rSXaUKoLlIIiRokDaBkj7AJqiLKISl13Slt3PFOgtj+hzin6jS8pJnPSSQy/ELrmc3RkO&#10;5+e7vmNbhU6DqXg2STlTRkKtzbriXz5fvSk4c16YWnRgVMX3yvHzxetX88GWagotdLVCRiDGlYOt&#10;eOu9LZPEyVb1wk3AKkOHDWAvPKW4TmoUA6H3XTJN09NkAKwtglTO0e5yPOQHRHwJIDSNlmoJctMr&#10;40dUVJ3wRMm12jq+iNM2jZL+U9M45VlXcWLq40pNKF6FNVnMRblGYVstDyOIl4zwjFMvtKGmD1BL&#10;4QXboP4HqtcSwUHjJxL6ZCQSFSEWWfpMm9tWWBW5kNTOPoju/h+s/Li9QaZrcsKMNDGipyf/8+Pu&#10;96+fLHsb9RmsK6ns1t5gYOjsNcivjhm4bIVZqwtEGFolapoqC3omTy6ExNFVtho+QE3gYuMhSrVr&#10;sA+AJALbVTzPToo8pxn2FZ8Wxaw4zcfXUTvPJBXM8rOTdMaZpILsLM3Taewmynsgi86/U9CzEFQc&#10;6fFjI7G9dj4MJsr7ktDXwJXuumiAzjzZoMKwE4mE2YObXOl3qx1Vh3AF9Z4oIYx+ot9EQQv4nbOB&#10;vFRx920jUHHWvTdBliJNg/nGJKWMMzw+WR2fCCMJquKeszG89KNhNxb1uqVOWaRl4IKkbHSk9jjV&#10;YW7yS2R88HYw5HEeqx7/8+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mc6adMAAAAFAQAADwAA&#10;AAAAAAABACAAAAAiAAAAZHJzL2Rvd25yZXYueG1sUEsBAhQAFAAAAAgAh07iQDzBGfEbAgAAFwQA&#10;AA4AAAAAAAAAAQAgAAAAIgEAAGRycy9lMm9Eb2MueG1sUEsFBgAAAAAGAAYAWQEAAK8FA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480</w:t>
                              </w:r>
                            </w:p>
                          </w:txbxContent>
                        </v:textbox>
                      </v:rect>
                      <v:rect id="矩形 171" o:spid="_x0000_s1026" o:spt="1" style="position:absolute;left:5127650;top:3551672;height:181002;width:3803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CxGxHMaAgAAFwQAAA4AAABkcnMvZTJvRG9jLnhtbK1TzY7TMBC+&#10;I/EOlu80SUt/FDVdrbZahLTASgsP4DpOY5F4zNhtUl4GiRsPweMgXoOxk126y2UPXCyPZ/zNfJ8/&#10;ry/6tmFHhU6DKXg2STlTRkKpzb7gnz5ev1px5rwwpWjAqIKflOMXm5cv1p3N1RRqaEqFjECMyztb&#10;8Np7myeJk7VqhZuAVYaSFWArPIW4T0oUHaG3TTJN00XSAZYWQSrn6HQ7JPmIiM8BhKrSUm1BHlpl&#10;/ICKqhGeKLlaW8c3cdqqUtJ/qCqnPGsKTkx9XKkJ7XdhTTZrke9R2FrLcQTxnBGecGqFNtT0AWor&#10;vGAH1P9AtVoiOKj8REKbDESiIsQiS59oc1cLqyIXktrZB9Hd/4OV74+3yHRJTphlnBnR0pP//vbj&#10;18/vLFtmQZ/OupzK7uwtBobO3oD87JiBq1qYvbpEhK5WoqSpYn3y6EIIHF1lu+4dlAQuDh6iVH2F&#10;bQAkEVhf8Hk2XS7m9C6ngs/m82yxnA6vo3rPJBXMVuksfc2ZpIJslaVpzCcivwey6PwbBS0Lm4Ij&#10;PX5sJI43zhMRKr0vCX0NXOumiQZozKMDKgwnkUiYfdDA97t+lGMH5YkoIQx+ot9EmxrwK2cdeang&#10;7stBoOKseWuCLKs0DeYbgpQizvA8szvPCCMJquCes2F75QfDHizqfU2dskjLwCVJWelILcg8TDXO&#10;TX6JjEdvB0Oex7Hq73/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LEbEcxoCAAAX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10</w:t>
                              </w:r>
                            </w:p>
                          </w:txbxContent>
                        </v:textbox>
                      </v:rect>
                      <v:rect id="矩形 172" o:spid="_x0000_s1026" o:spt="1" style="position:absolute;left:3502034;top:3684973;height:181002;width:380404;"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CYatkcZAgAAFwQAAA4AAABkcnMvZTJvRG9jLnhtbK1TQW7bMBC8&#10;F+gfCN5rUbabuILlIIiRokDaBkj7AJqiLKISl13SltLPFOgtj+hzin6jS8pJnfSSQy/CLnc1OzNc&#10;Ls+GrmV7jd6ALXk+EZxpq6Aydlvyz58uXy0480HaSrZgdclvtednq5cvlr0r9BQaaCuNjECsL3pX&#10;8iYEV2SZV43upJ+A05aKNWAnA6W4zSqUPaF3bTYV4iTrASuHoLT3dLoei/yAiM8BhLo2Sq9B7Tpt&#10;w4iKupWBJPnGOM9XiW1daxU+1rXXgbUlJ6UhfWkIxZv4zVZLWWxRusaoAwX5HApPNHXSWBr6ALWW&#10;QbIdmn+gOqMQPNRhoqDLRiHJEVKRiyfe3DTS6aSFrPbuwXT//2DVh/01MlPRJsymnFnZ0ZX//n73&#10;6+cPlp9Ooz+98wW13bhrjAq9uwL1xTMLF420W32OCH2jZUWs8tifPfohJp5+ZZv+PVQELncBklVD&#10;jV0EJBPYUPLZazEVszlntxSfLOZvTmfj7eghMBUbFmIuqK6oIV/kQiR2mSzugRz68FZDx2JQcqTL&#10;T4Pk/sqHSEwW9y1xroVL07ZpAVr76IAa40kSErmPHoRhMxzs2EB1S5IQxn2i10RBA/iNs552qeT+&#10;606i5qx9Z6MtCyHi8o2JoIwzPK5sjivSKoIqeeBsDC/CuLA7h2bb0KQ8ybJwTlbWJkmLNo+sDrxp&#10;X5Liw27HhTzOU9ff97z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nOmnTAAAABQEAAA8AAAAA&#10;AAAAAQAgAAAAIgAAAGRycy9kb3ducmV2LnhtbFBLAQIUABQAAAAIAIdO4kAmGrZHGQIAABcEAAAO&#10;AAAAAAAAAAEAIAAAACIBAABkcnMvZTJvRG9jLnhtbFBLBQYAAAAABgAGAFkBAACt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10</w:t>
                              </w:r>
                            </w:p>
                          </w:txbxContent>
                        </v:textbox>
                      </v:rect>
                      <v:rect id="_x0000_s1026" o:spid="_x0000_s1026" o:spt="1" style="position:absolute;left:1294313;top:4439941;height:271145;width:1150097;"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1JpM6kYCAACKBAAADgAAAGRycy9lMm9Eb2MueG1srVTBbtsw&#10;DL0P2D8Iuq+2E2dtjDpFkaLDgG4r0O0DFFmOhUmiRilxup8ZsFs/Yp8z7DdGy2mXdjv0MB8M0aQe&#10;+R5Jn57trGFbhUGDq3lxlHOmnIRGu3XNP328fHXCWYjCNcKAUzW/VYGfLV6+OO19pSbQgWkUMgJx&#10;oep9zbsYfZVlQXbKinAEXjlytoBWRDJxnTUoekK3Jpvk+eusB2w8glQh0NeL0cn3iPgcQGhbLdUF&#10;yI1VLo6oqIyIRCl02ge+SNW2rZLxQ9sGFZmpOTGN6U1J6Lwa3tniVFRrFL7Tcl+CeE4JTzhZoR0l&#10;fYC6EFGwDeq/oKyWCAHaeCTBZiORpAixKPIn2tx0wqvEhaQO/kH08P9g5fvtNTLd1Jzyc+aEpZb/&#10;+nb388d3NnwhfXofKgq78dc4MAz+CuTnwBwsO+HW6hwR+k6JhqpK8dmjC4MR6Cpb9e+gIXCxiZCk&#10;2rVoB0ASge3o7mReTospZ7c1L8vpfF4mNFGpXWRyCChmeT4/5kxSxOS4KMrZUF4mqnskjyG+UWDZ&#10;cKg5UvdTJrG9CnEMvQ9JTMDo5lIbkwxcr5YG2VbQpFymZ48eDsOMY33N57PJLCE/8oVDiDw9/4Kw&#10;OtICGW1rfnIYZByRuZdrlD3uVrt9B1bQ3JKKCOMI0wLToQP8yllP41vz8GUjUHFm3jrqxLwoy2He&#10;k1HOjidk4KFndegRThJUzSNn43EZxx3ZeNTrjjIVia6Dc+peq5OYQ6ljVfu6aURTO/brNOzAoZ2i&#10;/vxC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OJ2lNUAAAAFAQAADwAAAAAAAAABACAAAAAi&#10;AAAAZHJzL2Rvd25yZXYueG1sUEsBAhQAFAAAAAgAh07iQNSaTOpGAgAAigQAAA4AAAAAAAAAAQAg&#10;AAAAJAEAAGRycy9lMm9Eb2MueG1sUEsFBgAAAAAGAAYAWQEAANwFAAAAAA==&#10;">
                        <v:fill on="t" focussize="0,0"/>
                        <v:stroke color="#000000" miterlimit="8" joinstyle="miter"/>
                        <v:imagedata o:title=""/>
                        <o:lock v:ext="edit" aspectratio="f"/>
                        <v:textbox>
                          <w:txbxContent>
                            <w:p>
                              <w:pPr>
                                <w:jc w:val="center"/>
                                <w:rPr>
                                  <w:kern w:val="0"/>
                                  <w:sz w:val="24"/>
                                  <w:szCs w:val="24"/>
                                </w:rPr>
                              </w:pPr>
                              <w:r>
                                <w:rPr>
                                  <w:rFonts w:hint="eastAsia"/>
                                  <w:szCs w:val="21"/>
                                </w:rPr>
                                <w:t>喷淋水补充水</w:t>
                              </w:r>
                            </w:p>
                          </w:txbxContent>
                        </v:textbox>
                      </v:rect>
                      <v:shape id="AutoShape 56" o:spid="_x0000_s1026" o:spt="34" type="#_x0000_t34" style="position:absolute;left:737307;top:2288059;height:2287440;width:557006;" filled="f" stroked="t" coordsize="21600,21600" o:gfxdata="UEsDBAoAAAAAAIdO4kAAAAAAAAAAAAAAAAAEAAAAZHJzL1BLAwQUAAAACACHTuJAh+9XNtYAAAAF&#10;AQAADwAAAGRycy9kb3ducmV2LnhtbE2PwU7DMBBE70j8g7VIXBC1Q9oqDdn0gOCAhIQaEGc3XpKI&#10;eB1spy1/j+ECl5VGM5p5W21PdhQH8mFwjJAtFAji1pmBO4TXl4frAkSImo0eHRPCFwXY1udnlS6N&#10;O/KODk3sRCrhUGqEPsaplDK0PVkdFm4iTt6781bHJH0njdfHVG5HeaPUWlo9cFro9UR3PbUfzWwR&#10;3uanLPpWrpb3z/SYB7dullefiJcXmboFEekU/8Lwg5/QoU5MezezCWJESI/E35u8YpPnIPYIG7Uq&#10;QNaV/E9ffwNQSwMEFAAAAAgAh07iQIiKzjwyAgAAXwQAAA4AAABkcnMvZTJvRG9jLnhtbK1UwXLb&#10;IBC9d6b/wHBvpMiR7WgiZzpO00vaeCbpB2BAFi2wDGDL/vsuSE6b9JJDddCAdnm77+1DN7dHo8lB&#10;+qDAtvTyoqREWg5C2V1Lfzzff1pSEiKzgmmwsqUnGejt6uOHm8E1soIetJCeIIgNzeBa2sfomqII&#10;vJeGhQtw0mKwA29YxK3fFcKzAdGNLqqynBcDeOE8cBkCfr0bg3RC9O8BhK5TXN4B3xtp44jqpWYR&#10;KYVeuUBXuduukzw+dl2QkeiWItOY31gE19v0LlY3rNl55nrFpxbYe1p4w8kwZbHoC9Qdi4zsvfoH&#10;yijuIUAXLziYYiSSFUEWl+UbbZ565mTmglIH9yJ6+H+w/Pth44kSLa3KihLLDI788z5Crk3qeVJo&#10;cKHBxLXd+MSRH+2TewD+KxAL657ZnczZzyeHhy9HTUNcH20GnqOhlDi2dDZGpBXnEHKeYvlU8apQ&#10;2gSH3W2HbyAQmWFbWeRj501qBOUjiLuYLWblgpITkqiWy7K+ngodI+EYr+sF+o4SPiYsrq7y3AvW&#10;nIGcD/GrBEPSoqVbdNUarEX3gJ/lkuzwEGIesJhEYuInNt8ZjX45ME3qEp9UGHGnbFydkdNRC/dK&#10;6+w4bcnQ0uu6qjN6AK1ECqa04HfbtfYEQdGh+ZlgX6UZFfEeamVaunxJYk1kSn+xgsQ8jOgVjkdL&#10;msoZKSjREm99Wo2daosNn5UeJ70Fcdr4FE7f0XeZ0nRHkrH/3uesP/+F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71c21gAAAAUBAAAPAAAAAAAAAAEAIAAAACIAAABkcnMvZG93bnJldi54bWxQ&#10;SwECFAAUAAAACACHTuJAiIrOPDICAABfBAAADgAAAAAAAAABACAAAAAlAQAAZHJzL2Uyb0RvYy54&#10;bWxQSwUGAAAAAAYABgBZAQAAyQUAAAAA&#10;" adj="10800">
                        <v:fill on="f" focussize="0,0"/>
                        <v:stroke color="#000000" miterlimit="8" joinstyle="miter" endarrow="block"/>
                        <v:imagedata o:title=""/>
                        <o:lock v:ext="edit" aspectratio="f"/>
                      </v:shape>
                      <v:rect id="_x0000_s1026" o:spid="_x0000_s1026" o:spt="1" style="position:absolute;left:2932061;top:4440454;height:271145;width:80899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UNW+j0cCAACJBAAADgAAAGRycy9lMm9Eb2MueG1srVTNbtQw&#10;EL4j8Q6W7zQ/zbbdqNmq2lURUoFKhQfwOs7Gwn+MvZstL4PEjYfgcRCvwdhJy7Zw6AEfIk9m8s18&#10;38zk/GKvFdkJ8NKahhZHOSXCcNtKs2noxw9Xr84o8YGZlilrREPvhKcXi5cvzgdXi9L2VrUCCIIY&#10;Xw+uoX0Irs4yz3uhmT+yThh0dhY0C2jCJmuBDYiuVVbm+Uk2WGgdWC68x7er0UknRHgOoO06ycXK&#10;8q0WJoyoIBQLSMn30nm6SNV2neDhfdd5EYhqKDIN6YlJ8L6Oz2xxzuoNMNdLPpXAnlPCE06aSYNJ&#10;H6BWLDCyBfkXlJYcrLddOOJWZyORpAiyKPIn2tz2zInEBaX27kF0//9g+bvdDRDZNrTMjykxTGPL&#10;f339/vPHNxLfoD6D8zWG3bobiAy9u7b8kyfGLntmNuISwA69YC1WVcT47NEH0fD4KVkPb22L4Gwb&#10;bJJq34GOgCgC2WP++XGZnxSU3DW0qqq8mlVjd8Q+EI4BZ/nZfI594xhQnhZFNUvZWH0P5MCH18Jq&#10;Ei8NBWx+SsR21z7Ewlh9H5KIWCXbK6lUMmCzXiogO4aDcpXOhO4Pw5QhQ0Pns3KWkB/5/CFEns6/&#10;ILQMuD9K6sgonilImUm6qNaoetiv91MD1ra9QxHBjhOM+4uX3sIXSgac3ob6z1sGghL1xmAj5gUq&#10;iOOejGp2WqIBh571oYcZjlANDZSM12UYV2TrQG56zFQkusZeYvM6mcSMjR2rmurGCU0aT9sUV+DQ&#10;TlF//iC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idpTVAAAABQEAAA8AAAAAAAAAAQAgAAAA&#10;IgAAAGRycy9kb3ducmV2LnhtbFBLAQIUABQAAAAIAIdO4kBQ1b6PRwIAAIkEAAAOAAAAAAAAAAEA&#10;IAAAACQBAABkcnMvZTJvRG9jLnhtbFBLBQYAAAAABgAGAFkBAADdBQAAAAA=&#10;">
                        <v:fill on="t" focussize="0,0"/>
                        <v:stroke color="#000000" miterlimit="8" joinstyle="miter"/>
                        <v:imagedata o:title=""/>
                        <o:lock v:ext="edit" aspectratio="f"/>
                        <v:textbox>
                          <w:txbxContent>
                            <w:p>
                              <w:pPr>
                                <w:jc w:val="center"/>
                                <w:rPr>
                                  <w:kern w:val="0"/>
                                  <w:sz w:val="24"/>
                                  <w:szCs w:val="24"/>
                                </w:rPr>
                              </w:pPr>
                              <w:r>
                                <w:rPr>
                                  <w:rFonts w:hint="eastAsia"/>
                                  <w:szCs w:val="21"/>
                                </w:rPr>
                                <w:t>喷淋水</w:t>
                              </w:r>
                            </w:p>
                          </w:txbxContent>
                        </v:textbox>
                      </v:rect>
                      <v:shape id="自选图形 469" o:spid="_x0000_s1026" o:spt="32" type="#_x0000_t32" style="position:absolute;left:2444410;top:4575007;height:513;width:487651;"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BWzkULLwIAACsEAAAOAAAAZHJzL2Uyb0RvYy54bWytk89y&#10;0zAQxu/M8A4a3YntNH/aTJweEsqlQGZaHkCRZFuDrNVISpzcuDE8AzeOvAO8TWfgLVjJSUvLpQd8&#10;8Eje1W+//bSeX+5bTXbSeQWmpMUgp0QaDkKZuqQfbq9enVPiAzOCaTCypAfp6eXi5Yt5Z2dyCA1o&#10;IR1BiPGzzpa0CcHOsszzRrbMD8BKg8EKXMsCbl2dCcc6pLc6G+b5JOvACeuAS+/x66oP0iPRPQcI&#10;VaW4XAHfttKEnuqkZgFb8o2yni6S2qqSPLyvKi8D0SXFTkN6YxFcb+I7W8zZrHbMNoofJbDnSHjS&#10;U8uUwaL3qBULjGyd+gfVKu7AQxUGHNqsbyQ5gl0U+RNvbhpmZeoFrfb23nT//7D83W7tiBIlHeYj&#10;Sgxr8cp/ff7++9OXu68/7358I6PJRXSps36GyUuzdrFPvjc39hr4R08MLBtmapnU3h4sAoreVx+W&#10;e3OEFxQX+5Ke9SFpxEPs7BhLx7JHleLGW5S46d6CQDTbBkhO7yvXRiXoIUHucIRPgdd6KOloPB3n&#10;+fRYaR8Ix4TR+XQyRhUcE8ZFkpGx2YlinQ9vJLQkLkrqg2OqbsISjMEZAlekmmx37QOagQdPB6IE&#10;A1dK6zRK2pCupBfj4Tgd8KCViMGY5l29WWpHdiwOY3qiRIQ9SnOwNSLBAlP6tREkJFODU2izljRW&#10;aKWgREv8g+Oqp2iDsJNh/Y1tQBzWLobjd5yhVO4473FI/96nrId/fP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p6LJNcAAAAFAQAADwAAAAAAAAABACAAAAAiAAAAZHJzL2Rvd25yZXYueG1sUEsB&#10;AhQAFAAAAAgAh07iQFbORQsvAgAAKwQAAA4AAAAAAAAAAQAgAAAAJgEAAGRycy9lMm9Eb2MueG1s&#10;UEsFBgAAAAAGAAYAWQEAAMcFAAAAAA==&#10;">
                        <v:fill on="f" focussize="0,0"/>
                        <v:stroke color="#000000" joinstyle="round" endarrow="block"/>
                        <v:imagedata o:title=""/>
                        <o:lock v:ext="edit" aspectratio="f"/>
                      </v:shape>
                      <v:rect id="_x0000_s1026" o:spid="_x0000_s1026" o:spt="1" style="position:absolute;left:994156;top:4259403;height:180975;width:38036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HBEH80aAgAAFgQAAA4AAABkcnMvZTJvRG9jLnhtbK1TzY7TMBC+&#10;I/EOlu80Sf9oo6ar1VaLkBZYaeEBXMdpLBKPGbtNyssgceMheBzEazB2ukt3ueyBi+XxjL/5vs/j&#10;1UXfNuyg0GkwBc9GKWfKSCi12RX808frVwvOnBemFA0YVfCjcvxi/fLFqrO5GkMNTamQEYhxeWcL&#10;Xntv8yRxslatcCOwylCyAmyFpxB3SYmiI/S2ScZpOk86wNIiSOUcnW6GJD8h4nMAoaq0VBuQ+1YZ&#10;P6CiaoQnSa7W1vF1ZFtVSvoPVeWUZ03BSamPKzWh/TasyXol8h0KW2t5oiCeQ+GJplZoQ00foDbC&#10;C7ZH/Q9UqyWCg8qPJLTJICQ6Qiqy9Ik3d7WwKmohq519MN39P1j5/nCLTJcFH6czzoxo6cl/f/vx&#10;6+d3Fk7In866nMru7C0Ghc7egPzsmIGrWpidukSErlaiJFZZqE8eXQiBo6ts272DksDF3kO0qq+w&#10;DYBkAusLvlxOs9mcs2PBp+PZcppOhsdRvWeS8pNFOpkTRUkF2SJdvo7kEpHf41h0/o2CloVNwZHe&#10;PvYRhxvnAy+R35eEtgauddPE92/MowMqDCdRR6A+WOD7bX9yYwvlkRQhDONEn4k2NeBXzjoapYK7&#10;L3uBirPmrQmuLNI0zN4QpBRxhueZ7XlGGElQBfecDdsrP8zr3qLe1dQpi7IMXJKTlY7SgssDqxNv&#10;Gpeo+DTaYR7P41j19zu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cEQfzRoCAAAW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120</w:t>
                              </w:r>
                            </w:p>
                          </w:txbxContent>
                        </v:textbox>
                      </v:rect>
                      <v:rect id="_x0000_s1026" o:spid="_x0000_s1026" o:spt="1" style="position:absolute;left:2471391;top:4395080;height:180340;width:38036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OKmpXAXAgAAFwQAAA4AAABkcnMvZTJvRG9jLnhtbK1T3W7TMBS+&#10;R+IdLN/TJG1XuqjpNK0aQhowafAAruM0FomPOXablJdB4o6H4HEQr8Gxk41u3OyCG+v8+Tvn+3y8&#10;uujbhh0UOg2m4Nkk5UwZCaU2u4J/+nj9asmZ88KUogGjCn5Ujl+sX75YdTZXU6ihKRUyAjEu72zB&#10;a+9tniRO1qoVbgJWGUpWgK3w5OIuKVF0hN42yTRNF0kHWFoEqZyj6GZI8hERnwMIVaWl2oDct8r4&#10;ARVVIzxRcrW2jq/jtFWlpP9QVU551hScmPp4UhOyt+FM1iuR71DYWstxBPGcEZ5waoU21PQBaiO8&#10;YHvU/0C1WiI4qPxEQpsMRKIixCJLn2hzVwurIheS2tkH0d3/g5XvD7fIdFnwabrgzIiWnvz3tx+/&#10;fn5nIUL6dNblVHZnbzEwdPYG5GfHDFzVwuzUJSJ0tRIlTZWF+uTRheA4usq23TsoCVzsPUSp+grb&#10;AEgisJ76z19ns/OMs2PB57Pzs3Q5vo7qPZNUMFums8UZZ5IKMrLnMZ+I/B7IovNvFLQsGAVHevzY&#10;SBxunA+Dify+JPQ1cK2bJi5AYx4FqDBEIpEw+6CB77f9KMcWyiNRQhj2iX4TGTXgV8462qWCuy97&#10;gYqz5q0JsizTNCzf4BAxcvA0sz3NCCMJquCes8G88sPC7i3qXU2dskjLwCVJWelILcg8TDXOTfsS&#10;GY+7HRby1I9Vf//z+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Zzpp0wAAAAUBAAAPAAAAAAAA&#10;AAEAIAAAACIAAABkcnMvZG93bnJldi54bWxQSwECFAAUAAAACACHTuJA4qalcBcCAAAXBAAADgAA&#10;AAAAAAABACAAAAAiAQAAZHJzL2Uyb0RvYy54bWxQSwUGAAAAAAYABgBZAQAAqw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120</w:t>
                              </w:r>
                            </w:p>
                          </w:txbxContent>
                        </v:textbox>
                      </v:rect>
                      <v:rect id="_x0000_s1026" o:spid="_x0000_s1026" o:spt="1" style="position:absolute;left:4251066;top:4440616;height:270510;width:80899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cE5JkUCAACJBAAADgAAAGRycy9lMm9Eb2MueG1srVTbbtQw&#10;EH1H4h8sv9NctNeo2arqahFSgUqFD/A6zsbCN8bezZafQeKNj+BzEL/B2EnLtvDQB/wQeTKTM3PO&#10;zOT84qgVOQjw0pqaFmc5JcJw20izq+nHD5tXC0p8YKZhyhpR0zvh6cXq5Yvz3lWitJ1VjQCCIMZX&#10;vatpF4KrsszzTmjmz6wTBp2tBc0CmrDLGmA9omuVlXk+y3oLjQPLhff4dj046YgIzwG0bSu5WFu+&#10;18KEARWEYgEp+U46T1ep2rYVPLxvWy8CUTVFpiE9MQnet/GZrc5ZtQPmOsnHEthzSnjCSTNpMOkD&#10;1JoFRvYg/4LSkoP1tg1n3OpsIJIUQRZF/kSb2445kbig1N49iO7/Hyx/d7gBIpualvmcEsM0tvzX&#10;1+8/f3wj8Q3q0ztfYditu4HI0Ltryz95YuxVx8xOXALYvhOswaqKGJ89+iAaHj8l2/6tbRCc7YNN&#10;Uh1b0BEQRSDHmk7KaZHPZpTc4X0yyWfFbOiOOAbCMWCRL5ZL7BvHgHKeY3TKxqp7IAc+vBZWk3ip&#10;KWDzUyJ2uPYhFsaq+5BExCrZbKRSyYDd9koBOTAclE06I7o/DVOG9DVdTstpQn7k86cQeTr/gtAy&#10;4P4oqSOjeMYgZUbpolqD6uG4PY4N2NrmDkUEO0ww7i9eOgtfKOlxemvqP+8ZCErUG4ONWBaoII57&#10;MibTeYkGnHq2px5mOELVNFAyXK/CsCJ7B3LXYaYi0TX2EpvXyiRmbOxQ1Vg3TmjSeNymuAKndor6&#10;8wd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4naU1QAAAAUBAAAPAAAAAAAAAAEAIAAAACIA&#10;AABkcnMvZG93bnJldi54bWxQSwECFAAUAAAACACHTuJA+cE5JkUCAACJBAAADgAAAAAAAAABACAA&#10;AAAkAQAAZHJzL2Uyb0RvYy54bWxQSwUGAAAAAAYABgBZAQAA2wUAAAAA&#10;">
                        <v:fill on="t" focussize="0,0"/>
                        <v:stroke color="#000000" miterlimit="8" joinstyle="miter"/>
                        <v:imagedata o:title=""/>
                        <o:lock v:ext="edit" aspectratio="f"/>
                        <v:textbox>
                          <w:txbxContent>
                            <w:p>
                              <w:pPr>
                                <w:jc w:val="center"/>
                                <w:rPr>
                                  <w:kern w:val="0"/>
                                  <w:sz w:val="24"/>
                                  <w:szCs w:val="24"/>
                                </w:rPr>
                              </w:pPr>
                              <w:r>
                                <w:rPr>
                                  <w:rFonts w:hint="eastAsia"/>
                                  <w:szCs w:val="21"/>
                                </w:rPr>
                                <w:t>喷淋废水</w:t>
                              </w:r>
                            </w:p>
                          </w:txbxContent>
                        </v:textbox>
                      </v:rect>
                      <v:shape id="自选图形 469" o:spid="_x0000_s1026" o:spt="32" type="#_x0000_t32" style="position:absolute;left:3741051;top:4575365;flip:y;height:155;width:510015;" filled="f" stroked="t" coordsize="21600,21600" o:gfxdata="UEsDBAoAAAAAAIdO4kAAAAAAAAAAAAAAAAAEAAAAZHJzL1BLAwQUAAAACACHTuJASgKjWt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5bzOYgDwlIt&#10;EpB5Jv/T5z9QSwMEFAAAAAgAh07iQHflR841AgAANQQAAA4AAABkcnMvZTJvRG9jLnhtbK2TwXLT&#10;MBCG78zwDhrdie0kTmgmTg8J5VIgMy3cFUmONchajaTEyY0bwzNw48g7wNt0Bt6ClZy2tFx6wAeP&#10;5F19/+6v9fz80Gqyl84rMBUtBjkl0nAQymwr+v764sVLSnxgRjANRlb0KD09Xzx/Nu/sTA6hAS2k&#10;IwgxftbZijYh2FmWed7IlvkBWGkwWINrWcCt22bCsQ7prc6GeT7JOnDCOuDSe/y66oP0RHRPAUJd&#10;Ky5XwHetNKGnOqlZwJZ8o6yni1RtXUse3tW1l4HoimKnIb1RBNeb+M4WczbbOmYbxU8lsKeU8Kin&#10;limDoneoFQuM7Jz6B9Uq7sBDHQYc2qxvJDmCXRT5I2+uGmZl6gWt9vbOdP//sPztfu2IEhUd5njx&#10;hrV45b8+f//96cvN1583P76R8eQsutRZP8PkpVm72Cc/mCt7CfyjJwaWDTNbmaq9PloEFL2vPiwP&#10;5gQfUVwcKjrqQ9KI+9j0FEvHsgdKceMtlrjp3oBANNsFSE4fateSWiv7IerFmtBNEhWm4yIvC0qO&#10;FR2X03I0KU+ah0A4JpRFnhclJRwTijIFMzaLvEixzofXEloSFxX1wTG1bcISjMFpAtdrsf2lD2gL&#10;Hrw9EA8buFBap6HShnQVPSuHZSrOg1YiBmOad9vNUjuyZ3Es0xNLRNiDNAc7IxIsMKVfGUFCsjc4&#10;hYZrSaNCKwUlWuK/HFc9RRuE3VrX390GxHHtYjh+x2lKcqfJj+P69z5l3f/t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AqNa1gAAAAUBAAAPAAAAAAAAAAEAIAAAACIAAABkcnMvZG93bnJldi54&#10;bWxQSwECFAAUAAAACACHTuJAd+VHzjUCAAA1BAAADgAAAAAAAAABACAAAAAlAQAAZHJzL2Uyb0Rv&#10;Yy54bWxQSwUGAAAAAAYABgBZAQAAzAUAAAAA&#10;">
                        <v:fill on="f" focussize="0,0"/>
                        <v:stroke color="#000000" joinstyle="round" endarrow="block"/>
                        <v:imagedata o:title=""/>
                        <o:lock v:ext="edit" aspectratio="f"/>
                      </v:shape>
                      <v:rect id="_x0000_s1026" o:spid="_x0000_s1026" o:spt="1" style="position:absolute;left:4231906;top:4977462;height:271145;width:1045845;"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NqGabkYCAACKBAAADgAAAGRycy9lMm9Eb2MueG1srVTNbtsw&#10;DL4P2DsIuq/+mdM0QZ2iaNFhwH4KdHsARZZjYZKoUUqc7mUG7LaH2OMMe43Rstul3Q49zAeBFKmP&#10;5EfSp2d7a9hOYdDgal4c5ZwpJ6HRblPzjx+uXpxwFqJwjTDgVM1vVeBnq+fPTnu/VCV0YBqFjEBc&#10;WPa+5l2MfpllQXbKinAEXjkytoBWRFJxkzUoekK3Jivz/DjrARuPIFUIdHs5GvmEiE8BhLbVUl2C&#10;3Frl4oiKyohIJYVO+8BXKdu2VTK+b9ugIjM1p0pjOikIyevhzFanYrlB4TstpxTEU1J4VJMV2lHQ&#10;e6hLEQXbov4LymqJEKCNRxJsNhaSGKEqivwRNzed8CrVQlQHf096+H+w8t3uGplual7mC86csNTy&#10;X1+///zxjQ03xE/vw5Lcbvw1DhUG/wbkp8AcXHTCbdQ5IvSdEg1lVQz+2YMHgxLoKVv3b6EhcLGN&#10;kKjat2gHQCKB7WtelS+LRX7M2S3Ji/m8Oi7H7qh9ZJIciryanVQzziR5lPOiIHkIJ5Z3SB5DfKXA&#10;skGoOVL3UySxexPi6HrnkioBo5srbUxScLO+MMh2giblKn0Tejh0M471NV/MyllCfmALhxB5+v4F&#10;YXWkBTLa1vzk0Mm4ibuBrpH2uF/vpw6sobklFhHGEaYFJqED/MJZT+Nb8/B5K1BxZl476sSiqKph&#10;3pNSzeYlKXhoWR9ahJMEVfPI2ShexHFHth71pqNIRSrXwTl1r9WJzKGzY1ZT3jSiqR3TOg07cKgn&#10;rz+/kN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OJ2lNUAAAAFAQAADwAAAAAAAAABACAAAAAi&#10;AAAAZHJzL2Rvd25yZXYueG1sUEsBAhQAFAAAAAgAh07iQDahmm5GAgAAigQAAA4AAAAAAAAAAQAg&#10;AAAAJAEAAGRycy9lMm9Eb2MueG1sUEsFBgAAAAAGAAYAWQEAANwFAAAAAA==&#10;">
                        <v:fill on="t" focussize="0,0"/>
                        <v:stroke color="#000000" miterlimit="8" joinstyle="miter"/>
                        <v:imagedata o:title=""/>
                        <o:lock v:ext="edit" aspectratio="f"/>
                        <v:textbox>
                          <w:txbxContent>
                            <w:p>
                              <w:pPr>
                                <w:jc w:val="center"/>
                                <w:rPr>
                                  <w:kern w:val="0"/>
                                  <w:sz w:val="24"/>
                                  <w:szCs w:val="24"/>
                                </w:rPr>
                              </w:pPr>
                              <w:r>
                                <w:rPr>
                                  <w:rFonts w:hint="eastAsia"/>
                                  <w:szCs w:val="21"/>
                                </w:rPr>
                                <w:t>废水处理设施</w:t>
                              </w:r>
                            </w:p>
                          </w:txbxContent>
                        </v:textbox>
                      </v:rect>
                      <v:shape id="AutoShape 56" o:spid="_x0000_s1026" o:spt="34" type="#_x0000_t34" style="position:absolute;left:5060056;top:4575871;height:537164;width:217695;" filled="f" stroked="t" coordsize="21600,21600" o:gfxdata="UEsDBAoAAAAAAIdO4kAAAAAAAAAAAAAAAAAEAAAAZHJzL1BLAwQUAAAACACHTuJAu8E5JdUAAAAF&#10;AQAADwAAAGRycy9kb3ducmV2LnhtbE2PwU7DMBBE70j8g7VI3KhdClESsqlEERKIC6R8gBsvSUS8&#10;jmy3Tf8ew4VeVhrNaOZttZ7tKA7kw+AYYblQIIhbZwbuED63zzc5iBA1Gz06JoQTBVjXlxeVLo07&#10;8gcdmtiJVMKh1Ah9jFMpZWh7sjos3EScvC/nrY5J+k4ar4+p3I7yVqlMWj1wWuj1RJue2u9mbxH8&#10;y/yenWTzulF3rXl7fHLbInOI11dL9QAi0hz/w/CLn9ChTkw7t2cTxIiQHol/N3l5sVqB2CEU6j4H&#10;WVfynL7+AVBLAwQUAAAACACHTuJANgQGJTMCAABhBAAADgAAAGRycy9lMm9Eb2MueG1srVTJbtsw&#10;EL0X6D8QvNdaHHkRLAeF3fSSNgaSfgBNUhZbbiAZy/77DinZWXrJoToIpObxzZs3Q61uT0qiI3de&#10;GN3gYpJjxDU1TOhDg3893X1ZYOQD0YxIo3mDz9zj2/XnT6ve1rw0nZGMOwQk2te9bXAXgq2zzNOO&#10;K+InxnINwdY4RQJs3SFjjvTArmRW5vks641j1hnKvYev2yGIR0b3EULTtoLyraHPiuswsDouSYCS&#10;fCesx+uktm05DQ9t63lAssFQaUhvSALrfXxn6xWpD47YTtBRAvmIhHc1KSI0JL1SbUkg6NmJf6iU&#10;oM5404YJNSobCkmOQBVF/s6bx45YnmoBq729mu7/Hy39edw5JFiDywI80URBy78+B5Nyo2oWHeqt&#10;rwG40TsXa6Qn/WjvDf3jkTabjugDT+ins4XDxeCpD5uTHojzOYbFqcHTIcQ1e4ktX8eyN5nixluQ&#10;t+9/GAbUBHQll0+tU1EJ+IeAt8pneQ5S0bnBN9W8WsxHEfwUEAVAWcxnywojCoBqOi9mN1FJRuoL&#10;kXU+fOdGobho8B7GamO0hvExbppSkuO9D6nDbHSJsN8FRq2SMDBHIlGZV3m+HIlHOKS4UMez2twJ&#10;KdPMSY36Bi+rskr03kjBYjDCvDvsN9IhYIUZTc9I+wamRICbKIVq8OIKInUgQn7TDIXUjuAENEhy&#10;HNMpzjCSHO59XA0WSA1OXKweer037LxzMRy/w+Qlr8ZbEkf79T6hXv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Tkl1QAAAAUBAAAPAAAAAAAAAAEAIAAAACIAAABkcnMvZG93bnJldi54bWxQ&#10;SwECFAAUAAAACACHTuJANgQGJTMCAABhBAAADgAAAAAAAAABACAAAAAkAQAAZHJzL2Uyb0RvYy54&#10;bWxQSwUGAAAAAAYABgBZAQAAyQUAAAAA&#10;" adj="44282">
                        <v:fill on="f" focussize="0,0"/>
                        <v:stroke color="#000000" miterlimit="8" joinstyle="miter" endarrow="block"/>
                        <v:imagedata o:title=""/>
                        <o:lock v:ext="edit" aspectratio="f"/>
                      </v:shape>
                      <v:shape id="AutoShape 56" o:spid="_x0000_s1026" o:spt="33" type="#_x0000_t33" style="position:absolute;left:3336556;top:4711078;height:401392;width:895350;rotation:11796480f;" filled="f" stroked="t" coordsize="21600,21600" o:gfxdata="UEsDBAoAAAAAAIdO4kAAAAAAAAAAAAAAAAAEAAAAZHJzL1BLAwQUAAAACACHTuJAva1f8dUAAAAF&#10;AQAADwAAAGRycy9kb3ducmV2LnhtbE2PzU7DMBCE70i8g7VIvVE7rUBpiFMJJOihHKDwANt4G0fE&#10;6yh20p+nx3CBy0qjGc18W65PrhMTDaH1rCGbKxDEtTctNxo+P55vcxAhIhvsPJOGMwVYV9dXJRbG&#10;H/mdpl1sRCrhUKAGG2NfSBlqSw7D3PfEyTv4wWFMcmikGfCYyl0nF0rdS4ctpwWLPT1Zqr92o9Ow&#10;3cTN4zTabOFHbN8u0+GleZVaz24y9QAi0in+heEHP6FDlZj2fmQTRKchPRJ/b/Ly1XIJYq9hpe5y&#10;kFUp/9NX31BLAwQUAAAACACHTuJA09P2KSMCAABCBAAADgAAAGRycy9lMm9Eb2MueG1srVNNj9sg&#10;EL1X6n9A3Bt/NbuJFWdVJd1etm2k3f4AgnGMCgwCEjv/vgOOku72sof6YAEz8+a9x7B6GLUiJ+G8&#10;BNPQYpZTIgyHVppDQ3+9PH5aUOIDMy1TYERDz8LTh/XHD6vB1qKEHlQrHEEQ4+vBNrQPwdZZ5nkv&#10;NPMzsMJgsAOnWcCtO2StYwOia5WVeX6XDeBa64AL7/F0OwXpBdG9BxC6TnKxBX7UwoQJ1QnFAkry&#10;vbSerhPbrhM8/Ow6LwJRDUWlIf2xCa738Z+tV6w+OGZ7yS8U2HsovNGkmTTY9Aq1ZYGRo5P/QGnJ&#10;HXjowoyDziYhyRFUUeRvvHnumRVJC1rt7dV0//9g+Y/TzhHZNrQsCkoM03jlX44BUm8yv4sODdbX&#10;mLgxOxc18tE82yfgvz0xsOmZOYiU/XK2WFxMnvqwGc0EnC8pLsZrSJj2FqsusTKWZa86xY23SG8/&#10;fIcWoRnySi6PndPEAd5mkS/y+KVjtJNgm6qq7ubInJwb+vm+KPL7xcRJjIFwTFgs59UcJ4DHhLyo&#10;llNzVkfcqNA6H74J0CQuGrrHKduAMThN4MrUip2efIiMb8mx0MCjVCoNlTJkaOhyXs5TgQcl2xiM&#10;ad4d9hvlyInFsZwETGCv0rQM+NSU1Ej5msTqwKT6aloSkt/BSbwBJWhsp0VLiRL4sONqglTmYmz0&#10;crrMPbTnnYvh6DGOVhJyeQZxdv/ep6zb0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2tX/HV&#10;AAAABQEAAA8AAAAAAAAAAQAgAAAAIgAAAGRycy9kb3ducmV2LnhtbFBLAQIUABQAAAAIAIdO4kDT&#10;0/YpIwIAAEIEAAAOAAAAAAAAAAEAIAAAACQBAABkcnMvZTJvRG9jLnhtbFBLBQYAAAAABgAGAFkB&#10;AAC5BQAAAAA=&#10;">
                        <v:fill on="f" focussize="0,0"/>
                        <v:stroke color="#000000" miterlimit="8" joinstyle="miter" endarrow="block"/>
                        <v:imagedata o:title=""/>
                        <o:lock v:ext="edit" aspectratio="f"/>
                      </v:shape>
                      <v:rect id="_x0000_s1026" o:spid="_x0000_s1026" o:spt="1" style="position:absolute;left:3831337;top:4393922;height:180975;width:38036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Eu9aQEZAgAAFwQAAA4AAABkcnMvZTJvRG9jLnhtbK1TS27bMBDd&#10;F+gdCO5rSVaT2ILlIIiRokDaBkhyAJqiLKIShx3SltzLFOiuh+hxil6jQ8pJnXSTRTfE/Phm3uNw&#10;cT50LdspdBpMybNJypkyEiptNiW/v7t6M+PMeWEq0YJRJd8rx8+Xr18teluoKTTQVgoZgRhX9Lbk&#10;jfe2SBInG9UJNwGrDCVrwE54cnGTVCh6Qu/aZJqmp0kPWFkEqZyj6GpM8gMivgQQ6lpLtQK57ZTx&#10;IyqqVnii5BptHV/GaetaSf+prp3yrC05MfXxpCZkr8OZLBei2KCwjZaHEcRLRnjGqRPaUNNHqJXw&#10;gm1R/wPVaYngoPYTCV0yEomKEIssfabNbSOsilxIamcfRXf/D1Z+3N0g01XJp9mUMyM6evLf3378&#10;+vmdhQjp01tXUNmtvcHA0NlrkJ8dM3DZCLNRF4jQN0pUNFUW6pMnF4Lj6Cpb9x+gInCx9RClGmrs&#10;AiCJwIaS57M8y/MzzvYlf5vP8/k0dheFGjyTsSDNT084k1SQzdL52UnsJooHIIvOv1PQsWCUHOnx&#10;YyOxu3Y+DCaKh5LQ18CVbtu4AK15EqDCEIlEwuyjBn5YDwc51lDtiRLCuE/0m8hoAL9y1tMuldx9&#10;2QpUnLXvTZBllqZh+UYnJY8zPM6sjzPCSIIquedsNC/9uLBbi3rTUKcs0jJwQVLWOlILMo9THeam&#10;fYmMD7sdFvLYj1V///P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nOmnTAAAABQEAAA8AAAAA&#10;AAAAAQAgAAAAIgAAAGRycy9kb3ducmV2LnhtbFBLAQIUABQAAAAIAIdO4kBLvWkBGQIAABcEAAAO&#10;AAAAAAAAAAEAIAAAACIBAABkcnMvZTJvRG9jLnhtbFBLBQYAAAAABgAGAFkBAACt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125</w:t>
                              </w:r>
                            </w:p>
                          </w:txbxContent>
                        </v:textbox>
                      </v:rect>
                      <v:rect id="_x0000_s1026" o:spid="_x0000_s1026" o:spt="1" style="position:absolute;left:5127588;top:4785437;height:180975;width:38036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P4Mx14bAgAAFwQAAA4AAABkcnMvZTJvRG9jLnhtbK1TQW7bMBC8&#10;F+gfCN5rSXYcq4LlIIiRokDaBkj7AJqiLKISl13SltzPFOitj+hzin6jS8pJnfSSQy8Ed7mc3RkO&#10;lxdD17K9QqfBlDybpJwpI6HSZlvyTx+vX+WcOS9MJVowquQH5fjF6uWLZW8LNYUG2kohIxDjit6W&#10;vPHeFkniZKM64SZglaHDGrATnkLcJhWKntC7Npmm6XnSA1YWQSrnKLseD/kREZ8DCHWtpVqD3HXK&#10;+BEVVSs8UXKNto6v4rR1raT/UNdOedaWnJj6uFIT2m/CmqyWotiisI2WxxHEc0Z4wqkT2lDTB6i1&#10;8ILtUP8D1WmJ4KD2EwldMhKJihCLLH2izV0jrIpcSGpnH0R3/w9Wvt/fItNVyafZjDMjOnry399+&#10;/Pr5nYUM6dNbV1DZnb3FwNDZG5CfHTNw1QizVZeI0DdKVDRVFuqTRxdC4Ogq2/TvoCJwsfMQpRpq&#10;7AIgicCGks+z6WKek/kOJT9b5POz2WJ8HTV4Jqlglqez8zlnkgqyPH29mMduorgHsuj8GwUdC5uS&#10;Iz1+bCT2N86HwURxXxL6GrjWbRsN0JpHCSoMmUgkzD5q4IfNcJRjA9WBKCGMfqLfRJsG8CtnPXmp&#10;5O7LTqDirH1rgix5mgbzjUFKEWd4erI5PRFGElTJPWfj9sqPht1Z1NuGOmWRloFLkrLWkVqQeZzq&#10;ODf5JTI+ejsY8jSOVX//8+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mc6adMAAAAFAQAADwAA&#10;AAAAAAABACAAAAAiAAAAZHJzL2Rvd25yZXYueG1sUEsBAhQAFAAAAAgAh07iQP4Mx14bAgAAFwQA&#10;AA4AAAAAAAAAAQAgAAAAIgEAAGRycy9lMm9Eb2MueG1sUEsFBgAAAAAGAAYAWQEAAK8FA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5</w:t>
                              </w:r>
                            </w:p>
                          </w:txbxContent>
                        </v:textbox>
                      </v:rect>
                      <v:rect id="_x0000_s1026" o:spid="_x0000_s1026" o:spt="1" style="position:absolute;left:3502034;top:4921901;height:180975;width:38036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Ljsd8MZAgAAFwQAAA4AAABkcnMvZTJvRG9jLnhtbK1TwW4TMRC9&#10;I/EPlu9kvUlTklU2VdWoCKlApcIHOF5v1mLXY8ZONuFnkLjxEXwO4jcYe9OSlksPXCzPePzmvefx&#10;4mLftWyn0RuwJc9HgjNtFVTGbkr+6eP1qxlnPkhbyRasLvlBe36xfPli0btCj6GBttLICMT6oncl&#10;b0JwRZZ51ehO+hE4bemwBuxkoBA3WYWyJ/SuzcZCnGc9YOUQlPaesqvhkB8R8TmAUNdG6RWobadt&#10;GFBRtzKQJN8Y5/kysa1rrcKHuvY6sLbkpDSklZrQfh3XbLmQxQala4w6UpDPofBEUyeNpaYPUCsZ&#10;JNui+QeqMwrBQx1GCrpsEJIcIRW5eOLNXSOdTlrIau8eTPf/D1a9390iM1XJx/kZZ1Z29OS/v/34&#10;9fM7ixnyp3e+oLI7d4tRoXc3oD57ZuGqkXajLxGhb7SsiFUe67NHF2Lg6Spb9++gInC5DZCs2tfY&#10;RUAyge1LPpmKsZgQh0PJz+bjfC4Smiz0PjAVC2Zicj7lTFFBPhPz19PUTRb3QA59eKOhY3FTcqTH&#10;T43k7saHSEwW9yWxr4Vr07ZpAFr7KEGFMZOERO6DB2G/3h/tWEN1IEkIwzzRb6JNA/iVs55mqeT+&#10;y1ai5qx9a6MtMyHi8A2BoIgzPD1Zn55Iqwiq5IGzYXsVhoHdOjSbhjrlSZaFS7KyNklatHlgdeRN&#10;85IUH2c7DuRpnKr+/uf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nOmnTAAAABQEAAA8AAAAA&#10;AAAAAQAgAAAAIgAAAGRycy9kb3ducmV2LnhtbFBLAQIUABQAAAAIAIdO4kC47HfDGQIAABcEAAAO&#10;AAAAAAAAAAEAIAAAACIBAABkcnMvZTJvRG9jLnhtbFBLBQYAAAAABgAGAFkBAACt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5</w:t>
                              </w:r>
                            </w:p>
                          </w:txbxContent>
                        </v:textbox>
                      </v:rect>
                      <v:rect id="_x0000_s1026" o:spid="_x0000_s1026" o:spt="1" style="position:absolute;left:5060056;top:4123159;height:189865;width:358775;"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AjF8WAaAgAAFwQAAA4AAABkcnMvZTJvRG9jLnhtbK1TwW4TMRC9&#10;I/EPlu9kd1OSpqs4VdWoCKlApcIHOF5v1mLXY8ZOdsvPIHHjI/gcxG8w9qYlLZceuFie8fjNe8/j&#10;5fnQtWyv0RuwgheTnDNtFVTGbgX/9PHq1YIzH6StZAtWC36nPT9fvXyx7F2pp9BAW2lkBGJ92TvB&#10;mxBcmWVeNbqTfgJOWzqsATsZKMRtVqHsCb1rs2mez7MesHIISntP2fV4yA+I+BxAqGuj9BrUrtM2&#10;jKioWxlIkm+M83yV2Na1VuFDXXsdWCs4KQ1ppSa038Q1Wy1luUXpGqMOFORzKDzR1EljqekD1FoG&#10;yXZo/oHqjELwUIeJgi4bhSRHSEWRP/HmtpFOJy1ktXcPpvv/B6ve72+QmUrwaTHjzMqOnvz3tx+/&#10;fn5nMUP+9M6XVHbrbjAq9O4a1GfPLFw20m71BSL0jZYVsSpiffboQgw8XWWb/h1UBC53AZJVQ41d&#10;BCQT2CD4LJ/n+WzO2Z3gr4vpSTE7G19HD4EpKjiZLU5PiaOigmJxtpgndpks74Ec+vBGQ8fiRnCk&#10;x0+N5P7ah0hMlvclsa+FK9O2aQBa+yhBhTGThETuowdh2AwHOzZQ3ZEkhHGe6DfRpgH8yllPsyS4&#10;/7KTqDlr39poyyLP4/CNQU4RZ3h8sjk+kVYRlOCBs3F7GcaB3Tk024Y6FUmWhQuysjZJWrR5ZHXg&#10;TfOSFB9mOw7kcZyq/v7n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CMXxYBoCAAAX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120</w:t>
                              </w:r>
                            </w:p>
                          </w:txbxContent>
                        </v:textbox>
                      </v:rect>
                      <v:shape id="AutoShape 35" o:spid="_x0000_s1026" o:spt="37" type="#_x0000_t37" style="position:absolute;left:4746558;top:4126627;flip:x y;height:404495;width:222501;rotation:5898240f;" filled="f" stroked="t" coordsize="21600,21600" o:gfxdata="UEsDBAoAAAAAAIdO4kAAAAAAAAAAAAAAAAAEAAAAZHJzL1BLAwQUAAAACACHTuJAl11Gc9UAAAAF&#10;AQAADwAAAGRycy9kb3ducmV2LnhtbE2PwU7DMBBE70j8g7VI3KhdSqM0jVMJJDgggdTCB7jxNgnE&#10;62A7Tfv3LFzgMtJqVjNvys3J9eKIIXaeNMxnCgRS7W1HjYb3t8ebHERMhqzpPaGGM0bYVJcXpSms&#10;n2iLx11qBIdQLIyGNqWhkDLWLToTZ35AYu/ggzOJz9BIG8zE4a6Xt0pl0pmOuKE1Az60WH/uRscl&#10;TyH7cMvXc/Z1F2zzPN3T+LLV+vpqrtYgEp7S3zP84DM6VMy09yPZKHoNPCT9Knv5arEAsdewUssc&#10;ZFXK//TVN1BLAwQUAAAACACHTuJAePU+EjUCAABiBAAADgAAAGRycy9lMm9Eb2MueG1srVRNj9Mw&#10;EL0j8R8s32k+aFo2arpCLQuHBSrtwt21ncbC8Vi226T/nrHTLexy2QM9ROPMzHvznidd3Y69Jifp&#10;vALT0GKWUyINB6HMoaE/Hu/efaDEB2YE02BkQ8/S09v12zerwdayhA60kI4giPH1YBvahWDrLPO8&#10;kz3zM7DSYLIF17OAR3fIhGMDovc6K/N8kQ3ghHXApff4djsl6QXRvQYQ2lZxuQV+7KUJE6qTmgWU&#10;5DtlPV2nadtW8vC9bb0MRDcUlYb0RBKM9/GZrVesPjhmO8UvI7DXjPBCU8+UQdIr1JYFRo5O/QPV&#10;K+7AQxtmHPpsEpIcQRVF/sKbh45ZmbSg1d5eTff/D5Z/O+0cUaKhZbGgxLAer/zjMUDiJu+r6NBg&#10;fY2FG7NzUSMfzYO9B/7LEwObjpmDTNWPZ4vNxeSpD5vRTMD5kmIwXu2WRlxzRXXJpbbsGVM8eIvj&#10;7YevIBCa4VzJ5bF1PXGAt1nN8/ijpNXKfonsKfoZozgrOkyQeb6cL6oKN/uMcVEuFuVyGlOOgXAs&#10;KMuyyrGZx4J8Pr9JwjNWR6oIZJ0PnyX0JAYN5Ud3kmIDxuCKgSsTGTvd+4B+YdtTeWw1cKe0Tpum&#10;DRkaelOVVWrwoJWIyVjm3WG/0Y6cWNzVSdYE9qwsIm+Z76Y6gdGkxMHRiEQSmNKfjCAh3UdwCm9I&#10;SxqZeyko0RI//BhN6NrgxE9eT5e9B3HeuZiO73H1kqbLZxJ3++9zqvrz17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ddRnPVAAAABQEAAA8AAAAAAAAAAQAgAAAAIgAAAGRycy9kb3ducmV2Lnht&#10;bFBLAQIUABQAAAAIAIdO4kB49T4SNQIAAGIEAAAOAAAAAAAAAAEAIAAAACQBAABkcnMvZTJvRG9j&#10;LnhtbFBLBQYAAAAABgAGAFkBAADLBQAAAAA=&#10;">
                        <v:fill on="f" focussize="0,0"/>
                        <v:stroke color="#000000" joinstyle="round" dashstyle="dash" endarrow="block"/>
                        <v:imagedata o:title=""/>
                        <o:lock v:ext="edit" aspectratio="f"/>
                      </v:shape>
                      <v:rect id="_x0000_s1026" o:spid="_x0000_s1026" o:spt="1" style="position:absolute;left:1286512;top:1223673;height:271145;width:1132811;"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CfWStEUCAACKBAAADgAAAGRycy9lMm9Eb2MueG1srVTNbtsw&#10;DL4P2DsIui+Ond8acYoiRYcB3Vag2wMoshwL098oJU73MgN220PscYa9xijZ7dJuhx7mg0CK1Efy&#10;I+nV+VErchDgpTUVzUdjSoThtpZmV9GPH65eLSnxgZmaKWtERe+Ep+frly9WnStFYVuragEEQYwv&#10;O1fRNgRXZpnnrdDMj6wTBo2NBc0CqrDLamAdomuVFePxPOss1A4sF97j7WVvpAMiPAfQNo3k4tLy&#10;vRYm9KggFAtYkm+l83Sdsm0awcP7pvEiEFVRrDSkE4OgvI1ntl6xcgfMtZIPKbDnpPCkJs2kwaAP&#10;UJcsMLIH+ReUlhyst00YcauzvpDECFaRj59wc9syJ1ItSLV3D6T7/wfL3x1ugMi6okW+oMQwjS3/&#10;9fX7zx/fSLxBfjrnS3S7dTcQK/Tu2vJPnhi7aZnZiQsA27WC1ZhVHv2zRw+i4vEp2XZvbY3gbB9s&#10;ourYgI6ASAI54ttiOZ/lBSV3US4m88Wk7444BsKjQz4plnlOCUePYpHn01kKx8p7JAc+vBZWkyhU&#10;FLD7KRI7XPsQM2PlvUuqxCpZX0mlkgK77UYBOTCclKv0Dej+1E0Z0lX0bFbMEvIjmz+FGKfvXxBa&#10;BlwgJXVFl6dOygzcRbp62sNxexw6sLX1HbIIth9hXGAUWgtfKOlwfCvqP+8ZCErUG4OdOMun0zjv&#10;SZnOFgUqcGrZnlqY4QhV0UBJL25CvyN7B3LXYqQ8lWvsBXavkYnM2Nk+qyFvHNHE8bBOcQdO9eT1&#10;5xe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4naU1QAAAAUBAAAPAAAAAAAAAAEAIAAAACIA&#10;AABkcnMvZG93bnJldi54bWxQSwECFAAUAAAACACHTuJACfWStEUCAACKBAAADgAAAAAAAAABACAA&#10;AAAkAQAAZHJzL2Uyb0RvYy54bWxQSwUGAAAAAAYABgBZAQAA2wUAAAAA&#10;">
                        <v:fill on="t" focussize="0,0"/>
                        <v:stroke color="#000000" miterlimit="8" joinstyle="miter"/>
                        <v:imagedata o:title=""/>
                        <o:lock v:ext="edit" aspectratio="f"/>
                        <v:textbox>
                          <w:txbxContent>
                            <w:p>
                              <w:pPr>
                                <w:jc w:val="center"/>
                                <w:rPr>
                                  <w:kern w:val="0"/>
                                  <w:sz w:val="24"/>
                                  <w:szCs w:val="24"/>
                                </w:rPr>
                              </w:pPr>
                              <w:r>
                                <w:rPr>
                                  <w:rFonts w:hint="eastAsia"/>
                                  <w:szCs w:val="21"/>
                                </w:rPr>
                                <w:t>搅拌机</w:t>
                              </w:r>
                              <w:r>
                                <w:rPr>
                                  <w:szCs w:val="21"/>
                                </w:rPr>
                                <w:t>清洗</w:t>
                              </w:r>
                              <w:r>
                                <w:rPr>
                                  <w:rFonts w:hint="eastAsia"/>
                                  <w:szCs w:val="21"/>
                                </w:rPr>
                                <w:t>用水</w:t>
                              </w:r>
                            </w:p>
                          </w:txbxContent>
                        </v:textbox>
                      </v:rect>
                      <v:rect id="_x0000_s1026" o:spid="_x0000_s1026" o:spt="1" style="position:absolute;left:3099701;top:1223548;height:270510;width:1132205;"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mTqVJUkCAACKBAAADgAAAGRycy9lMm9Eb2MueG1srVTNbtsw&#10;DL4P2DsIuq/+abI2Rp2iSNBhQLcV6PYAiizHwiRRo5Q43csM2K0PsccZ9hqj5bRLux16mA+GaFIf&#10;+X0kfXa+s4ZtFQYNrubFUc6ZchIa7dY1//Tx8tUpZyEK1wgDTtX8VgV+Pn/54qz3lSqhA9MoZATi&#10;QtX7mncx+irLguyUFeEIvHLkbAGtiGTiOmtQ9IRuTVbm+eusB2w8glQh0Nfl6OR7RHwOILStlmoJ&#10;cmOViyMqKiMiUQqd9oHPU7Vtq2T80LZBRWZqTkxjelMSOq+GdzY/E9Uahe+03JcgnlPCE05WaEdJ&#10;H6CWIgq2Qf0XlNUSIUAbjyTYbCSSFCEWRf5Em5tOeJW4kNTBP4ge/h+sfL+9RqabmpcFNd4JSy3/&#10;9e3u54/vbPhC+vQ+VBR2469xYBj8FcjPgTlYdMKt1QUi9J0SDVVVDPHZowuDEegqW/XvoCFwsYmQ&#10;pNq1aAdAEoHtan6cz2YnecHZLeGU5fF0krKLSu0ikxRQFMdlmU85kxRRnuTTIrUvE9U9kscQ3yiw&#10;bDjUHKn7KZPYXoU4VCaq+5DEBIxuLrUxycD1amGQbQVNymV6EhkifBhmHOtrPpuW04T8yBcOIfL0&#10;/AvC6kgLZLSt+elhkHF77Qa5RtnjbrXbd2AFzS2piDCOMC0wHTrAr5z1NL41D182AhVn5q2jTsyK&#10;yWSY92RMpiclGXjoWR16hJMEVfPI2XhcxHFHNh71uqNMRaLr4IK61+ok5tDZsap93TSiSeP9Og07&#10;cGinqD+/k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OJ2lNUAAAAFAQAADwAAAAAAAAABACAA&#10;AAAiAAAAZHJzL2Rvd25yZXYueG1sUEsBAhQAFAAAAAgAh07iQJk6lSVJAgAAigQAAA4AAAAAAAAA&#10;AQAgAAAAJAEAAGRycy9lMm9Eb2MueG1sUEsFBgAAAAAGAAYAWQEAAN8FAAAAAA==&#10;">
                        <v:fill on="t" focussize="0,0"/>
                        <v:stroke color="#000000" miterlimit="8" joinstyle="miter"/>
                        <v:imagedata o:title=""/>
                        <o:lock v:ext="edit" aspectratio="f"/>
                        <v:textbox>
                          <w:txbxContent>
                            <w:p>
                              <w:pPr>
                                <w:jc w:val="center"/>
                                <w:rPr>
                                  <w:kern w:val="0"/>
                                  <w:sz w:val="24"/>
                                  <w:szCs w:val="24"/>
                                </w:rPr>
                              </w:pPr>
                              <w:r>
                                <w:rPr>
                                  <w:rFonts w:hint="eastAsia"/>
                                  <w:szCs w:val="21"/>
                                </w:rPr>
                                <w:t>搅拌机清洗用水</w:t>
                              </w:r>
                            </w:p>
                          </w:txbxContent>
                        </v:textbox>
                      </v:rect>
                      <v:shape id="自选图形 469" o:spid="_x0000_s1026" o:spt="32" type="#_x0000_t32" style="position:absolute;left:2419323;top:1358803;flip:y;height:443;width:680378;" filled="f" stroked="t" coordsize="21600,21600" o:gfxdata="UEsDBAoAAAAAAIdO4kAAAAAAAAAAAAAAAAAEAAAAZHJzL1BLAwQUAAAACACHTuJASgKjWt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5bzOYgDwlIt&#10;EpB5Jv/T5z9QSwMEFAAAAAgAh07iQP4+3SU0AgAANQQAAA4AAABkcnMvZTJvRG9jLnhtbK1TsXIT&#10;MRDtmeEfNOrx2Wc7sT0+p7AJTQDPJNDLku5Og06rkWSf3dExfANdSv4B/iYz8BesdHZCQpOCKzQr&#10;vdV7u+9W84t9o8lOOq/AFHTQ61MiDQehTFXQDzeXryaU+MCMYBqMLOhBenqxePli3tqZzKEGLaQj&#10;SGL8rLUFrUOwsyzzvJYN8z2w0iBYgmtYwK2rMuFYi+yNzvJ+/yxrwQnrgEvv8XTVgfTI6J5DCGWp&#10;uFwB3zbShI7VSc0CtuRrZT1dpGrLUvLwviy9DEQXFDsNaUURjDdxzRZzNqscs7XixxLYc0p40lPD&#10;lEHRe6oVC4xsnfqHqlHcgYcy9Dg0WddIcgS7GPSfeHNdMytTL2i1t/em+/9Hy9/t1o4oUdB8MKXE&#10;sAZ/+a8v339//nr37efdj1syOptGl1rrZ5i8NGsX++R7c22vgH/yxMCyZqaSqdqbg0WCQeerD8u9&#10;OZKfUwz2BR12kDTiAcOJS1i6lj1SihtvscRN+xYEUrNtgOT0vnQNKbWyH6NerAndJKiQjwbTYT6k&#10;5IDAcDyZ9E+a+0A4JpzhyTlqckwYjRKYsVnkiyzW+fBGQkNiUFAfHFNVHZZgDE4TuE6L7a58QFvw&#10;4ulCvGzgUmmdhkob0hZ0Os7HqTgPWokIxjTvqs1SO7JjcSzTF21BskdpDrZGJLLAlH5tBAnJ3uAU&#10;Gq4ljQqNFJRoiW85Rh2LNkh2sq77dxsQh7WLcDzHaUpyx8mP4/r3PmU9vPb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oCo1rWAAAABQEAAA8AAAAAAAAAAQAgAAAAIgAAAGRycy9kb3ducmV2Lnht&#10;bFBLAQIUABQAAAAIAIdO4kD+Pt0lNAIAADUEAAAOAAAAAAAAAAEAIAAAACUBAABkcnMvZTJvRG9j&#10;LnhtbFBLBQYAAAAABgAGAFkBAADLBQAAAAA=&#10;">
                        <v:fill on="f" focussize="0,0"/>
                        <v:stroke color="#000000" joinstyle="round" endarrow="block"/>
                        <v:imagedata o:title=""/>
                        <o:lock v:ext="edit" aspectratio="f"/>
                      </v:shape>
                      <v:shape id="自选图形 469" o:spid="_x0000_s1026" o:spt="32" type="#_x0000_t32" style="position:absolute;left:4231906;top:1358803;height:443;width:567087;" filled="f" stroked="t" coordsize="21600,21600" o:gfxdata="UEsDBAoAAAAAAIdO4kAAAAAAAAAAAAAAAAAEAAAAZHJzL1BLAwQUAAAACACHTuJAep6LJN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iNgO2lVCI&#10;hxx4XfFL+voXUEsDBBQAAAAIAIdO4kDxcWXhMQIAACsEAAAOAAAAZHJzL2Uyb0RvYy54bWytk81u&#10;EzEQx+9IvIPlO92PJmkSddNDSrkUiNTyAI7t3bXweizbySY3bohn4Max7wBvUwnegrE3KbRcemAP&#10;lu2Z+c3Mf8fnF7tOk610XoGpaHGSUyINB6FMU9EPt1evppT4wIxgGoys6F56erF4+eK8t3NZQgta&#10;SEcQYvy8txVtQ7DzLPO8lR3zJ2ClQWMNrmMBj67JhGM90judlXk+yXpwwjrg0nu8vRyM9EB0zwFC&#10;XSsuL4FvOmnCQHVSs4At+VZZTxep2rqWPLyvay8D0RXFTkNaMQnu13HNFuds3jhmW8UPJbDnlPCk&#10;p44pg0kfUJcsMLJx6h9Up7gDD3U44dBlQyNJEeyiyJ9oc9MyK1MvKLW3D6L7/4fl77YrR5SoaFmi&#10;JoZ1+Mt/fr779enL/dcf99+/kdFkFlXqrZ+j89KsXOyT78yNvQb+0RMDy5aZRqZqb/cWAcWgqw/L&#10;nRngBU6VEruKng4macSDrSwOthSWPcoUD95iiev+LQhEs02ApPSudl2sBDUkyB2Vp8Usn1Cyx/Sn&#10;4+k0P2baBcLRYTw5y6dnlHB0GI2SMWPzI8U6H95I6EjcVNQHx1TThiUYgzMErkg52fbaBxQDA48B&#10;sQQDV0rrNErakL6is3E5TgEetBLRGN28a9ZL7ciWxWFMXxQDYY/cHGyMSLDAlH5tBAlJ1OAUyqwl&#10;jRk6KSjREl9w3A0UbRB2FGz4Y2sQ+5WL5niPM5TSHeY9Dunf5+T1540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nosk1wAAAAUBAAAPAAAAAAAAAAEAIAAAACIAAABkcnMvZG93bnJldi54bWxQ&#10;SwECFAAUAAAACACHTuJA8XFl4TECAAArBAAADgAAAAAAAAABACAAAAAmAQAAZHJzL2Uyb0RvYy54&#10;bWxQSwUGAAAAAAYABgBZAQAAyQUAAAAA&#10;">
                        <v:fill on="f" focussize="0,0"/>
                        <v:stroke color="#000000" joinstyle="round" endarrow="block"/>
                        <v:imagedata o:title=""/>
                        <o:lock v:ext="edit" aspectratio="f"/>
                      </v:shape>
                      <v:rect id="_x0000_s1026" o:spid="_x0000_s1026" o:spt="1" style="position:absolute;left:4798993;top:1223673;height:271145;width:82423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cYi5KUUCAACJBAAADgAAAGRycy9lMm9Eb2MueG1srVTBbhMx&#10;EL0j8Q+W72Szm6RpomyqKlURUoFKhQ9wvN6she0xYyeb8DNI3PgIPgfxG8x605IWDj2wB8vjGT/P&#10;ezOzi4u9NWynMGhwJc8HQ86Uk1Bptyn5xw/Xr845C1G4ShhwquQHFfjF8uWLRevnqoAGTKWQEYgL&#10;89aXvInRz7MsyEZZEQbglSNnDWhFJBM3WYWiJXRrsmI4PMtawMojSBUCnV71Tn5ExOcAQl1rqa5A&#10;bq1ysUdFZUQkSqHRPvBlyraulYzv6zqoyEzJiWlMKz1C+3W3ZsuFmG9Q+EbLYwriOSk84WSFdvTo&#10;A9SViIJtUf8FZbVECFDHgQSb9USSIsQiHz7R5q4RXiUuJHXwD6KH/wcr3+1ukemq5EWRc+aEpZL/&#10;+vr9549vrDshfVof5hR252+xYxj8DchPgTlYNcJt1CUitI0SFWWV4rNHFzoj0FW2bt9CReBiGyFJ&#10;ta/RdoAkAtuXfDydnc9mI84OhFMUo7PpqK+O2kcmKeC8GBcjqpukgGKa5+NJ58/E/B7IY4ivFVjW&#10;bUqOVPz0kNjdhNiH3ockImB0da2NSQZu1iuDbCeoUa7Td0QPp2HGsbbks0kxSciPfOEUYpi+f0FY&#10;HWl+jLbE6DTIOCJzr1avetyv98cCrKE6kIgIfQfT/NKmAfzCWUvdW/LweStQcWbeOCrELB+Pu3ZP&#10;xngyLcjAU8/61COcJKiSR8767Sr2I7L1qDcNvZQnug4uqXi1TmJ2qfZZHfOmDk3lOE5TNwKndor6&#10;8wd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4naU1QAAAAUBAAAPAAAAAAAAAAEAIAAAACIA&#10;AABkcnMvZG93bnJldi54bWxQSwECFAAUAAAACACHTuJAcYi5KUUCAACJBAAADgAAAAAAAAABACAA&#10;AAAkAQAAZHJzL2Uyb0RvYy54bWxQSwUGAAAAAAYABgBZAQAA2wUAAAAA&#10;">
                        <v:fill on="t" focussize="0,0"/>
                        <v:stroke color="#000000" miterlimit="8" joinstyle="miter"/>
                        <v:imagedata o:title=""/>
                        <o:lock v:ext="edit" aspectratio="f"/>
                        <v:textbox>
                          <w:txbxContent>
                            <w:p>
                              <w:pPr>
                                <w:jc w:val="center"/>
                                <w:rPr>
                                  <w:kern w:val="0"/>
                                  <w:sz w:val="24"/>
                                  <w:szCs w:val="24"/>
                                </w:rPr>
                              </w:pPr>
                              <w:r>
                                <w:rPr>
                                  <w:rFonts w:hint="eastAsia"/>
                                  <w:szCs w:val="21"/>
                                </w:rPr>
                                <w:t>沉淀池</w:t>
                              </w:r>
                            </w:p>
                          </w:txbxContent>
                        </v:textbox>
                      </v:rect>
                      <v:rect id="_x0000_s1026" o:spid="_x0000_s1026" o:spt="1" style="position:absolute;left:980710;top:1174094;height:180340;width:379730;"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DDAoRcXAgAAFgQAAA4AAABkcnMvZTJvRG9jLnhtbK1TzY7TMBC+&#10;I/EOlu80SVvRNmq6Wm21CGmBlRYewHWcxiLxmLHbpLwMEjcegsdBvAZjJ7t0l8seuFieH38z3zfj&#10;9UXfNuyo0GkwBc8mKWfKSCi12Rf808frV0vOnBemFA0YVfCTcvxi8/LFurO5mkINTamQEYhxeWcL&#10;Xntv8yRxslatcBOwylCwAmyFJxP3SYmiI/S2SaZp+jrpAEuLIJVz5N0OQT4i4nMAoaq0VFuQh1YZ&#10;P6CiaoQnSq7W1vFN7LaqlPQfqsopz5qCE1MfTypC9104k81a5HsUttZybEE8p4UnnFqhDRV9gNoK&#10;L9gB9T9QrZYIDio/kdAmA5GoCLHI0ifa3NXCqsiFpHb2QXT3/2Dl++MtMl0WfDqdcmZESyP//e3H&#10;r5/fWfCQPp11OaXd2VsMDJ29AfnZMQNXtTB7dYkIXa1ESV1lIT959CAYjp6yXfcOSgIXBw9Rqr7C&#10;NgCSCKwv+GqZLjIay4lgssU8Xc2H4ajeM0nx2WK1mFFchoRlOpvH4SUiv8ex6PwbBS0Ll4IjzT7W&#10;Eccb50NfIr9PCWUNXOumifNvzCMHJQZP5BFaHyTw/a4f1dhBeSJGCMM60WeiSw34lbOOVqng7stB&#10;oOKseWuCKss0Dbs3GClZnOF5ZHceEUYSVME9Z8P1yg/7erCo9zVVyiItA5ekZKUjtaDy0NXYN61L&#10;ZDyudtjHcztm/f3O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Zzpp0wAAAAUBAAAPAAAAAAAA&#10;AAEAIAAAACIAAABkcnMvZG93bnJldi54bWxQSwECFAAUAAAACACHTuJAMMChFxcCAAAWBAAADgAA&#10;AAAAAAABACAAAAAiAQAAZHJzL2Uyb0RvYy54bWxQSwUGAAAAAAYABgBZAQAAqw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24</w:t>
                              </w:r>
                            </w:p>
                          </w:txbxContent>
                        </v:textbox>
                      </v:rect>
                      <v:rect id="_x0000_s1026" o:spid="_x0000_s1026" o:spt="1" style="position:absolute;left:2527501;top:1195745;height:179705;width:379730;"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BJ1X38XAgAAFwQAAA4AAABkcnMvZTJvRG9jLnhtbK1TzW4TMRC+&#10;I/EOlu9kdxNC2lU2VdWoCKlApcIDOF5v1mLtMWMnu+VlkLj1IXgcxGsw9qYlLZceuFjz52/m+zxe&#10;ng2mY3uFXoOteDHJOVNWQq3ttuKfP12+OuHMB2Fr0YFVFb9Vnp+tXr5Y9q5UU2ihqxUyArG+7F3F&#10;2xBcmWVetsoIPwGnLCUbQCMCubjNahQ9oZsum+b5m6wHrB2CVN5TdD0m+QERnwMITaOlWoPcGWXD&#10;iIqqE4Eo+VY7z1dp2qZRMnxsGq8C6ypOTEM6qQnZm3hmq6Uotyhcq+VhBPGcEZ5wMkJbavoAtRZB&#10;sB3qf6CMlggemjCRYLKRSFKEWBT5E21uWuFU4kJSe/cguv9/sPLD/hqZris+nc44s8LQk//+fvfr&#10;5w8WI6RP73xJZTfuGiND765AfvHMwkUr7FadI0LfKlHTVEWszx5diI6nq2zTv4eawMUuQJJqaNBE&#10;QBKBDdR/Pl3M84KzW8IpTueL1/PxddQQmKSC2eJ0MaN3k7GA7DzlM1HeAzn04a0Cw6JRcaTHT43E&#10;/sqHOJgo70tiXwuXuuvSAnT2UYAKYyQRibOPGoRhMxzk2EB9S5QQxn2i30RGC/iNs552qeL+606g&#10;4qx7Z6MsJ3kel290cvI4w+PM5jgjrCSoigfORvMijAu7c6i3LXUqEi0L5yRloxO1KPM41WFu2pfE&#10;+LDbcSGP/VT19z+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Zzpp0wAAAAUBAAAPAAAAAAAA&#10;AAEAIAAAACIAAABkcnMvZG93bnJldi54bWxQSwECFAAUAAAACACHTuJAEnVffxcCAAAXBAAADgAA&#10;AAAAAAABACAAAAAiAQAAZHJzL2Uyb0RvYy54bWxQSwUGAAAAAAYABgBZAQAAqw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24</w:t>
                              </w:r>
                            </w:p>
                          </w:txbxContent>
                        </v:textbox>
                      </v:rect>
                      <v:rect id="_x0000_s1026" o:spid="_x0000_s1026" o:spt="1" style="position:absolute;left:4275853;top:1179530;height:179705;width:379730;"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OS1igYXAgAAFwQAAA4AAABkcnMvZTJvRG9jLnhtbK1T3W7TMBS+&#10;R+IdLN/TpC1du6jpNK0aQhowafAAruMkFomPOXablJdB4o6H4HEQr8Gxk41u3OyCG+v8+Tvn+3y8&#10;vujbhh0UOg0m59NJypkyEgptqpx/+nj9asWZ88IUogGjcn5Ujl9sXr5YdzZTM6ihKRQyAjEu62zO&#10;a+9tliRO1qoVbgJWGUqWgK3w5GKVFCg6Qm+bZJamZ0kHWFgEqZyj6HZI8hERnwMIZaml2oLct8r4&#10;ARVVIzxRcrW2jm/itGWppP9Qlk551uScmPp4UhOyd+FMNmuRVShsreU4gnjOCE84tUIbavoAtRVe&#10;sD3qf6BaLREclH4ioU0GIlERYjFNn2hzVwurIheS2tkH0d3/g5XvD7fIdJHz2eKMMyNaevLf3378&#10;+vmdhQjp01mXUdmdvcXA0NkbkJ8dM3BVC1OpS0ToaiUKmmoa6pNHF4Lj6Crbde+gIHCx9xCl6kts&#10;AyCJwPqcv54tF6vFnLMj4UyX54v5+Dqq90xSwXx5vqQYk6GA7HQRu4nsHsii828UtCwYOUd6/NhI&#10;HG6cD4OJ7L4k9DVwrZsmLkBjHgWoMEQikTD7oIHvd/0oxw6KI1FCGPaJfhMZNeBXzjrapZy7L3uB&#10;irPmrQmyrNI0LN/gpORxhqeZ3WlGGElQOfecDeaVHxZ2b1FXNXWaRloGLknKUkdqQeZhqnFu2pfI&#10;eNztsJCnfqz6+58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Zzpp0wAAAAUBAAAPAAAAAAAA&#10;AAEAIAAAACIAAABkcnMvZG93bnJldi54bWxQSwECFAAUAAAACACHTuJA5LWKBhcCAAAXBAAADgAA&#10;AAAAAAABACAAAAAiAQAAZHJzL2Uyb0RvYy54bWxQSwUGAAAAAAYABgBZAQAAqw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24</w:t>
                              </w:r>
                            </w:p>
                          </w:txbxContent>
                        </v:textbox>
                      </v:rect>
                      <v:rect id="_x0000_s1026" o:spid="_x0000_s1026" o:spt="1" style="position:absolute;left:1294313;top:2015984;height:271145;width:1125010;"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U2q3GkYCAACKBAAADgAAAGRycy9lMm9Eb2MueG1srVTNbtNA&#10;EL4j8Q6rvRPHbkwaq05VtQpCKlCp8ACb9TpesX/MbuKEl0Hi1ofgcRCvwezaLWnh0AM+WDue2W/m&#10;+2bGZ+d7rchOgJfW1DSfTCkRhttGmk1NP31cvTqlxAdmGqasETU9CE/Ply9fnPWuEoXtrGoEEAQx&#10;vupdTbsQXJVlnndCMz+xThh0thY0C2jCJmuA9YiuVVZMp6+z3kLjwHLhPX69Gpx0RITnANq2lVxc&#10;Wb7VwoQBFYRiASn5TjpPl6nathU8fGhbLwJRNUWmIb0xCZ7X8Z0tz1i1AeY6yccS2HNKeMJJM2kw&#10;6QPUFQuMbEH+BaUlB+ttGybc6mwgkhRBFvn0iTa3HXMicUGpvXsQ3f8/WP5+dwNENjUtyjklhmls&#10;+a9vdz9/fCfxC+rTO19h2K27gcjQu2vLP3ti7GXHzEZcANi+E6zBqvIYnz26EA2PV8m6f2cbBGfb&#10;YJNU+xZ0BEQRyB7vFovZSX5CyQFrmebl4nQ2dEfsA+ExIC9K1IgSHiPmeT4rUzpW3SM58OGNsJrE&#10;Q00Bu58ysd21D7EyVt2HJCZWyWYllUoGbNaXCsiO4aSs0jOi++MwZUhf00VZlAn5kc8fQ0zT8y8I&#10;LQMukJK6pqfHQcqM2kW5BtnDfr0fO7C2zQFVBDuMMC4wHjoLXynpcXxr6r9sGQhK1FuDnVjks1mc&#10;92TMynmBBhx71sceZjhC1TRQMhwvw7AjWwdy02GmPNE19gK718okZuzsUNVYN45o0nhcp7gDx3aK&#10;+vMLW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OJ2lNUAAAAFAQAADwAAAAAAAAABACAAAAAi&#10;AAAAZHJzL2Rvd25yZXYueG1sUEsBAhQAFAAAAAgAh07iQFNqtxpGAgAAigQAAA4AAAAAAAAAAQAg&#10;AAAAJAEAAGRycy9lMm9Eb2MueG1sUEsFBgAAAAAGAAYAWQEAANwFAAAAAA==&#10;">
                        <v:fill on="t" focussize="0,0"/>
                        <v:stroke color="#000000" miterlimit="8" joinstyle="miter"/>
                        <v:imagedata o:title=""/>
                        <o:lock v:ext="edit" aspectratio="f"/>
                        <v:textbox>
                          <w:txbxContent>
                            <w:p>
                              <w:pPr>
                                <w:jc w:val="center"/>
                                <w:rPr>
                                  <w:kern w:val="0"/>
                                  <w:sz w:val="24"/>
                                  <w:szCs w:val="24"/>
                                </w:rPr>
                              </w:pPr>
                              <w:r>
                                <w:rPr>
                                  <w:rFonts w:hint="eastAsia"/>
                                  <w:szCs w:val="21"/>
                                </w:rPr>
                                <w:t>搅拌用水</w:t>
                              </w:r>
                            </w:p>
                          </w:txbxContent>
                        </v:textbox>
                      </v:rect>
                      <v:shape id="AutoShape 56" o:spid="_x0000_s1026" o:spt="34" type="#_x0000_t34" style="position:absolute;left:737307;top:2151542;flip:y;height:136517;width:557006;" filled="f" stroked="t" coordsize="21600,21600" o:gfxdata="UEsDBAoAAAAAAIdO4kAAAAAAAAAAAAAAAAAEAAAAZHJzL1BLAwQUAAAACACHTuJAOrDcrNQAAAAF&#10;AQAADwAAAGRycy9kb3ducmV2LnhtbE2PwU7DMBBE70j8g7WVuFE7rUBpiNNDJE6IAwUhcXPibRJq&#10;r6N404a/x3CBy0qjGc28LfeLd+KMUxwCacjWCgRSG+xAnYa318fbHERkQ9a4QKjhCyPsq+ur0hQ2&#10;XOgFzwfuRCqhWBgNPfNYSBnbHr2J6zAiJe8YJm84yamTdjKXVO6d3Ch1L70ZKC30ZsS6x/Z0mL2G&#10;mp+bpdl8qlHx8SnU7+5jmDOtb1aZegDBuPBfGH7wEzpUiakJM9konIb0CP/e5OW77RZEo2Gn7nKQ&#10;VSn/01ffUEsDBBQAAAAIAIdO4kAX3sNuOQIAAGgEAAAOAAAAZHJzL2Uyb0RvYy54bWytVMGO2yAQ&#10;vVfqPyDujeOkTrZWnFWVdHvZtpF22zsBHNMCg4CNk7/vgJ20u73soT5Y4De8N/Nm8Or2ZDQ5Sh8U&#10;2IaWkykl0nIQyh4a+v3x7t0NJSEyK5gGKxt6loHert++WfWuljPoQAvpCZLYUPeuoV2Mri6KwDtp&#10;WJiAkxbBFrxhEbf+UAjPemQ3uphNp4uiBy+cBy5DwK/bAaQjo38NIbSt4nIL/MlIGwdWLzWLWFLo&#10;lAt0nbNtW8njt7YNMhLdUKw05jeK4Hqf3sV6xeqDZ65TfEyBvSaFFzUZpiyKXqm2LDLy5NU/VEZx&#10;DwHaOOFgiqGQ7AhWUU5fePPQMSdzLWh1cFfTw/+j5V+PO0+UaOiswsZbZrDlH58iZG1SLZJDvQs1&#10;Bm7szqca+ck+uHvgvwKxsOmYPcgc/Xh2eLgcPA1xc7KZeIG8SpwaOh8QacUFmlXLEcunimdCaRMc&#10;Zrfvv4BAZoZpZZNPrTek1cr9SHIpJTSSoMJyvpxPkfKM5ZRVWb2fjZKnSDjiVbXECaSEY0A5X1Tl&#10;MuEFqxNj4nE+xM8SDEmLhu5xvDZgLY4R+HlWYsf7EHOnxegWEz9LSlqjcXCOTJNqis/IO0ajwoU5&#10;HbVwp7TOo6ct6Rv6oZpVmT2AViKBKSz4w36jPUFSHNX8jLTPwoyKeCG1Mg29uQaxOjKlP1lBYu5K&#10;9Ar7pCVNckYKSrTE659WgwPaohEXy4eW70Gcdz7B6TsOYLZqvCxpwv/e56g/P4j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qw3KzUAAAABQEAAA8AAAAAAAAAAQAgAAAAIgAAAGRycy9kb3ducmV2&#10;LnhtbFBLAQIUABQAAAAIAIdO4kAX3sNuOQIAAGgEAAAOAAAAAAAAAAEAIAAAACMBAABkcnMvZTJv&#10;RG9jLnhtbFBLBQYAAAAABgAGAFkBAADOBQAAAAA=&#10;" adj="10800">
                        <v:fill on="f" focussize="0,0"/>
                        <v:stroke color="#000000" miterlimit="8" joinstyle="miter" endarrow="block"/>
                        <v:imagedata o:title=""/>
                        <o:lock v:ext="edit" aspectratio="f"/>
                      </v:shape>
                      <v:rect id="_x0000_s1026" o:spid="_x0000_s1026" o:spt="1" style="position:absolute;left:3265814;top:2015984;height:270510;width:1388758;" fillcolor="#FFFFFF" filled="t" stroked="t" coordsize="21600,21600" o:gfxdata="UEsDBAoAAAAAAIdO4kAAAAAAAAAAAAAAAAAEAAAAZHJzL1BLAwQUAAAACACHTuJAyOJ2lNUAAAAF&#10;AQAADwAAAGRycy9kb3ducmV2LnhtbE2PwU7DMBBE70j8g7VI3KjdRqAkxOkBVCSObXrhtomXJBCv&#10;o9hpA1+P4UIvK41mNPO22C52ECeafO9Yw3qlQBA3zvTcajhWu7sUhA/IBgfHpOGLPGzL66sCc+PO&#10;vKfTIbQilrDPUUMXwphL6ZuOLPqVG4mj9+4miyHKqZVmwnMst4PcKPUgLfYcFzoc6amj5vMwWw11&#10;vzni9756UTbbJeF1qT7mt2etb2/W6hFEoCX8h+EXP6JDGZlqN7PxYtAQHwl/N3ppliQgag2Zuk9B&#10;loW8pC9/AFBLAwQUAAAACACHTuJAKRgCH0kCAACKBAAADgAAAGRycy9lMm9Eb2MueG1srVTNbhMx&#10;EL4j8Q6W73R302yTrLKpqkRFSAUqFR7A8XqzFv5j7GQTXgaJGw/B4yBeg7E3LWnh0AN7sDye8ef5&#10;vpnZ+eVeK7IT4KU1NS3OckqE4baRZlPTjx+uX00p8YGZhilrRE0PwtPLxcsX895VYmQ7qxoBBEGM&#10;r3pX0y4EV2WZ553QzJ9ZJww6WwuaBTRhkzXAekTXKhvl+UXWW2gcWC68x9PV4KRHRHgOoG1bycXK&#10;8q0WJgyoIBQLSMl30nm6SNm2reDhfdt6EYiqKTINacVHcL+Oa7aYs2oDzHWSH1Ngz0nhCSfNpMFH&#10;H6BWLDCyBfkXlJYcrLdtOONWZwORpAiyKPIn2tx1zInEBaX27kF0//9g+bvdLRDZ1HRUzigxTGPJ&#10;f339/vPHNxJPUJ/e+QrD7twtRIbe3Vj+yRNjlx0zG3EFYPtOsAazKmJ89uhCNDxeJev+rW0QnG2D&#10;TVLtW9AREEUg+5qejy7KaTGm5IC55EU5m46H6oh9IBwDivPpdFJid/IYMcnLIpUvY9U9kgMfXgur&#10;SdzUFLD66SW2u/EhZsaq+5DExCrZXEulkgGb9VIB2THslOv0JTJI+DRMGdLXdFaOyoT8yOdPIfL0&#10;/QtCy4ADpKSu6fQ0SJmjdlGuQfawX++PFVjb5oAqgh1aGAcYN52FL5T02L419Z+3DAQl6o3BSsyK&#10;8Tj2ezLG5WSEBpx61qceZjhC1TRQMmyXYZiRrQO56fClItE19gqr18okZqzskNUxb2zRpPFxnOIM&#10;nNop6s8vZP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OJ2lNUAAAAFAQAADwAAAAAAAAABACAA&#10;AAAiAAAAZHJzL2Rvd25yZXYueG1sUEsBAhQAFAAAAAgAh07iQCkYAh9JAgAAigQAAA4AAAAAAAAA&#10;AQAgAAAAJAEAAGRycy9lMm9Eb2MueG1sUEsFBgAAAAAGAAYAWQEAAN8FAAAAAA==&#10;">
                        <v:fill on="t" focussize="0,0"/>
                        <v:stroke color="#000000" miterlimit="8" joinstyle="miter"/>
                        <v:imagedata o:title=""/>
                        <o:lock v:ext="edit" aspectratio="f"/>
                        <v:textbox>
                          <w:txbxContent>
                            <w:p>
                              <w:pPr>
                                <w:jc w:val="center"/>
                                <w:rPr>
                                  <w:kern w:val="0"/>
                                  <w:sz w:val="24"/>
                                  <w:szCs w:val="24"/>
                                </w:rPr>
                              </w:pPr>
                              <w:r>
                                <w:rPr>
                                  <w:rFonts w:hint="eastAsia"/>
                                  <w:szCs w:val="21"/>
                                </w:rPr>
                                <w:t>全部进入产品蒸发</w:t>
                              </w:r>
                            </w:p>
                          </w:txbxContent>
                        </v:textbox>
                      </v:rect>
                      <v:shape id="自选图形 469" o:spid="_x0000_s1026" o:spt="32" type="#_x0000_t32" style="position:absolute;left:2419323;top:2151239;flip:y;height:318;width:846491;" filled="f" stroked="t" coordsize="21600,21600" o:gfxdata="UEsDBAoAAAAAAIdO4kAAAAAAAAAAAAAAAAAEAAAAZHJzL1BLAwQUAAAACACHTuJASgKjWt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5bzOYgDwlIt&#10;EpB5Jv/T5z9QSwMEFAAAAAgAh07iQGZTFTg2AgAANQQAAA4AAABkcnMvZTJvRG9jLnhtbK1TzW4T&#10;MRC+I/EOlu90s5sfklU2PSSUS4FILdwd25u18Hos28kmN26IZ+DGkXeAt6kEb8HYm7a0XHpgD9bY&#10;M/7m+74dz88PrSZ76bwCU9H8bECJNByEMtuKvr++eDGlxAdmBNNgZEWP0tPzxfNn886WsoAGtJCO&#10;IIjxZWcr2oRgyyzzvJEt82dgpcFkDa5lAbdumwnHOkRvdVYMBpOsAyesAy69x9NVn6QnRPcUQKhr&#10;xeUK+K6VJvSoTmoWUJJvlPV0kdjWteThXV17GYiuKCoNacUmGG/imi3mrNw6ZhvFTxTYUyg80tQy&#10;ZbDpHdSKBUZ2Tv0D1SruwEMdzji0WS8kOYIq8sEjb64aZmXSglZ7e2e6/3+w/O1+7YgSFS0m6Ilh&#10;Lf7yX5+///705ebrz5sf38hoMosuddaXWLw0axd18oO5spfAP3piYNkws5WJ7fXRIkDe++rD8mB6&#10;8PFLisGhosM+JY24z81OuXQte9ApbrxFipvuDQiEZrsAyelD7VpSa2U/xH6RE7pJsEMxymfDYkjJ&#10;EeN8nBfDJICV8hAIx4LpaDKa5ZRwLBjm00goY2XEiyjW+fBaQktiUFEfHFPbJizBGJwmcH0vtr/0&#10;ob94eyFeNnChtE5DpQ3pKjobF+NEzoNWIiZjmXfbzVI7smdxLNN3YvGgzMHOiAQWmNKvjCAh2Ruc&#10;QsO1pLFDKwUlWuJbjlFPSRuUdGtd/+82II5rF9PxHKcpiT5NfhzXv/ep6v61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gKjWtYAAAAFAQAADwAAAAAAAAABACAAAAAiAAAAZHJzL2Rvd25yZXYu&#10;eG1sUEsBAhQAFAAAAAgAh07iQGZTFTg2AgAANQQAAA4AAAAAAAAAAQAgAAAAJQEAAGRycy9lMm9E&#10;b2MueG1sUEsFBgAAAAAGAAYAWQEAAM0FAAAAAA==&#10;">
                        <v:fill on="f" focussize="0,0"/>
                        <v:stroke color="#000000" joinstyle="round" endarrow="block"/>
                        <v:imagedata o:title=""/>
                        <o:lock v:ext="edit" aspectratio="f"/>
                      </v:shape>
                      <v:rect id="_x0000_s1026" o:spid="_x0000_s1026" o:spt="1" style="position:absolute;left:983146;top:1865002;height:179705;width:379730;"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IJc1c4WAgAAFgQAAA4AAABkcnMvZTJvRG9jLnhtbK1TwW7bMAy9&#10;D9g/CLovdpI1TY04RdGgw4BuK9D2AxRZjoXZokYpsbOfGbDbPmKfM+w3Rklpl3aXHnYRSJF65Huk&#10;FudD17KdQqfBlHw8yjlTRkKlzabk93dXb+acOS9MJVowquR75fj58vWrRW8LNYEG2kohIxDjit6W&#10;vPHeFlnmZKM64UZglaFgDdgJTy5usgpFT+hdm03yfJb1gJVFkMo5ul2lID8g4ksAoa61VCuQ204Z&#10;n1BRtcITJddo6/gydlvXSvpPde2UZ23JiamPJxUhex3ObLkQxQaFbbQ8tCBe0sIzTp3Qhoo+Qq2E&#10;F2yL+h+oTksEB7UfSeiyRCQqQizG+TNtbhthVeRCUjv7KLr7f7Dy4+4Gma5KPpmNOTOio5H//vbj&#10;18/vLNyQPr11BaXd2hsMDJ29BvnZMQOXjTAbdYEIfaNERV3F/OzJg+A4esrW/QeoCFxsPUSphhq7&#10;AEgisKHkZ/Pp+O2Msz3BzGcneT5Jw1GDZ5Li09Oz0ymNTYYEsvOTEM9E8YBj0fl3CjoWjJIjzT7W&#10;Ebtr51PqQ0ooa+BKt22cf2ueXBBmuIk8QutJAj+sh4Maa6j2xAghrRN9JjIawK+c9bRKJXdftgIV&#10;Z+17E1SZ53nYveTk5HGGx5H1cUQYSVAl95wl89Knfd1a1JuGKo0jLQMXpGStI7Wgcurq0DetSxTn&#10;sNphH4/9mPX3O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nOmnTAAAABQEAAA8AAAAAAAAA&#10;AQAgAAAAIgAAAGRycy9kb3ducmV2LnhtbFBLAQIUABQAAAAIAIdO4kCCXNXOFgIAABYEAAAOAAAA&#10;AAAAAAEAIAAAACIBAABkcnMvZTJvRG9jLnhtbFBLBQYAAAAABgAGAFkBAACqBQ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7200</w:t>
                              </w:r>
                            </w:p>
                          </w:txbxContent>
                        </v:textbox>
                      </v:rect>
                      <v:rect id="_x0000_s1026" o:spid="_x0000_s1026" o:spt="1" style="position:absolute;left:2635185;top:1968802;height:179070;width:379730;"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ABCjm0YAgAAFwQAAA4AAABkcnMvZTJvRG9jLnhtbK1TS27bMBDd&#10;F+gdCO5ryTbij2A5CGKkKJC2AdIegKYoi6jIYYe0pfQyBbrrIXKcotfokHJSJ91k0Q0xP76Z9zhc&#10;nfemZQeFXoMt+XiUc6ashErbXck/f7p6s+DMB2Er0YJVJb9Tnp+vX79ada5QE2igrRQyArG+6FzJ&#10;mxBckWVeNsoIPwKnLCVrQCMCubjLKhQdoZs2m+T5LOsAK4cglfcU3QxJfkTElwBCXWupNiD3Rtkw&#10;oKJqRSBKvtHO83Watq6VDB/r2qvA2pIT05BOakL2Np7ZeiWKHQrXaHkcQbxkhGecjNCWmj5CbUQQ&#10;bI/6HyijJYKHOowkmGwgkhQhFuP8mTa3jXAqcSGpvXsU3f8/WPnhcINMVyWfzCacWWHoyX9///nr&#10;/geLEdKnc76gslt3g5Ghd9cgv3hm4bIRdqcuEKFrlKhoqnGsz55ciI6nq2zbvYeKwMU+QJKqr9FE&#10;QBKB9bH/9Gy8OOPsjnCWs8UiT91FofrAJBVM58v5lN5NxoL5Mp+n18tE8QDk0Ie3CgyLRsmRHj81&#10;EodrH+JgongoiX0tXOm2TQvQ2icBKoyRRCTOPmgQ+m1/lGML1R1RQhj2iX4TGQ3gN8462qWS+697&#10;gYqz9p2NsizyPC7f4OTkcYanme1pRlhJUCUPnA3mZRgWdu9Q7xrqNE60LFyQlLVO1KLMw1THuWlf&#10;EuPjbseFPPVT1d//v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mc6adMAAAAFAQAADwAAAAAA&#10;AAABACAAAAAiAAAAZHJzL2Rvd25yZXYueG1sUEsBAhQAFAAAAAgAh07iQABCjm0YAgAAFwQAAA4A&#10;AAAAAAAAAQAgAAAAIgEAAGRycy9lMm9Eb2MueG1sUEsFBgAAAAAGAAYAWQEAAKwFA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7224</w:t>
                              </w:r>
                            </w:p>
                          </w:txbxContent>
                        </v:textbox>
                      </v:rect>
                      <v:shape id="AutoShape 56" o:spid="_x0000_s1026" o:spt="34" type="#_x0000_t34" style="position:absolute;left:3273409;top:78054;height:3354290;width:521109;rotation:5898240f;" filled="f" stroked="t" coordsize="21600,21600" o:gfxdata="UEsDBAoAAAAAAIdO4kAAAAAAAAAAAAAAAAAEAAAAZHJzL1BLAwQUAAAACACHTuJAS+epVtUAAAAF&#10;AQAADwAAAGRycy9kb3ducmV2LnhtbE2PQUvDQBCF74L/YRnBi7SbWqNpzKYUQfAkGNv7NDsmodnZ&#10;kN2m1V/v6EUvA4838943xfrsejXRGDrPBhbzBBRx7W3HjYHt+/MsAxUissXeMxn4pADr8vKiwNz6&#10;E7/RVMVGSQiHHA20MQ651qFuyWGY+4FYvA8/Oowix0bbEU8S7np9myT32mHH0tDiQE8t1Yfq6ATj&#10;BtNgN7vtdPiqXu7Sh+x1w7Ux11eL5BFUpHP8W4YffLmBUpj2/sg2qN6APBJ/p3jZarkEtTewStIM&#10;dFno//TlN1BLAwQUAAAACACHTuJAV46CjjwCAABtBAAADgAAAGRycy9lMm9Eb2MueG1srVTBctsg&#10;EL13pv/AcG8ky1ZiayJnOnbTS9pkJukHYEAWLbAMEMv++y5IcZv0kkN10AC7em/f20XXN0ejyUH6&#10;oMC2dHZRUiItB6HsvqU/nm4/LSkJkVnBNFjZ0pMM9Gb98cP14BpZQQ9aSE8QxIZmcC3tY3RNUQTe&#10;S8PCBThpMdiBNyzi1u8L4dmA6EYXVVleFgN44TxwGQKebscgnRD9ewCh6xSXW+DPRto4onqpWURJ&#10;oVcu0HWutuskj/ddF2QkuqWoNOY3kuB6l97F+po1e89cr/hUAntPCW80GaYskp6htiwy8uzVP1BG&#10;cQ8BunjBwRSjkOwIqpiVb7x57JmTWQtaHdzZ9PD/YPn3w4MnSrS0upxTYpnBln9+jpC5SX2ZHBpc&#10;aDBxYx980siP9tHdAf8ViIVNz+xe5uynk8OPZ6OnIW6OdgSuZhQXR6QYQ9KKc6y+mmK5FcUrprQJ&#10;DsvbDd9AIDTDurLLx84b4gG7WS/K9ORTdJMgy7y6mi/KFSWnll4ty3oxsR4j4Riuq9ksRTmG5/N6&#10;Ua1GatYk1KTP+RC/SjAkLVq6wxnbgLU4S+DnmYkd7kLM7RaTZUz8RJWd0Tg9B6ZJnatC7wrWTNm4&#10;ekFOn1q4VVrn+dOWDC1d1VWd0QNoJVIwpQW/3220JwiK85qfpAfBXqUZFfFWamVaujwnsSYypb9Y&#10;QWJuTfQKm6UlTXRGCkq0xH9AWo2Q2iLyi+1j33cgTg8+hdM5TmHmnm5MGvO/9znrz19i/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56lW1QAAAAUBAAAPAAAAAAAAAAEAIAAAACIAAABkcnMvZG93&#10;bnJldi54bWxQSwECFAAUAAAACACHTuJAV46CjjwCAABtBAAADgAAAAAAAAABACAAAAAkAQAAZHJz&#10;L2Uyb0RvYy54bWxQSwUGAAAAAAYABgBZAQAA0gUAAAAA&#10;" adj="10800">
                        <v:fill on="f" focussize="0,0"/>
                        <v:stroke color="#000000" miterlimit="8" joinstyle="miter" endarrow="block"/>
                        <v:imagedata o:title=""/>
                        <o:lock v:ext="edit" aspectratio="f"/>
                      </v:shape>
                      <v:rect id="_x0000_s1026" o:spid="_x0000_s1026" o:spt="1" style="position:absolute;left:3131401;top:1571434;height:204369;width:939827;" filled="f" stroked="f" coordsize="21600,21600" o:gfxdata="UEsDBAoAAAAAAIdO4kAAAAAAAAAAAAAAAAAEAAAAZHJzL1BLAwQUAAAACACHTuJA0mc6adMAAAAF&#10;AQAADwAAAGRycy9kb3ducmV2LnhtbE2PzU7DMBCE70h9B2srcaN2GlHSkE0PpSBxbMsDOPESR43X&#10;Uez+8PYYLnBZaTSjmW+rzc0N4kJT6D0jZAsFgrj1pucO4eP4+lCACFGz0YNnQviiAJt6dlfp0vgr&#10;7+lyiJ1IJRxKjWBjHEspQ2vJ6bDwI3HyPv3kdExy6qSZ9DWVu0EulVpJp3tOC1aPtLXUng5nh3Da&#10;N0elXt77N7b2aZWPO5XlO8T7eaaeQUS6xb8w/OAndKgTU+PPbIIYENIj8fcmr1jnOYgGYa0eC5B1&#10;Jf/T199QSwMEFAAAAAgAh07iQE5P8WgaAgAAFwQAAA4AAABkcnMvZTJvRG9jLnhtbK1TS27bMBDd&#10;F+gdCO5rSbbr2ILlIIiRokDaBkhyAJqiLKIShx3SltzLFOiuh+hxil6jQ8pJnXSTRTfE/Phm3uNw&#10;ed63DdsrdBpMwbNRypkyEkpttgW/v7t6M+fMeWFK0YBRBT8ox89Xr18tO5urMdTQlAoZgRiXd7bg&#10;tfc2TxIna9UKNwKrDCUrwFZ4cnGblCg6Qm+bZJyms6QDLC2CVM5RdD0k+RERXwIIVaWlWoPctcr4&#10;ARVVIzxRcrW2jq/itFWlpP9UVU551hScmPp4UhOyN+FMVkuRb1HYWsvjCOIlIzzj1AptqOkj1Fp4&#10;wXao/4FqtURwUPmRhDYZiERFiEWWPtPmthZWRS4ktbOPorv/Bys/7m+Q6bLg49mUMyNaevLf3378&#10;+vmdhQjp01mXU9mtvcHA0NlrkJ8dM3BZC7NVF4jQ1UqUNFUW6pMnF4Lj6CrbdB+gJHCx8xCl6its&#10;AyCJwPqCT7JJNk0zzg6E8/Ysm05id5Gr3jNJBYvJYj4+40xSwTidTmaL2E3kD0AWnX+noGXBKDjS&#10;48dGYn/tfBhM5A8loa+BK900cQEa8yRAhSESiYTZBw18v+mPcmygPBAlhGGf6DeRUQN+5ayjXSq4&#10;+7ITqDhr3psgyzxNw/INTkoeZ3ia2ZxmhJEEVXDP2WBe+mFhdxb1tqZOWaRl4IKkrHSkFmQepjrO&#10;TfsSGR93OyzkqR+r/v7n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zpp0wAAAAUBAAAPAAAA&#10;AAAAAAEAIAAAACIAAABkcnMvZG93bnJldi54bWxQSwECFAAUAAAACACHTuJATk/xaBoCAAAXBAAA&#10;DgAAAAAAAAABACAAAAAiAQAAZHJzL2Uyb0RvYy54bWxQSwUGAAAAAAYABgBZAQAArgUAAAAA&#10;">
                        <v:fill on="f" focussize="0,0"/>
                        <v:stroke on="f"/>
                        <v:imagedata o:title=""/>
                        <o:lock v:ext="edit" aspectratio="f"/>
                        <v:textbox inset="0.5mm,0.3mm,0.5mm,0.3mm">
                          <w:txbxContent>
                            <w:p>
                              <w:pPr>
                                <w:jc w:val="center"/>
                                <w:rPr>
                                  <w:kern w:val="0"/>
                                  <w:sz w:val="24"/>
                                  <w:szCs w:val="24"/>
                                </w:rPr>
                              </w:pPr>
                              <w:r>
                                <w:rPr>
                                  <w:rFonts w:ascii="Times New Roman" w:hAnsi="Times New Roman"/>
                                  <w:szCs w:val="21"/>
                                </w:rPr>
                                <w:t>用于</w:t>
                              </w:r>
                              <w:r>
                                <w:rPr>
                                  <w:rFonts w:hint="eastAsia" w:ascii="Times New Roman" w:hAnsi="Times New Roman"/>
                                  <w:szCs w:val="21"/>
                                </w:rPr>
                                <w:t>生产</w:t>
                              </w:r>
                              <w:r>
                                <w:rPr>
                                  <w:rFonts w:ascii="Times New Roman" w:hAnsi="Times New Roman"/>
                                  <w:szCs w:val="21"/>
                                </w:rPr>
                                <w:t>24</w:t>
                              </w:r>
                            </w:p>
                          </w:txbxContent>
                        </v:textbox>
                      </v:rect>
                      <w10:wrap type="none"/>
                      <w10:anchorlock/>
                    </v:group>
                  </w:pict>
                </mc:Fallback>
              </mc:AlternateContent>
            </w:r>
          </w:p>
          <w:p>
            <w:pPr>
              <w:kinsoku w:val="0"/>
              <w:overflowPunct w:val="0"/>
              <w:spacing w:line="360" w:lineRule="auto"/>
              <w:jc w:val="center"/>
              <w:rPr>
                <w:rFonts w:ascii="Times New Roman" w:hAnsi="Times New Roman"/>
                <w:sz w:val="24"/>
                <w:u w:val="single"/>
              </w:rPr>
            </w:pPr>
            <w:r>
              <w:rPr>
                <w:rFonts w:ascii="Times New Roman" w:hAnsi="Times New Roman"/>
                <w:b/>
                <w:sz w:val="24"/>
                <w:szCs w:val="24"/>
                <w:u w:val="single"/>
              </w:rPr>
              <w:t>图1-1  项目水量平衡图</w:t>
            </w:r>
            <w:r>
              <w:rPr>
                <w:rFonts w:hint="eastAsia" w:ascii="Times New Roman" w:hAnsi="Times New Roman"/>
                <w:b/>
                <w:sz w:val="24"/>
                <w:szCs w:val="24"/>
                <w:u w:val="single"/>
              </w:rPr>
              <w:t xml:space="preserve">  </w:t>
            </w:r>
            <w:r>
              <w:rPr>
                <w:rFonts w:ascii="Times New Roman" w:hAnsi="Times New Roman"/>
                <w:b/>
                <w:sz w:val="24"/>
                <w:szCs w:val="24"/>
                <w:u w:val="single"/>
              </w:rPr>
              <w:t>单位</w:t>
            </w:r>
            <w:r>
              <w:rPr>
                <w:rFonts w:hint="eastAsia" w:ascii="Times New Roman" w:hAnsi="Times New Roman"/>
                <w:b/>
                <w:sz w:val="24"/>
                <w:szCs w:val="24"/>
                <w:u w:val="single"/>
              </w:rPr>
              <w:t>:</w:t>
            </w:r>
            <w:r>
              <w:rPr>
                <w:rFonts w:ascii="Times New Roman" w:hAnsi="Times New Roman"/>
                <w:b/>
                <w:sz w:val="24"/>
                <w:szCs w:val="24"/>
                <w:u w:val="single"/>
              </w:rPr>
              <w:t>m</w:t>
            </w:r>
            <w:r>
              <w:rPr>
                <w:rFonts w:ascii="Times New Roman" w:hAnsi="Times New Roman"/>
                <w:b/>
                <w:sz w:val="24"/>
                <w:szCs w:val="24"/>
                <w:u w:val="single"/>
                <w:vertAlign w:val="superscript"/>
              </w:rPr>
              <w:t>3</w:t>
            </w:r>
            <w:r>
              <w:rPr>
                <w:rFonts w:ascii="Times New Roman" w:hAnsi="Times New Roman"/>
                <w:b/>
                <w:sz w:val="24"/>
                <w:szCs w:val="24"/>
                <w:u w:val="single"/>
              </w:rPr>
              <w:t>/</w:t>
            </w:r>
            <w:r>
              <w:rPr>
                <w:rFonts w:hint="eastAsia" w:ascii="Times New Roman" w:hAnsi="Times New Roman"/>
                <w:b/>
                <w:sz w:val="24"/>
                <w:szCs w:val="24"/>
                <w:u w:val="single"/>
              </w:rPr>
              <w:t>a</w:t>
            </w:r>
          </w:p>
          <w:p>
            <w:pPr>
              <w:pStyle w:val="58"/>
              <w:spacing w:line="360" w:lineRule="auto"/>
              <w:jc w:val="left"/>
              <w:rPr>
                <w:rFonts w:ascii="Times New Roman" w:hAnsi="Times New Roman" w:cs="Times New Roman"/>
                <w:spacing w:val="8"/>
              </w:rPr>
            </w:pPr>
            <w:r>
              <w:rPr>
                <w:rFonts w:hint="eastAsia" w:ascii="Times New Roman" w:hAnsi="Times New Roman" w:cs="Times New Roman"/>
                <w:spacing w:val="8"/>
              </w:rPr>
              <w:t>7</w:t>
            </w:r>
            <w:r>
              <w:rPr>
                <w:rFonts w:ascii="Times New Roman" w:hAnsi="Times New Roman" w:cs="Times New Roman"/>
                <w:spacing w:val="8"/>
              </w:rPr>
              <w:t>.2 供电工程</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本项目用由益阳市桃江县鸬鹚渡镇农村电网供给。</w:t>
            </w:r>
          </w:p>
          <w:p>
            <w:pPr>
              <w:pStyle w:val="58"/>
              <w:spacing w:line="360" w:lineRule="auto"/>
              <w:jc w:val="left"/>
              <w:rPr>
                <w:rFonts w:ascii="Times New Roman" w:hAnsi="Times New Roman" w:cs="Times New Roman"/>
                <w:spacing w:val="8"/>
              </w:rPr>
            </w:pPr>
            <w:r>
              <w:rPr>
                <w:rFonts w:hint="eastAsia" w:ascii="Times New Roman" w:hAnsi="Times New Roman" w:cs="Times New Roman"/>
                <w:spacing w:val="8"/>
              </w:rPr>
              <w:t>7</w:t>
            </w:r>
            <w:r>
              <w:rPr>
                <w:rFonts w:ascii="Times New Roman" w:hAnsi="Times New Roman" w:cs="Times New Roman"/>
                <w:spacing w:val="8"/>
              </w:rPr>
              <w:t xml:space="preserve">.3 </w:t>
            </w:r>
            <w:r>
              <w:rPr>
                <w:rFonts w:hint="eastAsia" w:ascii="Times New Roman" w:hAnsi="Times New Roman" w:cs="Times New Roman"/>
                <w:spacing w:val="8"/>
              </w:rPr>
              <w:t>储运工程</w:t>
            </w:r>
          </w:p>
          <w:p>
            <w:pPr>
              <w:pStyle w:val="58"/>
              <w:spacing w:line="360" w:lineRule="auto"/>
              <w:ind w:firstLine="480" w:firstLineChars="200"/>
              <w:jc w:val="both"/>
              <w:rPr>
                <w:rFonts w:ascii="Times New Roman" w:hAnsi="Times New Roman" w:cs="Times New Roman"/>
                <w:b w:val="0"/>
                <w:szCs w:val="24"/>
              </w:rPr>
            </w:pPr>
            <w:r>
              <w:rPr>
                <w:rFonts w:hint="eastAsia" w:ascii="Times New Roman" w:hAnsi="Times New Roman" w:cs="Times New Roman"/>
                <w:b w:val="0"/>
                <w:szCs w:val="24"/>
              </w:rPr>
              <w:t>本项目采矿区主要生产页岩矿，矿石原料直接用汽车运至本项目原料堆场；生产过程由皮带输送完成，然后由装载机将成品运至产品料场堆放，产品为碎石和烧结页岩砖。页岩砖项目原料及产品厂外运输委托社会车辆采用汽车运输，其中原料的运输由原料供应商负责。厂内运输一般为铲车和叉车。</w:t>
            </w:r>
          </w:p>
          <w:p>
            <w:pPr>
              <w:spacing w:line="360" w:lineRule="auto"/>
              <w:rPr>
                <w:rFonts w:ascii="Times New Roman" w:hAnsi="Times New Roman"/>
                <w:b/>
                <w:spacing w:val="8"/>
                <w:sz w:val="24"/>
                <w:szCs w:val="24"/>
              </w:rPr>
            </w:pPr>
            <w:r>
              <w:rPr>
                <w:rFonts w:ascii="Times New Roman" w:hAnsi="Times New Roman"/>
                <w:b/>
                <w:spacing w:val="8"/>
                <w:sz w:val="24"/>
                <w:szCs w:val="24"/>
              </w:rPr>
              <w:t xml:space="preserve">7.4 </w:t>
            </w:r>
            <w:r>
              <w:rPr>
                <w:rFonts w:hint="eastAsia" w:ascii="Times New Roman" w:hAnsi="Times New Roman"/>
                <w:b/>
                <w:spacing w:val="8"/>
                <w:sz w:val="24"/>
                <w:szCs w:val="24"/>
              </w:rPr>
              <w:t>供热工程</w:t>
            </w:r>
          </w:p>
          <w:p>
            <w:pPr>
              <w:spacing w:line="360" w:lineRule="auto"/>
              <w:ind w:firstLine="480" w:firstLineChars="200"/>
              <w:rPr>
                <w:rFonts w:ascii="Times New Roman" w:hAnsi="Times New Roman"/>
                <w:b/>
                <w:spacing w:val="8"/>
                <w:sz w:val="24"/>
                <w:szCs w:val="24"/>
              </w:rPr>
            </w:pPr>
            <w:r>
              <w:rPr>
                <w:rFonts w:ascii="Times New Roman" w:hAnsi="Times New Roman"/>
                <w:color w:val="000000" w:themeColor="text1"/>
                <w:sz w:val="24"/>
                <w:szCs w:val="20"/>
                <w14:textFill>
                  <w14:solidFill>
                    <w14:schemeClr w14:val="tx1"/>
                  </w14:solidFill>
                </w14:textFill>
              </w:rPr>
              <w:t>本项目</w:t>
            </w:r>
            <w:r>
              <w:rPr>
                <w:rFonts w:hint="eastAsia" w:ascii="Times New Roman" w:hAnsi="Times New Roman"/>
                <w:color w:val="000000" w:themeColor="text1"/>
                <w:sz w:val="24"/>
                <w:szCs w:val="20"/>
                <w14:textFill>
                  <w14:solidFill>
                    <w14:schemeClr w14:val="tx1"/>
                  </w14:solidFill>
                </w14:textFill>
              </w:rPr>
              <w:t>焙烧</w:t>
            </w:r>
            <w:r>
              <w:rPr>
                <w:rFonts w:ascii="Times New Roman" w:hAnsi="Times New Roman"/>
                <w:color w:val="000000" w:themeColor="text1"/>
                <w:sz w:val="24"/>
                <w:szCs w:val="20"/>
                <w14:textFill>
                  <w14:solidFill>
                    <w14:schemeClr w14:val="tx1"/>
                  </w14:solidFill>
                </w14:textFill>
              </w:rPr>
              <w:t>过程中所需要的热量由制砖原料煤渣燃烧时产生的热量提供，煤渣燃烧产生的热烟气回用于砖坯的烘干。此外本项目点火时用生物质作燃料（一年点二次火），每年点火所用的生物质用量约为32t/a，每次点火燃烧时间为1天。由于引火时间较短，引火过程对周边的环境影响较小。</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8</w:t>
            </w:r>
            <w:r>
              <w:rPr>
                <w:rFonts w:ascii="Times New Roman" w:hAnsi="Times New Roman"/>
                <w:b/>
                <w:spacing w:val="8"/>
                <w:sz w:val="24"/>
                <w:szCs w:val="24"/>
              </w:rPr>
              <w:t xml:space="preserve"> 投资估算与资金筹措</w:t>
            </w:r>
          </w:p>
          <w:p>
            <w:pPr>
              <w:tabs>
                <w:tab w:val="left" w:pos="5000"/>
              </w:tabs>
              <w:spacing w:line="360" w:lineRule="auto"/>
              <w:ind w:firstLine="480" w:firstLineChars="200"/>
              <w:rPr>
                <w:rFonts w:ascii="Times New Roman" w:hAnsi="Times New Roman"/>
                <w:sz w:val="24"/>
              </w:rPr>
            </w:pPr>
            <w:r>
              <w:rPr>
                <w:rFonts w:ascii="Times New Roman" w:hAnsi="Times New Roman"/>
                <w:sz w:val="24"/>
              </w:rPr>
              <w:t>本项目估算投资总额为2</w:t>
            </w:r>
            <w:r>
              <w:rPr>
                <w:rFonts w:hint="eastAsia" w:ascii="Times New Roman" w:hAnsi="Times New Roman"/>
                <w:sz w:val="24"/>
              </w:rPr>
              <w:t>000</w:t>
            </w:r>
            <w:r>
              <w:rPr>
                <w:rFonts w:ascii="Times New Roman" w:hAnsi="Times New Roman"/>
                <w:sz w:val="24"/>
              </w:rPr>
              <w:t>万元，</w:t>
            </w:r>
            <w:r>
              <w:rPr>
                <w:rFonts w:hint="eastAsia" w:ascii="Times New Roman" w:hAnsi="Times New Roman"/>
                <w:sz w:val="24"/>
              </w:rPr>
              <w:t>由建设单位自筹。</w:t>
            </w:r>
          </w:p>
          <w:p>
            <w:pPr>
              <w:tabs>
                <w:tab w:val="left" w:pos="5000"/>
              </w:tabs>
              <w:spacing w:line="360" w:lineRule="auto"/>
              <w:rPr>
                <w:rFonts w:ascii="Times New Roman" w:hAnsi="Times New Roman"/>
                <w:b/>
                <w:spacing w:val="8"/>
                <w:sz w:val="24"/>
              </w:rPr>
            </w:pPr>
            <w:r>
              <w:rPr>
                <w:rFonts w:hint="eastAsia" w:ascii="Times New Roman" w:hAnsi="Times New Roman"/>
                <w:b/>
                <w:spacing w:val="8"/>
                <w:sz w:val="24"/>
              </w:rPr>
              <w:t>9 劳动定员</w:t>
            </w:r>
          </w:p>
          <w:p>
            <w:pPr>
              <w:tabs>
                <w:tab w:val="left" w:pos="5000"/>
              </w:tabs>
              <w:spacing w:line="360" w:lineRule="auto"/>
              <w:ind w:firstLine="480" w:firstLineChars="200"/>
              <w:rPr>
                <w:rFonts w:ascii="Times New Roman" w:hAnsi="Times New Roman"/>
                <w:sz w:val="24"/>
              </w:rPr>
            </w:pPr>
            <w:r>
              <w:rPr>
                <w:rFonts w:hint="eastAsia" w:ascii="Times New Roman" w:hAnsi="Times New Roman"/>
                <w:sz w:val="24"/>
              </w:rPr>
              <w:t>工作制度：正常生产时，全年生产天数为</w:t>
            </w:r>
            <w:r>
              <w:rPr>
                <w:rFonts w:ascii="Times New Roman" w:hAnsi="Times New Roman"/>
                <w:sz w:val="24"/>
              </w:rPr>
              <w:t>24</w:t>
            </w:r>
            <w:r>
              <w:rPr>
                <w:rFonts w:hint="eastAsia" w:ascii="Times New Roman" w:hAnsi="Times New Roman"/>
                <w:sz w:val="24"/>
              </w:rPr>
              <w:t>0天，每天工作</w:t>
            </w:r>
            <w:r>
              <w:rPr>
                <w:rFonts w:ascii="Times New Roman" w:hAnsi="Times New Roman"/>
                <w:sz w:val="24"/>
              </w:rPr>
              <w:t>16</w:t>
            </w:r>
            <w:r>
              <w:rPr>
                <w:rFonts w:hint="eastAsia" w:ascii="Times New Roman" w:hAnsi="Times New Roman"/>
                <w:sz w:val="24"/>
              </w:rPr>
              <w:t>小时。</w:t>
            </w:r>
          </w:p>
          <w:p>
            <w:pPr>
              <w:tabs>
                <w:tab w:val="left" w:pos="5000"/>
              </w:tabs>
              <w:spacing w:line="360" w:lineRule="auto"/>
              <w:ind w:firstLine="480" w:firstLineChars="200"/>
              <w:rPr>
                <w:rFonts w:ascii="Times New Roman" w:hAnsi="Times New Roman"/>
                <w:sz w:val="24"/>
              </w:rPr>
            </w:pPr>
            <w:r>
              <w:rPr>
                <w:rFonts w:hint="eastAsia" w:ascii="Times New Roman" w:hAnsi="Times New Roman"/>
                <w:sz w:val="24"/>
              </w:rPr>
              <w:t>劳动定员：劳动定员</w:t>
            </w:r>
            <w:r>
              <w:rPr>
                <w:rFonts w:ascii="Times New Roman" w:hAnsi="Times New Roman"/>
                <w:sz w:val="24"/>
              </w:rPr>
              <w:t>24</w:t>
            </w:r>
            <w:r>
              <w:rPr>
                <w:rFonts w:hint="eastAsia" w:ascii="Times New Roman" w:hAnsi="Times New Roman"/>
                <w:sz w:val="24"/>
              </w:rPr>
              <w:t>人，提供食堂，因聘用附近居民，不提供住宿。</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10</w:t>
            </w:r>
            <w:r>
              <w:rPr>
                <w:rFonts w:ascii="Times New Roman" w:hAnsi="Times New Roman"/>
                <w:b/>
                <w:spacing w:val="8"/>
                <w:sz w:val="24"/>
                <w:szCs w:val="24"/>
              </w:rPr>
              <w:t xml:space="preserve"> 拟建工程所在地基本情况</w:t>
            </w:r>
          </w:p>
          <w:p>
            <w:pPr>
              <w:tabs>
                <w:tab w:val="left" w:pos="5000"/>
              </w:tabs>
              <w:spacing w:line="360" w:lineRule="auto"/>
              <w:ind w:firstLine="480" w:firstLineChars="200"/>
              <w:rPr>
                <w:rFonts w:ascii="Times New Roman" w:hAnsi="Times New Roman"/>
                <w:snapToGrid w:val="0"/>
                <w:color w:val="000000" w:themeColor="text1"/>
                <w:kern w:val="0"/>
                <w:sz w:val="24"/>
                <w:szCs w:val="24"/>
                <w14:textFill>
                  <w14:solidFill>
                    <w14:schemeClr w14:val="tx1"/>
                  </w14:solidFill>
                </w14:textFill>
              </w:rPr>
            </w:pPr>
            <w:r>
              <w:rPr>
                <w:rFonts w:ascii="Times New Roman" w:hAnsi="Times New Roman"/>
                <w:snapToGrid w:val="0"/>
                <w:color w:val="000000" w:themeColor="text1"/>
                <w:kern w:val="0"/>
                <w:sz w:val="24"/>
                <w:szCs w:val="24"/>
                <w14:textFill>
                  <w14:solidFill>
                    <w14:schemeClr w14:val="tx1"/>
                  </w14:solidFill>
                </w14:textFill>
              </w:rPr>
              <w:t>本项目位于湖南</w:t>
            </w:r>
            <w:r>
              <w:rPr>
                <w:rFonts w:hint="eastAsia" w:ascii="Times New Roman" w:hAnsi="Times New Roman"/>
                <w:snapToGrid w:val="0"/>
                <w:color w:val="000000" w:themeColor="text1"/>
                <w:kern w:val="0"/>
                <w:sz w:val="24"/>
                <w:szCs w:val="24"/>
                <w14:textFill>
                  <w14:solidFill>
                    <w14:schemeClr w14:val="tx1"/>
                  </w14:solidFill>
                </w14:textFill>
              </w:rPr>
              <w:t>省</w:t>
            </w:r>
            <w:r>
              <w:rPr>
                <w:rFonts w:ascii="Times New Roman" w:hAnsi="Times New Roman"/>
                <w:color w:val="000000" w:themeColor="text1"/>
                <w:sz w:val="24"/>
                <w:szCs w:val="24"/>
                <w14:textFill>
                  <w14:solidFill>
                    <w14:schemeClr w14:val="tx1"/>
                  </w14:solidFill>
                </w14:textFill>
              </w:rPr>
              <w:t>益阳市桃江县鸬鹚渡镇百亩村</w:t>
            </w:r>
            <w:r>
              <w:rPr>
                <w:rFonts w:ascii="Times New Roman" w:hAnsi="Times New Roman"/>
                <w:snapToGrid w:val="0"/>
                <w:color w:val="000000" w:themeColor="text1"/>
                <w:kern w:val="0"/>
                <w:sz w:val="24"/>
                <w:szCs w:val="24"/>
                <w14:textFill>
                  <w14:solidFill>
                    <w14:schemeClr w14:val="tx1"/>
                  </w14:solidFill>
                </w14:textFill>
              </w:rPr>
              <w:t>，根据现场实地调查，项目周边无历史文化遗迹，旅游公园等人文景观，</w:t>
            </w:r>
            <w:r>
              <w:rPr>
                <w:rFonts w:hint="eastAsia" w:ascii="Times New Roman" w:hAnsi="Times New Roman"/>
                <w:snapToGrid w:val="0"/>
                <w:color w:val="000000" w:themeColor="text1"/>
                <w:kern w:val="0"/>
                <w:sz w:val="24"/>
                <w:szCs w:val="24"/>
                <w14:textFill>
                  <w14:solidFill>
                    <w14:schemeClr w14:val="tx1"/>
                  </w14:solidFill>
                </w14:textFill>
              </w:rPr>
              <w:t>无</w:t>
            </w:r>
            <w:r>
              <w:rPr>
                <w:rFonts w:ascii="Times New Roman" w:hAnsi="Times New Roman"/>
                <w:snapToGrid w:val="0"/>
                <w:color w:val="000000" w:themeColor="text1"/>
                <w:kern w:val="0"/>
                <w:sz w:val="24"/>
                <w:szCs w:val="24"/>
                <w14:textFill>
                  <w14:solidFill>
                    <w14:schemeClr w14:val="tx1"/>
                  </w14:solidFill>
                </w14:textFill>
              </w:rPr>
              <w:t>工农业重要设施。本项目生产区不在饮用水源保护区陆域保护范围内。场区最近居民点位于厂界</w:t>
            </w:r>
            <w:r>
              <w:rPr>
                <w:rFonts w:hint="eastAsia" w:ascii="Times New Roman" w:hAnsi="Times New Roman"/>
                <w:snapToGrid w:val="0"/>
                <w:color w:val="000000" w:themeColor="text1"/>
                <w:kern w:val="0"/>
                <w:sz w:val="24"/>
                <w:szCs w:val="24"/>
                <w14:textFill>
                  <w14:solidFill>
                    <w14:schemeClr w14:val="tx1"/>
                  </w14:solidFill>
                </w14:textFill>
              </w:rPr>
              <w:t>西</w:t>
            </w:r>
            <w:r>
              <w:rPr>
                <w:rFonts w:ascii="Times New Roman" w:hAnsi="Times New Roman"/>
                <w:snapToGrid w:val="0"/>
                <w:color w:val="000000" w:themeColor="text1"/>
                <w:kern w:val="0"/>
                <w:sz w:val="24"/>
                <w:szCs w:val="24"/>
                <w14:textFill>
                  <w14:solidFill>
                    <w14:schemeClr w14:val="tx1"/>
                  </w14:solidFill>
                </w14:textFill>
              </w:rPr>
              <w:t>面15m处，</w:t>
            </w:r>
            <w:r>
              <w:rPr>
                <w:rFonts w:hint="eastAsia" w:ascii="Times New Roman" w:hAnsi="Times New Roman"/>
                <w:snapToGrid w:val="0"/>
                <w:color w:val="000000" w:themeColor="text1"/>
                <w:kern w:val="0"/>
                <w:sz w:val="24"/>
                <w:szCs w:val="24"/>
                <w14:textFill>
                  <w14:solidFill>
                    <w14:schemeClr w14:val="tx1"/>
                  </w14:solidFill>
                </w14:textFill>
              </w:rPr>
              <w:t>南</w:t>
            </w:r>
            <w:r>
              <w:rPr>
                <w:rFonts w:ascii="Times New Roman" w:hAnsi="Times New Roman"/>
                <w:snapToGrid w:val="0"/>
                <w:color w:val="000000" w:themeColor="text1"/>
                <w:kern w:val="0"/>
                <w:sz w:val="24"/>
                <w:szCs w:val="24"/>
                <w14:textFill>
                  <w14:solidFill>
                    <w14:schemeClr w14:val="tx1"/>
                  </w14:solidFill>
                </w14:textFill>
              </w:rPr>
              <w:t>侧为当地农村道路。项目地理位置见附图1</w:t>
            </w:r>
            <w:r>
              <w:rPr>
                <w:rFonts w:hint="eastAsia" w:ascii="Times New Roman" w:hAnsi="Times New Roman"/>
                <w:snapToGrid w:val="0"/>
                <w:color w:val="000000" w:themeColor="text1"/>
                <w:kern w:val="0"/>
                <w:sz w:val="24"/>
                <w:szCs w:val="24"/>
                <w14:textFill>
                  <w14:solidFill>
                    <w14:schemeClr w14:val="tx1"/>
                  </w14:solidFill>
                </w14:textFill>
              </w:rPr>
              <w:t>。</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1</w:t>
            </w:r>
            <w:r>
              <w:rPr>
                <w:rFonts w:ascii="Times New Roman" w:hAnsi="Times New Roman"/>
                <w:b/>
                <w:spacing w:val="8"/>
                <w:sz w:val="24"/>
                <w:szCs w:val="24"/>
              </w:rPr>
              <w:t xml:space="preserve">1 </w:t>
            </w:r>
            <w:r>
              <w:rPr>
                <w:rFonts w:hint="eastAsia" w:ascii="Times New Roman" w:hAnsi="Times New Roman"/>
                <w:b/>
                <w:spacing w:val="8"/>
                <w:sz w:val="24"/>
                <w:szCs w:val="24"/>
              </w:rPr>
              <w:t>矿区基本情况</w:t>
            </w:r>
          </w:p>
          <w:p>
            <w:pPr>
              <w:spacing w:line="360" w:lineRule="auto"/>
              <w:rPr>
                <w:rFonts w:ascii="Times New Roman" w:hAnsi="Times New Roman"/>
                <w:b/>
                <w:sz w:val="24"/>
                <w:szCs w:val="24"/>
              </w:rPr>
            </w:pPr>
            <w:r>
              <w:rPr>
                <w:rFonts w:hint="eastAsia" w:ascii="Times New Roman" w:hAnsi="Times New Roman"/>
                <w:b/>
                <w:sz w:val="24"/>
                <w:szCs w:val="24"/>
              </w:rPr>
              <w:t>1</w:t>
            </w:r>
            <w:r>
              <w:rPr>
                <w:rFonts w:ascii="Times New Roman" w:hAnsi="Times New Roman"/>
                <w:b/>
                <w:sz w:val="24"/>
                <w:szCs w:val="24"/>
              </w:rPr>
              <w:t>1</w:t>
            </w:r>
            <w:r>
              <w:rPr>
                <w:rFonts w:hint="eastAsia" w:ascii="Times New Roman" w:hAnsi="Times New Roman"/>
                <w:b/>
                <w:sz w:val="24"/>
                <w:szCs w:val="24"/>
              </w:rPr>
              <w:t>.1</w:t>
            </w:r>
            <w:r>
              <w:rPr>
                <w:rFonts w:ascii="Times New Roman" w:hAnsi="Times New Roman"/>
                <w:b/>
                <w:sz w:val="24"/>
                <w:szCs w:val="24"/>
              </w:rPr>
              <w:t xml:space="preserve"> </w:t>
            </w:r>
            <w:r>
              <w:rPr>
                <w:rFonts w:hint="eastAsia" w:ascii="Times New Roman" w:hAnsi="Times New Roman"/>
                <w:b/>
                <w:sz w:val="24"/>
                <w:szCs w:val="24"/>
              </w:rPr>
              <w:t>矿区设置基本情况</w:t>
            </w:r>
          </w:p>
          <w:p>
            <w:pPr>
              <w:tabs>
                <w:tab w:val="left" w:pos="5000"/>
              </w:tabs>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以下根据《湖南省桃江县樗鹊波矿区百亩冲页岩矿资源储量报告（2014年</w:t>
            </w:r>
            <w:r>
              <w:rPr>
                <w:rFonts w:ascii="Times New Roman" w:hAnsi="Times New Roman"/>
                <w:color w:val="000000" w:themeColor="text1"/>
                <w:sz w:val="24"/>
                <w14:textFill>
                  <w14:solidFill>
                    <w14:schemeClr w14:val="tx1"/>
                  </w14:solidFill>
                </w14:textFill>
              </w:rPr>
              <w:t>5</w:t>
            </w:r>
            <w:r>
              <w:rPr>
                <w:rFonts w:hint="eastAsia" w:ascii="Times New Roman" w:hAnsi="Times New Roman"/>
                <w:color w:val="000000" w:themeColor="text1"/>
                <w:sz w:val="24"/>
                <w14:textFill>
                  <w14:solidFill>
                    <w14:schemeClr w14:val="tx1"/>
                  </w14:solidFill>
                </w14:textFill>
              </w:rPr>
              <w:t>月）”《湖南省桃江县鸽構渡矿区百亩冲页岩矿资源开发利用方案（2014年6月）》：</w:t>
            </w:r>
          </w:p>
          <w:p>
            <w:pPr>
              <w:spacing w:line="360" w:lineRule="auto"/>
              <w:rPr>
                <w:rFonts w:ascii="Times New Roman" w:hAnsi="Times New Roman"/>
                <w:b/>
                <w:sz w:val="24"/>
                <w:szCs w:val="24"/>
              </w:rPr>
            </w:pPr>
            <w:r>
              <w:rPr>
                <w:rFonts w:hint="eastAsia" w:ascii="Times New Roman" w:hAnsi="Times New Roman"/>
                <w:b/>
                <w:sz w:val="24"/>
                <w:szCs w:val="24"/>
              </w:rPr>
              <w:t>1</w:t>
            </w:r>
            <w:r>
              <w:rPr>
                <w:rFonts w:ascii="Times New Roman" w:hAnsi="Times New Roman"/>
                <w:b/>
                <w:sz w:val="24"/>
                <w:szCs w:val="24"/>
              </w:rPr>
              <w:t>1</w:t>
            </w:r>
            <w:r>
              <w:rPr>
                <w:rFonts w:hint="eastAsia" w:ascii="Times New Roman" w:hAnsi="Times New Roman"/>
                <w:b/>
                <w:sz w:val="24"/>
                <w:szCs w:val="24"/>
              </w:rPr>
              <w:t>.1</w:t>
            </w:r>
            <w:r>
              <w:rPr>
                <w:rFonts w:ascii="Times New Roman" w:hAnsi="Times New Roman"/>
                <w:b/>
                <w:sz w:val="24"/>
                <w:szCs w:val="24"/>
              </w:rPr>
              <w:t xml:space="preserve">.1 </w:t>
            </w:r>
            <w:r>
              <w:rPr>
                <w:rFonts w:hint="eastAsia" w:ascii="Times New Roman" w:hAnsi="Times New Roman"/>
                <w:b/>
                <w:sz w:val="24"/>
                <w:szCs w:val="24"/>
              </w:rPr>
              <w:t>开采范围</w:t>
            </w:r>
          </w:p>
          <w:p>
            <w:pPr>
              <w:tabs>
                <w:tab w:val="left" w:pos="5000"/>
              </w:tabs>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由桃江县国土资源局核准的矿山范围划定意见书可知，矿界范围由</w:t>
            </w:r>
            <w:r>
              <w:rPr>
                <w:rFonts w:ascii="Times New Roman" w:hAnsi="Times New Roman"/>
                <w:color w:val="000000" w:themeColor="text1"/>
                <w:sz w:val="24"/>
                <w14:textFill>
                  <w14:solidFill>
                    <w14:schemeClr w14:val="tx1"/>
                  </w14:solidFill>
                </w14:textFill>
              </w:rPr>
              <w:t>4</w:t>
            </w:r>
            <w:r>
              <w:rPr>
                <w:rFonts w:hint="eastAsia" w:ascii="Times New Roman" w:hAnsi="Times New Roman"/>
                <w:color w:val="000000" w:themeColor="text1"/>
                <w:sz w:val="24"/>
                <w14:textFill>
                  <w14:solidFill>
                    <w14:schemeClr w14:val="tx1"/>
                  </w14:solidFill>
                </w14:textFill>
              </w:rPr>
              <w:t>个拐点坐标圈定，矿界范围面积</w:t>
            </w:r>
            <w:r>
              <w:rPr>
                <w:rFonts w:ascii="Times New Roman" w:hAnsi="Times New Roman"/>
                <w:color w:val="000000" w:themeColor="text1"/>
                <w:sz w:val="24"/>
                <w14:textFill>
                  <w14:solidFill>
                    <w14:schemeClr w14:val="tx1"/>
                  </w14:solidFill>
                </w14:textFill>
              </w:rPr>
              <w:t>0.0138km</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，准开采标高为</w:t>
            </w:r>
            <w:r>
              <w:rPr>
                <w:rFonts w:ascii="Times New Roman" w:hAnsi="Times New Roman"/>
                <w:color w:val="000000" w:themeColor="text1"/>
                <w:sz w:val="24"/>
                <w14:textFill>
                  <w14:solidFill>
                    <w14:schemeClr w14:val="tx1"/>
                  </w14:solidFill>
                </w14:textFill>
              </w:rPr>
              <w:t>+100.15m</w:t>
            </w:r>
            <w:r>
              <w:rPr>
                <w:rFonts w:ascii="Times New Roman" w:hAnsi="Times New Roman" w:eastAsia="微软雅黑"/>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+69.00m标</w:t>
            </w:r>
            <w:r>
              <w:rPr>
                <w:rFonts w:hint="eastAsia" w:ascii="Times New Roman" w:hAnsi="Times New Roman"/>
                <w:color w:val="000000" w:themeColor="text1"/>
                <w:sz w:val="24"/>
                <w14:textFill>
                  <w14:solidFill>
                    <w14:schemeClr w14:val="tx1"/>
                  </w14:solidFill>
                </w14:textFill>
              </w:rPr>
              <w:t>高段</w:t>
            </w:r>
            <w:r>
              <w:rPr>
                <w:rFonts w:hint="eastAsia" w:ascii="Times New Roman" w:hAnsi="Times New Roman"/>
                <w:color w:val="000000" w:themeColor="text1"/>
                <w:sz w:val="24"/>
                <w:szCs w:val="24"/>
                <w14:textFill>
                  <w14:solidFill>
                    <w14:schemeClr w14:val="tx1"/>
                  </w14:solidFill>
                </w14:textFill>
              </w:rPr>
              <w:t>。</w:t>
            </w:r>
          </w:p>
          <w:p>
            <w:pPr>
              <w:spacing w:line="360" w:lineRule="auto"/>
              <w:jc w:val="center"/>
              <w:rPr>
                <w:rFonts w:ascii="Times New Roman" w:hAnsi="Times New Roman"/>
                <w:b/>
                <w:bCs/>
                <w:color w:val="000000" w:themeColor="text1"/>
                <w:sz w:val="24"/>
                <w:szCs w:val="20"/>
                <w14:textFill>
                  <w14:solidFill>
                    <w14:schemeClr w14:val="tx1"/>
                  </w14:solidFill>
                </w14:textFill>
              </w:rPr>
            </w:pPr>
            <w:r>
              <w:rPr>
                <w:rFonts w:ascii="Times New Roman" w:hAnsi="Times New Roman"/>
                <w:b/>
                <w:bCs/>
                <w:color w:val="000000" w:themeColor="text1"/>
                <w:sz w:val="24"/>
                <w:szCs w:val="24"/>
                <w:lang w:val="en-GB"/>
                <w14:textFill>
                  <w14:solidFill>
                    <w14:schemeClr w14:val="tx1"/>
                  </w14:solidFill>
                </w14:textFill>
              </w:rPr>
              <w:t>表</w:t>
            </w:r>
            <w:r>
              <w:rPr>
                <w:rFonts w:ascii="Times New Roman" w:hAnsi="Times New Roman"/>
                <w:b/>
                <w:bCs/>
                <w:color w:val="000000" w:themeColor="text1"/>
                <w:sz w:val="24"/>
                <w:szCs w:val="24"/>
                <w14:textFill>
                  <w14:solidFill>
                    <w14:schemeClr w14:val="tx1"/>
                  </w14:solidFill>
                </w14:textFill>
              </w:rPr>
              <w:t xml:space="preserve">1-10  </w:t>
            </w:r>
            <w:r>
              <w:rPr>
                <w:rFonts w:ascii="Times New Roman" w:hAnsi="Times New Roman"/>
                <w:b/>
                <w:bCs/>
                <w:color w:val="000000" w:themeColor="text1"/>
                <w:sz w:val="24"/>
                <w:szCs w:val="20"/>
                <w14:textFill>
                  <w14:solidFill>
                    <w14:schemeClr w14:val="tx1"/>
                  </w14:solidFill>
                </w14:textFill>
              </w:rPr>
              <w:t>矿山范围拐点坐标一览表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502"/>
              <w:gridCol w:w="1565"/>
              <w:gridCol w:w="1450"/>
              <w:gridCol w:w="1502"/>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2" w:type="dxa"/>
                  <w:vMerge w:val="restart"/>
                  <w:vAlign w:val="center"/>
                </w:tcPr>
                <w:p>
                  <w:pPr>
                    <w:jc w:val="center"/>
                    <w:rPr>
                      <w:rFonts w:ascii="Times New Roman" w:hAnsi="Times New Roman"/>
                      <w:b/>
                      <w:bCs/>
                      <w:szCs w:val="21"/>
                    </w:rPr>
                  </w:pPr>
                  <w:r>
                    <w:rPr>
                      <w:rFonts w:ascii="Times New Roman" w:hAnsi="Times New Roman"/>
                      <w:b/>
                      <w:bCs/>
                      <w:szCs w:val="21"/>
                    </w:rPr>
                    <w:t>拐点编号</w:t>
                  </w:r>
                </w:p>
              </w:tc>
              <w:tc>
                <w:tcPr>
                  <w:tcW w:w="3079" w:type="dxa"/>
                  <w:gridSpan w:val="2"/>
                  <w:vAlign w:val="center"/>
                </w:tcPr>
                <w:p>
                  <w:pPr>
                    <w:jc w:val="center"/>
                    <w:rPr>
                      <w:rFonts w:ascii="Times New Roman" w:hAnsi="Times New Roman"/>
                      <w:b/>
                      <w:bCs/>
                      <w:szCs w:val="21"/>
                    </w:rPr>
                  </w:pPr>
                  <w:r>
                    <w:rPr>
                      <w:rFonts w:ascii="Times New Roman" w:hAnsi="Times New Roman"/>
                      <w:b/>
                      <w:bCs/>
                      <w:szCs w:val="21"/>
                    </w:rPr>
                    <w:t>80西安直角坐标系</w:t>
                  </w:r>
                </w:p>
              </w:tc>
              <w:tc>
                <w:tcPr>
                  <w:tcW w:w="1455" w:type="dxa"/>
                  <w:vMerge w:val="restart"/>
                  <w:vAlign w:val="center"/>
                </w:tcPr>
                <w:p>
                  <w:pPr>
                    <w:jc w:val="center"/>
                    <w:rPr>
                      <w:rFonts w:ascii="Times New Roman" w:hAnsi="Times New Roman"/>
                      <w:b/>
                      <w:bCs/>
                      <w:szCs w:val="21"/>
                    </w:rPr>
                  </w:pPr>
                  <w:r>
                    <w:rPr>
                      <w:rFonts w:ascii="Times New Roman" w:hAnsi="Times New Roman"/>
                      <w:b/>
                      <w:bCs/>
                      <w:szCs w:val="21"/>
                    </w:rPr>
                    <w:t>拐点编号</w:t>
                  </w:r>
                </w:p>
              </w:tc>
              <w:tc>
                <w:tcPr>
                  <w:tcW w:w="3085" w:type="dxa"/>
                  <w:gridSpan w:val="2"/>
                  <w:vAlign w:val="center"/>
                </w:tcPr>
                <w:p>
                  <w:pPr>
                    <w:jc w:val="center"/>
                    <w:rPr>
                      <w:rFonts w:ascii="Times New Roman" w:hAnsi="Times New Roman"/>
                      <w:b/>
                      <w:bCs/>
                      <w:szCs w:val="21"/>
                    </w:rPr>
                  </w:pPr>
                  <w:r>
                    <w:rPr>
                      <w:rFonts w:ascii="Times New Roman" w:hAnsi="Times New Roman"/>
                      <w:b/>
                      <w:bCs/>
                      <w:szCs w:val="21"/>
                    </w:rPr>
                    <w:t>80西安直角坐标系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2" w:type="dxa"/>
                  <w:vMerge w:val="continue"/>
                  <w:vAlign w:val="center"/>
                </w:tcPr>
                <w:p>
                  <w:pPr>
                    <w:jc w:val="center"/>
                    <w:rPr>
                      <w:rFonts w:ascii="Times New Roman" w:hAnsi="Times New Roman"/>
                      <w:b/>
                      <w:bCs/>
                      <w:szCs w:val="21"/>
                    </w:rPr>
                  </w:pPr>
                </w:p>
              </w:tc>
              <w:tc>
                <w:tcPr>
                  <w:tcW w:w="1508" w:type="dxa"/>
                  <w:vAlign w:val="center"/>
                </w:tcPr>
                <w:p>
                  <w:pPr>
                    <w:jc w:val="center"/>
                    <w:rPr>
                      <w:rFonts w:ascii="Times New Roman" w:hAnsi="Times New Roman"/>
                      <w:b/>
                      <w:bCs/>
                      <w:szCs w:val="21"/>
                    </w:rPr>
                  </w:pPr>
                  <w:r>
                    <w:rPr>
                      <w:rFonts w:ascii="Times New Roman" w:hAnsi="Times New Roman"/>
                      <w:b/>
                      <w:bCs/>
                      <w:szCs w:val="21"/>
                    </w:rPr>
                    <w:t>X</w:t>
                  </w:r>
                </w:p>
              </w:tc>
              <w:tc>
                <w:tcPr>
                  <w:tcW w:w="1571" w:type="dxa"/>
                  <w:vAlign w:val="center"/>
                </w:tcPr>
                <w:p>
                  <w:pPr>
                    <w:jc w:val="center"/>
                    <w:rPr>
                      <w:rFonts w:ascii="Times New Roman" w:hAnsi="Times New Roman"/>
                      <w:b/>
                      <w:bCs/>
                      <w:szCs w:val="21"/>
                    </w:rPr>
                  </w:pPr>
                  <w:r>
                    <w:rPr>
                      <w:rFonts w:ascii="Times New Roman" w:hAnsi="Times New Roman"/>
                      <w:b/>
                      <w:bCs/>
                      <w:szCs w:val="21"/>
                    </w:rPr>
                    <w:t>Y</w:t>
                  </w:r>
                </w:p>
              </w:tc>
              <w:tc>
                <w:tcPr>
                  <w:tcW w:w="1455" w:type="dxa"/>
                  <w:vMerge w:val="continue"/>
                  <w:vAlign w:val="center"/>
                </w:tcPr>
                <w:p>
                  <w:pPr>
                    <w:jc w:val="center"/>
                    <w:rPr>
                      <w:rFonts w:ascii="Times New Roman" w:hAnsi="Times New Roman"/>
                      <w:b/>
                      <w:bCs/>
                      <w:szCs w:val="21"/>
                    </w:rPr>
                  </w:pPr>
                </w:p>
              </w:tc>
              <w:tc>
                <w:tcPr>
                  <w:tcW w:w="1508" w:type="dxa"/>
                  <w:vAlign w:val="center"/>
                </w:tcPr>
                <w:p>
                  <w:pPr>
                    <w:jc w:val="center"/>
                    <w:rPr>
                      <w:rFonts w:ascii="Times New Roman" w:hAnsi="Times New Roman"/>
                      <w:b/>
                      <w:bCs/>
                      <w:szCs w:val="21"/>
                    </w:rPr>
                  </w:pPr>
                  <w:r>
                    <w:rPr>
                      <w:rFonts w:ascii="Times New Roman" w:hAnsi="Times New Roman"/>
                      <w:b/>
                      <w:bCs/>
                      <w:szCs w:val="21"/>
                    </w:rPr>
                    <w:t>X</w:t>
                  </w:r>
                </w:p>
              </w:tc>
              <w:tc>
                <w:tcPr>
                  <w:tcW w:w="1577" w:type="dxa"/>
                  <w:vAlign w:val="center"/>
                </w:tcPr>
                <w:p>
                  <w:pPr>
                    <w:jc w:val="center"/>
                    <w:rPr>
                      <w:rFonts w:ascii="Times New Roman" w:hAnsi="Times New Roman"/>
                      <w:b/>
                      <w:bCs/>
                      <w:szCs w:val="21"/>
                    </w:rPr>
                  </w:pPr>
                  <w:r>
                    <w:rPr>
                      <w:rFonts w:ascii="Times New Roman" w:hAnsi="Times New Roman"/>
                      <w:b/>
                      <w:bCs/>
                      <w:szCs w:val="21"/>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2" w:type="dxa"/>
                  <w:vAlign w:val="center"/>
                </w:tcPr>
                <w:p>
                  <w:pPr>
                    <w:jc w:val="center"/>
                    <w:rPr>
                      <w:rFonts w:ascii="Times New Roman" w:hAnsi="Times New Roman"/>
                      <w:szCs w:val="21"/>
                    </w:rPr>
                  </w:pPr>
                  <w:r>
                    <w:rPr>
                      <w:rFonts w:ascii="Times New Roman" w:hAnsi="Times New Roman"/>
                      <w:szCs w:val="21"/>
                    </w:rPr>
                    <w:t>1</w:t>
                  </w:r>
                </w:p>
              </w:tc>
              <w:tc>
                <w:tcPr>
                  <w:tcW w:w="1508" w:type="dxa"/>
                  <w:vAlign w:val="center"/>
                </w:tcPr>
                <w:p>
                  <w:pPr>
                    <w:jc w:val="center"/>
                    <w:rPr>
                      <w:rFonts w:ascii="Times New Roman" w:hAnsi="Times New Roman"/>
                      <w:szCs w:val="21"/>
                    </w:rPr>
                  </w:pPr>
                  <w:r>
                    <w:rPr>
                      <w:rFonts w:ascii="Times New Roman" w:hAnsi="Times New Roman"/>
                      <w:szCs w:val="21"/>
                    </w:rPr>
                    <w:t>315145029</w:t>
                  </w:r>
                </w:p>
              </w:tc>
              <w:tc>
                <w:tcPr>
                  <w:tcW w:w="1571" w:type="dxa"/>
                  <w:vAlign w:val="center"/>
                </w:tcPr>
                <w:p>
                  <w:pPr>
                    <w:jc w:val="center"/>
                    <w:rPr>
                      <w:rFonts w:ascii="Times New Roman" w:hAnsi="Times New Roman"/>
                      <w:szCs w:val="21"/>
                    </w:rPr>
                  </w:pPr>
                  <w:r>
                    <w:rPr>
                      <w:rFonts w:ascii="Times New Roman" w:hAnsi="Times New Roman"/>
                      <w:szCs w:val="21"/>
                    </w:rPr>
                    <w:t>37592147.95</w:t>
                  </w:r>
                </w:p>
              </w:tc>
              <w:tc>
                <w:tcPr>
                  <w:tcW w:w="1455" w:type="dxa"/>
                  <w:vAlign w:val="center"/>
                </w:tcPr>
                <w:p>
                  <w:pPr>
                    <w:jc w:val="center"/>
                    <w:rPr>
                      <w:rFonts w:ascii="Times New Roman" w:hAnsi="Times New Roman"/>
                      <w:szCs w:val="21"/>
                    </w:rPr>
                  </w:pPr>
                  <w:r>
                    <w:rPr>
                      <w:rFonts w:ascii="Times New Roman" w:hAnsi="Times New Roman"/>
                      <w:szCs w:val="21"/>
                    </w:rPr>
                    <w:t>1</w:t>
                  </w:r>
                </w:p>
              </w:tc>
              <w:tc>
                <w:tcPr>
                  <w:tcW w:w="1508" w:type="dxa"/>
                  <w:vAlign w:val="center"/>
                </w:tcPr>
                <w:p>
                  <w:pPr>
                    <w:jc w:val="center"/>
                    <w:rPr>
                      <w:rFonts w:ascii="Times New Roman" w:hAnsi="Times New Roman"/>
                      <w:szCs w:val="21"/>
                    </w:rPr>
                  </w:pPr>
                  <w:r>
                    <w:rPr>
                      <w:rFonts w:ascii="Times New Roman" w:hAnsi="Times New Roman"/>
                      <w:szCs w:val="21"/>
                    </w:rPr>
                    <w:t>315141032</w:t>
                  </w:r>
                </w:p>
              </w:tc>
              <w:tc>
                <w:tcPr>
                  <w:tcW w:w="1577" w:type="dxa"/>
                  <w:vAlign w:val="center"/>
                </w:tcPr>
                <w:p>
                  <w:pPr>
                    <w:jc w:val="center"/>
                    <w:rPr>
                      <w:rFonts w:ascii="Times New Roman" w:hAnsi="Times New Roman"/>
                      <w:szCs w:val="21"/>
                    </w:rPr>
                  </w:pPr>
                  <w:r>
                    <w:rPr>
                      <w:rFonts w:ascii="Times New Roman" w:hAnsi="Times New Roman"/>
                      <w:szCs w:val="21"/>
                    </w:rPr>
                    <w:t>3759231551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2" w:type="dxa"/>
                  <w:vAlign w:val="center"/>
                </w:tcPr>
                <w:p>
                  <w:pPr>
                    <w:jc w:val="center"/>
                    <w:rPr>
                      <w:rFonts w:ascii="Times New Roman" w:hAnsi="Times New Roman"/>
                      <w:szCs w:val="21"/>
                    </w:rPr>
                  </w:pPr>
                  <w:r>
                    <w:rPr>
                      <w:rFonts w:ascii="Times New Roman" w:hAnsi="Times New Roman"/>
                      <w:szCs w:val="21"/>
                    </w:rPr>
                    <w:t>2</w:t>
                  </w:r>
                </w:p>
              </w:tc>
              <w:tc>
                <w:tcPr>
                  <w:tcW w:w="1508" w:type="dxa"/>
                  <w:vAlign w:val="center"/>
                </w:tcPr>
                <w:p>
                  <w:pPr>
                    <w:jc w:val="center"/>
                    <w:rPr>
                      <w:rFonts w:ascii="Times New Roman" w:hAnsi="Times New Roman"/>
                      <w:szCs w:val="21"/>
                    </w:rPr>
                  </w:pPr>
                  <w:r>
                    <w:rPr>
                      <w:rFonts w:ascii="Times New Roman" w:hAnsi="Times New Roman"/>
                      <w:szCs w:val="21"/>
                    </w:rPr>
                    <w:t>3151534.05</w:t>
                  </w:r>
                </w:p>
              </w:tc>
              <w:tc>
                <w:tcPr>
                  <w:tcW w:w="1571" w:type="dxa"/>
                  <w:vAlign w:val="center"/>
                </w:tcPr>
                <w:p>
                  <w:pPr>
                    <w:jc w:val="center"/>
                    <w:rPr>
                      <w:rFonts w:ascii="Times New Roman" w:hAnsi="Times New Roman"/>
                      <w:szCs w:val="21"/>
                    </w:rPr>
                  </w:pPr>
                  <w:r>
                    <w:rPr>
                      <w:rFonts w:ascii="Times New Roman" w:hAnsi="Times New Roman"/>
                      <w:szCs w:val="21"/>
                    </w:rPr>
                    <w:t>37592286.88</w:t>
                  </w:r>
                </w:p>
              </w:tc>
              <w:tc>
                <w:tcPr>
                  <w:tcW w:w="1455" w:type="dxa"/>
                  <w:vAlign w:val="center"/>
                </w:tcPr>
                <w:p>
                  <w:pPr>
                    <w:jc w:val="center"/>
                    <w:rPr>
                      <w:rFonts w:ascii="Times New Roman" w:hAnsi="Times New Roman"/>
                      <w:szCs w:val="21"/>
                    </w:rPr>
                  </w:pPr>
                  <w:r>
                    <w:rPr>
                      <w:rFonts w:ascii="Times New Roman" w:hAnsi="Times New Roman"/>
                      <w:szCs w:val="21"/>
                    </w:rPr>
                    <w:t>2</w:t>
                  </w:r>
                </w:p>
              </w:tc>
              <w:tc>
                <w:tcPr>
                  <w:tcW w:w="1508" w:type="dxa"/>
                  <w:vAlign w:val="center"/>
                </w:tcPr>
                <w:p>
                  <w:pPr>
                    <w:jc w:val="center"/>
                    <w:rPr>
                      <w:rFonts w:ascii="Times New Roman" w:hAnsi="Times New Roman"/>
                      <w:szCs w:val="21"/>
                    </w:rPr>
                  </w:pPr>
                  <w:r>
                    <w:rPr>
                      <w:rFonts w:ascii="Times New Roman" w:hAnsi="Times New Roman"/>
                      <w:szCs w:val="21"/>
                    </w:rPr>
                    <w:t>3151400.05</w:t>
                  </w:r>
                </w:p>
              </w:tc>
              <w:tc>
                <w:tcPr>
                  <w:tcW w:w="1577" w:type="dxa"/>
                  <w:vAlign w:val="center"/>
                </w:tcPr>
                <w:p>
                  <w:pPr>
                    <w:jc w:val="center"/>
                    <w:rPr>
                      <w:rFonts w:ascii="Times New Roman" w:hAnsi="Times New Roman"/>
                      <w:szCs w:val="21"/>
                    </w:rPr>
                  </w:pPr>
                  <w:r>
                    <w:rPr>
                      <w:rFonts w:ascii="Times New Roman" w:hAnsi="Times New Roman"/>
                      <w:szCs w:val="21"/>
                    </w:rPr>
                    <w:t>37592159.03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71" w:type="dxa"/>
                  <w:gridSpan w:val="6"/>
                  <w:vAlign w:val="center"/>
                </w:tcPr>
                <w:p>
                  <w:pPr>
                    <w:jc w:val="center"/>
                    <w:rPr>
                      <w:rFonts w:ascii="Times New Roman" w:hAnsi="Times New Roman"/>
                      <w:szCs w:val="21"/>
                    </w:rPr>
                  </w:pPr>
                  <w:r>
                    <w:rPr>
                      <w:rFonts w:ascii="Times New Roman" w:hAnsi="Times New Roman"/>
                      <w:szCs w:val="21"/>
                    </w:rPr>
                    <w:t>面积：0.0138km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准釆标高：+100.15m至+69.00m</w:t>
                  </w:r>
                </w:p>
              </w:tc>
            </w:tr>
          </w:tbl>
          <w:p>
            <w:pPr>
              <w:spacing w:line="360" w:lineRule="auto"/>
              <w:rPr>
                <w:rFonts w:ascii="Times New Roman" w:hAnsi="Times New Roman"/>
                <w:b/>
                <w:spacing w:val="8"/>
                <w:sz w:val="24"/>
                <w:szCs w:val="24"/>
                <w:u w:val="single"/>
              </w:rPr>
            </w:pPr>
            <w:r>
              <w:rPr>
                <w:rFonts w:hint="eastAsia" w:ascii="Times New Roman" w:hAnsi="Times New Roman"/>
                <w:b/>
                <w:spacing w:val="8"/>
                <w:sz w:val="24"/>
                <w:szCs w:val="24"/>
                <w:u w:val="single"/>
              </w:rPr>
              <w:t>1</w:t>
            </w:r>
            <w:r>
              <w:rPr>
                <w:rFonts w:ascii="Times New Roman" w:hAnsi="Times New Roman"/>
                <w:b/>
                <w:spacing w:val="8"/>
                <w:sz w:val="24"/>
                <w:szCs w:val="24"/>
                <w:u w:val="single"/>
              </w:rPr>
              <w:t>1</w:t>
            </w:r>
            <w:r>
              <w:rPr>
                <w:rFonts w:hint="eastAsia" w:ascii="Times New Roman" w:hAnsi="Times New Roman"/>
                <w:b/>
                <w:spacing w:val="8"/>
                <w:sz w:val="24"/>
                <w:szCs w:val="24"/>
                <w:u w:val="single"/>
              </w:rPr>
              <w:t>.</w:t>
            </w:r>
            <w:r>
              <w:rPr>
                <w:rFonts w:ascii="Times New Roman" w:hAnsi="Times New Roman"/>
                <w:b/>
                <w:spacing w:val="8"/>
                <w:sz w:val="24"/>
                <w:szCs w:val="24"/>
                <w:u w:val="single"/>
              </w:rPr>
              <w:t xml:space="preserve">1.2 </w:t>
            </w:r>
            <w:r>
              <w:rPr>
                <w:rFonts w:hint="eastAsia" w:ascii="Times New Roman" w:hAnsi="Times New Roman"/>
                <w:b/>
                <w:spacing w:val="8"/>
                <w:sz w:val="24"/>
                <w:szCs w:val="24"/>
                <w:u w:val="single"/>
              </w:rPr>
              <w:t>矿山规模、产品方案、服务年限</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（1）矿山规模</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设计页岩开采规模为6.6万吨/年，矿山开釆规模属中型。</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（2）产品方案</w:t>
            </w:r>
          </w:p>
          <w:p>
            <w:pPr>
              <w:tabs>
                <w:tab w:val="left" w:pos="5000"/>
              </w:tabs>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产品品种：本项目产品为烧结页岩砖，产品规模为6000万块/a。本项目烧结页岩砖主要尺寸为=240mm×115mm×53mm，其他产品规格根据需求方的要求，供需双方协商确定</w:t>
            </w:r>
            <w:r>
              <w:rPr>
                <w:rFonts w:hint="eastAsia" w:ascii="Times New Roman" w:hAnsi="Times New Roman"/>
                <w:sz w:val="24"/>
                <w:szCs w:val="24"/>
                <w:u w:val="single"/>
              </w:rPr>
              <w:t>；一条</w:t>
            </w:r>
            <w:r>
              <w:rPr>
                <w:rFonts w:ascii="Times New Roman" w:hAnsi="Times New Roman"/>
                <w:sz w:val="24"/>
                <w:szCs w:val="24"/>
                <w:u w:val="single"/>
              </w:rPr>
              <w:t>碎石生产线</w:t>
            </w:r>
            <w:r>
              <w:rPr>
                <w:rFonts w:hint="eastAsia" w:ascii="Times New Roman" w:hAnsi="Times New Roman"/>
                <w:sz w:val="24"/>
                <w:szCs w:val="24"/>
                <w:u w:val="single"/>
              </w:rPr>
              <w:t>，产品规模为1</w:t>
            </w:r>
            <w:r>
              <w:rPr>
                <w:rFonts w:ascii="Times New Roman" w:hAnsi="Times New Roman"/>
                <w:sz w:val="24"/>
                <w:szCs w:val="24"/>
                <w:u w:val="single"/>
              </w:rPr>
              <w:t>0</w:t>
            </w:r>
            <w:r>
              <w:rPr>
                <w:rFonts w:hint="eastAsia" w:ascii="Times New Roman" w:hAnsi="Times New Roman"/>
                <w:sz w:val="24"/>
                <w:szCs w:val="24"/>
                <w:u w:val="single"/>
              </w:rPr>
              <w:t>万吨/a，主要原料为外购建筑垃圾、采矿区产生的废石以及制砖区生产的不合格产品</w:t>
            </w:r>
            <w:r>
              <w:rPr>
                <w:rFonts w:ascii="Times New Roman" w:hAnsi="Times New Roman"/>
                <w:sz w:val="24"/>
                <w:szCs w:val="24"/>
                <w:u w:val="single"/>
              </w:rPr>
              <w:t>。</w:t>
            </w:r>
          </w:p>
          <w:p>
            <w:pPr>
              <w:tabs>
                <w:tab w:val="left" w:pos="5000"/>
              </w:tabs>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（3）服务年限</w:t>
            </w:r>
          </w:p>
          <w:p>
            <w:pPr>
              <w:tabs>
                <w:tab w:val="left" w:pos="5000"/>
              </w:tabs>
              <w:spacing w:line="360" w:lineRule="auto"/>
              <w:ind w:firstLine="480" w:firstLineChars="200"/>
              <w:rPr>
                <w:rFonts w:ascii="Times New Roman" w:hAnsi="Times New Roman"/>
                <w:sz w:val="24"/>
                <w:u w:val="single"/>
                <w:lang w:val="en-GB"/>
              </w:rPr>
            </w:pPr>
            <w:r>
              <w:rPr>
                <w:rFonts w:ascii="Times New Roman" w:hAnsi="Times New Roman"/>
                <w:sz w:val="24"/>
                <w:szCs w:val="24"/>
                <w:u w:val="single"/>
              </w:rPr>
              <w:t>按设计生产规模6.6万吨/年计算，可供开釆4.8年。矿区已停产多年，矿产资源丰富，可进行矿产开采。</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1</w:t>
            </w:r>
            <w:r>
              <w:rPr>
                <w:rFonts w:ascii="Times New Roman" w:hAnsi="Times New Roman"/>
                <w:b/>
                <w:spacing w:val="8"/>
                <w:sz w:val="24"/>
                <w:szCs w:val="24"/>
              </w:rPr>
              <w:t>1</w:t>
            </w:r>
            <w:r>
              <w:rPr>
                <w:rFonts w:hint="eastAsia" w:ascii="Times New Roman" w:hAnsi="Times New Roman"/>
                <w:b/>
                <w:spacing w:val="8"/>
                <w:sz w:val="24"/>
                <w:szCs w:val="24"/>
              </w:rPr>
              <w:t>.</w:t>
            </w:r>
            <w:r>
              <w:rPr>
                <w:rFonts w:ascii="Times New Roman" w:hAnsi="Times New Roman"/>
                <w:b/>
                <w:spacing w:val="8"/>
                <w:sz w:val="24"/>
                <w:szCs w:val="24"/>
              </w:rPr>
              <w:t xml:space="preserve">1.3 </w:t>
            </w:r>
            <w:r>
              <w:rPr>
                <w:rFonts w:hint="eastAsia" w:ascii="Times New Roman" w:hAnsi="Times New Roman"/>
                <w:b/>
                <w:spacing w:val="8"/>
                <w:sz w:val="24"/>
                <w:szCs w:val="24"/>
              </w:rPr>
              <w:t>矿区开发利用方案</w:t>
            </w:r>
          </w:p>
          <w:p>
            <w:pPr>
              <w:spacing w:line="360" w:lineRule="auto"/>
              <w:ind w:firstLine="480" w:firstLineChars="200"/>
              <w:rPr>
                <w:rFonts w:ascii="Times New Roman" w:hAnsi="Times New Roman"/>
                <w:sz w:val="24"/>
                <w:szCs w:val="24"/>
              </w:rPr>
            </w:pPr>
            <w:r>
              <w:rPr>
                <w:rFonts w:ascii="Times New Roman" w:hAnsi="Times New Roman"/>
                <w:sz w:val="24"/>
                <w:szCs w:val="24"/>
              </w:rPr>
              <w:t>（1）矿床开釆方式：</w:t>
            </w:r>
          </w:p>
          <w:p>
            <w:pPr>
              <w:spacing w:line="360" w:lineRule="auto"/>
              <w:ind w:firstLine="480" w:firstLineChars="200"/>
              <w:rPr>
                <w:rFonts w:ascii="Times New Roman" w:hAnsi="Times New Roman"/>
                <w:sz w:val="24"/>
                <w:szCs w:val="24"/>
              </w:rPr>
            </w:pPr>
            <w:r>
              <w:rPr>
                <w:rFonts w:ascii="Times New Roman" w:hAnsi="Times New Roman"/>
                <w:sz w:val="24"/>
                <w:szCs w:val="24"/>
              </w:rPr>
              <w:t>本矿剥釆比4%</w:t>
            </w:r>
            <w:r>
              <w:rPr>
                <w:rFonts w:hint="eastAsia" w:ascii="Times New Roman" w:hAnsi="Times New Roman"/>
                <w:sz w:val="24"/>
                <w:szCs w:val="24"/>
              </w:rPr>
              <w:t>（实际值为1</w:t>
            </w:r>
            <w:r>
              <w:rPr>
                <w:rFonts w:ascii="Times New Roman" w:hAnsi="Times New Roman"/>
                <w:sz w:val="24"/>
                <w:szCs w:val="24"/>
              </w:rPr>
              <w:t>5</w:t>
            </w:r>
            <w:r>
              <w:rPr>
                <w:rFonts w:hint="eastAsia" w:ascii="Times New Roman" w:hAnsi="Times New Roman"/>
                <w:sz w:val="24"/>
                <w:szCs w:val="24"/>
              </w:rPr>
              <w:t>%）</w:t>
            </w:r>
            <w:r>
              <w:rPr>
                <w:rFonts w:ascii="Times New Roman" w:hAnsi="Times New Roman"/>
                <w:sz w:val="24"/>
                <w:szCs w:val="24"/>
              </w:rPr>
              <w:t>，选用露天开采方式，多水平台阶式开釆，由上向下逐层剥离，多水平台阶式开釆具有采准切割工程小、工作组织简单、生产安全易于管理、生产能力和劳动生产率高等优点。</w:t>
            </w:r>
          </w:p>
          <w:p>
            <w:pPr>
              <w:spacing w:line="360" w:lineRule="auto"/>
              <w:ind w:firstLine="480" w:firstLineChars="200"/>
              <w:rPr>
                <w:rFonts w:ascii="Times New Roman" w:hAnsi="Times New Roman"/>
                <w:sz w:val="24"/>
                <w:szCs w:val="24"/>
              </w:rPr>
            </w:pPr>
            <w:r>
              <w:rPr>
                <w:rFonts w:ascii="Times New Roman" w:hAnsi="Times New Roman"/>
                <w:sz w:val="24"/>
                <w:szCs w:val="24"/>
              </w:rPr>
              <w:t>（2）开拓、运输方案</w:t>
            </w:r>
          </w:p>
          <w:p>
            <w:pPr>
              <w:spacing w:line="360" w:lineRule="auto"/>
              <w:ind w:firstLine="480" w:firstLineChars="200"/>
              <w:rPr>
                <w:rFonts w:ascii="Times New Roman" w:hAnsi="Times New Roman"/>
                <w:sz w:val="24"/>
                <w:szCs w:val="24"/>
              </w:rPr>
            </w:pPr>
            <w:r>
              <w:rPr>
                <w:rFonts w:ascii="Times New Roman" w:hAnsi="Times New Roman"/>
                <w:sz w:val="24"/>
                <w:szCs w:val="24"/>
              </w:rPr>
              <w:t>本矿山建设规模较大，矿体特征简单，开采技术条件好，运距小，因此本开釆利用方案确定的运输方案釆用自卸汽车运输。</w:t>
            </w:r>
          </w:p>
          <w:p>
            <w:pPr>
              <w:spacing w:line="360" w:lineRule="auto"/>
              <w:ind w:firstLine="480" w:firstLineChars="200"/>
              <w:rPr>
                <w:rFonts w:ascii="Times New Roman" w:hAnsi="Times New Roman"/>
                <w:sz w:val="24"/>
                <w:szCs w:val="24"/>
              </w:rPr>
            </w:pPr>
            <w:r>
              <w:rPr>
                <w:rFonts w:ascii="Times New Roman" w:hAnsi="Times New Roman"/>
                <w:sz w:val="24"/>
                <w:szCs w:val="24"/>
              </w:rPr>
              <w:t>（3）技术参数</w:t>
            </w:r>
            <w:r>
              <w:rPr>
                <w:rFonts w:ascii="Times New Roman" w:hAnsi="Times New Roman"/>
                <w:sz w:val="24"/>
                <w:szCs w:val="24"/>
              </w:rPr>
              <w:tab/>
            </w:r>
          </w:p>
          <w:p>
            <w:pPr>
              <w:spacing w:line="360" w:lineRule="auto"/>
              <w:ind w:firstLine="480" w:firstLineChars="200"/>
              <w:rPr>
                <w:rFonts w:ascii="Times New Roman" w:hAnsi="Times New Roman"/>
                <w:sz w:val="24"/>
                <w:szCs w:val="24"/>
              </w:rPr>
            </w:pPr>
            <w:r>
              <w:rPr>
                <w:rFonts w:ascii="Times New Roman" w:hAnsi="Times New Roman"/>
                <w:sz w:val="24"/>
                <w:szCs w:val="24"/>
              </w:rPr>
              <w:t>依据矿体赋存地质条件</w:t>
            </w:r>
            <w:r>
              <w:rPr>
                <w:rFonts w:hint="eastAsia" w:ascii="Times New Roman" w:hAnsi="Times New Roman"/>
                <w:sz w:val="24"/>
                <w:szCs w:val="24"/>
              </w:rPr>
              <w:t>（</w:t>
            </w:r>
            <w:r>
              <w:rPr>
                <w:rFonts w:ascii="Times New Roman" w:hAnsi="Times New Roman"/>
                <w:sz w:val="24"/>
                <w:szCs w:val="24"/>
              </w:rPr>
              <w:t>矿体厚度较大；矿体产状稳定；围岩较稳固等</w:t>
            </w:r>
            <w:r>
              <w:rPr>
                <w:rFonts w:hint="eastAsia" w:ascii="Times New Roman" w:hAnsi="Times New Roman"/>
                <w:sz w:val="24"/>
                <w:szCs w:val="24"/>
              </w:rPr>
              <w:t>）</w:t>
            </w:r>
            <w:r>
              <w:rPr>
                <w:rFonts w:ascii="Times New Roman" w:hAnsi="Times New Roman"/>
                <w:sz w:val="24"/>
                <w:szCs w:val="24"/>
              </w:rPr>
              <w:t>、地形条件、水文条件、工程地质条件，推荐的开釆方法</w:t>
            </w:r>
            <w:r>
              <w:rPr>
                <w:rFonts w:hint="eastAsia" w:ascii="Times New Roman" w:hAnsi="Times New Roman"/>
                <w:sz w:val="24"/>
                <w:szCs w:val="24"/>
              </w:rPr>
              <w:t>为</w:t>
            </w:r>
            <w:r>
              <w:rPr>
                <w:rFonts w:ascii="Times New Roman" w:hAnsi="Times New Roman"/>
                <w:sz w:val="24"/>
                <w:szCs w:val="24"/>
              </w:rPr>
              <w:t>露天开釆，釆矿工艺简单。露天开采的主要技术参数：</w:t>
            </w:r>
          </w:p>
          <w:p>
            <w:pPr>
              <w:spacing w:line="360" w:lineRule="auto"/>
              <w:ind w:firstLine="480" w:firstLineChars="200"/>
              <w:rPr>
                <w:rFonts w:ascii="Times New Roman" w:hAnsi="Times New Roman"/>
                <w:sz w:val="24"/>
                <w:szCs w:val="24"/>
              </w:rPr>
            </w:pPr>
            <w:r>
              <w:rPr>
                <w:rFonts w:ascii="Times New Roman" w:hAnsi="Times New Roman"/>
                <w:sz w:val="24"/>
                <w:szCs w:val="24"/>
              </w:rPr>
              <w:t>开釆标高</w:t>
            </w:r>
            <w:r>
              <w:rPr>
                <w:rFonts w:hint="eastAsia" w:ascii="Times New Roman" w:hAnsi="Times New Roman"/>
                <w:sz w:val="24"/>
                <w:szCs w:val="24"/>
              </w:rPr>
              <w:t>：</w:t>
            </w:r>
            <w:r>
              <w:rPr>
                <w:rFonts w:ascii="Times New Roman" w:hAnsi="Times New Roman"/>
                <w:sz w:val="24"/>
                <w:szCs w:val="24"/>
              </w:rPr>
              <w:t>+100.15m</w:t>
            </w:r>
            <w:r>
              <w:rPr>
                <w:rFonts w:hint="eastAsia" w:ascii="Times New Roman" w:hAnsi="Times New Roman"/>
                <w:sz w:val="24"/>
                <w:szCs w:val="24"/>
              </w:rPr>
              <w:t>~</w:t>
            </w:r>
            <w:r>
              <w:rPr>
                <w:rFonts w:ascii="Times New Roman" w:hAnsi="Times New Roman"/>
                <w:sz w:val="24"/>
                <w:szCs w:val="24"/>
              </w:rPr>
              <w:t>+69.00m</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釆场最终边坡角</w:t>
            </w:r>
            <w:r>
              <w:rPr>
                <w:rFonts w:hint="eastAsia" w:ascii="Times New Roman" w:hAnsi="Times New Roman"/>
                <w:sz w:val="24"/>
                <w:szCs w:val="24"/>
              </w:rPr>
              <w:t>：</w:t>
            </w:r>
            <w:r>
              <w:rPr>
                <w:rFonts w:ascii="Times New Roman" w:hAnsi="Times New Roman"/>
                <w:sz w:val="24"/>
                <w:szCs w:val="24"/>
              </w:rPr>
              <w:t>45°</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台阶高度</w:t>
            </w:r>
            <w:r>
              <w:rPr>
                <w:rFonts w:hint="eastAsia" w:ascii="Times New Roman" w:hAnsi="Times New Roman"/>
                <w:sz w:val="24"/>
                <w:szCs w:val="24"/>
              </w:rPr>
              <w:t>：</w:t>
            </w:r>
            <w:r>
              <w:rPr>
                <w:rFonts w:ascii="Times New Roman" w:hAnsi="Times New Roman"/>
                <w:sz w:val="24"/>
                <w:szCs w:val="24"/>
              </w:rPr>
              <w:t>8m</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清扫平台</w:t>
            </w:r>
            <w:r>
              <w:rPr>
                <w:rFonts w:hint="eastAsia" w:ascii="Times New Roman" w:hAnsi="Times New Roman"/>
                <w:sz w:val="24"/>
                <w:szCs w:val="24"/>
              </w:rPr>
              <w:t>：</w:t>
            </w:r>
            <w:r>
              <w:rPr>
                <w:rFonts w:ascii="Times New Roman" w:hAnsi="Times New Roman"/>
                <w:sz w:val="24"/>
                <w:szCs w:val="24"/>
              </w:rPr>
              <w:t>3m</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最终釆场底宽</w:t>
            </w:r>
            <w:r>
              <w:rPr>
                <w:rFonts w:hint="eastAsia" w:ascii="Times New Roman" w:hAnsi="Times New Roman"/>
                <w:sz w:val="24"/>
                <w:szCs w:val="24"/>
              </w:rPr>
              <w:t>：</w:t>
            </w:r>
            <w:r>
              <w:rPr>
                <w:rFonts w:ascii="Times New Roman" w:hAnsi="Times New Roman"/>
                <w:sz w:val="24"/>
                <w:szCs w:val="24"/>
              </w:rPr>
              <w:t>≥20m</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台阶边坡角</w:t>
            </w:r>
            <w:r>
              <w:rPr>
                <w:rFonts w:hint="eastAsia" w:ascii="Times New Roman" w:hAnsi="Times New Roman"/>
                <w:sz w:val="24"/>
                <w:szCs w:val="24"/>
              </w:rPr>
              <w:t>：</w:t>
            </w:r>
            <w:r>
              <w:rPr>
                <w:rFonts w:ascii="Times New Roman" w:hAnsi="Times New Roman"/>
                <w:sz w:val="24"/>
                <w:szCs w:val="24"/>
              </w:rPr>
              <w:t>55°</w:t>
            </w:r>
            <w:r>
              <w:rPr>
                <w:rFonts w:hint="eastAsia" w:ascii="Times New Roman" w:hAnsi="Times New Roman"/>
                <w:sz w:val="24"/>
                <w:szCs w:val="24"/>
              </w:rPr>
              <w:t>；</w:t>
            </w:r>
          </w:p>
          <w:p>
            <w:pPr>
              <w:tabs>
                <w:tab w:val="left" w:pos="5000"/>
              </w:tabs>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sz w:val="24"/>
                <w:szCs w:val="24"/>
              </w:rPr>
              <w:t>剥釆比</w:t>
            </w:r>
            <w:r>
              <w:rPr>
                <w:rFonts w:hint="eastAsia" w:ascii="Times New Roman" w:hAnsi="Times New Roman"/>
                <w:sz w:val="24"/>
                <w:szCs w:val="24"/>
              </w:rPr>
              <w:t>：</w:t>
            </w:r>
            <w:r>
              <w:rPr>
                <w:rFonts w:ascii="Times New Roman" w:hAnsi="Times New Roman"/>
                <w:sz w:val="24"/>
                <w:szCs w:val="24"/>
              </w:rPr>
              <w:t>0.04</w:t>
            </w:r>
            <w:r>
              <w:rPr>
                <w:rFonts w:hint="eastAsia" w:ascii="Times New Roman" w:hAnsi="Times New Roman"/>
                <w:sz w:val="24"/>
                <w:szCs w:val="24"/>
              </w:rPr>
              <w:t>，</w:t>
            </w:r>
            <w:r>
              <w:rPr>
                <w:rFonts w:ascii="Times New Roman" w:hAnsi="Times New Roman"/>
                <w:sz w:val="24"/>
                <w:szCs w:val="24"/>
              </w:rPr>
              <w:t>1m</w:t>
            </w:r>
            <w:r>
              <w:rPr>
                <w:rFonts w:ascii="Times New Roman" w:hAnsi="Times New Roman"/>
                <w:sz w:val="24"/>
                <w:szCs w:val="24"/>
                <w:vertAlign w:val="superscript"/>
              </w:rPr>
              <w:t>3</w:t>
            </w:r>
            <w:r>
              <w:rPr>
                <w:rFonts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w:t>
            </w:r>
          </w:p>
          <w:p>
            <w:pPr>
              <w:spacing w:line="360" w:lineRule="auto"/>
              <w:rPr>
                <w:rFonts w:ascii="Times New Roman" w:hAnsi="Times New Roman"/>
                <w:b/>
                <w:spacing w:val="8"/>
                <w:sz w:val="24"/>
                <w:szCs w:val="24"/>
                <w:u w:val="single"/>
              </w:rPr>
            </w:pPr>
            <w:r>
              <w:rPr>
                <w:rFonts w:hint="eastAsia" w:ascii="Times New Roman" w:hAnsi="Times New Roman"/>
                <w:b/>
                <w:spacing w:val="8"/>
                <w:sz w:val="24"/>
                <w:szCs w:val="24"/>
                <w:u w:val="single"/>
              </w:rPr>
              <w:t>1</w:t>
            </w:r>
            <w:r>
              <w:rPr>
                <w:rFonts w:ascii="Times New Roman" w:hAnsi="Times New Roman"/>
                <w:b/>
                <w:spacing w:val="8"/>
                <w:sz w:val="24"/>
                <w:szCs w:val="24"/>
                <w:u w:val="single"/>
              </w:rPr>
              <w:t>1</w:t>
            </w:r>
            <w:r>
              <w:rPr>
                <w:rFonts w:hint="eastAsia" w:ascii="Times New Roman" w:hAnsi="Times New Roman"/>
                <w:b/>
                <w:spacing w:val="8"/>
                <w:sz w:val="24"/>
                <w:szCs w:val="24"/>
                <w:u w:val="single"/>
              </w:rPr>
              <w:t>.</w:t>
            </w:r>
            <w:r>
              <w:rPr>
                <w:rFonts w:ascii="Times New Roman" w:hAnsi="Times New Roman"/>
                <w:b/>
                <w:spacing w:val="8"/>
                <w:sz w:val="24"/>
                <w:szCs w:val="24"/>
                <w:u w:val="single"/>
              </w:rPr>
              <w:t xml:space="preserve">1.4 </w:t>
            </w:r>
            <w:r>
              <w:rPr>
                <w:rFonts w:ascii="Times New Roman" w:hAnsi="Times New Roman"/>
                <w:b/>
                <w:bCs/>
                <w:sz w:val="24"/>
                <w:szCs w:val="24"/>
                <w:u w:val="single"/>
              </w:rPr>
              <w:t>排土场设计</w:t>
            </w:r>
          </w:p>
          <w:p>
            <w:pPr>
              <w:tabs>
                <w:tab w:val="left" w:pos="5000"/>
              </w:tabs>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sz w:val="24"/>
                <w:szCs w:val="24"/>
                <w:u w:val="single"/>
              </w:rPr>
              <w:t>矿山需剥离的覆盖层为腐植层，平均厚度为0.3m</w:t>
            </w:r>
            <w:r>
              <w:rPr>
                <w:rFonts w:hint="eastAsia" w:ascii="Times New Roman" w:hAnsi="Times New Roman"/>
                <w:sz w:val="24"/>
                <w:szCs w:val="24"/>
                <w:u w:val="single"/>
              </w:rPr>
              <w:t>，</w:t>
            </w:r>
            <w:r>
              <w:rPr>
                <w:rFonts w:ascii="Times New Roman" w:hAnsi="Times New Roman"/>
                <w:sz w:val="24"/>
                <w:szCs w:val="24"/>
                <w:u w:val="single"/>
              </w:rPr>
              <w:t>经估算，矿区范围内剥离土量约4134.3m</w:t>
            </w:r>
            <w:r>
              <w:rPr>
                <w:rFonts w:ascii="Times New Roman" w:hAnsi="Times New Roman"/>
                <w:sz w:val="24"/>
                <w:szCs w:val="24"/>
                <w:u w:val="single"/>
                <w:vertAlign w:val="superscript"/>
              </w:rPr>
              <w:t>3</w:t>
            </w:r>
            <w:r>
              <w:rPr>
                <w:rFonts w:ascii="Times New Roman" w:hAnsi="Times New Roman"/>
                <w:sz w:val="24"/>
                <w:szCs w:val="24"/>
                <w:u w:val="single"/>
              </w:rPr>
              <w:t>，剥离量小，剥离土体堆积于排土场。排土场拟设置于矿区西北侧山脚，</w:t>
            </w:r>
            <w:r>
              <w:rPr>
                <w:rFonts w:hint="eastAsia" w:ascii="Times New Roman" w:hAnsi="Times New Roman"/>
                <w:sz w:val="24"/>
                <w:szCs w:val="24"/>
                <w:u w:val="single"/>
              </w:rPr>
              <w:t>加工区</w:t>
            </w:r>
            <w:r>
              <w:rPr>
                <w:rFonts w:ascii="Times New Roman" w:hAnsi="Times New Roman"/>
                <w:sz w:val="24"/>
                <w:szCs w:val="24"/>
                <w:u w:val="single"/>
              </w:rPr>
              <w:t>北侧，面积800m</w:t>
            </w:r>
            <w:r>
              <w:rPr>
                <w:rFonts w:ascii="Times New Roman" w:hAnsi="Times New Roman"/>
                <w:sz w:val="24"/>
                <w:szCs w:val="24"/>
                <w:u w:val="single"/>
                <w:vertAlign w:val="superscript"/>
              </w:rPr>
              <w:t>2</w:t>
            </w:r>
            <w:r>
              <w:rPr>
                <w:rFonts w:ascii="Times New Roman" w:hAnsi="Times New Roman"/>
                <w:sz w:val="24"/>
                <w:szCs w:val="24"/>
                <w:u w:val="single"/>
              </w:rPr>
              <w:t>。排土场四周均为山体。矿山闭坑时排土场的剥离土可用作土地复垦。</w:t>
            </w:r>
          </w:p>
          <w:p>
            <w:pPr>
              <w:spacing w:line="360" w:lineRule="auto"/>
              <w:rPr>
                <w:rFonts w:ascii="Times New Roman" w:hAnsi="Times New Roman"/>
                <w:b/>
                <w:bCs/>
                <w:color w:val="000000" w:themeColor="text1"/>
                <w:sz w:val="24"/>
                <w14:textFill>
                  <w14:solidFill>
                    <w14:schemeClr w14:val="tx1"/>
                  </w14:solidFill>
                </w14:textFill>
              </w:rPr>
            </w:pPr>
            <w:r>
              <w:rPr>
                <w:rFonts w:hint="eastAsia" w:ascii="Times New Roman" w:hAnsi="Times New Roman"/>
                <w:b/>
                <w:spacing w:val="8"/>
                <w:sz w:val="24"/>
                <w:szCs w:val="24"/>
              </w:rPr>
              <w:t>1</w:t>
            </w:r>
            <w:r>
              <w:rPr>
                <w:rFonts w:ascii="Times New Roman" w:hAnsi="Times New Roman"/>
                <w:b/>
                <w:spacing w:val="8"/>
                <w:sz w:val="24"/>
                <w:szCs w:val="24"/>
              </w:rPr>
              <w:t>1</w:t>
            </w:r>
            <w:r>
              <w:rPr>
                <w:rFonts w:hint="eastAsia" w:ascii="Times New Roman" w:hAnsi="Times New Roman"/>
                <w:b/>
                <w:spacing w:val="8"/>
                <w:sz w:val="24"/>
                <w:szCs w:val="24"/>
              </w:rPr>
              <w:t>.</w:t>
            </w:r>
            <w:r>
              <w:rPr>
                <w:rFonts w:ascii="Times New Roman" w:hAnsi="Times New Roman"/>
                <w:b/>
                <w:spacing w:val="8"/>
                <w:sz w:val="24"/>
                <w:szCs w:val="24"/>
              </w:rPr>
              <w:t xml:space="preserve">1.5 </w:t>
            </w:r>
            <w:r>
              <w:rPr>
                <w:rFonts w:hint="eastAsia" w:ascii="Times New Roman" w:hAnsi="Times New Roman"/>
                <w:b/>
                <w:bCs/>
                <w:color w:val="000000" w:themeColor="text1"/>
                <w:sz w:val="24"/>
                <w14:textFill>
                  <w14:solidFill>
                    <w14:schemeClr w14:val="tx1"/>
                  </w14:solidFill>
                </w14:textFill>
              </w:rPr>
              <w:t>矿区地质概况</w:t>
            </w:r>
          </w:p>
          <w:p>
            <w:pPr>
              <w:spacing w:line="360" w:lineRule="auto"/>
              <w:ind w:firstLine="480" w:firstLineChars="200"/>
              <w:rPr>
                <w:rFonts w:ascii="Times New Roman" w:hAnsi="Times New Roman"/>
                <w:sz w:val="24"/>
                <w:szCs w:val="24"/>
              </w:rPr>
            </w:pPr>
            <w:r>
              <w:rPr>
                <w:rFonts w:ascii="Times New Roman" w:hAnsi="Times New Roman"/>
                <w:sz w:val="24"/>
                <w:szCs w:val="24"/>
              </w:rPr>
              <w:t>（1）地层</w:t>
            </w:r>
          </w:p>
          <w:p>
            <w:pPr>
              <w:spacing w:line="360" w:lineRule="auto"/>
              <w:ind w:firstLine="480" w:firstLineChars="200"/>
              <w:rPr>
                <w:rFonts w:ascii="Times New Roman" w:hAnsi="Times New Roman"/>
                <w:sz w:val="24"/>
                <w:szCs w:val="24"/>
              </w:rPr>
            </w:pPr>
            <w:r>
              <w:rPr>
                <w:rFonts w:ascii="Times New Roman" w:hAnsi="Times New Roman"/>
                <w:sz w:val="24"/>
                <w:szCs w:val="24"/>
              </w:rPr>
              <w:t>据《1：5万马迹塘幅区域地质调查报告》，矿区区域构造上位于安化-浏阳东西向构造带西部中段凹陷区。据实地调査并结合《1：5万马迹塘幅区域地质调查报告〉，矿区及其周边山露的地层主要为冷家溪群黄浒洞组(Pth)和第四系地层(Qh)</w:t>
            </w:r>
            <w:r>
              <w:rPr>
                <w:rFonts w:hint="eastAsia" w:ascii="Times New Roman" w:hAnsi="Times New Roman"/>
                <w:sz w:val="24"/>
                <w:szCs w:val="24"/>
              </w:rPr>
              <w:t>，</w:t>
            </w:r>
            <w:r>
              <w:rPr>
                <w:rFonts w:ascii="Times New Roman" w:hAnsi="Times New Roman"/>
                <w:sz w:val="24"/>
                <w:szCs w:val="24"/>
              </w:rPr>
              <w:t>其地层岩性特征由老至新分述如下：</w:t>
            </w:r>
          </w:p>
          <w:p>
            <w:pPr>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冷家溪群黄浒洞组(Pth)</w:t>
            </w:r>
          </w:p>
          <w:p>
            <w:pPr>
              <w:spacing w:line="360" w:lineRule="auto"/>
              <w:ind w:firstLine="480" w:firstLineChars="200"/>
              <w:rPr>
                <w:rFonts w:ascii="Times New Roman" w:hAnsi="Times New Roman"/>
                <w:sz w:val="24"/>
                <w:szCs w:val="24"/>
              </w:rPr>
            </w:pPr>
            <w:r>
              <w:rPr>
                <w:rFonts w:ascii="Times New Roman" w:hAnsi="Times New Roman"/>
                <w:sz w:val="24"/>
                <w:szCs w:val="24"/>
              </w:rPr>
              <w:t>该组为一套浅变质陆源碎屑浊积岩夹深</w:t>
            </w:r>
            <w:r>
              <w:rPr>
                <w:rFonts w:hint="eastAsia" w:ascii="Times New Roman" w:hAnsi="Times New Roman"/>
                <w:sz w:val="24"/>
                <w:szCs w:val="24"/>
              </w:rPr>
              <w:t>—</w:t>
            </w:r>
            <w:r>
              <w:rPr>
                <w:rFonts w:ascii="Times New Roman" w:hAnsi="Times New Roman"/>
                <w:sz w:val="24"/>
                <w:szCs w:val="24"/>
              </w:rPr>
              <w:t>半深海相粘土岩沉积。按岩石组合可分为三部分。其中，下部为灰黄色中</w:t>
            </w:r>
            <w:r>
              <w:rPr>
                <w:rFonts w:hint="eastAsia" w:ascii="Times New Roman" w:hAnsi="Times New Roman"/>
                <w:sz w:val="24"/>
                <w:szCs w:val="24"/>
              </w:rPr>
              <w:t>—</w:t>
            </w:r>
            <w:r>
              <w:rPr>
                <w:rFonts w:ascii="Times New Roman" w:hAnsi="Times New Roman"/>
                <w:sz w:val="24"/>
                <w:szCs w:val="24"/>
              </w:rPr>
              <w:t>厚层状，块状浅变质岩屑杂砂屑、岩屑石英杂砂岩为主夹层厚0.1-0.2m的板岩，粉砂质板岩、条带状板岩与薄层砂质粉砂岩中部为灰绿色板岩、条带板岩、条带状粉砂质板岩夹薄层状浅变质泥质粉砂岩、砂质粉砂岩；上部为灰黄色中一厚层状浅变质中细粒岩屑杂砂岩、岩屑石英杂砂岩、石英杂砂岩与中厚层状板岩、粉砂质板岩呈往复式韵律层。总厚度为2858m。</w:t>
            </w:r>
          </w:p>
          <w:p>
            <w:pPr>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第四系地层(Qh)</w:t>
            </w:r>
          </w:p>
          <w:p>
            <w:pPr>
              <w:spacing w:line="360" w:lineRule="auto"/>
              <w:ind w:firstLine="480" w:firstLineChars="200"/>
              <w:rPr>
                <w:rFonts w:ascii="Times New Roman" w:hAnsi="Times New Roman"/>
                <w:sz w:val="24"/>
                <w:szCs w:val="24"/>
              </w:rPr>
            </w:pPr>
            <w:r>
              <w:rPr>
                <w:rFonts w:ascii="Times New Roman" w:hAnsi="Times New Roman"/>
                <w:sz w:val="24"/>
                <w:szCs w:val="24"/>
              </w:rPr>
              <w:t>为残坡积冲击物，主要分布于山坡、低洼沟谷地带，为黑褐色粉砂质粘土，含较多的砂砾、块石和碎石，厚度0.5-2.0m。</w:t>
            </w:r>
          </w:p>
          <w:p>
            <w:pPr>
              <w:spacing w:line="360" w:lineRule="auto"/>
              <w:ind w:firstLine="480" w:firstLineChars="200"/>
              <w:rPr>
                <w:rFonts w:ascii="Times New Roman" w:hAnsi="Times New Roman"/>
                <w:sz w:val="24"/>
                <w:szCs w:val="24"/>
              </w:rPr>
            </w:pPr>
            <w:r>
              <w:rPr>
                <w:rFonts w:ascii="Times New Roman" w:hAnsi="Times New Roman"/>
                <w:sz w:val="24"/>
                <w:szCs w:val="24"/>
              </w:rPr>
              <w:t>（2）构造</w:t>
            </w:r>
          </w:p>
          <w:p>
            <w:pPr>
              <w:spacing w:line="360" w:lineRule="auto"/>
              <w:ind w:firstLine="480" w:firstLineChars="200"/>
              <w:rPr>
                <w:rFonts w:ascii="Times New Roman" w:hAnsi="Times New Roman"/>
                <w:sz w:val="24"/>
                <w:szCs w:val="24"/>
              </w:rPr>
            </w:pPr>
            <w:r>
              <w:rPr>
                <w:rFonts w:ascii="Times New Roman" w:hAnsi="Times New Roman"/>
                <w:sz w:val="24"/>
                <w:szCs w:val="24"/>
              </w:rPr>
              <w:t>矿区位于安化-浏阳东西向构造带西段中部，具体位于柳溪-花果山背斜南冀，岩层呈单斜构造，岩层露头产状为250°＜50°岩层露头局部发育有节理裂隙产状为180°＜33°矿区内断裂构造不发育，对矿山开釆影响较小。</w:t>
            </w:r>
          </w:p>
          <w:p>
            <w:pPr>
              <w:spacing w:line="360" w:lineRule="auto"/>
              <w:ind w:firstLine="480" w:firstLineChars="200"/>
              <w:rPr>
                <w:rFonts w:ascii="Times New Roman" w:hAnsi="Times New Roman"/>
                <w:sz w:val="24"/>
                <w:szCs w:val="24"/>
              </w:rPr>
            </w:pPr>
            <w:r>
              <w:rPr>
                <w:rFonts w:ascii="Times New Roman" w:hAnsi="Times New Roman"/>
                <w:sz w:val="24"/>
                <w:szCs w:val="24"/>
              </w:rPr>
              <w:t>（3）律浆岩</w:t>
            </w:r>
          </w:p>
          <w:p>
            <w:pPr>
              <w:spacing w:line="360" w:lineRule="auto"/>
              <w:ind w:firstLine="480" w:firstLineChars="200"/>
              <w:rPr>
                <w:rFonts w:ascii="Times New Roman" w:hAnsi="Times New Roman"/>
                <w:sz w:val="24"/>
                <w:szCs w:val="24"/>
              </w:rPr>
            </w:pPr>
            <w:r>
              <w:rPr>
                <w:rFonts w:ascii="Times New Roman" w:hAnsi="Times New Roman"/>
                <w:sz w:val="24"/>
                <w:szCs w:val="24"/>
              </w:rPr>
              <w:t>矿区范围内未见岩浆岩。</w:t>
            </w:r>
          </w:p>
          <w:p>
            <w:pPr>
              <w:spacing w:line="360" w:lineRule="auto"/>
              <w:rPr>
                <w:rFonts w:ascii="Times New Roman" w:hAnsi="Times New Roman"/>
                <w:b/>
                <w:bCs/>
                <w:color w:val="000000" w:themeColor="text1"/>
                <w:sz w:val="24"/>
                <w14:textFill>
                  <w14:solidFill>
                    <w14:schemeClr w14:val="tx1"/>
                  </w14:solidFill>
                </w14:textFill>
              </w:rPr>
            </w:pPr>
            <w:r>
              <w:rPr>
                <w:rFonts w:hint="eastAsia" w:ascii="Times New Roman" w:hAnsi="Times New Roman"/>
                <w:b/>
                <w:spacing w:val="8"/>
                <w:sz w:val="24"/>
                <w:szCs w:val="24"/>
              </w:rPr>
              <w:t>1</w:t>
            </w:r>
            <w:r>
              <w:rPr>
                <w:rFonts w:ascii="Times New Roman" w:hAnsi="Times New Roman"/>
                <w:b/>
                <w:spacing w:val="8"/>
                <w:sz w:val="24"/>
                <w:szCs w:val="24"/>
              </w:rPr>
              <w:t>1</w:t>
            </w:r>
            <w:r>
              <w:rPr>
                <w:rFonts w:hint="eastAsia" w:ascii="Times New Roman" w:hAnsi="Times New Roman"/>
                <w:b/>
                <w:spacing w:val="8"/>
                <w:sz w:val="24"/>
                <w:szCs w:val="24"/>
              </w:rPr>
              <w:t>.</w:t>
            </w:r>
            <w:r>
              <w:rPr>
                <w:rFonts w:ascii="Times New Roman" w:hAnsi="Times New Roman"/>
                <w:b/>
                <w:spacing w:val="8"/>
                <w:sz w:val="24"/>
                <w:szCs w:val="24"/>
              </w:rPr>
              <w:t xml:space="preserve">1.6 </w:t>
            </w:r>
            <w:r>
              <w:rPr>
                <w:rFonts w:hint="eastAsia" w:ascii="Times New Roman" w:hAnsi="Times New Roman"/>
                <w:b/>
                <w:bCs/>
                <w:color w:val="000000" w:themeColor="text1"/>
                <w:sz w:val="24"/>
                <w14:textFill>
                  <w14:solidFill>
                    <w14:schemeClr w14:val="tx1"/>
                  </w14:solidFill>
                </w14:textFill>
              </w:rPr>
              <w:t>矿体地址特征</w:t>
            </w:r>
          </w:p>
          <w:p>
            <w:pPr>
              <w:spacing w:line="360" w:lineRule="auto"/>
              <w:ind w:firstLine="480" w:firstLineChars="200"/>
              <w:rPr>
                <w:rFonts w:ascii="Times New Roman" w:hAnsi="Times New Roman"/>
                <w:sz w:val="24"/>
                <w:szCs w:val="24"/>
              </w:rPr>
            </w:pPr>
            <w:r>
              <w:rPr>
                <w:rFonts w:ascii="Times New Roman" w:hAnsi="Times New Roman"/>
                <w:sz w:val="24"/>
                <w:szCs w:val="24"/>
              </w:rPr>
              <w:t>（1）矿体特征</w:t>
            </w:r>
          </w:p>
          <w:p>
            <w:pPr>
              <w:spacing w:line="360" w:lineRule="auto"/>
              <w:ind w:firstLine="480" w:firstLineChars="200"/>
              <w:rPr>
                <w:rFonts w:ascii="Times New Roman" w:hAnsi="Times New Roman"/>
                <w:sz w:val="24"/>
                <w:szCs w:val="24"/>
              </w:rPr>
            </w:pPr>
            <w:r>
              <w:rPr>
                <w:rFonts w:ascii="Times New Roman" w:hAnsi="Times New Roman"/>
                <w:sz w:val="24"/>
                <w:szCs w:val="24"/>
              </w:rPr>
              <w:t>矿区内主要开釆冷家溪群黄浒洞(Pth)下部的泥质粉砂岩、粉砂质板状页岩，页岩经强-中风化作用，颜色呈棕黄色，局部具泥质结构，层状构造。矿体产状稳定，北西走向，沿走向长约156m，宽约93m，倾向南西，倾角为50°，呈単斜产出。区内泥质粉砂岩、粉砂质板状页岩风化程度较高，粘性强，质感细腻，可用于制作页岩砖原料，矿区内矿体层位稳定，产状稳定，延伸长度稳定，矿体出露最高标高为+100.15m，最低控制在可釆标高+69.00m。</w:t>
            </w:r>
          </w:p>
          <w:p>
            <w:pPr>
              <w:spacing w:line="360" w:lineRule="auto"/>
              <w:ind w:left="480"/>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矿石质</w:t>
            </w:r>
          </w:p>
          <w:p>
            <w:pPr>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矿石成分</w:t>
            </w:r>
          </w:p>
          <w:p>
            <w:pPr>
              <w:spacing w:line="360" w:lineRule="auto"/>
              <w:ind w:firstLine="480" w:firstLineChars="200"/>
              <w:rPr>
                <w:rFonts w:ascii="Times New Roman" w:hAnsi="Times New Roman"/>
                <w:sz w:val="24"/>
                <w:szCs w:val="24"/>
              </w:rPr>
            </w:pPr>
            <w:r>
              <w:rPr>
                <w:rFonts w:ascii="Times New Roman" w:hAnsi="Times New Roman"/>
                <w:sz w:val="24"/>
                <w:szCs w:val="24"/>
              </w:rPr>
              <w:t>根据</w:t>
            </w:r>
            <w:r>
              <w:rPr>
                <w:rFonts w:hint="eastAsia" w:ascii="Times New Roman" w:hAnsi="Times New Roman"/>
                <w:sz w:val="24"/>
                <w:szCs w:val="24"/>
              </w:rPr>
              <w:t>《</w:t>
            </w:r>
            <w:r>
              <w:rPr>
                <w:rFonts w:ascii="Times New Roman" w:hAnsi="Times New Roman"/>
                <w:sz w:val="24"/>
                <w:szCs w:val="24"/>
              </w:rPr>
              <w:t>1：5万马迹塘幅区域地质调査报告》，该区冷家溪群黄浒洞组(Pth)页岩矿中的主要成分为粘土矿物、碳质、铁质粉末及少量的绢云母、石美、绿泥石等，主要化学成分SiO</w:t>
            </w:r>
            <w:r>
              <w:rPr>
                <w:rFonts w:ascii="Times New Roman" w:hAnsi="Times New Roman"/>
                <w:sz w:val="24"/>
                <w:szCs w:val="24"/>
                <w:vertAlign w:val="subscript"/>
              </w:rPr>
              <w:t>2</w:t>
            </w:r>
            <w:r>
              <w:rPr>
                <w:rFonts w:ascii="Times New Roman" w:hAnsi="Times New Roman"/>
                <w:sz w:val="24"/>
                <w:szCs w:val="24"/>
              </w:rPr>
              <w:t>为69.08%、Al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为10.36%，其他为Fe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4.70%、CaO为4.32%、MgO为0.60%、K</w:t>
            </w:r>
            <w:r>
              <w:rPr>
                <w:rFonts w:ascii="Times New Roman" w:hAnsi="Times New Roman"/>
                <w:sz w:val="24"/>
                <w:szCs w:val="24"/>
                <w:vertAlign w:val="subscript"/>
              </w:rPr>
              <w:t>2</w:t>
            </w:r>
            <w:r>
              <w:rPr>
                <w:rFonts w:ascii="Times New Roman" w:hAnsi="Times New Roman"/>
                <w:sz w:val="24"/>
                <w:szCs w:val="24"/>
              </w:rPr>
              <w:t>O+N</w:t>
            </w:r>
            <w:r>
              <w:rPr>
                <w:rFonts w:ascii="Times New Roman" w:hAnsi="Times New Roman"/>
                <w:sz w:val="24"/>
                <w:szCs w:val="24"/>
                <w:vertAlign w:val="subscript"/>
              </w:rPr>
              <w:t>2</w:t>
            </w:r>
            <w:r>
              <w:rPr>
                <w:rFonts w:ascii="Times New Roman" w:hAnsi="Times New Roman"/>
                <w:sz w:val="24"/>
                <w:szCs w:val="24"/>
              </w:rPr>
              <w:t>O约为3.80%，矿石化学成分含量满足砖瓦用页岩岩类一般工业指标要求。</w:t>
            </w:r>
          </w:p>
          <w:p>
            <w:pPr>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矿石物理特性</w:t>
            </w:r>
          </w:p>
          <w:p>
            <w:pPr>
              <w:spacing w:line="360" w:lineRule="auto"/>
              <w:ind w:firstLine="480" w:firstLineChars="200"/>
              <w:rPr>
                <w:rFonts w:ascii="Times New Roman" w:hAnsi="Times New Roman"/>
                <w:sz w:val="24"/>
                <w:szCs w:val="24"/>
              </w:rPr>
            </w:pPr>
            <w:r>
              <w:rPr>
                <w:rFonts w:ascii="Times New Roman" w:hAnsi="Times New Roman"/>
                <w:sz w:val="24"/>
                <w:szCs w:val="24"/>
              </w:rPr>
              <w:t>经砖厂生产实践，结合实地调査，该页岩矿的颗粒V0.05mm</w:t>
            </w:r>
            <w:r>
              <w:rPr>
                <w:rFonts w:hint="eastAsia" w:ascii="Times New Roman" w:hAnsi="Times New Roman"/>
                <w:sz w:val="24"/>
                <w:szCs w:val="24"/>
              </w:rPr>
              <w:t>，</w:t>
            </w:r>
            <w:r>
              <w:rPr>
                <w:rFonts w:ascii="Times New Roman" w:hAnsi="Times New Roman"/>
                <w:sz w:val="24"/>
                <w:szCs w:val="24"/>
              </w:rPr>
              <w:t>占30%，颗粒&gt;0.05mm</w:t>
            </w:r>
            <w:r>
              <w:rPr>
                <w:rFonts w:hint="eastAsia" w:ascii="Times New Roman" w:hAnsi="Times New Roman"/>
                <w:sz w:val="24"/>
                <w:szCs w:val="24"/>
              </w:rPr>
              <w:t>，</w:t>
            </w:r>
            <w:r>
              <w:rPr>
                <w:rFonts w:ascii="Times New Roman" w:hAnsi="Times New Roman"/>
                <w:sz w:val="24"/>
                <w:szCs w:val="24"/>
              </w:rPr>
              <w:t>占70%。结构较松、质软，天然含水为23</w:t>
            </w:r>
            <w:r>
              <w:rPr>
                <w:rFonts w:hint="eastAsia" w:ascii="Times New Roman" w:hAnsi="Times New Roman"/>
                <w:sz w:val="24"/>
                <w:szCs w:val="24"/>
              </w:rPr>
              <w:t>~</w:t>
            </w:r>
            <w:r>
              <w:rPr>
                <w:rFonts w:ascii="Times New Roman" w:hAnsi="Times New Roman"/>
                <w:sz w:val="24"/>
                <w:szCs w:val="24"/>
              </w:rPr>
              <w:t>28.6%，页岩风化后为泥质结构，硬度低，塑性指数为7，矿体中碎石、砂砾岩屑等杂质少，因此该页岩矿是较好的页岩砖原料。</w:t>
            </w:r>
          </w:p>
          <w:p>
            <w:pPr>
              <w:spacing w:line="360" w:lineRule="auto"/>
              <w:ind w:firstLine="480" w:firstLineChars="200"/>
              <w:rPr>
                <w:rFonts w:ascii="Times New Roman" w:hAnsi="Times New Roman"/>
                <w:sz w:val="24"/>
                <w:szCs w:val="24"/>
              </w:rPr>
            </w:pPr>
            <w:r>
              <w:rPr>
                <w:rFonts w:ascii="Times New Roman" w:hAnsi="Times New Roman"/>
                <w:sz w:val="24"/>
                <w:szCs w:val="24"/>
              </w:rPr>
              <w:t>（3）矿石的加工技术性能</w:t>
            </w:r>
          </w:p>
          <w:p>
            <w:pPr>
              <w:spacing w:line="360" w:lineRule="auto"/>
              <w:ind w:firstLine="480" w:firstLineChars="200"/>
              <w:rPr>
                <w:rFonts w:ascii="Times New Roman" w:hAnsi="Times New Roman"/>
                <w:sz w:val="24"/>
                <w:szCs w:val="24"/>
              </w:rPr>
            </w:pPr>
            <w:r>
              <w:rPr>
                <w:rFonts w:ascii="Times New Roman" w:hAnsi="Times New Roman"/>
                <w:sz w:val="24"/>
                <w:szCs w:val="24"/>
              </w:rPr>
              <w:t>该矿山页岩矿主要用于烧制页岩砖，页岩矿石的可塑性较好、耐火性好、烧结性好、杂质含量低、颗粒细、粘性好、滑感好、加工过程简单、硬度较低，是理想的制砖原料。</w:t>
            </w:r>
          </w:p>
          <w:p>
            <w:pPr>
              <w:spacing w:line="360" w:lineRule="auto"/>
              <w:ind w:firstLine="480" w:firstLineChars="200"/>
              <w:rPr>
                <w:rFonts w:ascii="Times New Roman" w:hAnsi="Times New Roman"/>
                <w:spacing w:val="8"/>
                <w:sz w:val="24"/>
                <w:szCs w:val="24"/>
              </w:rPr>
            </w:pPr>
            <w:r>
              <w:rPr>
                <w:rFonts w:ascii="Times New Roman" w:hAnsi="Times New Roman"/>
                <w:sz w:val="24"/>
                <w:szCs w:val="24"/>
              </w:rPr>
              <w:t>矿石的生产工艺为：粉碎处理-搅拌（</w:t>
            </w:r>
            <w:r>
              <w:rPr>
                <w:rFonts w:hint="eastAsia" w:ascii="Times New Roman" w:hAnsi="Times New Roman"/>
                <w:sz w:val="24"/>
                <w:szCs w:val="24"/>
              </w:rPr>
              <w:t>掺</w:t>
            </w:r>
            <w:r>
              <w:rPr>
                <w:rFonts w:ascii="Times New Roman" w:hAnsi="Times New Roman"/>
                <w:sz w:val="24"/>
                <w:szCs w:val="24"/>
              </w:rPr>
              <w:t>煤粉）-压制-晾干-进窑</w:t>
            </w:r>
            <w:r>
              <w:rPr>
                <w:rFonts w:hint="eastAsia" w:ascii="Times New Roman" w:hAnsi="Times New Roman"/>
                <w:sz w:val="24"/>
                <w:szCs w:val="24"/>
              </w:rPr>
              <w:t>成</w:t>
            </w:r>
            <w:r>
              <w:rPr>
                <w:rFonts w:ascii="Times New Roman" w:hAnsi="Times New Roman"/>
                <w:sz w:val="24"/>
                <w:szCs w:val="24"/>
              </w:rPr>
              <w:t>制-出窑，生产出的成品页岩砖，主要用于砌体建筑。经试生产，烧制的页岩砖质量优良，因此矿石加工技术性能较好，</w:t>
            </w:r>
          </w:p>
          <w:p>
            <w:pPr>
              <w:kinsoku w:val="0"/>
              <w:overflowPunct w:val="0"/>
              <w:spacing w:line="360" w:lineRule="auto"/>
              <w:jc w:val="left"/>
              <w:textAlignment w:val="baseline"/>
              <w:outlineLvl w:val="1"/>
              <w:rPr>
                <w:rFonts w:ascii="Times New Roman" w:hAnsi="Times New Roman"/>
                <w:b/>
                <w:spacing w:val="8"/>
                <w:sz w:val="28"/>
                <w:szCs w:val="28"/>
              </w:rPr>
            </w:pPr>
            <w:bookmarkStart w:id="10" w:name="_Toc478656539"/>
            <w:bookmarkStart w:id="11" w:name="_Toc511833644"/>
            <w:bookmarkStart w:id="12" w:name="_Toc511833734"/>
            <w:bookmarkStart w:id="13" w:name="_Toc511833753"/>
            <w:r>
              <w:rPr>
                <w:rFonts w:ascii="Times New Roman" w:hAnsi="Times New Roman"/>
                <w:b/>
                <w:spacing w:val="8"/>
                <w:sz w:val="28"/>
                <w:szCs w:val="28"/>
              </w:rPr>
              <w:t>（二）项目有关的原有污染情况及主要环境问题</w:t>
            </w:r>
            <w:bookmarkEnd w:id="10"/>
            <w:bookmarkEnd w:id="11"/>
            <w:bookmarkEnd w:id="12"/>
            <w:bookmarkEnd w:id="13"/>
          </w:p>
          <w:p>
            <w:pPr>
              <w:pStyle w:val="7"/>
              <w:spacing w:after="0" w:line="360" w:lineRule="auto"/>
              <w:ind w:firstLine="480" w:firstLineChars="200"/>
              <w:rPr>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桃江县鑫泰建材有限公司成立于2014年，因环保督查中查出该页岩砖设施不合格，现已停止生产，2018年9月20日已通过桃江县保留砖厂验收表，见附件，故</w:t>
            </w:r>
            <w:r>
              <w:rPr>
                <w:rFonts w:hint="eastAsia" w:ascii="Times New Roman" w:hAnsi="Times New Roman"/>
                <w:bCs/>
                <w:sz w:val="24"/>
                <w:szCs w:val="24"/>
              </w:rPr>
              <w:t>在现有工程的基础上，将现有的2条页岩砖生产线改建成1条采用一烘一烧的隧道窑生产线，其生产规模从年产3</w:t>
            </w:r>
            <w:r>
              <w:rPr>
                <w:rFonts w:ascii="Times New Roman" w:hAnsi="Times New Roman"/>
                <w:bCs/>
                <w:sz w:val="24"/>
                <w:szCs w:val="24"/>
              </w:rPr>
              <w:t>500</w:t>
            </w:r>
            <w:r>
              <w:rPr>
                <w:rFonts w:hint="eastAsia" w:ascii="Times New Roman" w:hAnsi="Times New Roman"/>
                <w:bCs/>
                <w:sz w:val="24"/>
                <w:szCs w:val="24"/>
              </w:rPr>
              <w:t>万块页岩砖扩建成年产6000万块页岩砖，并新增一条年产</w:t>
            </w:r>
            <w:r>
              <w:rPr>
                <w:rFonts w:ascii="Times New Roman" w:hAnsi="Times New Roman"/>
                <w:bCs/>
                <w:sz w:val="24"/>
                <w:szCs w:val="24"/>
              </w:rPr>
              <w:t>10</w:t>
            </w:r>
            <w:r>
              <w:rPr>
                <w:rFonts w:hint="eastAsia" w:ascii="Times New Roman" w:hAnsi="Times New Roman"/>
                <w:bCs/>
                <w:sz w:val="24"/>
                <w:szCs w:val="24"/>
              </w:rPr>
              <w:t>万吨碎石生产线以及其他配套公辅设施</w:t>
            </w:r>
            <w:r>
              <w:rPr>
                <w:rFonts w:ascii="Times New Roman" w:hAnsi="Times New Roman"/>
                <w:color w:val="000000" w:themeColor="text1"/>
                <w:sz w:val="24"/>
                <w14:textFill>
                  <w14:solidFill>
                    <w14:schemeClr w14:val="tx1"/>
                  </w14:solidFill>
                </w14:textFill>
              </w:rPr>
              <w:t>。</w:t>
            </w:r>
          </w:p>
          <w:p>
            <w:pPr>
              <w:spacing w:line="360" w:lineRule="auto"/>
              <w:rPr>
                <w:rFonts w:ascii="Times New Roman" w:hAnsi="Times New Roman" w:cs="宋体"/>
                <w:b/>
                <w:color w:val="000000" w:themeColor="text1"/>
                <w:sz w:val="24"/>
                <w:szCs w:val="24"/>
                <w14:textFill>
                  <w14:solidFill>
                    <w14:schemeClr w14:val="tx1"/>
                  </w14:solidFill>
                </w14:textFill>
              </w:rPr>
            </w:pPr>
            <w:r>
              <w:rPr>
                <w:rFonts w:hint="eastAsia" w:ascii="Times New Roman" w:hAnsi="Times New Roman"/>
                <w:b/>
                <w:spacing w:val="8"/>
                <w:sz w:val="24"/>
                <w:szCs w:val="24"/>
              </w:rPr>
              <w:t>1</w:t>
            </w:r>
            <w:r>
              <w:rPr>
                <w:rFonts w:ascii="Times New Roman" w:hAnsi="Times New Roman"/>
                <w:b/>
                <w:spacing w:val="8"/>
                <w:sz w:val="24"/>
                <w:szCs w:val="24"/>
              </w:rPr>
              <w:t xml:space="preserve"> </w:t>
            </w:r>
            <w:r>
              <w:rPr>
                <w:rFonts w:hint="eastAsia" w:ascii="Times New Roman" w:hAnsi="Times New Roman" w:cs="宋体"/>
                <w:b/>
                <w:color w:val="000000" w:themeColor="text1"/>
                <w:sz w:val="24"/>
                <w:szCs w:val="24"/>
                <w14:textFill>
                  <w14:solidFill>
                    <w14:schemeClr w14:val="tx1"/>
                  </w14:solidFill>
                </w14:textFill>
              </w:rPr>
              <w:t>原有工艺流程说明</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1.1 采矿区生产工艺流程</w:t>
            </w:r>
          </w:p>
          <w:p>
            <w:pPr>
              <w:spacing w:line="360" w:lineRule="auto"/>
              <w:jc w:val="center"/>
              <w:rPr>
                <w:rFonts w:ascii="宋体" w:hAnsi="宋体"/>
                <w:sz w:val="24"/>
                <w:szCs w:val="24"/>
              </w:rPr>
            </w:pPr>
            <w:r>
              <w:rPr>
                <w:color w:val="000000" w:themeColor="text1"/>
                <w14:textFill>
                  <w14:solidFill>
                    <w14:schemeClr w14:val="tx1"/>
                  </w14:solidFill>
                </w14:textFill>
              </w:rPr>
              <w:drawing>
                <wp:inline distT="0" distB="0" distL="114300" distR="114300">
                  <wp:extent cx="5754370" cy="1190625"/>
                  <wp:effectExtent l="0" t="0" r="6350" b="13335"/>
                  <wp:docPr id="2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
                          <pic:cNvPicPr>
                            <a:picLocks noChangeAspect="1"/>
                          </pic:cNvPicPr>
                        </pic:nvPicPr>
                        <pic:blipFill>
                          <a:blip r:embed="rId13" cstate="print"/>
                          <a:stretch>
                            <a:fillRect/>
                          </a:stretch>
                        </pic:blipFill>
                        <pic:spPr>
                          <a:xfrm>
                            <a:off x="0" y="0"/>
                            <a:ext cx="5754370" cy="1190625"/>
                          </a:xfrm>
                          <a:prstGeom prst="rect">
                            <a:avLst/>
                          </a:prstGeom>
                          <a:noFill/>
                          <a:ln w="9525">
                            <a:noFill/>
                          </a:ln>
                        </pic:spPr>
                      </pic:pic>
                    </a:graphicData>
                  </a:graphic>
                </wp:inline>
              </w:drawing>
            </w:r>
          </w:p>
          <w:p>
            <w:pPr>
              <w:spacing w:line="360" w:lineRule="auto"/>
              <w:jc w:val="center"/>
              <w:rPr>
                <w:rFonts w:ascii="宋体" w:hAnsi="宋体"/>
                <w:sz w:val="24"/>
                <w:szCs w:val="24"/>
              </w:rPr>
            </w:pPr>
            <w:r>
              <w:rPr>
                <w:rFonts w:ascii="Times New Roman" w:hAnsi="Times New Roman"/>
                <w:b/>
                <w:bCs/>
                <w:color w:val="000000" w:themeColor="text1"/>
                <w:sz w:val="24"/>
                <w:szCs w:val="24"/>
                <w14:textFill>
                  <w14:solidFill>
                    <w14:schemeClr w14:val="tx1"/>
                  </w14:solidFill>
                </w14:textFill>
              </w:rPr>
              <w:t xml:space="preserve">图1-2  </w:t>
            </w:r>
            <w:r>
              <w:rPr>
                <w:rFonts w:hint="eastAsia" w:ascii="Times New Roman" w:hAnsi="Times New Roman"/>
                <w:b/>
                <w:bCs/>
                <w:color w:val="000000" w:themeColor="text1"/>
                <w:sz w:val="24"/>
                <w:szCs w:val="24"/>
                <w14:textFill>
                  <w14:solidFill>
                    <w14:schemeClr w14:val="tx1"/>
                  </w14:solidFill>
                </w14:textFill>
              </w:rPr>
              <w:t>现有</w:t>
            </w:r>
            <w:r>
              <w:rPr>
                <w:rFonts w:ascii="Times New Roman" w:hAnsi="Times New Roman"/>
                <w:b/>
                <w:bCs/>
                <w:color w:val="000000" w:themeColor="text1"/>
                <w:sz w:val="24"/>
                <w:szCs w:val="24"/>
                <w14:textFill>
                  <w14:solidFill>
                    <w14:schemeClr w14:val="tx1"/>
                  </w14:solidFill>
                </w14:textFill>
              </w:rPr>
              <w:t>工程采矿工艺流程及产污节点图</w:t>
            </w:r>
          </w:p>
          <w:p>
            <w:pPr>
              <w:pStyle w:val="16"/>
              <w:spacing w:line="360" w:lineRule="auto"/>
              <w:ind w:left="0" w:leftChars="0"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采矿工艺过程简述：</w:t>
            </w:r>
          </w:p>
          <w:p>
            <w:pPr>
              <w:pStyle w:val="7"/>
              <w:spacing w:after="0" w:line="360" w:lineRule="auto"/>
              <w:ind w:firstLine="480" w:firstLineChars="200"/>
              <w:rPr>
                <w:rFonts w:eastAsiaTheme="minor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矿层大面积分布于矿区，覆盖植被。该矿床选用露天开采方式，分层阶梯式开拓，分层阶</w:t>
            </w:r>
            <w:r>
              <w:rPr>
                <w:rFonts w:eastAsiaTheme="minorEastAsia"/>
                <w:color w:val="000000" w:themeColor="text1"/>
                <w:sz w:val="24"/>
                <w:szCs w:val="24"/>
                <w14:textFill>
                  <w14:solidFill>
                    <w14:schemeClr w14:val="tx1"/>
                  </w14:solidFill>
                </w14:textFill>
              </w:rPr>
              <w:t>梯式开拓具有采准切割工程小、工作组织简单、生产安全易于管理、生产能力和劳动生产率高等优点。采用挖掘机及装卸机半自动化进行露天剥离采矿，能最大限度合理有效利用资源。公路开拓，采用自卸式汽车运输。</w:t>
            </w:r>
          </w:p>
          <w:p>
            <w:pPr>
              <w:spacing w:line="360" w:lineRule="auto"/>
              <w:rPr>
                <w:rFonts w:ascii="Times New Roman" w:hAnsi="Times New Roman"/>
                <w:b/>
                <w:spacing w:val="8"/>
                <w:sz w:val="24"/>
                <w:szCs w:val="24"/>
              </w:rPr>
            </w:pPr>
            <w:r>
              <w:rPr>
                <w:rFonts w:hint="eastAsia" w:ascii="Times New Roman" w:hAnsi="Times New Roman"/>
                <w:b/>
                <w:spacing w:val="8"/>
                <w:sz w:val="24"/>
                <w:szCs w:val="24"/>
              </w:rPr>
              <w:t>1.2 页岩烧结砖生产工艺流程图</w:t>
            </w:r>
          </w:p>
          <w:p>
            <w:pPr>
              <w:spacing w:line="360" w:lineRule="auto"/>
              <w:jc w:val="center"/>
              <w:rPr>
                <w:rFonts w:ascii="Times New Roman" w:hAnsi="Times New Roman"/>
                <w:b/>
                <w:spacing w:val="8"/>
                <w:sz w:val="24"/>
                <w:szCs w:val="24"/>
              </w:rPr>
            </w:pPr>
            <w:r>
              <w:rPr>
                <w:rFonts w:ascii="Times New Roman" w:hAnsi="Times New Roman"/>
              </w:rPr>
              <w:drawing>
                <wp:inline distT="0" distB="0" distL="114300" distR="114300">
                  <wp:extent cx="3977005" cy="3070860"/>
                  <wp:effectExtent l="0" t="0" r="63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cstate="print"/>
                          <a:stretch>
                            <a:fillRect/>
                          </a:stretch>
                        </pic:blipFill>
                        <pic:spPr>
                          <a:xfrm>
                            <a:off x="0" y="0"/>
                            <a:ext cx="3977005" cy="3070860"/>
                          </a:xfrm>
                          <a:prstGeom prst="rect">
                            <a:avLst/>
                          </a:prstGeom>
                          <a:noFill/>
                          <a:ln>
                            <a:noFill/>
                          </a:ln>
                        </pic:spPr>
                      </pic:pic>
                    </a:graphicData>
                  </a:graphic>
                </wp:inline>
              </w:drawing>
            </w:r>
          </w:p>
          <w:p>
            <w:pPr>
              <w:spacing w:line="360" w:lineRule="auto"/>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图1-3  现有工程制砖工艺流程及产污节点图</w:t>
            </w:r>
          </w:p>
          <w:p>
            <w:pPr>
              <w:pStyle w:val="16"/>
              <w:spacing w:line="360" w:lineRule="auto"/>
              <w:ind w:left="0" w:leftChars="0" w:firstLine="482" w:firstLineChars="200"/>
              <w:rPr>
                <w:rFonts w:eastAsiaTheme="minorEastAsia"/>
                <w:b/>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制砖工艺过程简述：</w:t>
            </w:r>
          </w:p>
          <w:p>
            <w:pPr>
              <w:spacing w:line="360" w:lineRule="auto"/>
              <w:ind w:firstLine="480" w:firstLineChars="200"/>
              <w:rPr>
                <w:rFonts w:ascii="Times New Roman" w:hAnsi="Times New Roman"/>
                <w:sz w:val="24"/>
                <w:szCs w:val="24"/>
              </w:rPr>
            </w:pPr>
            <w:r>
              <w:rPr>
                <w:rFonts w:ascii="Times New Roman" w:hAnsi="Times New Roman"/>
                <w:sz w:val="24"/>
                <w:szCs w:val="24"/>
              </w:rPr>
              <w:t>烧结页岩砖生产工艺主要包括釆运、原料处理、成型、干燥焙烧四个阶段。</w:t>
            </w:r>
          </w:p>
          <w:p>
            <w:pPr>
              <w:spacing w:line="360" w:lineRule="auto"/>
              <w:ind w:firstLine="480" w:firstLineChars="200"/>
              <w:rPr>
                <w:rFonts w:ascii="Times New Roman" w:hAnsi="Times New Roman"/>
                <w:sz w:val="24"/>
                <w:szCs w:val="24"/>
              </w:rPr>
            </w:pPr>
            <w:r>
              <w:rPr>
                <w:rFonts w:ascii="Times New Roman" w:hAnsi="Times New Roman"/>
                <w:sz w:val="24"/>
                <w:szCs w:val="24"/>
              </w:rPr>
              <w:t>原料处理：页岩原料需要粉碎才能制砖，一般以二级粉碎为好，经轮碾机练泥陈化后，可提高塑性和成型度。页岩粉碎后的粒度可以根据产品不同提出不同的要求，一般情况下，生产普通页岩砖，最大颗粒控制在2.5mm以下；生产多孔砖和空心砖，最大颗粒控制在2mm以下。粉碎好的原料经均匀给料、加水搅拌、陈化库陈化后再送入成型工段。</w:t>
            </w:r>
          </w:p>
          <w:p>
            <w:pPr>
              <w:spacing w:line="360" w:lineRule="auto"/>
              <w:ind w:firstLine="480" w:firstLineChars="200"/>
              <w:rPr>
                <w:rFonts w:ascii="Times New Roman" w:hAnsi="Times New Roman"/>
                <w:sz w:val="24"/>
                <w:szCs w:val="24"/>
              </w:rPr>
            </w:pPr>
            <w:r>
              <w:rPr>
                <w:rFonts w:ascii="Times New Roman" w:hAnsi="Times New Roman"/>
                <w:sz w:val="24"/>
                <w:szCs w:val="24"/>
              </w:rPr>
              <w:t>成型：页岩原料可以根据其本身的塑性特点，采用不同的成型方式和含水率。塑性指数在7以下时可选用硬挤出工艺；塑性指数在7-11之间可采用半硬塑挤出成型；塑性指数在11以上时可采用软塑挤出工艺。硬挤出、半硬塑挤出、软塑挤出成型水分分别为14-16%、17-18%和19%以上，切坯、码坯设备与粘土砖相同。</w:t>
            </w:r>
          </w:p>
          <w:p>
            <w:pPr>
              <w:spacing w:line="360" w:lineRule="auto"/>
              <w:ind w:firstLine="480" w:firstLineChars="200"/>
            </w:pPr>
            <w:r>
              <w:rPr>
                <w:rFonts w:ascii="Times New Roman" w:hAnsi="Times New Roman"/>
                <w:sz w:val="24"/>
                <w:szCs w:val="24"/>
              </w:rPr>
              <w:t>干燥焙烧：使用轮窑配隧道干燥室的干燥焙烧工艺，这种方式投资少，建设快。干燥室干燥方式采用正压排潮，底送热风形式较多。页岩砖的烧成温度一般在1000</w:t>
            </w:r>
            <w:r>
              <w:rPr>
                <w:rFonts w:ascii="Times New Roman" w:hAnsi="Times New Roman"/>
                <w:sz w:val="24"/>
                <w:szCs w:val="24"/>
                <w:vertAlign w:val="superscript"/>
              </w:rPr>
              <w:t>。</w:t>
            </w:r>
            <w:r>
              <w:rPr>
                <w:rFonts w:ascii="Times New Roman" w:hAnsi="Times New Roman"/>
                <w:sz w:val="24"/>
                <w:szCs w:val="24"/>
              </w:rPr>
              <w:t>左右，采用内燃方式，烧成温度较高时，应对轮窑进行有效的保温处理。焙烧窑宜采用隧道窑，隧道窑较轮窑可大大提高生产效率降低劳动强度，提高产品质量。</w:t>
            </w:r>
          </w:p>
          <w:p>
            <w:pPr>
              <w:spacing w:line="360" w:lineRule="auto"/>
              <w:rPr>
                <w:rFonts w:ascii="Times New Roman" w:hAnsi="Times New Roman"/>
                <w:b/>
                <w:spacing w:val="8"/>
                <w:sz w:val="24"/>
                <w:szCs w:val="24"/>
              </w:rPr>
            </w:pPr>
            <w:r>
              <w:rPr>
                <w:rFonts w:ascii="Times New Roman" w:hAnsi="Times New Roman"/>
                <w:b/>
                <w:spacing w:val="8"/>
                <w:sz w:val="24"/>
                <w:szCs w:val="24"/>
              </w:rPr>
              <w:t xml:space="preserve">2 </w:t>
            </w:r>
            <w:r>
              <w:rPr>
                <w:rFonts w:hint="eastAsia" w:ascii="Times New Roman" w:hAnsi="Times New Roman"/>
                <w:b/>
                <w:color w:val="000000" w:themeColor="text1"/>
                <w:sz w:val="24"/>
                <w:szCs w:val="24"/>
                <w14:textFill>
                  <w14:solidFill>
                    <w14:schemeClr w14:val="tx1"/>
                  </w14:solidFill>
                </w14:textFill>
              </w:rPr>
              <w:t>原</w:t>
            </w:r>
            <w:r>
              <w:rPr>
                <w:rFonts w:ascii="Times New Roman" w:hAnsi="Times New Roman"/>
                <w:b/>
                <w:color w:val="000000" w:themeColor="text1"/>
                <w:sz w:val="24"/>
                <w:szCs w:val="24"/>
                <w14:textFill>
                  <w14:solidFill>
                    <w14:schemeClr w14:val="tx1"/>
                  </w14:solidFill>
                </w14:textFill>
              </w:rPr>
              <w:t>有项目污染物产生及排放情况</w:t>
            </w:r>
          </w:p>
          <w:p>
            <w:pPr>
              <w:spacing w:line="360" w:lineRule="auto"/>
              <w:ind w:firstLine="480" w:firstLineChars="200"/>
              <w:rPr>
                <w:rFonts w:ascii="宋体" w:hAnsi="宋体"/>
                <w:sz w:val="24"/>
                <w:szCs w:val="24"/>
              </w:rPr>
            </w:pPr>
            <w:r>
              <w:rPr>
                <w:rFonts w:ascii="Times New Roman" w:hAnsi="Times New Roman"/>
                <w:color w:val="000000" w:themeColor="text1"/>
                <w:sz w:val="24"/>
                <w:szCs w:val="24"/>
                <w14:textFill>
                  <w14:solidFill>
                    <w14:schemeClr w14:val="tx1"/>
                  </w14:solidFill>
                </w14:textFill>
              </w:rPr>
              <w:t>根据桃江县鑫泰建材有限公司年产3500万块页岩砖建设项目环境影响评价表，污染物产生及排放情况如下表所示</w:t>
            </w:r>
            <w:r>
              <w:rPr>
                <w:rFonts w:ascii="Times New Roman" w:hAnsi="Times New Roman"/>
                <w:color w:val="000000" w:themeColor="text1"/>
                <w:kern w:val="0"/>
                <w:sz w:val="24"/>
                <w:szCs w:val="24"/>
                <w14:textFill>
                  <w14:solidFill>
                    <w14:schemeClr w14:val="tx1"/>
                  </w14:solidFill>
                </w14:textFill>
              </w:rPr>
              <w:t>。</w:t>
            </w:r>
          </w:p>
          <w:p>
            <w:pPr>
              <w:spacing w:line="360" w:lineRule="auto"/>
              <w:jc w:val="center"/>
              <w:rPr>
                <w:rFonts w:ascii="宋体" w:hAnsi="宋体"/>
                <w:sz w:val="24"/>
                <w:szCs w:val="24"/>
              </w:rPr>
            </w:pPr>
            <w:r>
              <w:rPr>
                <w:rFonts w:ascii="Times New Roman" w:hAnsi="Times New Roman"/>
                <w:b/>
                <w:bCs/>
                <w:color w:val="000000" w:themeColor="text1"/>
                <w:sz w:val="24"/>
                <w:szCs w:val="24"/>
                <w14:textFill>
                  <w14:solidFill>
                    <w14:schemeClr w14:val="tx1"/>
                  </w14:solidFill>
                </w14:textFill>
              </w:rPr>
              <w:t>表1-11  主要污染物产生及排放情况一览表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4"/>
              <w:gridCol w:w="1163"/>
              <w:gridCol w:w="1744"/>
              <w:gridCol w:w="2616"/>
              <w:gridCol w:w="2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内容类型</w:t>
                  </w:r>
                </w:p>
              </w:tc>
              <w:tc>
                <w:tcPr>
                  <w:tcW w:w="1134"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排放源（编号）</w:t>
                  </w:r>
                </w:p>
              </w:tc>
              <w:tc>
                <w:tcPr>
                  <w:tcW w:w="1701"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污染物名称</w:t>
                  </w:r>
                </w:p>
              </w:tc>
              <w:tc>
                <w:tcPr>
                  <w:tcW w:w="2551"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处理前</w:t>
                  </w:r>
                  <w:r>
                    <w:rPr>
                      <w:rFonts w:hint="eastAsia" w:ascii="Times New Roman" w:hAnsi="Times New Roman"/>
                      <w:b/>
                      <w:bCs/>
                      <w:color w:val="000000" w:themeColor="text1"/>
                      <w:szCs w:val="21"/>
                      <w14:textFill>
                        <w14:solidFill>
                          <w14:schemeClr w14:val="tx1"/>
                        </w14:solidFill>
                      </w14:textFill>
                    </w:rPr>
                    <w:t>产生浓度及产生量</w:t>
                  </w:r>
                </w:p>
              </w:tc>
              <w:tc>
                <w:tcPr>
                  <w:tcW w:w="2712"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处理后</w:t>
                  </w:r>
                  <w:r>
                    <w:rPr>
                      <w:rFonts w:hint="eastAsia" w:ascii="Times New Roman" w:hAnsi="Times New Roman"/>
                      <w:b/>
                      <w:bCs/>
                      <w:color w:val="000000" w:themeColor="text1"/>
                      <w:szCs w:val="21"/>
                      <w14:textFill>
                        <w14:solidFill>
                          <w14:schemeClr w14:val="tx1"/>
                        </w14:solidFill>
                      </w14:textFill>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大气污染物</w:t>
                  </w: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矿山开采</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粉尘</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2.76t/a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0.83t/a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物料装卸</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粉尘</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0.86t/a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炉窑烟气</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烟气量</w:t>
                  </w:r>
                </w:p>
              </w:tc>
              <w:tc>
                <w:tcPr>
                  <w:tcW w:w="5263" w:type="dxa"/>
                  <w:gridSpan w:val="2"/>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5039.5</w:t>
                  </w:r>
                  <w:r>
                    <w:rPr>
                      <w:rFonts w:hint="eastAsia" w:ascii="Times New Roman" w:hAnsi="Times New Roman"/>
                      <w:color w:val="000000" w:themeColor="text1"/>
                      <w:szCs w:val="21"/>
                      <w14:textFill>
                        <w14:solidFill>
                          <w14:schemeClr w14:val="tx1"/>
                        </w14:solidFill>
                      </w14:textFill>
                    </w:rPr>
                    <w:t>万m</w:t>
                  </w:r>
                  <w:r>
                    <w:rPr>
                      <w:rFonts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烟尘</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241mg/m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36.35t/a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24.1mg/m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3.64t/a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SO</w:t>
                  </w:r>
                  <w:r>
                    <w:rPr>
                      <w:rFonts w:ascii="Times New Roman" w:hAnsi="Times New Roman"/>
                      <w:color w:val="000000" w:themeColor="text1"/>
                      <w:szCs w:val="21"/>
                      <w:vertAlign w:val="subscript"/>
                      <w14:textFill>
                        <w14:solidFill>
                          <w14:schemeClr w14:val="tx1"/>
                        </w14:solidFill>
                      </w14:textFill>
                    </w:rPr>
                    <w:t>2</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257mg/m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38.64t/a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206mg/m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30.91t/a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701" w:type="dxa"/>
                  <w:vAlign w:val="center"/>
                </w:tcPr>
                <w:p>
                  <w:pPr>
                    <w:jc w:val="center"/>
                    <w:rPr>
                      <w:rFonts w:ascii="Times New Roman" w:hAnsi="Times New Roman"/>
                      <w:color w:val="000000" w:themeColor="text1"/>
                      <w:szCs w:val="21"/>
                      <w:vertAlign w:val="subscript"/>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NO</w:t>
                  </w:r>
                  <w:r>
                    <w:rPr>
                      <w:rFonts w:hint="eastAsia" w:ascii="Times New Roman" w:hAnsi="Times New Roman"/>
                      <w:color w:val="000000" w:themeColor="text1"/>
                      <w:szCs w:val="21"/>
                      <w:vertAlign w:val="subscript"/>
                      <w14:textFill>
                        <w14:solidFill>
                          <w14:schemeClr w14:val="tx1"/>
                        </w14:solidFill>
                      </w14:textFill>
                    </w:rPr>
                    <w:t>X</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160mg/m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24.06t/a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2160mg/m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24.06t/a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汽车运输</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扬尘</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少量</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原料</w:t>
                  </w:r>
                  <w:r>
                    <w:rPr>
                      <w:rFonts w:hint="eastAsia" w:ascii="Times New Roman" w:hAnsi="Times New Roman"/>
                      <w:color w:val="000000" w:themeColor="text1"/>
                      <w14:textFill>
                        <w14:solidFill>
                          <w14:schemeClr w14:val="tx1"/>
                        </w14:solidFill>
                      </w14:textFill>
                    </w:rPr>
                    <w:t>堆场</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扬尘</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少量</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restart"/>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破碎筛分</w:t>
                  </w:r>
                </w:p>
              </w:tc>
              <w:tc>
                <w:tcPr>
                  <w:tcW w:w="170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粉尘（有组织）</w:t>
                  </w:r>
                </w:p>
              </w:tc>
              <w:tc>
                <w:tcPr>
                  <w:tcW w:w="255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389</w:t>
                  </w:r>
                  <w:r>
                    <w:rPr>
                      <w:rFonts w:hint="eastAsia" w:ascii="Times New Roman" w:hAnsi="Times New Roman"/>
                      <w:color w:val="000000" w:themeColor="text1"/>
                      <w14:textFill>
                        <w14:solidFill>
                          <w14:schemeClr w14:val="tx1"/>
                        </w14:solidFill>
                      </w14:textFill>
                    </w:rPr>
                    <w:t>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71.6</w:t>
                  </w:r>
                  <w:r>
                    <w:rPr>
                      <w:rFonts w:hint="eastAsia" w:ascii="Times New Roman" w:hAnsi="Times New Roman"/>
                      <w:color w:val="000000" w:themeColor="text1"/>
                      <w14:textFill>
                        <w14:solidFill>
                          <w14:schemeClr w14:val="tx1"/>
                        </w14:solidFill>
                      </w14:textFill>
                    </w:rPr>
                    <w:t>t/a</w:t>
                  </w:r>
                </w:p>
              </w:tc>
              <w:tc>
                <w:tcPr>
                  <w:tcW w:w="2712"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3.89</w:t>
                  </w:r>
                  <w:r>
                    <w:rPr>
                      <w:rFonts w:hint="eastAsia" w:ascii="Times New Roman" w:hAnsi="Times New Roman"/>
                      <w:color w:val="000000" w:themeColor="text1"/>
                      <w14:textFill>
                        <w14:solidFill>
                          <w14:schemeClr w14:val="tx1"/>
                        </w14:solidFill>
                      </w14:textFill>
                    </w:rPr>
                    <w:t>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.72</w:t>
                  </w:r>
                  <w:r>
                    <w:rPr>
                      <w:rFonts w:hint="eastAsia" w:ascii="Times New Roman" w:hAnsi="Times New Roman"/>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14:textFill>
                        <w14:solidFill>
                          <w14:schemeClr w14:val="tx1"/>
                        </w14:solidFill>
                      </w14:textFill>
                    </w:rPr>
                  </w:pPr>
                </w:p>
              </w:tc>
              <w:tc>
                <w:tcPr>
                  <w:tcW w:w="170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粉尘（无组织）</w:t>
                  </w:r>
                </w:p>
              </w:tc>
              <w:tc>
                <w:tcPr>
                  <w:tcW w:w="255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.03</w:t>
                  </w:r>
                  <w:r>
                    <w:rPr>
                      <w:rFonts w:hint="eastAsia" w:ascii="Times New Roman" w:hAnsi="Times New Roman"/>
                      <w:color w:val="000000" w:themeColor="text1"/>
                      <w14:textFill>
                        <w14:solidFill>
                          <w14:schemeClr w14:val="tx1"/>
                        </w14:solidFill>
                      </w14:textFill>
                    </w:rPr>
                    <w:t>t/a</w:t>
                  </w:r>
                </w:p>
              </w:tc>
              <w:tc>
                <w:tcPr>
                  <w:tcW w:w="2712"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.03</w:t>
                  </w:r>
                  <w:r>
                    <w:rPr>
                      <w:rFonts w:hint="eastAsia" w:ascii="Times New Roman" w:hAnsi="Times New Roman"/>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水污染物</w:t>
                  </w:r>
                </w:p>
              </w:tc>
              <w:tc>
                <w:tcPr>
                  <w:tcW w:w="1134"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生活污水</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废水量</w:t>
                  </w:r>
                </w:p>
              </w:tc>
              <w:tc>
                <w:tcPr>
                  <w:tcW w:w="5263" w:type="dxa"/>
                  <w:gridSpan w:val="2"/>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020</w:t>
                  </w:r>
                  <w:r>
                    <w:rPr>
                      <w:rFonts w:hint="eastAsia" w:ascii="Times New Roman" w:hAnsi="Times New Roman"/>
                      <w:color w:val="000000" w:themeColor="text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COD</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250mg/L</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0.26t/a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100mg/L</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0.10t/a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NH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-N</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45mg/L</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0.05t/a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15mg/L</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0.015t/a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噪声</w:t>
                  </w:r>
                </w:p>
              </w:tc>
              <w:tc>
                <w:tcPr>
                  <w:tcW w:w="8098" w:type="dxa"/>
                  <w:gridSpan w:val="4"/>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rPr>
                    <w:t>项目主要噪声源为破碎机、搅拌机、风机等设备噪声，噪声级在70-95dB(A)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restart"/>
                  <w:vAlign w:val="center"/>
                </w:tcPr>
                <w:p>
                  <w:pPr>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14:textFill>
                        <w14:solidFill>
                          <w14:schemeClr w14:val="tx1"/>
                        </w14:solidFill>
                      </w14:textFill>
                    </w:rPr>
                    <w:t>固体</w:t>
                  </w:r>
                </w:p>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废物</w:t>
                  </w: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采矿</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剥土</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4134.3t/a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做复垦土源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沉淀池</w:t>
                  </w:r>
                </w:p>
              </w:tc>
              <w:tc>
                <w:tcPr>
                  <w:tcW w:w="170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沉淀渣</w:t>
                  </w:r>
                </w:p>
              </w:tc>
              <w:tc>
                <w:tcPr>
                  <w:tcW w:w="255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50t/a</w:t>
                  </w:r>
                </w:p>
              </w:tc>
              <w:tc>
                <w:tcPr>
                  <w:tcW w:w="2712"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可用于生产作为原料使用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除尘系统</w:t>
                  </w:r>
                </w:p>
              </w:tc>
              <w:tc>
                <w:tcPr>
                  <w:tcW w:w="170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收集粉尘</w:t>
                  </w:r>
                </w:p>
              </w:tc>
              <w:tc>
                <w:tcPr>
                  <w:tcW w:w="255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174.47t/a</w:t>
                  </w:r>
                </w:p>
              </w:tc>
              <w:tc>
                <w:tcPr>
                  <w:tcW w:w="2712" w:type="dxa"/>
                  <w:vMerge w:val="continue"/>
                  <w:vAlign w:val="center"/>
                </w:tcPr>
                <w:p>
                  <w:pPr>
                    <w:jc w:val="cente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生产固废</w:t>
                  </w:r>
                </w:p>
              </w:tc>
              <w:tc>
                <w:tcPr>
                  <w:tcW w:w="170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不合格的产品</w:t>
                  </w:r>
                </w:p>
              </w:tc>
              <w:tc>
                <w:tcPr>
                  <w:tcW w:w="255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822.5t/a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外售综合利用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1134"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生活垃圾</w:t>
                  </w:r>
                </w:p>
              </w:tc>
              <w:tc>
                <w:tcPr>
                  <w:tcW w:w="170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生活垃圾</w:t>
                  </w:r>
                </w:p>
              </w:tc>
              <w:tc>
                <w:tcPr>
                  <w:tcW w:w="2551" w:type="dxa"/>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12t/a</w:t>
                  </w:r>
                </w:p>
              </w:tc>
              <w:tc>
                <w:tcPr>
                  <w:tcW w:w="271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交由环卫部门清运</w:t>
                  </w:r>
                </w:p>
              </w:tc>
            </w:tr>
          </w:tbl>
          <w:p>
            <w:pPr>
              <w:spacing w:line="360" w:lineRule="auto"/>
              <w:rPr>
                <w:rFonts w:ascii="Times New Roman" w:hAnsi="Times New Roman"/>
                <w:b/>
                <w:spacing w:val="8"/>
                <w:sz w:val="24"/>
                <w:szCs w:val="24"/>
              </w:rPr>
            </w:pPr>
            <w:r>
              <w:rPr>
                <w:rFonts w:ascii="Times New Roman" w:hAnsi="Times New Roman"/>
                <w:b/>
                <w:spacing w:val="8"/>
                <w:sz w:val="24"/>
                <w:szCs w:val="24"/>
              </w:rPr>
              <w:t xml:space="preserve">3 </w:t>
            </w:r>
            <w:r>
              <w:rPr>
                <w:rFonts w:hint="eastAsia" w:ascii="Times New Roman" w:hAnsi="Times New Roman"/>
                <w:b/>
                <w:color w:val="000000" w:themeColor="text1"/>
                <w:sz w:val="24"/>
                <w:szCs w:val="24"/>
                <w14:textFill>
                  <w14:solidFill>
                    <w14:schemeClr w14:val="tx1"/>
                  </w14:solidFill>
                </w14:textFill>
              </w:rPr>
              <w:t>原有环评批复落实情况</w:t>
            </w:r>
          </w:p>
          <w:p>
            <w:pPr>
              <w:pStyle w:val="19"/>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表1-12  原有环评批复落实情况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4105"/>
              <w:gridCol w:w="3114"/>
              <w:gridCol w:w="11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szCs w:val="20"/>
                      <w14:textFill>
                        <w14:solidFill>
                          <w14:schemeClr w14:val="tx1"/>
                        </w14:solidFill>
                      </w14:textFill>
                    </w:rPr>
                    <w:t>序号</w:t>
                  </w:r>
                </w:p>
              </w:tc>
              <w:tc>
                <w:tcPr>
                  <w:tcW w:w="4003" w:type="dxa"/>
                  <w:shd w:val="clear" w:color="auto" w:fill="auto"/>
                  <w:vAlign w:val="center"/>
                </w:tcPr>
                <w:p>
                  <w:pPr>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szCs w:val="20"/>
                      <w14:textFill>
                        <w14:solidFill>
                          <w14:schemeClr w14:val="tx1"/>
                        </w14:solidFill>
                      </w14:textFill>
                    </w:rPr>
                    <w:t>环评批复风险防控措施</w:t>
                  </w:r>
                </w:p>
              </w:tc>
              <w:tc>
                <w:tcPr>
                  <w:tcW w:w="3036" w:type="dxa"/>
                  <w:shd w:val="clear" w:color="auto" w:fill="auto"/>
                  <w:vAlign w:val="center"/>
                </w:tcPr>
                <w:p>
                  <w:pPr>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szCs w:val="20"/>
                      <w14:textFill>
                        <w14:solidFill>
                          <w14:schemeClr w14:val="tx1"/>
                        </w14:solidFill>
                      </w14:textFill>
                    </w:rPr>
                    <w:t>企业现阶段风险防控措施</w:t>
                  </w:r>
                </w:p>
              </w:tc>
              <w:tc>
                <w:tcPr>
                  <w:tcW w:w="1093" w:type="dxa"/>
                  <w:shd w:val="clear" w:color="auto" w:fill="auto"/>
                  <w:vAlign w:val="center"/>
                </w:tcPr>
                <w:p>
                  <w:pPr>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szCs w:val="20"/>
                      <w14:textFill>
                        <w14:solidFill>
                          <w14:schemeClr w14:val="tx1"/>
                        </w14:solidFill>
                      </w14:textFill>
                    </w:rPr>
                    <w:t>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1</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项目严格按国土资源行攻主管</w:t>
                  </w:r>
                  <w:r>
                    <w:rPr>
                      <w:rFonts w:hint="eastAsia" w:ascii="Times New Roman" w:hAnsi="Times New Roman"/>
                      <w:color w:val="000000" w:themeColor="text1"/>
                      <w:szCs w:val="20"/>
                      <w14:textFill>
                        <w14:solidFill>
                          <w14:schemeClr w14:val="tx1"/>
                        </w14:solidFill>
                      </w14:textFill>
                    </w:rPr>
                    <w:t>审批</w:t>
                  </w:r>
                  <w:r>
                    <w:rPr>
                      <w:rFonts w:ascii="Times New Roman" w:hAnsi="Times New Roman"/>
                      <w:color w:val="000000" w:themeColor="text1"/>
                      <w:szCs w:val="20"/>
                      <w14:textFill>
                        <w14:solidFill>
                          <w14:schemeClr w14:val="tx1"/>
                        </w14:solidFill>
                      </w14:textFill>
                    </w:rPr>
                    <w:t>批准的方案进行开采，对矿山开釆区域采取洒水降尘，设置原料堆棚并釆取防风措施，原料粉碎、筛分等产尘点设置集气罩等措施，防止扬尘产生；矿山服务期满后，</w:t>
                  </w:r>
                  <w:r>
                    <w:rPr>
                      <w:rFonts w:hint="eastAsia" w:ascii="Times New Roman" w:hAnsi="Times New Roman"/>
                      <w:color w:val="000000" w:themeColor="text1"/>
                      <w:szCs w:val="20"/>
                      <w14:textFill>
                        <w14:solidFill>
                          <w14:schemeClr w14:val="tx1"/>
                        </w14:solidFill>
                      </w14:textFill>
                    </w:rPr>
                    <w:t>对</w:t>
                  </w:r>
                  <w:r>
                    <w:rPr>
                      <w:rFonts w:ascii="Times New Roman" w:hAnsi="Times New Roman"/>
                      <w:color w:val="000000" w:themeColor="text1"/>
                      <w:szCs w:val="20"/>
                      <w14:textFill>
                        <w14:solidFill>
                          <w14:schemeClr w14:val="tx1"/>
                        </w14:solidFill>
                      </w14:textFill>
                    </w:rPr>
                    <w:t>露天采场、弃土场及时进行植被恢复，防止水土流失。</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按照批准的开采方案进行开采。采矿区对区域采取晒水降尘，厂区已设置原料堆棚并釆取防风措施，原料粉碎、筛分等产尘点已设置集气罩等措施，矿山服务期</w:t>
                  </w:r>
                  <w:r>
                    <w:rPr>
                      <w:rFonts w:hint="eastAsia" w:ascii="Times New Roman" w:hAnsi="Times New Roman"/>
                      <w:color w:val="000000" w:themeColor="text1"/>
                      <w:szCs w:val="20"/>
                      <w14:textFill>
                        <w14:solidFill>
                          <w14:schemeClr w14:val="tx1"/>
                        </w14:solidFill>
                      </w14:textFill>
                    </w:rPr>
                    <w:t>未</w:t>
                  </w:r>
                  <w:r>
                    <w:rPr>
                      <w:rFonts w:ascii="Times New Roman" w:hAnsi="Times New Roman"/>
                      <w:color w:val="000000" w:themeColor="text1"/>
                      <w:szCs w:val="20"/>
                      <w14:textFill>
                        <w14:solidFill>
                          <w14:schemeClr w14:val="tx1"/>
                        </w14:solidFill>
                      </w14:textFill>
                    </w:rPr>
                    <w:t>满，服务期</w:t>
                  </w:r>
                  <w:r>
                    <w:rPr>
                      <w:rFonts w:hint="eastAsia" w:ascii="Times New Roman" w:hAnsi="Times New Roman"/>
                      <w:color w:val="000000" w:themeColor="text1"/>
                      <w:szCs w:val="20"/>
                      <w14:textFill>
                        <w14:solidFill>
                          <w14:schemeClr w14:val="tx1"/>
                        </w14:solidFill>
                      </w14:textFill>
                    </w:rPr>
                    <w:t>到</w:t>
                  </w:r>
                  <w:r>
                    <w:rPr>
                      <w:rFonts w:ascii="Times New Roman" w:hAnsi="Times New Roman"/>
                      <w:color w:val="000000" w:themeColor="text1"/>
                      <w:szCs w:val="20"/>
                      <w14:textFill>
                        <w14:solidFill>
                          <w14:schemeClr w14:val="tx1"/>
                        </w14:solidFill>
                      </w14:textFill>
                    </w:rPr>
                    <w:t>后做好矿区及排土场的复垦和生态恢复工作。</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2</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加强环境管理，建立环境管理机构，配备专职或兼职环保人员，完善环境管理制度，定期对</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三废</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处理设施进行检查和维护，严禁</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三废</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不经处理直接排放</w:t>
                  </w:r>
                  <w:r>
                    <w:rPr>
                      <w:rFonts w:hint="eastAsia" w:ascii="Times New Roman" w:hAnsi="Times New Roman"/>
                      <w:color w:val="000000" w:themeColor="text1"/>
                      <w:szCs w:val="20"/>
                      <w14:textFill>
                        <w14:solidFill>
                          <w14:schemeClr w14:val="tx1"/>
                        </w14:solidFill>
                      </w14:textFill>
                    </w:rPr>
                    <w:t>。</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已建立环境管理机构，厂区配备专职环保人员，厂区三废未违规排放。</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3</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本项目窑炉烟气必须经脱疏除尘设施处理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达到《砖瓦工业大气污染物排放标准》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GB29620-2013</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表2标准要求后，通过两根排气筒</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65m、85m</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高空排放。</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本项目窑炉烟气经脱疏除尘设施处理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达到《砖瓦工业大气污染物排放标准》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GB29620-2013</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表2标准要求后，通过两根排气筒</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65m、85m</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高空排放。</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未落实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4</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厂区排水严格雨污分流，</w:t>
                  </w:r>
                  <w:r>
                    <w:rPr>
                      <w:rFonts w:hint="eastAsia" w:ascii="Times New Roman" w:hAnsi="Times New Roman"/>
                      <w:color w:val="000000" w:themeColor="text1"/>
                      <w:szCs w:val="20"/>
                      <w14:textFill>
                        <w14:solidFill>
                          <w14:schemeClr w14:val="tx1"/>
                        </w14:solidFill>
                      </w14:textFill>
                    </w:rPr>
                    <w:t>搅拌</w:t>
                  </w:r>
                  <w:r>
                    <w:rPr>
                      <w:rFonts w:ascii="Times New Roman" w:hAnsi="Times New Roman"/>
                      <w:color w:val="000000" w:themeColor="text1"/>
                      <w:szCs w:val="20"/>
                      <w14:textFill>
                        <w14:solidFill>
                          <w14:schemeClr w14:val="tx1"/>
                        </w14:solidFill>
                      </w14:textFill>
                    </w:rPr>
                    <w:t>机清洗废水经沉淀后回用，不外排；生活污水经化粪池处理后用于菜地施肥，不外排</w:t>
                  </w:r>
                  <w:r>
                    <w:rPr>
                      <w:rFonts w:hint="eastAsia" w:ascii="Times New Roman" w:hAnsi="Times New Roman"/>
                      <w:color w:val="000000" w:themeColor="text1"/>
                      <w:szCs w:val="20"/>
                      <w14:textFill>
                        <w14:solidFill>
                          <w14:schemeClr w14:val="tx1"/>
                        </w14:solidFill>
                      </w14:textFill>
                    </w:rPr>
                    <w:t>。</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厂区雨污分流，</w:t>
                  </w:r>
                  <w:r>
                    <w:rPr>
                      <w:rFonts w:hint="eastAsia" w:ascii="Times New Roman" w:hAnsi="Times New Roman"/>
                      <w:color w:val="000000" w:themeColor="text1"/>
                      <w:szCs w:val="20"/>
                      <w14:textFill>
                        <w14:solidFill>
                          <w14:schemeClr w14:val="tx1"/>
                        </w14:solidFill>
                      </w14:textFill>
                    </w:rPr>
                    <w:t>搅拌</w:t>
                  </w:r>
                  <w:r>
                    <w:rPr>
                      <w:rFonts w:ascii="Times New Roman" w:hAnsi="Times New Roman"/>
                      <w:color w:val="000000" w:themeColor="text1"/>
                      <w:szCs w:val="20"/>
                      <w14:textFill>
                        <w14:solidFill>
                          <w14:schemeClr w14:val="tx1"/>
                        </w14:solidFill>
                      </w14:textFill>
                    </w:rPr>
                    <w:t>机清洗废水经沉淀后回用；生活污水经化粪池处理后用于菜地</w:t>
                  </w:r>
                  <w:r>
                    <w:rPr>
                      <w:rFonts w:hint="eastAsia" w:ascii="Times New Roman" w:hAnsi="Times New Roman"/>
                      <w:color w:val="000000" w:themeColor="text1"/>
                      <w:szCs w:val="20"/>
                      <w14:textFill>
                        <w14:solidFill>
                          <w14:schemeClr w14:val="tx1"/>
                        </w14:solidFill>
                      </w14:textFill>
                    </w:rPr>
                    <w:t>施肥。</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5</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做好噪声污染防控，优化厂区平面布局与设备选型，合理安排生产时间，对高噪声设备釆取减噪降噪措施，确保厂界噪声达到《工厂企业厂界环境噪声排放标准》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GB12348-2008</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中2类标准要求。</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厂区平面布局、设备选型合理，严格按照正常生产时间生产，厂界噪声均能达到《工厂企业厂界环境噪声排放标准》</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GB12348-2008</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中2类标准要求。</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6</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做好固废管理工作。本项目产生的固体废物主要残次品及员工生活垃圾。场内设置一般固废暂存场，残次品必须回用于生产，不得外排；生活垃圾应设置全封闭垃圾站。</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企业设置一般固废暂存场，</w:t>
                  </w:r>
                  <w:r>
                    <w:rPr>
                      <w:rFonts w:hint="eastAsia" w:ascii="Times New Roman" w:hAnsi="Times New Roman"/>
                      <w:color w:val="000000" w:themeColor="text1"/>
                      <w:szCs w:val="20"/>
                      <w14:textFill>
                        <w14:solidFill>
                          <w14:schemeClr w14:val="tx1"/>
                        </w14:solidFill>
                      </w14:textFill>
                    </w:rPr>
                    <w:t>不合格产品</w:t>
                  </w:r>
                  <w:r>
                    <w:rPr>
                      <w:rFonts w:ascii="Times New Roman" w:hAnsi="Times New Roman"/>
                      <w:color w:val="000000" w:themeColor="text1"/>
                      <w:szCs w:val="20"/>
                      <w14:textFill>
                        <w14:solidFill>
                          <w14:schemeClr w14:val="tx1"/>
                        </w14:solidFill>
                      </w14:textFill>
                    </w:rPr>
                    <w:t>回用于生产；生活垃圾设置全封闭垃圾站。</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7</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建立健全环境管理制度，落实各项环境风险防范措施，制定行之有效的环境风险事故应急预案和切实可行的应急措施。</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已制定环境事故应急预案</w:t>
                  </w:r>
                  <w:r>
                    <w:rPr>
                      <w:rFonts w:hint="eastAsia" w:ascii="Times New Roman" w:hAnsi="Times New Roman"/>
                      <w:color w:val="000000" w:themeColor="text1"/>
                      <w:szCs w:val="20"/>
                      <w14:textFill>
                        <w14:solidFill>
                          <w14:schemeClr w14:val="tx1"/>
                        </w14:solidFill>
                      </w14:textFill>
                    </w:rPr>
                    <w:t>。</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8</w:t>
                  </w:r>
                </w:p>
              </w:tc>
              <w:tc>
                <w:tcPr>
                  <w:tcW w:w="400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污染物排放总量控制：SO</w:t>
                  </w:r>
                  <w:r>
                    <w:rPr>
                      <w:rFonts w:ascii="Times New Roman" w:hAnsi="Times New Roman"/>
                      <w:color w:val="000000" w:themeColor="text1"/>
                      <w:szCs w:val="20"/>
                      <w:vertAlign w:val="subscript"/>
                      <w14:textFill>
                        <w14:solidFill>
                          <w14:schemeClr w14:val="tx1"/>
                        </w14:solidFill>
                      </w14:textFill>
                    </w:rPr>
                    <w:t>2</w:t>
                  </w:r>
                  <w:r>
                    <w:rPr>
                      <w:rFonts w:ascii="Times New Roman" w:hAnsi="Times New Roman"/>
                      <w:color w:val="000000" w:themeColor="text1"/>
                      <w:szCs w:val="20"/>
                      <w14:textFill>
                        <w14:solidFill>
                          <w14:schemeClr w14:val="tx1"/>
                        </w14:solidFill>
                      </w14:textFill>
                    </w:rPr>
                    <w:t>≤30.91t/a.，NO</w:t>
                  </w:r>
                  <w:r>
                    <w:rPr>
                      <w:rFonts w:hint="eastAsia" w:ascii="Times New Roman" w:hAnsi="Times New Roman"/>
                      <w:color w:val="000000" w:themeColor="text1"/>
                      <w:szCs w:val="20"/>
                      <w:vertAlign w:val="subscript"/>
                      <w14:textFill>
                        <w14:solidFill>
                          <w14:schemeClr w14:val="tx1"/>
                        </w14:solidFill>
                      </w14:textFill>
                    </w:rPr>
                    <w:t>X</w:t>
                  </w:r>
                  <w:r>
                    <w:rPr>
                      <w:rFonts w:ascii="Times New Roman" w:hAnsi="Times New Roman"/>
                      <w:color w:val="000000" w:themeColor="text1"/>
                      <w:szCs w:val="20"/>
                      <w14:textFill>
                        <w14:solidFill>
                          <w14:schemeClr w14:val="tx1"/>
                        </w14:solidFill>
                      </w14:textFill>
                    </w:rPr>
                    <w:t>≤24.06t/a，总量指标纳入桃江县环保局的总量管理。</w:t>
                  </w:r>
                </w:p>
              </w:tc>
              <w:tc>
                <w:tcPr>
                  <w:tcW w:w="3036"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原项目已通过建设项目竣工验收，SO</w:t>
                  </w:r>
                  <w:r>
                    <w:rPr>
                      <w:rFonts w:ascii="Times New Roman" w:hAnsi="Times New Roman"/>
                      <w:color w:val="000000" w:themeColor="text1"/>
                      <w:szCs w:val="20"/>
                      <w:vertAlign w:val="subscript"/>
                      <w14:textFill>
                        <w14:solidFill>
                          <w14:schemeClr w14:val="tx1"/>
                        </w14:solidFill>
                      </w14:textFill>
                    </w:rPr>
                    <w:t>2</w:t>
                  </w:r>
                  <w:r>
                    <w:rPr>
                      <w:rFonts w:ascii="Times New Roman" w:hAnsi="Times New Roman"/>
                      <w:color w:val="000000" w:themeColor="text1"/>
                      <w:szCs w:val="20"/>
                      <w14:textFill>
                        <w14:solidFill>
                          <w14:schemeClr w14:val="tx1"/>
                        </w14:solidFill>
                      </w14:textFill>
                    </w:rPr>
                    <w:t>为29.09t/a</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szCs w:val="20"/>
                      <w14:textFill>
                        <w14:solidFill>
                          <w14:schemeClr w14:val="tx1"/>
                        </w14:solidFill>
                      </w14:textFill>
                    </w:rPr>
                    <w:t>NO</w:t>
                  </w:r>
                  <w:r>
                    <w:rPr>
                      <w:rFonts w:hint="eastAsia" w:ascii="Times New Roman" w:hAnsi="Times New Roman"/>
                      <w:color w:val="000000" w:themeColor="text1"/>
                      <w:szCs w:val="20"/>
                      <w:vertAlign w:val="subscript"/>
                      <w14:textFill>
                        <w14:solidFill>
                          <w14:schemeClr w14:val="tx1"/>
                        </w14:solidFill>
                      </w14:textFill>
                    </w:rPr>
                    <w:t>X</w:t>
                  </w:r>
                  <w:r>
                    <w:rPr>
                      <w:rFonts w:ascii="Times New Roman" w:hAnsi="Times New Roman"/>
                      <w:color w:val="000000" w:themeColor="text1"/>
                      <w:szCs w:val="20"/>
                      <w14:textFill>
                        <w14:solidFill>
                          <w14:schemeClr w14:val="tx1"/>
                        </w14:solidFill>
                      </w14:textFill>
                    </w:rPr>
                    <w:t>为19.08t/a</w:t>
                  </w:r>
                  <w:r>
                    <w:rPr>
                      <w:rFonts w:hint="eastAsia" w:ascii="Times New Roman" w:hAnsi="Times New Roman"/>
                      <w:color w:val="000000" w:themeColor="text1"/>
                      <w:szCs w:val="20"/>
                      <w14:textFill>
                        <w14:solidFill>
                          <w14:schemeClr w14:val="tx1"/>
                        </w14:solidFill>
                      </w14:textFill>
                    </w:rPr>
                    <w:t>。</w:t>
                  </w:r>
                </w:p>
              </w:tc>
              <w:tc>
                <w:tcPr>
                  <w:tcW w:w="1093" w:type="dxa"/>
                  <w:shd w:val="clear" w:color="auto" w:fill="auto"/>
                  <w:vAlign w:val="center"/>
                </w:tcPr>
                <w:p>
                  <w:pPr>
                    <w:jc w:val="center"/>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落实</w:t>
                  </w:r>
                </w:p>
              </w:tc>
            </w:tr>
          </w:tbl>
          <w:p>
            <w:pPr>
              <w:spacing w:line="360" w:lineRule="auto"/>
              <w:rPr>
                <w:rFonts w:ascii="Times New Roman" w:hAnsi="Times New Roman"/>
                <w:b/>
                <w:spacing w:val="8"/>
                <w:sz w:val="24"/>
                <w:szCs w:val="24"/>
                <w:u w:val="single"/>
              </w:rPr>
            </w:pPr>
            <w:r>
              <w:rPr>
                <w:rFonts w:ascii="Times New Roman" w:hAnsi="Times New Roman"/>
                <w:b/>
                <w:spacing w:val="8"/>
                <w:sz w:val="24"/>
                <w:szCs w:val="24"/>
                <w:u w:val="single"/>
              </w:rPr>
              <w:t xml:space="preserve">4 </w:t>
            </w:r>
            <w:r>
              <w:rPr>
                <w:rFonts w:hint="eastAsia" w:ascii="Times New Roman" w:hAnsi="Times New Roman"/>
                <w:b/>
                <w:color w:val="000000" w:themeColor="text1"/>
                <w:sz w:val="24"/>
                <w:szCs w:val="24"/>
                <w:u w:val="single"/>
                <w14:textFill>
                  <w14:solidFill>
                    <w14:schemeClr w14:val="tx1"/>
                  </w14:solidFill>
                </w14:textFill>
              </w:rPr>
              <w:t>现有项目存在的问题及整改措施</w:t>
            </w:r>
          </w:p>
          <w:p>
            <w:pPr>
              <w:spacing w:line="360" w:lineRule="auto"/>
              <w:ind w:firstLine="480" w:firstLineChars="200"/>
              <w:rPr>
                <w:rFonts w:ascii="宋体" w:hAnsi="宋体"/>
                <w:sz w:val="24"/>
                <w:szCs w:val="24"/>
                <w:u w:val="single"/>
              </w:rPr>
            </w:pPr>
            <w:r>
              <w:rPr>
                <w:rFonts w:hint="eastAsia" w:ascii="宋体" w:hAnsi="宋体"/>
                <w:sz w:val="24"/>
                <w:szCs w:val="24"/>
                <w:u w:val="single"/>
              </w:rPr>
              <w:t>现有项目基本按照环保要求采取了污染治理措施，污染物达标排放，通过了环保部门的验收，经实地考察目前存在以下环保问题，本环评提出了相关整改要求。</w:t>
            </w:r>
          </w:p>
          <w:p>
            <w:pPr>
              <w:pStyle w:val="58"/>
              <w:spacing w:line="360" w:lineRule="auto"/>
              <w:rPr>
                <w:rFonts w:ascii="Times New Roman" w:hAnsi="Times New Roman" w:cs="Times New Roman"/>
                <w:bCs w:val="0"/>
                <w:color w:val="000000"/>
                <w:szCs w:val="24"/>
                <w:u w:val="single"/>
              </w:rPr>
            </w:pPr>
            <w:r>
              <w:rPr>
                <w:rFonts w:hint="eastAsia" w:ascii="Times New Roman" w:hAnsi="Times New Roman" w:cs="Times New Roman"/>
                <w:bCs w:val="0"/>
                <w:color w:val="000000"/>
                <w:szCs w:val="24"/>
                <w:u w:val="single"/>
              </w:rPr>
              <w:t>表1-</w:t>
            </w:r>
            <w:r>
              <w:rPr>
                <w:rFonts w:ascii="Times New Roman" w:hAnsi="Times New Roman" w:cs="Times New Roman"/>
                <w:bCs w:val="0"/>
                <w:color w:val="000000"/>
                <w:szCs w:val="24"/>
                <w:u w:val="single"/>
              </w:rPr>
              <w:t xml:space="preserve">13  </w:t>
            </w:r>
            <w:r>
              <w:rPr>
                <w:rFonts w:hint="eastAsia" w:ascii="Times New Roman" w:hAnsi="Times New Roman" w:cs="Times New Roman"/>
                <w:bCs w:val="0"/>
                <w:color w:val="000000"/>
                <w:szCs w:val="24"/>
                <w:u w:val="single"/>
              </w:rPr>
              <w:t>现有问题以及整改要求</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7"/>
              <w:gridCol w:w="4008"/>
              <w:gridCol w:w="42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777" w:type="dxa"/>
                  <w:shd w:val="clear" w:color="auto" w:fill="auto"/>
                  <w:vAlign w:val="center"/>
                </w:tcPr>
                <w:p>
                  <w:pPr>
                    <w:jc w:val="center"/>
                    <w:rPr>
                      <w:rFonts w:ascii="Times New Roman" w:hAnsi="Times New Roman"/>
                      <w:b/>
                      <w:bCs/>
                      <w:color w:val="000000" w:themeColor="text1"/>
                      <w:u w:val="single"/>
                      <w14:textFill>
                        <w14:solidFill>
                          <w14:schemeClr w14:val="tx1"/>
                        </w14:solidFill>
                      </w14:textFill>
                    </w:rPr>
                  </w:pPr>
                  <w:r>
                    <w:rPr>
                      <w:rFonts w:ascii="Times New Roman" w:hAnsi="Times New Roman"/>
                      <w:b/>
                      <w:bCs/>
                      <w:color w:val="000000" w:themeColor="text1"/>
                      <w:szCs w:val="20"/>
                      <w:u w:val="single"/>
                      <w14:textFill>
                        <w14:solidFill>
                          <w14:schemeClr w14:val="tx1"/>
                        </w14:solidFill>
                      </w14:textFill>
                    </w:rPr>
                    <w:t>序号</w:t>
                  </w:r>
                </w:p>
              </w:tc>
              <w:tc>
                <w:tcPr>
                  <w:tcW w:w="3908" w:type="dxa"/>
                  <w:shd w:val="clear" w:color="auto" w:fill="auto"/>
                  <w:vAlign w:val="center"/>
                </w:tcPr>
                <w:p>
                  <w:pPr>
                    <w:jc w:val="center"/>
                    <w:rPr>
                      <w:rFonts w:ascii="Times New Roman" w:hAnsi="Times New Roman"/>
                      <w:b/>
                      <w:bCs/>
                      <w:color w:val="000000" w:themeColor="text1"/>
                      <w:u w:val="single"/>
                      <w14:textFill>
                        <w14:solidFill>
                          <w14:schemeClr w14:val="tx1"/>
                        </w14:solidFill>
                      </w14:textFill>
                    </w:rPr>
                  </w:pPr>
                  <w:r>
                    <w:rPr>
                      <w:rFonts w:hint="eastAsia" w:ascii="Times New Roman" w:hAnsi="Times New Roman"/>
                      <w:b/>
                      <w:bCs/>
                      <w:color w:val="000000" w:themeColor="text1"/>
                      <w:szCs w:val="20"/>
                      <w:u w:val="single"/>
                      <w14:textFill>
                        <w14:solidFill>
                          <w14:schemeClr w14:val="tx1"/>
                        </w14:solidFill>
                      </w14:textFill>
                    </w:rPr>
                    <w:t>现有问题</w:t>
                  </w:r>
                </w:p>
              </w:tc>
              <w:tc>
                <w:tcPr>
                  <w:tcW w:w="4129" w:type="dxa"/>
                  <w:shd w:val="clear" w:color="auto" w:fill="auto"/>
                  <w:vAlign w:val="center"/>
                </w:tcPr>
                <w:p>
                  <w:pPr>
                    <w:jc w:val="center"/>
                    <w:rPr>
                      <w:rFonts w:ascii="Times New Roman" w:hAnsi="Times New Roman"/>
                      <w:b/>
                      <w:bCs/>
                      <w:color w:val="000000" w:themeColor="text1"/>
                      <w:u w:val="single"/>
                      <w14:textFill>
                        <w14:solidFill>
                          <w14:schemeClr w14:val="tx1"/>
                        </w14:solidFill>
                      </w14:textFill>
                    </w:rPr>
                  </w:pPr>
                  <w:r>
                    <w:rPr>
                      <w:rFonts w:hint="eastAsia" w:ascii="Times New Roman" w:hAnsi="Times New Roman"/>
                      <w:b/>
                      <w:bCs/>
                      <w:color w:val="000000" w:themeColor="text1"/>
                      <w:szCs w:val="20"/>
                      <w:u w:val="single"/>
                      <w14:textFill>
                        <w14:solidFill>
                          <w14:schemeClr w14:val="tx1"/>
                        </w14:solidFill>
                      </w14:textFill>
                    </w:rPr>
                    <w:t>整改要求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1</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目前项目对开采除尘洒水和喷水雾措施不够，除尘效果较差，粉尘无组织排放较多</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要求每天对开采部位和矿石进行喷水雾和洒水操作，破碎粉尘经喷淋式除尘器，处理做到无组织粉尘达标排放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2</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未修建截排水沟、撇洪沟和挡水墙局部</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修建截排水沟、撇洪沟和挡水墙，采用砖砌水沟，提高防渗效果，防止雨水渗漏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3</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采场边坡生态恢复措施尚未完全到位，暴雨季节容易引发水土流失；已采完的采场边坡未护坡及复垦植被不够全面</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应按照开采计划，将浸场边坡进行生态恢复，覆盖植被，防止暴雨季节引发水土流失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4</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矿区内运输道路两侧及其边坡大部分为裸露状态，植被覆盖率低，容易引发塌方、泥石流等对过往车辆造成安全隐患</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对矿区内运输道路两侧及其边坡进行全绿化，提高植被覆盖率，防止引发塌方、泥石流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5</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矿区地面未进行硬化，矿区环境很差，防渗效果差</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矿区地面进行硬化，增强地面防渗效果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ascii="Times New Roman" w:hAnsi="Times New Roman"/>
                      <w:color w:val="000000" w:themeColor="text1"/>
                      <w:szCs w:val="20"/>
                      <w:u w:val="single"/>
                      <w14:textFill>
                        <w14:solidFill>
                          <w14:schemeClr w14:val="tx1"/>
                        </w14:solidFill>
                      </w14:textFill>
                    </w:rPr>
                    <w:t>6</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破碎生产线厂房未封闭，皮带输送为采用封闭式</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新建全封闭钢结构厂房，其中输送皮带采用封闭式走廊，破碎和筛分区全封闭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7</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矿区雨水收集池池体较小、雨水收集池修建不规范，不能满足项目雨水除尘水量要求，厂区废水要达到废水不外排，废水处理设施池体面积较小</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增大并规范雨水收集池，增大废水处理设施池体面积，确保初期雨水经废水处理设施处理后回用于生产，不外排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7"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8</w:t>
                  </w:r>
                </w:p>
              </w:tc>
              <w:tc>
                <w:tcPr>
                  <w:tcW w:w="3908"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窑炉废气经水膜除尘设施处理后，超标排放</w:t>
                  </w:r>
                </w:p>
              </w:tc>
              <w:tc>
                <w:tcPr>
                  <w:tcW w:w="4129" w:type="dxa"/>
                  <w:shd w:val="clear" w:color="auto" w:fill="auto"/>
                  <w:vAlign w:val="center"/>
                </w:tcPr>
                <w:p>
                  <w:pPr>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窑炉废气</w:t>
                  </w:r>
                  <w:r>
                    <w:rPr>
                      <w:rFonts w:hint="eastAsia" w:ascii="Times New Roman" w:hAnsi="Times New Roman"/>
                      <w:color w:val="000000" w:themeColor="text1"/>
                      <w:kern w:val="0"/>
                      <w:szCs w:val="21"/>
                      <w:u w:val="single"/>
                      <w14:textFill>
                        <w14:solidFill>
                          <w14:schemeClr w14:val="tx1"/>
                        </w14:solidFill>
                      </w14:textFill>
                    </w:rPr>
                    <w:t>经</w:t>
                  </w:r>
                  <w:r>
                    <w:rPr>
                      <w:rFonts w:ascii="Times New Roman" w:hAnsi="Times New Roman"/>
                      <w:color w:val="000000" w:themeColor="text1"/>
                      <w:kern w:val="0"/>
                      <w:szCs w:val="21"/>
                      <w:u w:val="single"/>
                      <w14:textFill>
                        <w14:solidFill>
                          <w14:schemeClr w14:val="tx1"/>
                        </w14:solidFill>
                      </w14:textFill>
                    </w:rPr>
                    <w:t>一套双碱湿法脱硫除尘系统</w:t>
                  </w:r>
                  <w:r>
                    <w:rPr>
                      <w:rFonts w:hint="eastAsia" w:ascii="Times New Roman" w:hAnsi="Times New Roman"/>
                      <w:color w:val="000000" w:themeColor="text1"/>
                      <w:kern w:val="0"/>
                      <w:szCs w:val="21"/>
                      <w:u w:val="single"/>
                      <w14:textFill>
                        <w14:solidFill>
                          <w14:schemeClr w14:val="tx1"/>
                        </w14:solidFill>
                      </w14:textFill>
                    </w:rPr>
                    <w:t>处理后达</w:t>
                  </w:r>
                  <w:r>
                    <w:rPr>
                      <w:rFonts w:ascii="Times New Roman" w:hAnsi="Times New Roman"/>
                      <w:color w:val="000000" w:themeColor="text1"/>
                      <w:u w:val="single"/>
                      <w14:textFill>
                        <w14:solidFill>
                          <w14:schemeClr w14:val="tx1"/>
                        </w14:solidFill>
                      </w14:textFill>
                    </w:rPr>
                    <w:t>《砖瓦工业大气污染物排放标准》（GB29620-2013）</w:t>
                  </w:r>
                  <w:r>
                    <w:rPr>
                      <w:rFonts w:hint="eastAsia" w:ascii="Times New Roman" w:hAnsi="Times New Roman"/>
                      <w:color w:val="000000" w:themeColor="text1"/>
                      <w:u w:val="single"/>
                      <w14:textFill>
                        <w14:solidFill>
                          <w14:schemeClr w14:val="tx1"/>
                        </w14:solidFill>
                      </w14:textFill>
                    </w:rPr>
                    <w:t>中的标准限值</w:t>
                  </w:r>
                  <w:r>
                    <w:rPr>
                      <w:rFonts w:hint="eastAsia" w:ascii="Times New Roman" w:hAnsi="Times New Roman"/>
                      <w:color w:val="000000" w:themeColor="text1"/>
                      <w:kern w:val="0"/>
                      <w:szCs w:val="21"/>
                      <w:u w:val="single"/>
                      <w14:textFill>
                        <w14:solidFill>
                          <w14:schemeClr w14:val="tx1"/>
                        </w14:solidFill>
                      </w14:textFill>
                    </w:rPr>
                    <w:t>，</w:t>
                  </w:r>
                  <w:r>
                    <w:rPr>
                      <w:rFonts w:ascii="Times New Roman" w:hAnsi="Times New Roman"/>
                      <w:color w:val="000000" w:themeColor="text1"/>
                      <w:kern w:val="0"/>
                      <w:szCs w:val="21"/>
                      <w:u w:val="single"/>
                      <w14:textFill>
                        <w14:solidFill>
                          <w14:schemeClr w14:val="tx1"/>
                        </w14:solidFill>
                      </w14:textFill>
                    </w:rPr>
                    <w:t>通过一根65米高的</w:t>
                  </w:r>
                  <w:r>
                    <w:rPr>
                      <w:rFonts w:hint="eastAsia" w:ascii="Times New Roman" w:hAnsi="Times New Roman"/>
                      <w:color w:val="000000" w:themeColor="text1"/>
                      <w:kern w:val="0"/>
                      <w:szCs w:val="21"/>
                      <w:u w:val="single"/>
                      <w14:textFill>
                        <w14:solidFill>
                          <w14:schemeClr w14:val="tx1"/>
                        </w14:solidFill>
                      </w14:textFill>
                    </w:rPr>
                    <w:t>烟囱</w:t>
                  </w:r>
                  <w:r>
                    <w:rPr>
                      <w:rFonts w:ascii="Times New Roman" w:hAnsi="Times New Roman"/>
                      <w:color w:val="000000" w:themeColor="text1"/>
                      <w:kern w:val="0"/>
                      <w:szCs w:val="21"/>
                      <w:u w:val="single"/>
                      <w14:textFill>
                        <w14:solidFill>
                          <w14:schemeClr w14:val="tx1"/>
                        </w14:solidFill>
                      </w14:textFill>
                    </w:rPr>
                    <w:t>有组织排放</w:t>
                  </w:r>
                </w:p>
              </w:tc>
            </w:tr>
          </w:tbl>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hint="eastAsia" w:ascii="宋体" w:hAnsi="宋体"/>
                <w:sz w:val="24"/>
                <w:szCs w:val="24"/>
              </w:rPr>
            </w:pPr>
          </w:p>
        </w:tc>
      </w:tr>
    </w:tbl>
    <w:p>
      <w:pPr>
        <w:tabs>
          <w:tab w:val="left" w:pos="1680"/>
        </w:tabs>
        <w:kinsoku w:val="0"/>
        <w:overflowPunct w:val="0"/>
        <w:jc w:val="left"/>
        <w:outlineLvl w:val="0"/>
        <w:rPr>
          <w:rFonts w:hAnsi="宋体"/>
          <w:b/>
          <w:bCs/>
          <w:sz w:val="30"/>
          <w:szCs w:val="30"/>
        </w:rPr>
        <w:sectPr>
          <w:pgSz w:w="11906" w:h="16838"/>
          <w:pgMar w:top="1418" w:right="1418" w:bottom="1418" w:left="1418" w:header="851" w:footer="992" w:gutter="0"/>
          <w:pgNumType w:start="1" w:chapStyle="1"/>
          <w:cols w:space="720" w:num="1"/>
          <w:docGrid w:linePitch="318" w:charSpace="190"/>
        </w:sectPr>
      </w:pPr>
      <w:bookmarkStart w:id="14" w:name="_Toc511833645"/>
      <w:bookmarkStart w:id="15" w:name="_Toc511833754"/>
      <w:bookmarkStart w:id="16" w:name="_Toc511833735"/>
    </w:p>
    <w:p>
      <w:pPr>
        <w:tabs>
          <w:tab w:val="left" w:pos="1680"/>
        </w:tabs>
        <w:kinsoku w:val="0"/>
        <w:overflowPunct w:val="0"/>
        <w:jc w:val="left"/>
        <w:outlineLvl w:val="0"/>
        <w:rPr>
          <w:b/>
          <w:bCs/>
          <w:spacing w:val="8"/>
          <w:sz w:val="30"/>
          <w:szCs w:val="30"/>
        </w:rPr>
      </w:pPr>
      <w:r>
        <w:rPr>
          <w:rFonts w:hint="eastAsia" w:hAnsi="宋体"/>
          <w:b/>
          <w:bCs/>
          <w:spacing w:val="8"/>
          <w:sz w:val="30"/>
          <w:szCs w:val="30"/>
        </w:rPr>
        <w:t>二、</w:t>
      </w:r>
      <w:bookmarkEnd w:id="14"/>
      <w:bookmarkEnd w:id="15"/>
      <w:bookmarkEnd w:id="16"/>
      <w:r>
        <w:rPr>
          <w:rFonts w:hint="eastAsia" w:hAnsi="宋体"/>
          <w:b/>
          <w:bCs/>
          <w:spacing w:val="8"/>
          <w:sz w:val="30"/>
          <w:szCs w:val="30"/>
        </w:rPr>
        <w:t>环境现状调查与评价</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2" w:type="dxa"/>
            <w:vAlign w:val="center"/>
          </w:tcPr>
          <w:p>
            <w:pPr>
              <w:kinsoku w:val="0"/>
              <w:overflowPunct w:val="0"/>
              <w:spacing w:before="120" w:beforeLines="50" w:line="360" w:lineRule="auto"/>
              <w:jc w:val="left"/>
              <w:textAlignment w:val="baseline"/>
              <w:rPr>
                <w:rFonts w:ascii="Times New Roman" w:hAnsi="Times New Roman"/>
                <w:b/>
                <w:spacing w:val="8"/>
                <w:sz w:val="28"/>
                <w:szCs w:val="28"/>
              </w:rPr>
            </w:pPr>
            <w:bookmarkStart w:id="17" w:name="_Toc478656541"/>
            <w:bookmarkStart w:id="18" w:name="_Toc511833646"/>
            <w:bookmarkStart w:id="19" w:name="_Toc511833736"/>
            <w:bookmarkStart w:id="20" w:name="_Toc511833755"/>
            <w:r>
              <w:rPr>
                <w:rFonts w:ascii="Times New Roman" w:hAnsi="Times New Roman"/>
                <w:b/>
                <w:spacing w:val="8"/>
                <w:sz w:val="28"/>
                <w:szCs w:val="28"/>
              </w:rPr>
              <w:t>（一）自然环境现状调查与评价</w:t>
            </w:r>
            <w:bookmarkEnd w:id="17"/>
            <w:bookmarkEnd w:id="18"/>
            <w:bookmarkEnd w:id="19"/>
            <w:bookmarkEnd w:id="20"/>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1 地理位置</w:t>
            </w:r>
          </w:p>
          <w:p>
            <w:pPr>
              <w:pStyle w:val="46"/>
              <w:overflowPunct w:val="0"/>
              <w:ind w:firstLine="480"/>
            </w:pPr>
            <w:r>
              <w:t>桃江县是雪峰山余脉向洞庭湖过渡的丘陵地带，地处湘中偏北、资水中下游，毗邻益阳、长株潭经济区，位于石长城市带和洞庭湖经济圈，与安化、宁乡、赫山、资阳、汉寿、鼎城六县（区）交界。县城距益阳市区20公里，距省城长沙90公里。位于东经111°36′~112°41′，北纬28°31′~28°41′。</w:t>
            </w:r>
          </w:p>
          <w:p>
            <w:pPr>
              <w:pStyle w:val="46"/>
              <w:overflowPunct w:val="0"/>
              <w:ind w:firstLine="480"/>
              <w:rPr>
                <w:color w:val="FF0000"/>
              </w:rPr>
            </w:pPr>
            <w:r>
              <w:t>该项目位于</w:t>
            </w:r>
            <w:r>
              <w:rPr>
                <w:color w:val="000000" w:themeColor="text1"/>
                <w:szCs w:val="24"/>
                <w14:textFill>
                  <w14:solidFill>
                    <w14:schemeClr w14:val="tx1"/>
                  </w14:solidFill>
                </w14:textFill>
              </w:rPr>
              <w:t>桃江县鸬鹚渡镇百亩村（</w:t>
            </w:r>
            <w:r>
              <w:rPr>
                <w:color w:val="000000" w:themeColor="text1"/>
                <w:spacing w:val="8"/>
                <w:szCs w:val="24"/>
                <w14:textFill>
                  <w14:solidFill>
                    <w14:schemeClr w14:val="tx1"/>
                  </w14:solidFill>
                </w14:textFill>
              </w:rPr>
              <w:t>N</w:t>
            </w:r>
            <w:r>
              <w:rPr>
                <w:snapToGrid w:val="0"/>
                <w:color w:val="000000" w:themeColor="text1"/>
                <w:kern w:val="0"/>
                <w:szCs w:val="24"/>
                <w14:textFill>
                  <w14:solidFill>
                    <w14:schemeClr w14:val="tx1"/>
                  </w14:solidFill>
                </w14:textFill>
              </w:rPr>
              <w:t>28°28′27″</w:t>
            </w:r>
            <w:r>
              <w:rPr>
                <w:rFonts w:hint="eastAsia"/>
                <w:color w:val="000000" w:themeColor="text1"/>
                <w:spacing w:val="8"/>
                <w:szCs w:val="24"/>
                <w14:textFill>
                  <w14:solidFill>
                    <w14:schemeClr w14:val="tx1"/>
                  </w14:solidFill>
                </w14:textFill>
              </w:rPr>
              <w:t>，</w:t>
            </w:r>
            <w:r>
              <w:rPr>
                <w:color w:val="000000" w:themeColor="text1"/>
                <w:spacing w:val="8"/>
                <w:szCs w:val="24"/>
                <w14:textFill>
                  <w14:solidFill>
                    <w14:schemeClr w14:val="tx1"/>
                  </w14:solidFill>
                </w14:textFill>
              </w:rPr>
              <w:t>E</w:t>
            </w:r>
            <w:r>
              <w:rPr>
                <w:snapToGrid w:val="0"/>
                <w:color w:val="000000" w:themeColor="text1"/>
                <w:kern w:val="0"/>
                <w:szCs w:val="24"/>
                <w14:textFill>
                  <w14:solidFill>
                    <w14:schemeClr w14:val="tx1"/>
                  </w14:solidFill>
                </w14:textFill>
              </w:rPr>
              <w:t>111°56′33″</w:t>
            </w:r>
            <w:r>
              <w:rPr>
                <w:color w:val="000000" w:themeColor="text1"/>
                <w:szCs w:val="24"/>
                <w14:textFill>
                  <w14:solidFill>
                    <w14:schemeClr w14:val="tx1"/>
                  </w14:solidFill>
                </w14:textFill>
              </w:rPr>
              <w:t>）</w:t>
            </w:r>
            <w:r>
              <w:t>。具体位置详见附图1。</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2 地质地貌</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桃江县地貌类型多样，山地、丘陵、岗地、平原犬牙交错。地势南高北低、西高东低，向东北倾斜，地表高差大，山丘坡度大。山地以西南部居多，面积562.98平方公里，占全县总面积的27.26%，大于30°坡的面积为350平方公里，占山地总面积的62%。丘陵主要分布在西北部和东部，面积为608.12平方公里，占全县总面积的29.46%。其中低丘占丘陵面积的52.6%，比高小于150米，坡度多为15~20°；高丘占47.4%，比高小于200米，坡度为20~25°。岗地分布于平原与丘陵之间，面积303.57平方公里，占全县总面积的14.71%。低岗地占整个岗地面积的41.9%，比高小于30米，高岗地占58.1%，比高小于60米，坡度为6~15°。平原分布在中部资江和溪河两岸以及山间谷地之中，面积为543.86平方公里，占全县总面积的26.35%。</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3 气象气候</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桃江县处于中亚热带向北亚热带过度地区，属中亚热带大陆性季风湿润气候区。气候温暖，四季分明，热量充足，雨季明显，春温多变，夏秋多旱，严寒期短，暑热期长。具体参数如下：</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年平均气温16.6℃，极端最高温度40℃，极端最低温度-15.5℃。历年平均气压1010.8毫巴。</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年日照时数1583.9h，太阳总辐射量102.7千卡/cm</w:t>
            </w:r>
            <w:r>
              <w:rPr>
                <w:rFonts w:ascii="Times New Roman" w:hAnsi="Times New Roman"/>
                <w:sz w:val="24"/>
                <w:szCs w:val="24"/>
                <w:vertAlign w:val="superscript"/>
              </w:rPr>
              <w:t>2</w:t>
            </w:r>
            <w:r>
              <w:rPr>
                <w:rFonts w:ascii="Times New Roman" w:hAnsi="Times New Roman"/>
                <w:sz w:val="24"/>
                <w:szCs w:val="24"/>
              </w:rPr>
              <w:t>，无霜期263天。历年平均蒸发量1173.5mm。平均干燥度0.9，相对湿度82%，历年平均蒸发量1173.5mm。</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年平均降雨量1569mm，雨季集中在4~6月份，占全年降水总量的42%，7~9月偏少。年均降雪日数为10.5天，最大积雪厚度为22cm，历年土壤最大冻结深度20mm。</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风向，全年主导风向为偏北风(NNW)，占累计年风向的12%。次主导风向为西北风(NW)，占累计年风向的10%，夏季盛行SSE，频率6%。静风多出现在夜间，占累计年风向的36%。</w:t>
            </w:r>
          </w:p>
          <w:p>
            <w:pPr>
              <w:overflowPunct w:val="0"/>
              <w:spacing w:line="360" w:lineRule="auto"/>
              <w:ind w:firstLine="480" w:firstLineChars="200"/>
              <w:rPr>
                <w:rFonts w:ascii="Times New Roman" w:hAnsi="Times New Roman"/>
                <w:sz w:val="24"/>
                <w:szCs w:val="24"/>
              </w:rPr>
            </w:pPr>
            <w:r>
              <w:rPr>
                <w:rFonts w:ascii="Times New Roman" w:hAnsi="Times New Roman"/>
                <w:sz w:val="24"/>
                <w:szCs w:val="24"/>
              </w:rPr>
              <w:t>风速，年均风速为1.8m/s，历年最大风速15.7m/s以上，多出现在偏北风。平时风速白天大于夜间，特别是5~7月的偏南风，白天常有4~5级，夜间只有1级左右。</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4 水文特征</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桃江县境群山集水，众壑汇流，河港溪沟，干支连接，水系甚为发达。水系以资江为干流，自西向东贯穿县境，将县境分为南、北两部分，流程102公里，江面宽250米~400米，流经15个乡镇，110个行政村，其支流流程在5公里以上的溪河有77条。县城区域河水位一般标高38.19m，河道平均坡降0.38‰，河道平均宽度280m，最大流量为15300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/s，最小流量：90.5m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/s；多年平均流量：688m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/s；最高洪水水位44.44m（1996年），最低枯水水位34.29m。桃花江位于资江下游南岸，在县城汇入资江，为县境最大的一条溪流，全长57.2km，流域面积407km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，平均坡降2.43‰，多年平均年径流量3.69亿立米，多年平均流量11.69m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/s。支流有谢家河、石牛江、金柳桥等16条。项目区附近主要河流为资江，另有桃花江等溪河。</w:t>
            </w:r>
          </w:p>
          <w:p>
            <w:pPr>
              <w:spacing w:line="360" w:lineRule="auto"/>
              <w:ind w:firstLine="480" w:firstLineChars="200"/>
              <w:rPr>
                <w:rFonts w:ascii="Times New Roman" w:hAnsi="Times New Roman"/>
                <w:sz w:val="24"/>
              </w:rPr>
            </w:pPr>
            <w:r>
              <w:rPr>
                <w:rFonts w:ascii="Times New Roman" w:hAnsi="Times New Roman"/>
                <w:color w:val="000000" w:themeColor="text1"/>
                <w:sz w:val="24"/>
                <w14:textFill>
                  <w14:solidFill>
                    <w14:schemeClr w14:val="tx1"/>
                  </w14:solidFill>
                </w14:textFill>
              </w:rPr>
              <w:t>志溪河是资江的一级支流，全长68.5公里，流域面积680.5平方公里（其中宁乡县境内2平方公里，桃江县境内225.3平方公里，赫山区境内453.2平方公里）</w:t>
            </w: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b/>
                <w:spacing w:val="8"/>
                <w:sz w:val="24"/>
                <w:szCs w:val="24"/>
              </w:rPr>
            </w:pPr>
            <w:r>
              <w:rPr>
                <w:rFonts w:ascii="Times New Roman" w:hAnsi="Times New Roman"/>
                <w:b/>
                <w:spacing w:val="8"/>
                <w:sz w:val="24"/>
                <w:szCs w:val="24"/>
              </w:rPr>
              <w:t>5 生态环境</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桃江县境内土壤采用五级分类划分土种。共划分7个土类、16个亚类、59个土属、148个土种。</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水稻土土类，发育于各类土壤母质，是在人为生产活动影响下发育形成的一种有特殊性状的土壤类型，共辖六个亚类。红壤土类，面积127066.8公顷，占旱土林地总面积的76.34%。分布于海拔700米以下的低山丘岗地，具有较明显的脱硅富铝化过程（红壤化过程）。</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黄壤土类，面积1544.51公顷，占山地、旱地总面积的1.18%。主要分布在海拔700米以上的中低山区。</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黑色石灰土土类，面积125.13公顷，仅占山地和旱土总面积的0.1%，是一种由石灰岩发育的岩成土壤，零星分布在关山口等地石灰岩山地顶部的岩隙处，多呈星点状分布。</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红色石灰土土类，面积1941.9公顷，占山地和旱土面积的1.48%，主要分布在关山口、灰山港、连河冲等地。</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菜园土土类，面积48公顷，仅占县境旱土面积的0.31%，主要分布在城镇周围。潮土土类，面积352.4公顷，只占自然土壤和旱土总面积的0.26%，主要分布在沿河两岸和一些河洲，由河谷沉积物发育而成。</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评价地区及附近地带性植被为常绿阔叶林，受人类活动的影响，目前区域内植被类型较为单一，以针叶林为主。植被类型有杉木林、马尾松林和农作物，主要生态系统类型有：农田、水域、城市，具有一定的生态系统多样性，生态系统较稳定。</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区域内主要野生木本植物有杉木、马尾松、油茶等；草本植物主要有白茅、野古草、香茅草、狗尾巴草等；另外还有多种蕨类和藤本植物。物种相对较为丰富。区内农作物主要有水稻、包菜、白菜、萝卜等粮食和蔬菜作物。</w:t>
            </w:r>
          </w:p>
          <w:p>
            <w:pPr>
              <w:spacing w:line="360" w:lineRule="auto"/>
              <w:ind w:firstLine="480" w:firstLineChars="200"/>
              <w:rPr>
                <w:rFonts w:ascii="Times New Roman" w:hAnsi="Times New Roman"/>
                <w:sz w:val="24"/>
                <w:szCs w:val="24"/>
              </w:rPr>
            </w:pPr>
            <w:r>
              <w:rPr>
                <w:rFonts w:ascii="Times New Roman" w:hAnsi="Times New Roman"/>
                <w:color w:val="000000" w:themeColor="text1"/>
                <w:sz w:val="24"/>
                <w14:textFill>
                  <w14:solidFill>
                    <w14:schemeClr w14:val="tx1"/>
                  </w14:solidFill>
                </w14:textFill>
              </w:rPr>
              <w:t>本项目所在地人类活动频繁，无珍稀、濒危野生动物。评价区域内未发现文物、古迹、历史人文景观，也未发现国家明文规定的珍稀动植物群落</w:t>
            </w:r>
            <w:r>
              <w:rPr>
                <w:rFonts w:ascii="Times New Roman" w:hAnsi="Times New Roman"/>
                <w:bCs/>
                <w:color w:val="000000" w:themeColor="text1"/>
                <w:sz w:val="24"/>
                <w:szCs w:val="24"/>
                <w14:textFill>
                  <w14:solidFill>
                    <w14:schemeClr w14:val="tx1"/>
                  </w14:solidFill>
                </w14:textFill>
              </w:rPr>
              <w:t>。</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 xml:space="preserve">6 </w:t>
            </w:r>
            <w:r>
              <w:rPr>
                <w:rFonts w:hint="eastAsia" w:ascii="Times New Roman" w:hAnsi="Times New Roman"/>
                <w:b/>
                <w:spacing w:val="8"/>
                <w:sz w:val="24"/>
                <w:szCs w:val="24"/>
              </w:rPr>
              <w:t>益阳市垃圾焚烧发电厂</w:t>
            </w:r>
          </w:p>
          <w:p>
            <w:pPr>
              <w:spacing w:line="360" w:lineRule="auto"/>
              <w:ind w:firstLine="480" w:firstLineChars="200"/>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益阳市城市生活垃圾焚烧发电厂项目位于湖南省益阳市谢林港镇青山村，总投资50046.10万元，总占地面积60000m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合90.0亩。根据《生活垃圾焚烧处理工程技术规范》（CJJ90-2009）规定，垃圾处理量应按进厂量和入炉量分别进行计量和统计。除去垃圾在厂区垃圾贮坑内脱水产生的垃圾渗滤液以及考虑设备检修期间的进厂垃圾的处理。本项目规模确定为垃圾进厂量800t/d，垃圾入炉量700t/d。项目属于Ⅱ级焚烧厂规模，每年机炉运行8000小时。本项目采用机械炉排炉焚烧工艺，选用2条400t/d的垃圾处理生产线，配套建设余热锅炉、烟气净化设施和废水处理设施，另外配置1台15MW汽轮发电机组和1套高温旁路凝汽器，预计年最大发电量约为73.8×10</w:t>
            </w:r>
            <w:r>
              <w:rPr>
                <w:rFonts w:ascii="Times New Roman" w:hAnsi="Times New Roman"/>
                <w:color w:val="000000" w:themeColor="text1"/>
                <w:sz w:val="24"/>
                <w:szCs w:val="24"/>
                <w:vertAlign w:val="superscript"/>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t>kWh。目前益阳市城市生活垃圾焚烧发电厂已经运营。</w:t>
            </w:r>
          </w:p>
          <w:p>
            <w:pPr>
              <w:spacing w:before="120" w:beforeLines="50" w:line="360" w:lineRule="auto"/>
              <w:outlineLvl w:val="1"/>
              <w:rPr>
                <w:rFonts w:ascii="Times New Roman" w:hAnsi="Times New Roman"/>
                <w:b/>
                <w:spacing w:val="8"/>
                <w:sz w:val="28"/>
                <w:szCs w:val="28"/>
              </w:rPr>
            </w:pPr>
            <w:bookmarkStart w:id="21" w:name="_Toc474940845"/>
            <w:bookmarkStart w:id="22" w:name="_Toc478656543"/>
            <w:r>
              <w:rPr>
                <w:rFonts w:ascii="Times New Roman" w:hAnsi="Times New Roman"/>
                <w:b/>
                <w:spacing w:val="8"/>
                <w:sz w:val="28"/>
                <w:szCs w:val="28"/>
              </w:rPr>
              <w:t>（</w:t>
            </w:r>
            <w:r>
              <w:rPr>
                <w:rFonts w:hint="eastAsia" w:ascii="Times New Roman" w:hAnsi="Times New Roman"/>
                <w:b/>
                <w:spacing w:val="8"/>
                <w:sz w:val="28"/>
                <w:szCs w:val="28"/>
              </w:rPr>
              <w:t>二</w:t>
            </w:r>
            <w:r>
              <w:rPr>
                <w:rFonts w:ascii="Times New Roman" w:hAnsi="Times New Roman"/>
                <w:b/>
                <w:spacing w:val="8"/>
                <w:sz w:val="28"/>
                <w:szCs w:val="28"/>
              </w:rPr>
              <w:t>）</w:t>
            </w:r>
            <w:r>
              <w:rPr>
                <w:rFonts w:hint="eastAsia" w:ascii="Times New Roman" w:hAnsi="Times New Roman"/>
                <w:b/>
                <w:spacing w:val="8"/>
                <w:sz w:val="28"/>
                <w:szCs w:val="28"/>
              </w:rPr>
              <w:t>环境保护目标调查</w:t>
            </w: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Style w:val="28"/>
                <w:rFonts w:ascii="Times New Roman" w:hAnsi="Times New Roman" w:eastAsia="华文仿宋"/>
                <w:u w:val="single"/>
              </w:rPr>
            </w:pPr>
            <w:r>
              <w:rPr>
                <w:rFonts w:ascii="Times New Roman" w:hAnsi="Times New Roman"/>
                <w:b/>
                <w:sz w:val="24"/>
                <w:szCs w:val="24"/>
                <w:u w:val="single"/>
              </w:rPr>
              <w:t>表2-1  主要环境保护目标一览表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881"/>
              <w:gridCol w:w="1018"/>
              <w:gridCol w:w="884"/>
              <w:gridCol w:w="866"/>
              <w:gridCol w:w="1162"/>
              <w:gridCol w:w="1016"/>
              <w:gridCol w:w="1162"/>
              <w:gridCol w:w="1016"/>
              <w:gridCol w:w="10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项目</w:t>
                  </w:r>
                </w:p>
              </w:tc>
              <w:tc>
                <w:tcPr>
                  <w:tcW w:w="563"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名称</w:t>
                  </w:r>
                </w:p>
              </w:tc>
              <w:tc>
                <w:tcPr>
                  <w:tcW w:w="968" w:type="pct"/>
                  <w:gridSpan w:val="2"/>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坐标</w:t>
                  </w:r>
                </w:p>
              </w:tc>
              <w:tc>
                <w:tcPr>
                  <w:tcW w:w="643"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保护对象</w:t>
                  </w:r>
                </w:p>
              </w:tc>
              <w:tc>
                <w:tcPr>
                  <w:tcW w:w="562"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保护内容</w:t>
                  </w:r>
                </w:p>
              </w:tc>
              <w:tc>
                <w:tcPr>
                  <w:tcW w:w="643"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环境功能区</w:t>
                  </w:r>
                </w:p>
              </w:tc>
              <w:tc>
                <w:tcPr>
                  <w:tcW w:w="562"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相对厂址方位</w:t>
                  </w:r>
                </w:p>
              </w:tc>
              <w:tc>
                <w:tcPr>
                  <w:tcW w:w="572" w:type="pct"/>
                  <w:vMerge w:val="restart"/>
                  <w:tcBorders>
                    <w:top w:val="single" w:color="000000" w:sz="12"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相对厂界距离/m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563"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489" w:type="pct"/>
                  <w:tcBorders>
                    <w:top w:val="single" w:color="000000" w:sz="6"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X</w:t>
                  </w:r>
                </w:p>
              </w:tc>
              <w:tc>
                <w:tcPr>
                  <w:tcW w:w="479" w:type="pct"/>
                  <w:tcBorders>
                    <w:top w:val="single" w:color="000000" w:sz="6" w:space="0"/>
                    <w:bottom w:val="single" w:color="000000" w:sz="6" w:space="0"/>
                  </w:tcBorders>
                  <w:vAlign w:val="center"/>
                </w:tcPr>
                <w:p>
                  <w:pPr>
                    <w:jc w:val="center"/>
                    <w:rPr>
                      <w:rFonts w:ascii="Times New Roman" w:hAnsi="Times New Roman"/>
                      <w:b/>
                      <w:color w:val="000000"/>
                      <w:szCs w:val="21"/>
                      <w:u w:val="single"/>
                    </w:rPr>
                  </w:pPr>
                  <w:r>
                    <w:rPr>
                      <w:rFonts w:ascii="Times New Roman" w:hAnsi="Times New Roman"/>
                      <w:b/>
                      <w:color w:val="000000"/>
                      <w:szCs w:val="21"/>
                      <w:u w:val="single"/>
                    </w:rPr>
                    <w:t>Y</w:t>
                  </w:r>
                </w:p>
              </w:tc>
              <w:tc>
                <w:tcPr>
                  <w:tcW w:w="643"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562"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643"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562"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c>
                <w:tcPr>
                  <w:tcW w:w="572" w:type="pct"/>
                  <w:vMerge w:val="continue"/>
                  <w:tcBorders>
                    <w:top w:val="single" w:color="000000" w:sz="6" w:space="0"/>
                    <w:bottom w:val="single" w:color="000000" w:sz="6" w:space="0"/>
                  </w:tcBorders>
                  <w:vAlign w:val="center"/>
                </w:tcPr>
                <w:p>
                  <w:pPr>
                    <w:widowControl/>
                    <w:jc w:val="center"/>
                    <w:rPr>
                      <w:rFonts w:ascii="Times New Roman" w:hAnsi="Times New Roman"/>
                      <w:b/>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restar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环境空气</w:t>
                  </w: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西侧百亩村居民</w:t>
                  </w:r>
                </w:p>
              </w:tc>
              <w:tc>
                <w:tcPr>
                  <w:tcW w:w="48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-25</w:t>
                  </w:r>
                </w:p>
              </w:tc>
              <w:tc>
                <w:tcPr>
                  <w:tcW w:w="47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0</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居住区</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约10</w:t>
                  </w:r>
                  <w:r>
                    <w:rPr>
                      <w:rFonts w:hint="eastAsia" w:ascii="Times New Roman" w:hAnsi="Times New Roman"/>
                      <w:color w:val="000000"/>
                      <w:szCs w:val="21"/>
                      <w:u w:val="single"/>
                    </w:rPr>
                    <w:t>户</w:t>
                  </w:r>
                </w:p>
              </w:tc>
              <w:tc>
                <w:tcPr>
                  <w:tcW w:w="643" w:type="pct"/>
                  <w:vMerge w:val="restar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二级</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W</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15</w:t>
                  </w:r>
                  <w:r>
                    <w:rPr>
                      <w:rFonts w:hint="eastAsia" w:ascii="Times New Roman" w:hAnsi="Times New Roman"/>
                      <w:szCs w:val="21"/>
                      <w:u w:val="single"/>
                    </w:rPr>
                    <w:t>~</w:t>
                  </w:r>
                  <w:r>
                    <w:rPr>
                      <w:rFonts w:ascii="Times New Roman" w:hAnsi="Times New Roman"/>
                      <w:szCs w:val="21"/>
                      <w:u w:val="single"/>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continue"/>
                  <w:tcBorders>
                    <w:top w:val="single" w:color="000000" w:sz="6" w:space="0"/>
                    <w:bottom w:val="single" w:color="000000" w:sz="6" w:space="0"/>
                  </w:tcBorders>
                  <w:vAlign w:val="center"/>
                </w:tcPr>
                <w:p>
                  <w:pPr>
                    <w:jc w:val="center"/>
                    <w:rPr>
                      <w:rFonts w:ascii="Times New Roman" w:hAnsi="Times New Roman"/>
                      <w:color w:val="000000"/>
                      <w:szCs w:val="21"/>
                      <w:u w:val="single"/>
                    </w:rPr>
                  </w:pP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南侧百亩村居民</w:t>
                  </w:r>
                </w:p>
              </w:tc>
              <w:tc>
                <w:tcPr>
                  <w:tcW w:w="48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0</w:t>
                  </w:r>
                </w:p>
              </w:tc>
              <w:tc>
                <w:tcPr>
                  <w:tcW w:w="47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-160</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居住区</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约5户</w:t>
                  </w:r>
                </w:p>
              </w:tc>
              <w:tc>
                <w:tcPr>
                  <w:tcW w:w="643" w:type="pct"/>
                  <w:vMerge w:val="continue"/>
                  <w:tcBorders>
                    <w:top w:val="single" w:color="000000" w:sz="6" w:space="0"/>
                    <w:bottom w:val="single" w:color="000000" w:sz="6" w:space="0"/>
                  </w:tcBorders>
                  <w:vAlign w:val="center"/>
                </w:tcPr>
                <w:p>
                  <w:pPr>
                    <w:jc w:val="center"/>
                    <w:rPr>
                      <w:rFonts w:ascii="Times New Roman" w:hAnsi="Times New Roman"/>
                      <w:color w:val="000000"/>
                      <w:szCs w:val="21"/>
                      <w:u w:val="single"/>
                    </w:rPr>
                  </w:pP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S</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160</w:t>
                  </w:r>
                  <w:r>
                    <w:rPr>
                      <w:rFonts w:hint="eastAsia" w:ascii="Times New Roman" w:hAnsi="Times New Roman"/>
                      <w:color w:val="000000"/>
                      <w:szCs w:val="21"/>
                      <w:u w:val="single"/>
                    </w:rPr>
                    <w:t>~</w:t>
                  </w:r>
                  <w:r>
                    <w:rPr>
                      <w:rFonts w:ascii="Times New Roman" w:hAnsi="Times New Roman"/>
                      <w:color w:val="000000"/>
                      <w:szCs w:val="21"/>
                      <w:u w:val="single"/>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continue"/>
                  <w:tcBorders>
                    <w:top w:val="single" w:color="000000" w:sz="6" w:space="0"/>
                    <w:bottom w:val="single" w:color="000000" w:sz="6" w:space="0"/>
                  </w:tcBorders>
                  <w:vAlign w:val="center"/>
                </w:tcPr>
                <w:p>
                  <w:pPr>
                    <w:jc w:val="center"/>
                    <w:rPr>
                      <w:rFonts w:ascii="Times New Roman" w:hAnsi="Times New Roman"/>
                      <w:color w:val="000000"/>
                      <w:szCs w:val="21"/>
                      <w:u w:val="single"/>
                    </w:rPr>
                  </w:pP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东侧百亩村居民</w:t>
                  </w:r>
                </w:p>
              </w:tc>
              <w:tc>
                <w:tcPr>
                  <w:tcW w:w="48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400</w:t>
                  </w:r>
                </w:p>
              </w:tc>
              <w:tc>
                <w:tcPr>
                  <w:tcW w:w="47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200</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居住区</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约20户</w:t>
                  </w:r>
                </w:p>
              </w:tc>
              <w:tc>
                <w:tcPr>
                  <w:tcW w:w="643" w:type="pct"/>
                  <w:vMerge w:val="continue"/>
                  <w:tcBorders>
                    <w:top w:val="single" w:color="000000" w:sz="6" w:space="0"/>
                    <w:bottom w:val="single" w:color="000000" w:sz="6" w:space="0"/>
                  </w:tcBorders>
                  <w:vAlign w:val="center"/>
                </w:tcPr>
                <w:p>
                  <w:pPr>
                    <w:jc w:val="center"/>
                    <w:rPr>
                      <w:rFonts w:ascii="Times New Roman" w:hAnsi="Times New Roman"/>
                      <w:color w:val="000000"/>
                      <w:szCs w:val="21"/>
                      <w:u w:val="single"/>
                    </w:rPr>
                  </w:pP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E</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210</w:t>
                  </w:r>
                  <w:r>
                    <w:rPr>
                      <w:rFonts w:hint="eastAsia" w:ascii="Times New Roman" w:hAnsi="Times New Roman"/>
                      <w:color w:val="000000"/>
                      <w:szCs w:val="21"/>
                      <w:u w:val="single"/>
                    </w:rPr>
                    <w:t>~</w:t>
                  </w:r>
                  <w:r>
                    <w:rPr>
                      <w:rFonts w:ascii="Times New Roman" w:hAnsi="Times New Roman"/>
                      <w:color w:val="000000"/>
                      <w:szCs w:val="21"/>
                      <w:u w:val="single"/>
                    </w:rPr>
                    <w:t>800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tcBorders>
                    <w:top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地表水环境</w:t>
                  </w: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themeColor="text1"/>
                      <w:szCs w:val="21"/>
                      <w:u w:val="single"/>
                      <w14:textFill>
                        <w14:solidFill>
                          <w14:schemeClr w14:val="tx1"/>
                        </w14:solidFill>
                      </w14:textFill>
                    </w:rPr>
                    <w:t>东面沾溪</w:t>
                  </w:r>
                </w:p>
              </w:tc>
              <w:tc>
                <w:tcPr>
                  <w:tcW w:w="489" w:type="pct"/>
                  <w:tcBorders>
                    <w:top w:val="single" w:color="000000" w:sz="6" w:space="0"/>
                    <w:bottom w:val="single" w:color="000000" w:sz="6" w:space="0"/>
                  </w:tcBorders>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szCs w:val="21"/>
                      <w:u w:val="single"/>
                    </w:rPr>
                    <w:t>/</w:t>
                  </w:r>
                </w:p>
              </w:tc>
              <w:tc>
                <w:tcPr>
                  <w:tcW w:w="479" w:type="pct"/>
                  <w:tcBorders>
                    <w:top w:val="single" w:color="000000" w:sz="6" w:space="0"/>
                    <w:bottom w:val="single" w:color="000000" w:sz="6" w:space="0"/>
                  </w:tcBorders>
                  <w:vAlign w:val="center"/>
                </w:tcPr>
                <w:p>
                  <w:pPr>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szCs w:val="21"/>
                      <w:u w:val="single"/>
                    </w:rPr>
                    <w:t>/</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themeColor="text1"/>
                      <w:szCs w:val="21"/>
                      <w:u w:val="single"/>
                      <w14:textFill>
                        <w14:solidFill>
                          <w14:schemeClr w14:val="tx1"/>
                        </w14:solidFill>
                      </w14:textFill>
                    </w:rPr>
                    <w:t>小河</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themeColor="text1"/>
                      <w:szCs w:val="21"/>
                      <w:u w:val="single"/>
                      <w14:textFill>
                        <w14:solidFill>
                          <w14:schemeClr w14:val="tx1"/>
                        </w14:solidFill>
                      </w14:textFill>
                    </w:rPr>
                    <w:t>渔业用水</w:t>
                  </w:r>
                </w:p>
              </w:tc>
              <w:tc>
                <w:tcPr>
                  <w:tcW w:w="643" w:type="pct"/>
                  <w:tcBorders>
                    <w:top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Ⅲ类</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E</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560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restart"/>
                  <w:tcBorders>
                    <w:top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声环境</w:t>
                  </w: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西侧百亩村居民</w:t>
                  </w:r>
                </w:p>
              </w:tc>
              <w:tc>
                <w:tcPr>
                  <w:tcW w:w="48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-25</w:t>
                  </w:r>
                </w:p>
              </w:tc>
              <w:tc>
                <w:tcPr>
                  <w:tcW w:w="47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0</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居住区</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约10户</w:t>
                  </w:r>
                </w:p>
              </w:tc>
              <w:tc>
                <w:tcPr>
                  <w:tcW w:w="643" w:type="pct"/>
                  <w:vMerge w:val="restart"/>
                  <w:tcBorders>
                    <w:top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2</w:t>
                  </w:r>
                  <w:r>
                    <w:rPr>
                      <w:rFonts w:hint="eastAsia" w:ascii="Times New Roman" w:hAnsi="Times New Roman"/>
                      <w:color w:val="000000"/>
                      <w:szCs w:val="21"/>
                      <w:u w:val="single"/>
                    </w:rPr>
                    <w:t>类</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W</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15</w:t>
                  </w:r>
                  <w:r>
                    <w:rPr>
                      <w:rFonts w:hint="eastAsia" w:ascii="Times New Roman" w:hAnsi="Times New Roman"/>
                      <w:color w:val="000000"/>
                      <w:szCs w:val="21"/>
                      <w:u w:val="single"/>
                    </w:rPr>
                    <w:t>~</w:t>
                  </w:r>
                  <w:r>
                    <w:rPr>
                      <w:rFonts w:ascii="Times New Roman" w:hAnsi="Times New Roman"/>
                      <w:color w:val="000000"/>
                      <w:szCs w:val="21"/>
                      <w:u w:val="single"/>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vMerge w:val="continue"/>
                  <w:tcBorders>
                    <w:bottom w:val="single" w:color="000000" w:sz="6" w:space="0"/>
                  </w:tcBorders>
                  <w:vAlign w:val="center"/>
                </w:tcPr>
                <w:p>
                  <w:pPr>
                    <w:jc w:val="center"/>
                    <w:rPr>
                      <w:rFonts w:ascii="Times New Roman" w:hAnsi="Times New Roman"/>
                      <w:color w:val="000000"/>
                      <w:szCs w:val="21"/>
                      <w:u w:val="single"/>
                    </w:rPr>
                  </w:pPr>
                </w:p>
              </w:tc>
              <w:tc>
                <w:tcPr>
                  <w:tcW w:w="56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南侧百亩村居民</w:t>
                  </w:r>
                </w:p>
              </w:tc>
              <w:tc>
                <w:tcPr>
                  <w:tcW w:w="48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0</w:t>
                  </w:r>
                </w:p>
              </w:tc>
              <w:tc>
                <w:tcPr>
                  <w:tcW w:w="479" w:type="pct"/>
                  <w:tcBorders>
                    <w:top w:val="single" w:color="000000" w:sz="6" w:space="0"/>
                    <w:bottom w:val="single" w:color="000000" w:sz="6" w:space="0"/>
                  </w:tcBorders>
                  <w:vAlign w:val="center"/>
                </w:tcPr>
                <w:p>
                  <w:pPr>
                    <w:jc w:val="center"/>
                    <w:rPr>
                      <w:rFonts w:ascii="Times New Roman" w:hAnsi="Times New Roman"/>
                      <w:szCs w:val="21"/>
                      <w:u w:val="single"/>
                    </w:rPr>
                  </w:pPr>
                  <w:r>
                    <w:rPr>
                      <w:rFonts w:ascii="Times New Roman" w:hAnsi="Times New Roman"/>
                      <w:szCs w:val="21"/>
                      <w:u w:val="single"/>
                    </w:rPr>
                    <w:t>-160</w:t>
                  </w:r>
                </w:p>
              </w:tc>
              <w:tc>
                <w:tcPr>
                  <w:tcW w:w="643"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居住区</w:t>
                  </w: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约3户</w:t>
                  </w:r>
                </w:p>
              </w:tc>
              <w:tc>
                <w:tcPr>
                  <w:tcW w:w="643" w:type="pct"/>
                  <w:vMerge w:val="continue"/>
                  <w:tcBorders>
                    <w:bottom w:val="single" w:color="000000" w:sz="6" w:space="0"/>
                  </w:tcBorders>
                  <w:vAlign w:val="center"/>
                </w:tcPr>
                <w:p>
                  <w:pPr>
                    <w:jc w:val="center"/>
                    <w:rPr>
                      <w:rFonts w:ascii="Times New Roman" w:hAnsi="Times New Roman"/>
                      <w:color w:val="000000"/>
                      <w:szCs w:val="21"/>
                      <w:u w:val="single"/>
                    </w:rPr>
                  </w:pPr>
                </w:p>
              </w:tc>
              <w:tc>
                <w:tcPr>
                  <w:tcW w:w="56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szCs w:val="21"/>
                      <w:u w:val="single"/>
                    </w:rPr>
                    <w:t>S</w:t>
                  </w:r>
                </w:p>
              </w:tc>
              <w:tc>
                <w:tcPr>
                  <w:tcW w:w="572" w:type="pct"/>
                  <w:tcBorders>
                    <w:top w:val="single" w:color="000000" w:sz="6" w:space="0"/>
                    <w:bottom w:val="single" w:color="000000" w:sz="6"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160</w:t>
                  </w:r>
                  <w:r>
                    <w:rPr>
                      <w:rFonts w:hint="eastAsia" w:ascii="Times New Roman" w:hAnsi="Times New Roman"/>
                      <w:color w:val="000000"/>
                      <w:szCs w:val="21"/>
                      <w:u w:val="single"/>
                    </w:rPr>
                    <w:t>~</w:t>
                  </w:r>
                  <w:r>
                    <w:rPr>
                      <w:rFonts w:ascii="Times New Roman" w:hAnsi="Times New Roman"/>
                      <w:color w:val="000000"/>
                      <w:szCs w:val="21"/>
                      <w:u w:val="single"/>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487" w:type="pct"/>
                  <w:tcBorders>
                    <w:top w:val="single" w:color="000000" w:sz="6" w:space="0"/>
                    <w:bottom w:val="single" w:color="000000"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生态环境</w:t>
                  </w:r>
                </w:p>
              </w:tc>
              <w:tc>
                <w:tcPr>
                  <w:tcW w:w="4513" w:type="pct"/>
                  <w:gridSpan w:val="8"/>
                  <w:tcBorders>
                    <w:top w:val="single" w:color="000000" w:sz="6" w:space="0"/>
                    <w:bottom w:val="single" w:color="000000"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项目周边不涉及生态敏感区，保护目标主要考虑项目周边农田、林地等生态环境。保护范围主要考虑项目占地区及周边区域生态环境。</w:t>
                  </w:r>
                </w:p>
              </w:tc>
            </w:tr>
          </w:tbl>
          <w:p>
            <w:pPr>
              <w:overflowPunct w:val="0"/>
              <w:spacing w:line="360" w:lineRule="auto"/>
              <w:rPr>
                <w:rFonts w:ascii="宋体" w:hAnsi="宋体"/>
                <w:b/>
                <w:spacing w:val="8"/>
                <w:sz w:val="28"/>
                <w:szCs w:val="28"/>
              </w:rPr>
            </w:pPr>
            <w:r>
              <w:rPr>
                <w:rFonts w:ascii="Times New Roman" w:hAnsi="Times New Roman"/>
                <w:b/>
                <w:spacing w:val="8"/>
                <w:sz w:val="28"/>
                <w:szCs w:val="28"/>
              </w:rPr>
              <w:t>（</w:t>
            </w:r>
            <w:r>
              <w:rPr>
                <w:rFonts w:hint="eastAsia" w:ascii="Times New Roman" w:hAnsi="Times New Roman"/>
                <w:b/>
                <w:spacing w:val="8"/>
                <w:sz w:val="28"/>
                <w:szCs w:val="28"/>
              </w:rPr>
              <w:t>三</w:t>
            </w:r>
            <w:r>
              <w:rPr>
                <w:rFonts w:ascii="Times New Roman" w:hAnsi="Times New Roman"/>
                <w:b/>
                <w:spacing w:val="8"/>
                <w:sz w:val="28"/>
                <w:szCs w:val="28"/>
              </w:rPr>
              <w:t>）</w:t>
            </w:r>
            <w:r>
              <w:rPr>
                <w:rFonts w:hint="eastAsia" w:ascii="宋体" w:hAnsi="宋体"/>
                <w:b/>
                <w:spacing w:val="8"/>
                <w:sz w:val="28"/>
                <w:szCs w:val="28"/>
              </w:rPr>
              <w:t>建设项目所在地区域环境质量现状及主要环境问题</w:t>
            </w:r>
            <w:bookmarkEnd w:id="21"/>
            <w:bookmarkEnd w:id="22"/>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1 环境空气质量现状</w:t>
            </w:r>
          </w:p>
          <w:p>
            <w:pPr>
              <w:spacing w:line="360" w:lineRule="auto"/>
              <w:ind w:firstLine="482" w:firstLineChars="200"/>
              <w:rPr>
                <w:rFonts w:ascii="Times New Roman" w:hAnsi="宋体"/>
                <w:b/>
                <w:bCs/>
                <w:sz w:val="24"/>
              </w:rPr>
            </w:pPr>
            <w:r>
              <w:rPr>
                <w:rFonts w:hint="eastAsia" w:ascii="Times New Roman" w:hAnsi="宋体"/>
                <w:b/>
                <w:bCs/>
                <w:sz w:val="24"/>
              </w:rPr>
              <w:t>常规监测因子：</w:t>
            </w:r>
          </w:p>
          <w:p>
            <w:pPr>
              <w:spacing w:line="360" w:lineRule="auto"/>
              <w:ind w:firstLine="480" w:firstLineChars="200"/>
              <w:rPr>
                <w:rFonts w:ascii="Times New Roman" w:hAnsi="宋体"/>
                <w:sz w:val="24"/>
              </w:rPr>
            </w:pPr>
            <w:r>
              <w:rPr>
                <w:rFonts w:hint="eastAsia" w:ascii="Times New Roman" w:hAnsi="宋体"/>
                <w:sz w:val="24"/>
              </w:rPr>
              <w:t>为进一步了解本项目所在区域环境空气质量现状，本报告收集了桃江县空气自动站常规监测数据（位于本项目东面23km），监测时间2018年1月1日~2018年12月31日。</w:t>
            </w:r>
          </w:p>
          <w:p>
            <w:pPr>
              <w:spacing w:line="360" w:lineRule="auto"/>
              <w:ind w:firstLine="482" w:firstLineChars="200"/>
              <w:jc w:val="center"/>
              <w:rPr>
                <w:rFonts w:ascii="Times New Roman" w:hAnsi="Times New Roman"/>
                <w:b/>
                <w:sz w:val="24"/>
              </w:rPr>
            </w:pPr>
            <w:r>
              <w:rPr>
                <w:rFonts w:ascii="Times New Roman" w:hAnsi="Times New Roman"/>
                <w:b/>
                <w:sz w:val="24"/>
              </w:rPr>
              <w:t>表2-2  2018年桃江县环境空气质量状况统计表  单位</w:t>
            </w:r>
            <w:r>
              <w:rPr>
                <w:rFonts w:hint="eastAsia" w:ascii="Times New Roman" w:hAnsi="Times New Roman"/>
                <w:b/>
                <w:sz w:val="24"/>
              </w:rPr>
              <w:t>:</w:t>
            </w:r>
            <w:r>
              <w:rPr>
                <w:rFonts w:ascii="Times New Roman" w:hAnsi="Times New Roman"/>
                <w:b/>
                <w:sz w:val="24"/>
              </w:rPr>
              <w:t>μg/m</w:t>
            </w:r>
            <w:r>
              <w:rPr>
                <w:rFonts w:ascii="Times New Roman" w:hAnsi="Times New Roman"/>
                <w:b/>
                <w:sz w:val="24"/>
                <w:vertAlign w:val="superscript"/>
              </w:rPr>
              <w:t>3</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354"/>
              <w:gridCol w:w="1129"/>
              <w:gridCol w:w="1579"/>
              <w:gridCol w:w="1355"/>
              <w:gridCol w:w="1129"/>
              <w:gridCol w:w="13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Align w:val="center"/>
                </w:tcPr>
                <w:p>
                  <w:pPr>
                    <w:pStyle w:val="51"/>
                    <w:widowControl w:val="0"/>
                    <w:rPr>
                      <w:b/>
                      <w:bCs/>
                      <w:kern w:val="21"/>
                      <w:sz w:val="21"/>
                      <w:szCs w:val="21"/>
                    </w:rPr>
                  </w:pPr>
                  <w:r>
                    <w:rPr>
                      <w:b/>
                      <w:bCs/>
                      <w:kern w:val="21"/>
                      <w:sz w:val="21"/>
                      <w:szCs w:val="21"/>
                    </w:rPr>
                    <w:t>时间</w:t>
                  </w:r>
                </w:p>
              </w:tc>
              <w:tc>
                <w:tcPr>
                  <w:tcW w:w="850" w:type="dxa"/>
                  <w:vAlign w:val="center"/>
                </w:tcPr>
                <w:p>
                  <w:pPr>
                    <w:pStyle w:val="51"/>
                    <w:widowControl w:val="0"/>
                    <w:rPr>
                      <w:b/>
                      <w:bCs/>
                      <w:kern w:val="21"/>
                      <w:sz w:val="21"/>
                      <w:szCs w:val="21"/>
                    </w:rPr>
                  </w:pPr>
                  <w:r>
                    <w:rPr>
                      <w:b/>
                      <w:bCs/>
                      <w:kern w:val="21"/>
                      <w:sz w:val="21"/>
                      <w:szCs w:val="21"/>
                    </w:rPr>
                    <w:t>SO</w:t>
                  </w:r>
                  <w:r>
                    <w:rPr>
                      <w:b/>
                      <w:bCs/>
                      <w:kern w:val="21"/>
                      <w:sz w:val="21"/>
                      <w:szCs w:val="21"/>
                      <w:vertAlign w:val="subscript"/>
                    </w:rPr>
                    <w:t>2</w:t>
                  </w:r>
                </w:p>
              </w:tc>
              <w:tc>
                <w:tcPr>
                  <w:tcW w:w="709" w:type="dxa"/>
                  <w:vAlign w:val="center"/>
                </w:tcPr>
                <w:p>
                  <w:pPr>
                    <w:pStyle w:val="51"/>
                    <w:widowControl w:val="0"/>
                    <w:rPr>
                      <w:b/>
                      <w:bCs/>
                      <w:kern w:val="21"/>
                      <w:sz w:val="21"/>
                      <w:szCs w:val="21"/>
                    </w:rPr>
                  </w:pPr>
                  <w:r>
                    <w:rPr>
                      <w:b/>
                      <w:bCs/>
                      <w:kern w:val="21"/>
                      <w:sz w:val="21"/>
                      <w:szCs w:val="21"/>
                    </w:rPr>
                    <w:t>NO</w:t>
                  </w:r>
                  <w:r>
                    <w:rPr>
                      <w:b/>
                      <w:bCs/>
                      <w:kern w:val="21"/>
                      <w:sz w:val="21"/>
                      <w:szCs w:val="21"/>
                      <w:vertAlign w:val="subscript"/>
                    </w:rPr>
                    <w:t>2</w:t>
                  </w:r>
                </w:p>
              </w:tc>
              <w:tc>
                <w:tcPr>
                  <w:tcW w:w="992" w:type="dxa"/>
                  <w:vAlign w:val="center"/>
                </w:tcPr>
                <w:p>
                  <w:pPr>
                    <w:pStyle w:val="51"/>
                    <w:widowControl w:val="0"/>
                    <w:rPr>
                      <w:b/>
                      <w:bCs/>
                      <w:kern w:val="21"/>
                      <w:sz w:val="21"/>
                      <w:szCs w:val="21"/>
                    </w:rPr>
                  </w:pPr>
                  <w:r>
                    <w:rPr>
                      <w:b/>
                      <w:bCs/>
                      <w:kern w:val="21"/>
                      <w:sz w:val="21"/>
                      <w:szCs w:val="21"/>
                    </w:rPr>
                    <w:t>CO(mg/m</w:t>
                  </w:r>
                  <w:r>
                    <w:rPr>
                      <w:b/>
                      <w:bCs/>
                      <w:kern w:val="21"/>
                      <w:sz w:val="21"/>
                      <w:szCs w:val="21"/>
                      <w:vertAlign w:val="superscript"/>
                    </w:rPr>
                    <w:t>3</w:t>
                  </w:r>
                  <w:r>
                    <w:rPr>
                      <w:b/>
                      <w:bCs/>
                      <w:kern w:val="21"/>
                      <w:sz w:val="21"/>
                      <w:szCs w:val="21"/>
                    </w:rPr>
                    <w:t>)</w:t>
                  </w:r>
                </w:p>
              </w:tc>
              <w:tc>
                <w:tcPr>
                  <w:tcW w:w="851" w:type="dxa"/>
                  <w:vAlign w:val="center"/>
                </w:tcPr>
                <w:p>
                  <w:pPr>
                    <w:pStyle w:val="51"/>
                    <w:widowControl w:val="0"/>
                    <w:rPr>
                      <w:b/>
                      <w:bCs/>
                      <w:kern w:val="21"/>
                      <w:sz w:val="21"/>
                      <w:szCs w:val="21"/>
                    </w:rPr>
                  </w:pPr>
                  <w:r>
                    <w:rPr>
                      <w:b/>
                      <w:bCs/>
                      <w:kern w:val="21"/>
                      <w:sz w:val="21"/>
                      <w:szCs w:val="21"/>
                    </w:rPr>
                    <w:t>O</w:t>
                  </w:r>
                  <w:r>
                    <w:rPr>
                      <w:b/>
                      <w:bCs/>
                      <w:kern w:val="21"/>
                      <w:sz w:val="21"/>
                      <w:szCs w:val="21"/>
                      <w:vertAlign w:val="subscript"/>
                    </w:rPr>
                    <w:t>3</w:t>
                  </w:r>
                  <w:r>
                    <w:rPr>
                      <w:b/>
                      <w:bCs/>
                      <w:kern w:val="21"/>
                      <w:sz w:val="21"/>
                      <w:szCs w:val="21"/>
                    </w:rPr>
                    <w:t>-8h</w:t>
                  </w:r>
                </w:p>
              </w:tc>
              <w:tc>
                <w:tcPr>
                  <w:tcW w:w="709" w:type="dxa"/>
                  <w:vAlign w:val="center"/>
                </w:tcPr>
                <w:p>
                  <w:pPr>
                    <w:pStyle w:val="51"/>
                    <w:widowControl w:val="0"/>
                    <w:rPr>
                      <w:b/>
                      <w:bCs/>
                      <w:kern w:val="21"/>
                      <w:sz w:val="21"/>
                      <w:szCs w:val="21"/>
                    </w:rPr>
                  </w:pPr>
                  <w:r>
                    <w:rPr>
                      <w:b/>
                      <w:bCs/>
                      <w:kern w:val="21"/>
                      <w:sz w:val="21"/>
                      <w:szCs w:val="21"/>
                    </w:rPr>
                    <w:t>PM</w:t>
                  </w:r>
                  <w:r>
                    <w:rPr>
                      <w:b/>
                      <w:bCs/>
                      <w:kern w:val="21"/>
                      <w:sz w:val="21"/>
                      <w:szCs w:val="21"/>
                      <w:vertAlign w:val="subscript"/>
                    </w:rPr>
                    <w:t>10</w:t>
                  </w:r>
                </w:p>
              </w:tc>
              <w:tc>
                <w:tcPr>
                  <w:tcW w:w="850" w:type="dxa"/>
                  <w:vAlign w:val="center"/>
                </w:tcPr>
                <w:p>
                  <w:pPr>
                    <w:pStyle w:val="51"/>
                    <w:widowControl w:val="0"/>
                    <w:rPr>
                      <w:b/>
                      <w:bCs/>
                      <w:kern w:val="21"/>
                      <w:sz w:val="21"/>
                      <w:szCs w:val="21"/>
                    </w:rPr>
                  </w:pPr>
                  <w:r>
                    <w:rPr>
                      <w:b/>
                      <w:bCs/>
                      <w:kern w:val="21"/>
                      <w:sz w:val="21"/>
                      <w:szCs w:val="21"/>
                    </w:rPr>
                    <w:t>PM</w:t>
                  </w:r>
                  <w:r>
                    <w:rPr>
                      <w:b/>
                      <w:bCs/>
                      <w:kern w:val="21"/>
                      <w:sz w:val="21"/>
                      <w:szCs w:val="21"/>
                      <w:vertAlign w:val="subscript"/>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Align w:val="center"/>
                </w:tcPr>
                <w:p>
                  <w:pPr>
                    <w:pStyle w:val="51"/>
                    <w:widowControl w:val="0"/>
                    <w:rPr>
                      <w:kern w:val="21"/>
                      <w:sz w:val="21"/>
                      <w:szCs w:val="21"/>
                    </w:rPr>
                  </w:pPr>
                  <w:r>
                    <w:rPr>
                      <w:kern w:val="21"/>
                      <w:sz w:val="21"/>
                      <w:szCs w:val="21"/>
                    </w:rPr>
                    <w:t>2018年</w:t>
                  </w:r>
                </w:p>
              </w:tc>
              <w:tc>
                <w:tcPr>
                  <w:tcW w:w="850" w:type="dxa"/>
                  <w:vAlign w:val="center"/>
                </w:tcPr>
                <w:p>
                  <w:pPr>
                    <w:pStyle w:val="51"/>
                    <w:widowControl w:val="0"/>
                    <w:rPr>
                      <w:kern w:val="21"/>
                      <w:sz w:val="21"/>
                      <w:szCs w:val="21"/>
                    </w:rPr>
                  </w:pPr>
                  <w:r>
                    <w:rPr>
                      <w:kern w:val="21"/>
                      <w:sz w:val="21"/>
                      <w:szCs w:val="21"/>
                    </w:rPr>
                    <w:t>8</w:t>
                  </w:r>
                </w:p>
              </w:tc>
              <w:tc>
                <w:tcPr>
                  <w:tcW w:w="709" w:type="dxa"/>
                  <w:vAlign w:val="center"/>
                </w:tcPr>
                <w:p>
                  <w:pPr>
                    <w:pStyle w:val="51"/>
                    <w:widowControl w:val="0"/>
                    <w:rPr>
                      <w:kern w:val="21"/>
                      <w:sz w:val="21"/>
                      <w:szCs w:val="21"/>
                    </w:rPr>
                  </w:pPr>
                  <w:r>
                    <w:rPr>
                      <w:kern w:val="21"/>
                      <w:sz w:val="21"/>
                      <w:szCs w:val="21"/>
                    </w:rPr>
                    <w:t>16</w:t>
                  </w:r>
                </w:p>
              </w:tc>
              <w:tc>
                <w:tcPr>
                  <w:tcW w:w="992" w:type="dxa"/>
                  <w:vAlign w:val="center"/>
                </w:tcPr>
                <w:p>
                  <w:pPr>
                    <w:pStyle w:val="51"/>
                    <w:widowControl w:val="0"/>
                    <w:rPr>
                      <w:kern w:val="21"/>
                      <w:sz w:val="21"/>
                      <w:szCs w:val="21"/>
                    </w:rPr>
                  </w:pPr>
                  <w:r>
                    <w:rPr>
                      <w:kern w:val="21"/>
                      <w:sz w:val="21"/>
                      <w:szCs w:val="21"/>
                    </w:rPr>
                    <w:t>1.4</w:t>
                  </w:r>
                </w:p>
              </w:tc>
              <w:tc>
                <w:tcPr>
                  <w:tcW w:w="851" w:type="dxa"/>
                  <w:vAlign w:val="center"/>
                </w:tcPr>
                <w:p>
                  <w:pPr>
                    <w:pStyle w:val="51"/>
                    <w:widowControl w:val="0"/>
                    <w:rPr>
                      <w:kern w:val="21"/>
                      <w:sz w:val="21"/>
                      <w:szCs w:val="21"/>
                    </w:rPr>
                  </w:pPr>
                  <w:r>
                    <w:rPr>
                      <w:kern w:val="21"/>
                      <w:sz w:val="21"/>
                      <w:szCs w:val="21"/>
                    </w:rPr>
                    <w:t>139</w:t>
                  </w:r>
                </w:p>
              </w:tc>
              <w:tc>
                <w:tcPr>
                  <w:tcW w:w="709" w:type="dxa"/>
                  <w:vAlign w:val="center"/>
                </w:tcPr>
                <w:p>
                  <w:pPr>
                    <w:pStyle w:val="51"/>
                    <w:widowControl w:val="0"/>
                    <w:rPr>
                      <w:kern w:val="21"/>
                      <w:sz w:val="21"/>
                      <w:szCs w:val="21"/>
                    </w:rPr>
                  </w:pPr>
                  <w:r>
                    <w:rPr>
                      <w:kern w:val="21"/>
                      <w:sz w:val="21"/>
                      <w:szCs w:val="21"/>
                    </w:rPr>
                    <w:t>72</w:t>
                  </w:r>
                </w:p>
              </w:tc>
              <w:tc>
                <w:tcPr>
                  <w:tcW w:w="850" w:type="dxa"/>
                  <w:vAlign w:val="center"/>
                </w:tcPr>
                <w:p>
                  <w:pPr>
                    <w:pStyle w:val="51"/>
                    <w:widowControl w:val="0"/>
                    <w:rPr>
                      <w:kern w:val="21"/>
                      <w:sz w:val="21"/>
                      <w:szCs w:val="21"/>
                    </w:rPr>
                  </w:pPr>
                  <w:r>
                    <w:rPr>
                      <w:kern w:val="21"/>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6" w:type="dxa"/>
                  <w:vAlign w:val="center"/>
                </w:tcPr>
                <w:p>
                  <w:pPr>
                    <w:pStyle w:val="51"/>
                    <w:widowControl w:val="0"/>
                    <w:rPr>
                      <w:kern w:val="21"/>
                      <w:sz w:val="21"/>
                      <w:szCs w:val="21"/>
                    </w:rPr>
                  </w:pPr>
                  <w:r>
                    <w:rPr>
                      <w:kern w:val="21"/>
                      <w:sz w:val="21"/>
                      <w:szCs w:val="21"/>
                    </w:rPr>
                    <w:t>二级标准</w:t>
                  </w:r>
                </w:p>
              </w:tc>
              <w:tc>
                <w:tcPr>
                  <w:tcW w:w="850" w:type="dxa"/>
                  <w:vAlign w:val="center"/>
                </w:tcPr>
                <w:p>
                  <w:pPr>
                    <w:pStyle w:val="51"/>
                    <w:widowControl w:val="0"/>
                    <w:rPr>
                      <w:kern w:val="21"/>
                      <w:sz w:val="21"/>
                      <w:szCs w:val="21"/>
                    </w:rPr>
                  </w:pPr>
                  <w:r>
                    <w:rPr>
                      <w:kern w:val="21"/>
                      <w:sz w:val="21"/>
                      <w:szCs w:val="21"/>
                    </w:rPr>
                    <w:t>60</w:t>
                  </w:r>
                </w:p>
              </w:tc>
              <w:tc>
                <w:tcPr>
                  <w:tcW w:w="709" w:type="dxa"/>
                  <w:vAlign w:val="center"/>
                </w:tcPr>
                <w:p>
                  <w:pPr>
                    <w:pStyle w:val="51"/>
                    <w:widowControl w:val="0"/>
                    <w:rPr>
                      <w:kern w:val="21"/>
                      <w:sz w:val="21"/>
                      <w:szCs w:val="21"/>
                    </w:rPr>
                  </w:pPr>
                  <w:r>
                    <w:rPr>
                      <w:kern w:val="21"/>
                      <w:sz w:val="21"/>
                      <w:szCs w:val="21"/>
                    </w:rPr>
                    <w:t>40</w:t>
                  </w:r>
                </w:p>
              </w:tc>
              <w:tc>
                <w:tcPr>
                  <w:tcW w:w="992" w:type="dxa"/>
                  <w:vAlign w:val="center"/>
                </w:tcPr>
                <w:p>
                  <w:pPr>
                    <w:pStyle w:val="51"/>
                    <w:widowControl w:val="0"/>
                    <w:rPr>
                      <w:kern w:val="21"/>
                      <w:sz w:val="21"/>
                      <w:szCs w:val="21"/>
                    </w:rPr>
                  </w:pPr>
                  <w:r>
                    <w:rPr>
                      <w:kern w:val="21"/>
                      <w:sz w:val="21"/>
                      <w:szCs w:val="21"/>
                    </w:rPr>
                    <w:t>4</w:t>
                  </w:r>
                </w:p>
              </w:tc>
              <w:tc>
                <w:tcPr>
                  <w:tcW w:w="851" w:type="dxa"/>
                  <w:vAlign w:val="center"/>
                </w:tcPr>
                <w:p>
                  <w:pPr>
                    <w:pStyle w:val="51"/>
                    <w:widowControl w:val="0"/>
                    <w:rPr>
                      <w:kern w:val="21"/>
                      <w:sz w:val="21"/>
                      <w:szCs w:val="21"/>
                    </w:rPr>
                  </w:pPr>
                  <w:r>
                    <w:rPr>
                      <w:kern w:val="21"/>
                      <w:sz w:val="21"/>
                      <w:szCs w:val="21"/>
                    </w:rPr>
                    <w:t>160</w:t>
                  </w:r>
                </w:p>
              </w:tc>
              <w:tc>
                <w:tcPr>
                  <w:tcW w:w="709" w:type="dxa"/>
                  <w:vAlign w:val="center"/>
                </w:tcPr>
                <w:p>
                  <w:pPr>
                    <w:pStyle w:val="51"/>
                    <w:widowControl w:val="0"/>
                    <w:rPr>
                      <w:kern w:val="21"/>
                      <w:sz w:val="21"/>
                      <w:szCs w:val="21"/>
                    </w:rPr>
                  </w:pPr>
                  <w:r>
                    <w:rPr>
                      <w:kern w:val="21"/>
                      <w:sz w:val="21"/>
                      <w:szCs w:val="21"/>
                    </w:rPr>
                    <w:t>70</w:t>
                  </w:r>
                </w:p>
              </w:tc>
              <w:tc>
                <w:tcPr>
                  <w:tcW w:w="850" w:type="dxa"/>
                  <w:vAlign w:val="center"/>
                </w:tcPr>
                <w:p>
                  <w:pPr>
                    <w:pStyle w:val="51"/>
                    <w:widowControl w:val="0"/>
                    <w:rPr>
                      <w:kern w:val="21"/>
                      <w:sz w:val="21"/>
                      <w:szCs w:val="21"/>
                    </w:rPr>
                  </w:pPr>
                  <w:r>
                    <w:rPr>
                      <w:kern w:val="21"/>
                      <w:sz w:val="21"/>
                      <w:szCs w:val="21"/>
                    </w:rPr>
                    <w:t>35</w:t>
                  </w:r>
                </w:p>
              </w:tc>
            </w:tr>
          </w:tbl>
          <w:p>
            <w:pPr>
              <w:spacing w:line="360" w:lineRule="auto"/>
              <w:ind w:firstLine="480" w:firstLineChars="200"/>
              <w:rPr>
                <w:rFonts w:ascii="Times New Roman" w:hAnsi="Times New Roman"/>
                <w:kern w:val="24"/>
                <w:sz w:val="24"/>
              </w:rPr>
            </w:pPr>
            <w:r>
              <w:rPr>
                <w:rFonts w:ascii="Times New Roman" w:hAnsi="Times New Roman"/>
                <w:kern w:val="24"/>
                <w:sz w:val="24"/>
              </w:rPr>
              <w:t>根据判定结果可知，评价区域内SO</w:t>
            </w:r>
            <w:r>
              <w:rPr>
                <w:rFonts w:ascii="Times New Roman" w:hAnsi="Times New Roman"/>
                <w:kern w:val="24"/>
                <w:sz w:val="24"/>
                <w:vertAlign w:val="subscript"/>
              </w:rPr>
              <w:t>2</w:t>
            </w:r>
            <w:r>
              <w:rPr>
                <w:rFonts w:ascii="Times New Roman" w:hAnsi="Times New Roman"/>
                <w:kern w:val="24"/>
                <w:sz w:val="24"/>
              </w:rPr>
              <w:t>、NO</w:t>
            </w:r>
            <w:r>
              <w:rPr>
                <w:rFonts w:ascii="Times New Roman" w:hAnsi="Times New Roman"/>
                <w:kern w:val="24"/>
                <w:sz w:val="24"/>
                <w:vertAlign w:val="subscript"/>
              </w:rPr>
              <w:t>2</w:t>
            </w:r>
            <w:r>
              <w:rPr>
                <w:rFonts w:ascii="Times New Roman" w:hAnsi="Times New Roman"/>
                <w:kern w:val="24"/>
                <w:sz w:val="24"/>
              </w:rPr>
              <w:t>、CO、O</w:t>
            </w:r>
            <w:r>
              <w:rPr>
                <w:rFonts w:ascii="Times New Roman" w:hAnsi="Times New Roman"/>
                <w:kern w:val="24"/>
                <w:sz w:val="24"/>
                <w:vertAlign w:val="subscript"/>
              </w:rPr>
              <w:t>3</w:t>
            </w:r>
            <w:r>
              <w:rPr>
                <w:rFonts w:ascii="Times New Roman" w:hAnsi="Times New Roman"/>
                <w:kern w:val="24"/>
                <w:sz w:val="24"/>
              </w:rPr>
              <w:t>年平均质量浓度均符合《环境空气质量标准》（GB 3095-2012）中的二级标准，PM</w:t>
            </w:r>
            <w:r>
              <w:rPr>
                <w:rFonts w:ascii="Times New Roman" w:hAnsi="Times New Roman"/>
                <w:kern w:val="24"/>
                <w:sz w:val="24"/>
                <w:vertAlign w:val="subscript"/>
              </w:rPr>
              <w:t>10</w:t>
            </w:r>
            <w:r>
              <w:rPr>
                <w:rFonts w:ascii="Times New Roman" w:hAnsi="Times New Roman"/>
                <w:kern w:val="24"/>
                <w:sz w:val="24"/>
              </w:rPr>
              <w:t>、PM</w:t>
            </w:r>
            <w:r>
              <w:rPr>
                <w:rFonts w:ascii="Times New Roman" w:hAnsi="Times New Roman"/>
                <w:kern w:val="24"/>
                <w:sz w:val="24"/>
                <w:vertAlign w:val="subscript"/>
              </w:rPr>
              <w:t>2.5</w:t>
            </w:r>
            <w:r>
              <w:rPr>
                <w:rFonts w:ascii="Times New Roman" w:hAnsi="Times New Roman"/>
                <w:kern w:val="24"/>
                <w:sz w:val="24"/>
              </w:rPr>
              <w:t>未达到《环境空气质量标准》（GB 3095-2012）中的二级标准的限值要求。项目所在地为不达标区。</w:t>
            </w:r>
          </w:p>
          <w:p>
            <w:pPr>
              <w:spacing w:line="360" w:lineRule="auto"/>
              <w:ind w:firstLine="482" w:firstLineChars="200"/>
              <w:rPr>
                <w:rFonts w:ascii="Times New Roman" w:hAnsi="Times New Roman"/>
                <w:b/>
                <w:bCs/>
                <w:kern w:val="24"/>
                <w:sz w:val="24"/>
                <w:u w:val="single"/>
              </w:rPr>
            </w:pPr>
            <w:r>
              <w:rPr>
                <w:rFonts w:hint="eastAsia" w:ascii="Times New Roman" w:hAnsi="Times New Roman"/>
                <w:b/>
                <w:bCs/>
                <w:kern w:val="24"/>
                <w:sz w:val="24"/>
                <w:u w:val="single"/>
              </w:rPr>
              <w:t>特征污染因子：</w:t>
            </w:r>
          </w:p>
          <w:p>
            <w:pPr>
              <w:overflowPunct w:val="0"/>
              <w:spacing w:line="360" w:lineRule="auto"/>
              <w:ind w:firstLine="480" w:firstLineChars="200"/>
              <w:rPr>
                <w:rFonts w:ascii="Times New Roman" w:hAnsi="Times New Roman"/>
                <w:sz w:val="24"/>
                <w:u w:val="single"/>
              </w:rPr>
            </w:pPr>
            <w:r>
              <w:rPr>
                <w:rFonts w:hint="eastAsia" w:ascii="Times New Roman" w:hAnsi="Times New Roman"/>
                <w:sz w:val="24"/>
                <w:u w:val="single"/>
              </w:rPr>
              <w:t>为了解本项目区的大气现状，本评价委托了湖南守政检测有限公司于2</w:t>
            </w:r>
            <w:r>
              <w:rPr>
                <w:rFonts w:ascii="Times New Roman" w:hAnsi="Times New Roman"/>
                <w:sz w:val="24"/>
                <w:u w:val="single"/>
              </w:rPr>
              <w:t>020</w:t>
            </w:r>
            <w:r>
              <w:rPr>
                <w:rFonts w:hint="eastAsia" w:ascii="Times New Roman" w:hAnsi="Times New Roman"/>
                <w:sz w:val="24"/>
                <w:u w:val="single"/>
              </w:rPr>
              <w:t>年7月1</w:t>
            </w:r>
            <w:r>
              <w:rPr>
                <w:rFonts w:ascii="Times New Roman" w:hAnsi="Times New Roman"/>
                <w:sz w:val="24"/>
                <w:u w:val="single"/>
              </w:rPr>
              <w:t>4</w:t>
            </w:r>
            <w:r>
              <w:rPr>
                <w:rFonts w:hint="eastAsia" w:ascii="Times New Roman" w:hAnsi="Times New Roman"/>
                <w:sz w:val="24"/>
                <w:u w:val="single"/>
              </w:rPr>
              <w:t>日~</w:t>
            </w:r>
            <w:r>
              <w:rPr>
                <w:rFonts w:ascii="Times New Roman" w:hAnsi="Times New Roman"/>
                <w:sz w:val="24"/>
                <w:u w:val="single"/>
              </w:rPr>
              <w:t>7</w:t>
            </w:r>
            <w:r>
              <w:rPr>
                <w:rFonts w:hint="eastAsia" w:ascii="Times New Roman" w:hAnsi="Times New Roman"/>
                <w:sz w:val="24"/>
                <w:u w:val="single"/>
              </w:rPr>
              <w:t>月1</w:t>
            </w:r>
            <w:r>
              <w:rPr>
                <w:rFonts w:ascii="Times New Roman" w:hAnsi="Times New Roman"/>
                <w:sz w:val="24"/>
                <w:u w:val="single"/>
              </w:rPr>
              <w:t>6</w:t>
            </w:r>
            <w:r>
              <w:rPr>
                <w:rFonts w:hint="eastAsia" w:ascii="Times New Roman" w:hAnsi="Times New Roman"/>
                <w:sz w:val="24"/>
                <w:u w:val="single"/>
              </w:rPr>
              <w:t>日对项目周边大气环境进行了为期</w:t>
            </w:r>
            <w:r>
              <w:rPr>
                <w:rFonts w:ascii="Times New Roman" w:hAnsi="Times New Roman"/>
                <w:sz w:val="24"/>
                <w:u w:val="single"/>
              </w:rPr>
              <w:t>3</w:t>
            </w:r>
            <w:r>
              <w:rPr>
                <w:rFonts w:hint="eastAsia" w:ascii="Times New Roman" w:hAnsi="Times New Roman"/>
                <w:sz w:val="24"/>
                <w:u w:val="single"/>
              </w:rPr>
              <w:t>天的大气环境现状监测。</w:t>
            </w:r>
          </w:p>
          <w:p>
            <w:pPr>
              <w:tabs>
                <w:tab w:val="left" w:pos="3945"/>
              </w:tabs>
              <w:overflowPunct w:val="0"/>
              <w:spacing w:line="360" w:lineRule="auto"/>
              <w:ind w:firstLine="480" w:firstLineChars="200"/>
              <w:rPr>
                <w:rFonts w:ascii="Times New Roman" w:hAnsi="Times New Roman"/>
                <w:sz w:val="24"/>
                <w:u w:val="single"/>
              </w:rPr>
            </w:pPr>
            <w:r>
              <w:rPr>
                <w:rFonts w:hint="eastAsia" w:ascii="Times New Roman" w:hAnsi="宋体"/>
                <w:sz w:val="24"/>
                <w:u w:val="single"/>
              </w:rPr>
              <w:t>（</w:t>
            </w:r>
            <w:r>
              <w:rPr>
                <w:rFonts w:ascii="Times New Roman" w:hAnsi="Times New Roman"/>
                <w:sz w:val="24"/>
                <w:u w:val="single"/>
              </w:rPr>
              <w:t>1</w:t>
            </w:r>
            <w:r>
              <w:rPr>
                <w:rFonts w:hint="eastAsia" w:ascii="Times New Roman" w:hAnsi="宋体"/>
                <w:sz w:val="24"/>
                <w:u w:val="single"/>
              </w:rPr>
              <w:t>）监测工作内容</w:t>
            </w:r>
          </w:p>
          <w:p>
            <w:pPr>
              <w:overflowPunct w:val="0"/>
              <w:spacing w:line="360" w:lineRule="auto"/>
              <w:ind w:firstLine="480" w:firstLineChars="200"/>
              <w:rPr>
                <w:rFonts w:ascii="Times New Roman" w:hAnsi="宋体"/>
                <w:sz w:val="24"/>
                <w:u w:val="single"/>
              </w:rPr>
            </w:pPr>
            <w:r>
              <w:rPr>
                <w:rFonts w:hint="eastAsia" w:ascii="Times New Roman" w:hAnsi="宋体"/>
                <w:sz w:val="24"/>
                <w:u w:val="single"/>
              </w:rPr>
              <w:t>引用监测项目特征污染因子为TSP、氟化物，引用环境空气监测布点位置见附图，监测工作内容见表</w:t>
            </w:r>
            <w:r>
              <w:rPr>
                <w:rFonts w:ascii="Times New Roman" w:hAnsi="宋体"/>
                <w:sz w:val="24"/>
                <w:u w:val="single"/>
              </w:rPr>
              <w:t>2-3</w:t>
            </w:r>
            <w:r>
              <w:rPr>
                <w:rFonts w:hint="eastAsia" w:ascii="Times New Roman" w:hAnsi="宋体"/>
                <w:sz w:val="24"/>
                <w:u w:val="single"/>
              </w:rPr>
              <w:t>。</w:t>
            </w:r>
          </w:p>
          <w:p>
            <w:pPr>
              <w:overflowPunct w:val="0"/>
              <w:spacing w:line="360" w:lineRule="auto"/>
              <w:jc w:val="center"/>
              <w:rPr>
                <w:rFonts w:ascii="Times New Roman" w:hAnsi="Times New Roman"/>
                <w:b/>
                <w:sz w:val="24"/>
                <w:u w:val="single"/>
              </w:rPr>
            </w:pPr>
            <w:r>
              <w:rPr>
                <w:rFonts w:hint="eastAsia" w:ascii="Times New Roman" w:hAnsi="Times New Roman"/>
                <w:b/>
                <w:sz w:val="24"/>
                <w:szCs w:val="24"/>
                <w:u w:val="single"/>
              </w:rPr>
              <w:t>表</w:t>
            </w:r>
            <w:r>
              <w:rPr>
                <w:rFonts w:ascii="Times New Roman" w:hAnsi="Times New Roman"/>
                <w:b/>
                <w:sz w:val="24"/>
                <w:szCs w:val="24"/>
                <w:u w:val="single"/>
              </w:rPr>
              <w:t xml:space="preserve">2-3  </w:t>
            </w:r>
            <w:r>
              <w:rPr>
                <w:rFonts w:hint="eastAsia" w:ascii="Times New Roman" w:hAnsi="宋体"/>
                <w:b/>
                <w:sz w:val="24"/>
                <w:szCs w:val="24"/>
                <w:u w:val="single"/>
              </w:rPr>
              <w:t>引用环境空气监测工作内容</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37"/>
              <w:gridCol w:w="4519"/>
              <w:gridCol w:w="32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06" w:type="dxa"/>
                  <w:vAlign w:val="center"/>
                </w:tcPr>
                <w:p>
                  <w:pPr>
                    <w:overflowPunct w:val="0"/>
                    <w:jc w:val="center"/>
                    <w:rPr>
                      <w:rFonts w:ascii="Times New Roman" w:hAnsi="Times New Roman"/>
                      <w:b/>
                      <w:szCs w:val="21"/>
                      <w:u w:val="single"/>
                    </w:rPr>
                  </w:pPr>
                  <w:r>
                    <w:rPr>
                      <w:rFonts w:ascii="Times New Roman" w:hAnsi="Times New Roman"/>
                      <w:b/>
                      <w:szCs w:val="21"/>
                      <w:u w:val="single"/>
                    </w:rPr>
                    <w:t>编号</w:t>
                  </w:r>
                </w:p>
              </w:tc>
              <w:tc>
                <w:tcPr>
                  <w:tcW w:w="4406" w:type="dxa"/>
                  <w:vAlign w:val="center"/>
                </w:tcPr>
                <w:p>
                  <w:pPr>
                    <w:overflowPunct w:val="0"/>
                    <w:jc w:val="center"/>
                    <w:rPr>
                      <w:rFonts w:ascii="Times New Roman" w:hAnsi="Times New Roman"/>
                      <w:b/>
                      <w:szCs w:val="21"/>
                      <w:u w:val="single"/>
                    </w:rPr>
                  </w:pPr>
                  <w:r>
                    <w:rPr>
                      <w:rFonts w:ascii="Times New Roman" w:hAnsi="Times New Roman"/>
                      <w:b/>
                      <w:szCs w:val="21"/>
                      <w:u w:val="single"/>
                    </w:rPr>
                    <w:t>监测点位</w:t>
                  </w:r>
                </w:p>
              </w:tc>
              <w:tc>
                <w:tcPr>
                  <w:tcW w:w="3202" w:type="dxa"/>
                  <w:vAlign w:val="center"/>
                </w:tcPr>
                <w:p>
                  <w:pPr>
                    <w:overflowPunct w:val="0"/>
                    <w:jc w:val="center"/>
                    <w:rPr>
                      <w:rFonts w:ascii="Times New Roman" w:hAnsi="Times New Roman"/>
                      <w:b/>
                      <w:szCs w:val="21"/>
                      <w:u w:val="single"/>
                    </w:rPr>
                  </w:pPr>
                  <w:r>
                    <w:rPr>
                      <w:rFonts w:ascii="Times New Roman" w:hAnsi="Times New Roman"/>
                      <w:b/>
                      <w:szCs w:val="21"/>
                      <w:u w:val="single"/>
                    </w:rPr>
                    <w:t>监测因子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06" w:type="dxa"/>
                  <w:vAlign w:val="center"/>
                </w:tcPr>
                <w:p>
                  <w:pPr>
                    <w:overflowPunct w:val="0"/>
                    <w:jc w:val="center"/>
                    <w:rPr>
                      <w:rFonts w:ascii="Times New Roman" w:hAnsi="Times New Roman"/>
                      <w:szCs w:val="21"/>
                      <w:u w:val="single"/>
                    </w:rPr>
                  </w:pPr>
                  <w:r>
                    <w:rPr>
                      <w:rFonts w:ascii="Times New Roman" w:hAnsi="Times New Roman"/>
                      <w:szCs w:val="21"/>
                      <w:u w:val="single"/>
                    </w:rPr>
                    <w:t>G1</w:t>
                  </w:r>
                </w:p>
              </w:tc>
              <w:tc>
                <w:tcPr>
                  <w:tcW w:w="4406" w:type="dxa"/>
                  <w:vAlign w:val="center"/>
                </w:tcPr>
                <w:p>
                  <w:pPr>
                    <w:overflowPunct w:val="0"/>
                    <w:jc w:val="center"/>
                    <w:rPr>
                      <w:rFonts w:ascii="Times New Roman" w:hAnsi="Times New Roman"/>
                      <w:szCs w:val="21"/>
                      <w:u w:val="single"/>
                    </w:rPr>
                  </w:pPr>
                  <w:r>
                    <w:rPr>
                      <w:rFonts w:hint="eastAsia" w:ascii="Times New Roman"/>
                      <w:kern w:val="10"/>
                      <w:szCs w:val="21"/>
                      <w:u w:val="single"/>
                    </w:rPr>
                    <w:t>项目地</w:t>
                  </w:r>
                </w:p>
              </w:tc>
              <w:tc>
                <w:tcPr>
                  <w:tcW w:w="3202" w:type="dxa"/>
                  <w:vMerge w:val="restart"/>
                  <w:vAlign w:val="center"/>
                </w:tcPr>
                <w:p>
                  <w:pPr>
                    <w:overflowPunct w:val="0"/>
                    <w:jc w:val="center"/>
                    <w:rPr>
                      <w:rFonts w:ascii="Times New Roman" w:hAnsi="Times New Roman"/>
                      <w:szCs w:val="21"/>
                      <w:u w:val="single"/>
                    </w:rPr>
                  </w:pPr>
                  <w:r>
                    <w:rPr>
                      <w:rFonts w:hint="eastAsia" w:ascii="Times New Roman" w:hAnsi="Times New Roman"/>
                      <w:szCs w:val="21"/>
                      <w:u w:val="single"/>
                    </w:rPr>
                    <w:t>TSP、氟化物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06" w:type="dxa"/>
                  <w:vAlign w:val="center"/>
                </w:tcPr>
                <w:p>
                  <w:pPr>
                    <w:overflowPunct w:val="0"/>
                    <w:jc w:val="center"/>
                    <w:rPr>
                      <w:rFonts w:ascii="Times New Roman" w:hAnsi="Times New Roman"/>
                      <w:szCs w:val="21"/>
                      <w:u w:val="single"/>
                    </w:rPr>
                  </w:pPr>
                  <w:r>
                    <w:rPr>
                      <w:rFonts w:hint="eastAsia" w:ascii="Times New Roman" w:hAnsi="Times New Roman"/>
                      <w:szCs w:val="21"/>
                      <w:u w:val="single"/>
                    </w:rPr>
                    <w:t>G</w:t>
                  </w:r>
                  <w:r>
                    <w:rPr>
                      <w:rFonts w:ascii="Times New Roman" w:hAnsi="Times New Roman"/>
                      <w:szCs w:val="21"/>
                      <w:u w:val="single"/>
                    </w:rPr>
                    <w:t>2</w:t>
                  </w:r>
                </w:p>
              </w:tc>
              <w:tc>
                <w:tcPr>
                  <w:tcW w:w="4406" w:type="dxa"/>
                  <w:vAlign w:val="center"/>
                </w:tcPr>
                <w:p>
                  <w:pPr>
                    <w:overflowPunct w:val="0"/>
                    <w:jc w:val="center"/>
                    <w:rPr>
                      <w:rFonts w:ascii="Times New Roman" w:hAnsi="Times New Roman"/>
                      <w:szCs w:val="21"/>
                      <w:u w:val="single"/>
                    </w:rPr>
                  </w:pPr>
                  <w:r>
                    <w:rPr>
                      <w:rFonts w:hint="eastAsia" w:ascii="Times New Roman"/>
                      <w:kern w:val="10"/>
                      <w:szCs w:val="21"/>
                      <w:u w:val="single"/>
                    </w:rPr>
                    <w:t>项目地南侧5</w:t>
                  </w:r>
                  <w:r>
                    <w:rPr>
                      <w:rFonts w:ascii="Times New Roman"/>
                      <w:kern w:val="10"/>
                      <w:szCs w:val="21"/>
                      <w:u w:val="single"/>
                    </w:rPr>
                    <w:t>0</w:t>
                  </w:r>
                  <w:r>
                    <w:rPr>
                      <w:rFonts w:hint="eastAsia" w:ascii="Times New Roman"/>
                      <w:kern w:val="10"/>
                      <w:szCs w:val="21"/>
                      <w:u w:val="single"/>
                    </w:rPr>
                    <w:t>米居民点</w:t>
                  </w:r>
                </w:p>
              </w:tc>
              <w:tc>
                <w:tcPr>
                  <w:tcW w:w="3202" w:type="dxa"/>
                  <w:vMerge w:val="continue"/>
                  <w:vAlign w:val="center"/>
                </w:tcPr>
                <w:p>
                  <w:pPr>
                    <w:overflowPunct w:val="0"/>
                    <w:jc w:val="center"/>
                    <w:rPr>
                      <w:rFonts w:ascii="Times New Roman" w:hAnsi="Times New Roman"/>
                      <w:szCs w:val="21"/>
                      <w:u w:val="single"/>
                    </w:rPr>
                  </w:pPr>
                </w:p>
              </w:tc>
            </w:tr>
          </w:tbl>
          <w:p>
            <w:pPr>
              <w:tabs>
                <w:tab w:val="left" w:pos="3220"/>
              </w:tabs>
              <w:overflowPunct w:val="0"/>
              <w:spacing w:line="360" w:lineRule="auto"/>
              <w:ind w:firstLine="480" w:firstLineChars="200"/>
              <w:rPr>
                <w:rFonts w:ascii="Times New Roman" w:hAnsi="Times New Roman"/>
                <w:sz w:val="24"/>
                <w:szCs w:val="24"/>
                <w:u w:val="single"/>
              </w:rPr>
            </w:pPr>
            <w:r>
              <w:rPr>
                <w:rFonts w:hint="eastAsia" w:ascii="Times New Roman" w:hAnsi="宋体"/>
                <w:sz w:val="24"/>
                <w:u w:val="single"/>
              </w:rPr>
              <w:t>（</w:t>
            </w:r>
            <w:r>
              <w:rPr>
                <w:rFonts w:ascii="Times New Roman" w:hAnsi="Times New Roman"/>
                <w:sz w:val="24"/>
                <w:u w:val="single"/>
              </w:rPr>
              <w:t>2</w:t>
            </w:r>
            <w:r>
              <w:rPr>
                <w:rFonts w:hint="eastAsia" w:ascii="Times New Roman" w:hAnsi="宋体"/>
                <w:sz w:val="24"/>
                <w:u w:val="single"/>
              </w:rPr>
              <w:t>）</w:t>
            </w:r>
            <w:r>
              <w:rPr>
                <w:rFonts w:hint="eastAsia" w:ascii="Times New Roman" w:hAnsi="Times New Roman"/>
                <w:sz w:val="24"/>
                <w:szCs w:val="24"/>
                <w:u w:val="single"/>
              </w:rPr>
              <w:t>监测分析方法</w:t>
            </w:r>
          </w:p>
          <w:p>
            <w:pPr>
              <w:tabs>
                <w:tab w:val="left" w:pos="3220"/>
              </w:tabs>
              <w:overflowPunct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监测及分析方法均按照国家环保局《环境监测技术规范》、《环境监测分析方法》和《环境空气质量标准》（</w:t>
            </w:r>
            <w:r>
              <w:rPr>
                <w:rFonts w:ascii="Times New Roman" w:hAnsi="Times New Roman"/>
                <w:sz w:val="24"/>
                <w:szCs w:val="24"/>
                <w:u w:val="single"/>
              </w:rPr>
              <w:t>GB 3095-2012</w:t>
            </w:r>
            <w:r>
              <w:rPr>
                <w:rFonts w:hint="eastAsia" w:ascii="Times New Roman" w:hAnsi="Times New Roman"/>
                <w:sz w:val="24"/>
                <w:szCs w:val="24"/>
                <w:u w:val="single"/>
              </w:rPr>
              <w:t>）要求的方法进行。</w:t>
            </w:r>
          </w:p>
          <w:p>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w:t>
            </w:r>
            <w:r>
              <w:rPr>
                <w:rFonts w:ascii="Times New Roman" w:hAnsi="Times New Roman"/>
                <w:sz w:val="24"/>
                <w:szCs w:val="24"/>
                <w:u w:val="single"/>
              </w:rPr>
              <w:t>3</w:t>
            </w:r>
            <w:r>
              <w:rPr>
                <w:rFonts w:hint="eastAsia" w:ascii="Times New Roman" w:hAnsi="Times New Roman"/>
                <w:sz w:val="24"/>
                <w:szCs w:val="24"/>
                <w:u w:val="single"/>
              </w:rPr>
              <w:t>）监测结果统计分析</w:t>
            </w:r>
          </w:p>
          <w:p>
            <w:pPr>
              <w:tabs>
                <w:tab w:val="left" w:pos="2196"/>
              </w:tabs>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环境空气监测及统计分析结果见表</w:t>
            </w:r>
            <w:r>
              <w:rPr>
                <w:rFonts w:ascii="Times New Roman" w:hAnsi="Times New Roman"/>
                <w:sz w:val="24"/>
                <w:szCs w:val="24"/>
                <w:u w:val="single"/>
              </w:rPr>
              <w:t>2-4</w:t>
            </w:r>
            <w:r>
              <w:rPr>
                <w:rFonts w:hint="eastAsia" w:ascii="Times New Roman" w:hAnsi="Times New Roman"/>
                <w:sz w:val="24"/>
                <w:szCs w:val="24"/>
                <w:u w:val="single"/>
              </w:rPr>
              <w:t>。</w:t>
            </w:r>
          </w:p>
          <w:p>
            <w:pPr>
              <w:pStyle w:val="67"/>
              <w:autoSpaceDE/>
              <w:autoSpaceDN/>
              <w:adjustRightInd/>
              <w:spacing w:before="0" w:line="360" w:lineRule="auto"/>
              <w:ind w:left="0"/>
              <w:jc w:val="center"/>
              <w:outlineLvl w:val="9"/>
              <w:rPr>
                <w:rFonts w:ascii="Times New Roman" w:cs="Times New Roman"/>
                <w:kern w:val="2"/>
                <w:u w:val="single"/>
              </w:rPr>
            </w:pPr>
            <w:r>
              <w:rPr>
                <w:rFonts w:hint="eastAsia" w:ascii="Times New Roman" w:hAnsi="宋体" w:cs="Times New Roman"/>
                <w:kern w:val="2"/>
                <w:u w:val="single"/>
              </w:rPr>
              <w:t>表</w:t>
            </w:r>
            <w:r>
              <w:rPr>
                <w:rFonts w:ascii="Times New Roman" w:cs="Times New Roman"/>
                <w:kern w:val="2"/>
                <w:u w:val="single"/>
              </w:rPr>
              <w:t xml:space="preserve">2-4  </w:t>
            </w:r>
            <w:r>
              <w:rPr>
                <w:rFonts w:hint="eastAsia" w:ascii="Times New Roman" w:hAnsi="宋体" w:cs="Times New Roman"/>
                <w:kern w:val="2"/>
                <w:u w:val="single"/>
              </w:rPr>
              <w:t>环境空气质量现状监测统计结果</w:t>
            </w:r>
            <w:r>
              <w:rPr>
                <w:rFonts w:ascii="Times New Roman" w:hAnsi="宋体" w:cs="Times New Roman"/>
                <w:kern w:val="2"/>
                <w:u w:val="single"/>
              </w:rPr>
              <w:t xml:space="preserve">  </w:t>
            </w:r>
            <w:r>
              <w:rPr>
                <w:rFonts w:hint="eastAsia" w:ascii="Times New Roman" w:hAnsi="宋体" w:cs="Times New Roman"/>
                <w:kern w:val="2"/>
                <w:u w:val="single"/>
              </w:rPr>
              <w:t>单位</w:t>
            </w:r>
            <w:r>
              <w:rPr>
                <w:rFonts w:ascii="Times New Roman" w:hAnsi="宋体" w:cs="Times New Roman"/>
                <w:kern w:val="2"/>
                <w:u w:val="single"/>
              </w:rPr>
              <w:t>:</w:t>
            </w:r>
            <w:r>
              <w:rPr>
                <w:rFonts w:ascii="Times New Roman" w:cs="Times New Roman"/>
                <w:kern w:val="2"/>
                <w:u w:val="single"/>
              </w:rPr>
              <w:t>μg/m</w:t>
            </w:r>
            <w:r>
              <w:rPr>
                <w:rFonts w:ascii="Times New Roman" w:cs="Times New Roman"/>
                <w:kern w:val="2"/>
                <w:u w:val="single"/>
                <w:vertAlign w:val="superscript"/>
              </w:rPr>
              <w:t>3</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92"/>
              <w:gridCol w:w="2495"/>
              <w:gridCol w:w="1308"/>
              <w:gridCol w:w="1018"/>
              <w:gridCol w:w="1017"/>
              <w:gridCol w:w="1017"/>
              <w:gridCol w:w="8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采样日期</w:t>
                  </w:r>
                </w:p>
              </w:tc>
              <w:tc>
                <w:tcPr>
                  <w:tcW w:w="2433" w:type="dxa"/>
                  <w:vMerge w:val="restart"/>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点位</w:t>
                  </w:r>
                </w:p>
              </w:tc>
              <w:tc>
                <w:tcPr>
                  <w:tcW w:w="1275" w:type="dxa"/>
                  <w:vMerge w:val="restart"/>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项目</w:t>
                  </w:r>
                </w:p>
              </w:tc>
              <w:tc>
                <w:tcPr>
                  <w:tcW w:w="2977" w:type="dxa"/>
                  <w:gridSpan w:val="3"/>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检测结果（小时值）</w:t>
                  </w:r>
                </w:p>
              </w:tc>
              <w:tc>
                <w:tcPr>
                  <w:tcW w:w="869" w:type="dxa"/>
                  <w:vMerge w:val="restart"/>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标准值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kern w:val="2"/>
                      <w:sz w:val="21"/>
                      <w:szCs w:val="21"/>
                      <w:u w:val="single"/>
                    </w:rPr>
                  </w:pPr>
                </w:p>
              </w:tc>
              <w:tc>
                <w:tcPr>
                  <w:tcW w:w="2433" w:type="dxa"/>
                  <w:vMerge w:val="continue"/>
                  <w:vAlign w:val="center"/>
                </w:tcPr>
                <w:p>
                  <w:pPr>
                    <w:pStyle w:val="67"/>
                    <w:autoSpaceDE/>
                    <w:autoSpaceDN/>
                    <w:adjustRightInd/>
                    <w:spacing w:before="0"/>
                    <w:ind w:left="0"/>
                    <w:jc w:val="center"/>
                    <w:outlineLvl w:val="9"/>
                    <w:rPr>
                      <w:rFonts w:ascii="Times New Roman" w:cs="Times New Roman"/>
                      <w:kern w:val="2"/>
                      <w:sz w:val="21"/>
                      <w:szCs w:val="21"/>
                      <w:u w:val="single"/>
                    </w:rPr>
                  </w:pPr>
                </w:p>
              </w:tc>
              <w:tc>
                <w:tcPr>
                  <w:tcW w:w="1275" w:type="dxa"/>
                  <w:vMerge w:val="continue"/>
                  <w:vAlign w:val="center"/>
                </w:tcPr>
                <w:p>
                  <w:pPr>
                    <w:pStyle w:val="67"/>
                    <w:autoSpaceDE/>
                    <w:autoSpaceDN/>
                    <w:adjustRightInd/>
                    <w:spacing w:before="0"/>
                    <w:ind w:left="0"/>
                    <w:jc w:val="center"/>
                    <w:outlineLvl w:val="9"/>
                    <w:rPr>
                      <w:rFonts w:ascii="Times New Roman" w:cs="Times New Roman"/>
                      <w:kern w:val="2"/>
                      <w:sz w:val="21"/>
                      <w:szCs w:val="21"/>
                      <w:u w:val="single"/>
                    </w:rPr>
                  </w:pPr>
                </w:p>
              </w:tc>
              <w:tc>
                <w:tcPr>
                  <w:tcW w:w="993" w:type="dxa"/>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第一次</w:t>
                  </w:r>
                </w:p>
              </w:tc>
              <w:tc>
                <w:tcPr>
                  <w:tcW w:w="992" w:type="dxa"/>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第二次</w:t>
                  </w:r>
                </w:p>
              </w:tc>
              <w:tc>
                <w:tcPr>
                  <w:tcW w:w="992" w:type="dxa"/>
                  <w:vAlign w:val="center"/>
                </w:tcPr>
                <w:p>
                  <w:pPr>
                    <w:pStyle w:val="67"/>
                    <w:autoSpaceDE/>
                    <w:autoSpaceDN/>
                    <w:adjustRightInd/>
                    <w:spacing w:before="0"/>
                    <w:ind w:left="0"/>
                    <w:jc w:val="center"/>
                    <w:outlineLvl w:val="9"/>
                    <w:rPr>
                      <w:rFonts w:ascii="Times New Roman" w:cs="Times New Roman"/>
                      <w:kern w:val="2"/>
                      <w:sz w:val="21"/>
                      <w:szCs w:val="21"/>
                      <w:u w:val="single"/>
                    </w:rPr>
                  </w:pPr>
                  <w:r>
                    <w:rPr>
                      <w:rFonts w:hint="eastAsia" w:ascii="Times New Roman" w:cs="Times New Roman"/>
                      <w:kern w:val="2"/>
                      <w:sz w:val="21"/>
                      <w:szCs w:val="21"/>
                      <w:u w:val="single"/>
                    </w:rPr>
                    <w:t>第三次</w:t>
                  </w:r>
                </w:p>
              </w:tc>
              <w:tc>
                <w:tcPr>
                  <w:tcW w:w="869" w:type="dxa"/>
                  <w:vMerge w:val="continue"/>
                  <w:vAlign w:val="center"/>
                </w:tcPr>
                <w:p>
                  <w:pPr>
                    <w:pStyle w:val="67"/>
                    <w:autoSpaceDE/>
                    <w:autoSpaceDN/>
                    <w:adjustRightInd/>
                    <w:spacing w:before="0"/>
                    <w:ind w:left="0"/>
                    <w:jc w:val="center"/>
                    <w:outlineLvl w:val="9"/>
                    <w:rPr>
                      <w:rFonts w:ascii="Times New Roman" w:cs="Times New Roman"/>
                      <w:kern w:val="2"/>
                      <w:sz w:val="21"/>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020.07.14</w:t>
                  </w: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8</w:t>
                  </w:r>
                  <w:r>
                    <w:rPr>
                      <w:rFonts w:ascii="Times New Roman" w:cs="Times New Roman"/>
                      <w:b w:val="0"/>
                      <w:bCs w:val="0"/>
                      <w:kern w:val="2"/>
                      <w:sz w:val="21"/>
                      <w:szCs w:val="21"/>
                      <w:u w:val="single"/>
                    </w:rPr>
                    <w:t>7</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8</w:t>
                  </w:r>
                  <w:r>
                    <w:rPr>
                      <w:rFonts w:ascii="Times New Roman" w:cs="Times New Roman"/>
                      <w:b w:val="0"/>
                      <w:bCs w:val="0"/>
                      <w:kern w:val="2"/>
                      <w:sz w:val="21"/>
                      <w:szCs w:val="21"/>
                      <w:u w:val="single"/>
                    </w:rPr>
                    <w:t>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02</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4</w:t>
                  </w:r>
                  <w:r>
                    <w:rPr>
                      <w:rFonts w:ascii="Times New Roman" w:cs="Times New Roman"/>
                      <w:b w:val="0"/>
                      <w:bCs w:val="0"/>
                      <w:kern w:val="2"/>
                      <w:sz w:val="21"/>
                      <w:szCs w:val="21"/>
                      <w:u w:val="single"/>
                    </w:rPr>
                    <w:t>.2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5</w:t>
                  </w:r>
                  <w:r>
                    <w:rPr>
                      <w:rFonts w:ascii="Times New Roman" w:cs="Times New Roman"/>
                      <w:b w:val="0"/>
                      <w:bCs w:val="0"/>
                      <w:kern w:val="2"/>
                      <w:sz w:val="21"/>
                      <w:szCs w:val="21"/>
                      <w:u w:val="single"/>
                    </w:rPr>
                    <w:t>.5</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.1</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7</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02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12</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.1</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.6</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020.07.15</w:t>
                  </w: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37</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22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45</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.8</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.6</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.2</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3</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7</w:t>
                  </w:r>
                  <w:r>
                    <w:rPr>
                      <w:rFonts w:ascii="Times New Roman" w:cs="Times New Roman"/>
                      <w:b w:val="0"/>
                      <w:bCs w:val="0"/>
                      <w:kern w:val="2"/>
                      <w:sz w:val="21"/>
                      <w:szCs w:val="21"/>
                      <w:u w:val="single"/>
                    </w:rPr>
                    <w:t>6</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06</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.6</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.1</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020.07.16</w:t>
                  </w: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53</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42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61</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3</w:t>
                  </w:r>
                  <w:r>
                    <w:rPr>
                      <w:rFonts w:ascii="Times New Roman" w:cs="Times New Roman"/>
                      <w:b w:val="0"/>
                      <w:bCs w:val="0"/>
                      <w:kern w:val="2"/>
                      <w:sz w:val="21"/>
                      <w:szCs w:val="21"/>
                      <w:u w:val="single"/>
                    </w:rPr>
                    <w:t>.2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.5</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.1</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TSP</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9</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7</w:t>
                  </w:r>
                  <w:r>
                    <w:rPr>
                      <w:rFonts w:ascii="Times New Roman" w:cs="Times New Roman"/>
                      <w:b w:val="0"/>
                      <w:bCs w:val="0"/>
                      <w:kern w:val="2"/>
                      <w:sz w:val="21"/>
                      <w:szCs w:val="21"/>
                      <w:u w:val="single"/>
                    </w:rPr>
                    <w:t>9</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2</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9</w:t>
                  </w:r>
                  <w:r>
                    <w:rPr>
                      <w:rFonts w:ascii="Times New Roman" w:cs="Times New Roman"/>
                      <w:b w:val="0"/>
                      <w:bCs w:val="0"/>
                      <w:kern w:val="2"/>
                      <w:sz w:val="21"/>
                      <w:szCs w:val="21"/>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p>
              </w:tc>
              <w:tc>
                <w:tcPr>
                  <w:tcW w:w="243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项目地南侧5</w:t>
                  </w:r>
                  <w:r>
                    <w:rPr>
                      <w:rFonts w:ascii="Times New Roman" w:cs="Times New Roman"/>
                      <w:b w:val="0"/>
                      <w:bCs w:val="0"/>
                      <w:kern w:val="2"/>
                      <w:sz w:val="21"/>
                      <w:szCs w:val="21"/>
                      <w:u w:val="single"/>
                    </w:rPr>
                    <w:t>0</w:t>
                  </w:r>
                  <w:r>
                    <w:rPr>
                      <w:rFonts w:hint="eastAsia" w:ascii="Times New Roman" w:cs="Times New Roman"/>
                      <w:b w:val="0"/>
                      <w:bCs w:val="0"/>
                      <w:kern w:val="2"/>
                      <w:sz w:val="21"/>
                      <w:szCs w:val="21"/>
                      <w:u w:val="single"/>
                    </w:rPr>
                    <w:t>米居民点</w:t>
                  </w:r>
                </w:p>
              </w:tc>
              <w:tc>
                <w:tcPr>
                  <w:tcW w:w="1275"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氟化物</w:t>
                  </w:r>
                </w:p>
              </w:tc>
              <w:tc>
                <w:tcPr>
                  <w:tcW w:w="993"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.2</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1</w:t>
                  </w:r>
                  <w:r>
                    <w:rPr>
                      <w:rFonts w:ascii="Times New Roman" w:cs="Times New Roman"/>
                      <w:b w:val="0"/>
                      <w:bCs w:val="0"/>
                      <w:kern w:val="2"/>
                      <w:sz w:val="21"/>
                      <w:szCs w:val="21"/>
                      <w:u w:val="single"/>
                    </w:rPr>
                    <w:t>.5</w:t>
                  </w:r>
                </w:p>
              </w:tc>
              <w:tc>
                <w:tcPr>
                  <w:tcW w:w="992"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0</w:t>
                  </w:r>
                  <w:r>
                    <w:rPr>
                      <w:rFonts w:ascii="Times New Roman" w:cs="Times New Roman"/>
                      <w:b w:val="0"/>
                      <w:bCs w:val="0"/>
                      <w:kern w:val="2"/>
                      <w:sz w:val="21"/>
                      <w:szCs w:val="21"/>
                      <w:u w:val="single"/>
                    </w:rPr>
                    <w:t>.9</w:t>
                  </w:r>
                </w:p>
              </w:tc>
              <w:tc>
                <w:tcPr>
                  <w:tcW w:w="869" w:type="dxa"/>
                  <w:vAlign w:val="center"/>
                </w:tcPr>
                <w:p>
                  <w:pPr>
                    <w:pStyle w:val="67"/>
                    <w:autoSpaceDE/>
                    <w:autoSpaceDN/>
                    <w:adjustRightInd/>
                    <w:spacing w:before="0"/>
                    <w:ind w:left="0"/>
                    <w:jc w:val="center"/>
                    <w:outlineLvl w:val="9"/>
                    <w:rPr>
                      <w:rFonts w:ascii="Times New Roman" w:cs="Times New Roman"/>
                      <w:b w:val="0"/>
                      <w:bCs w:val="0"/>
                      <w:kern w:val="2"/>
                      <w:sz w:val="21"/>
                      <w:szCs w:val="21"/>
                      <w:u w:val="single"/>
                    </w:rPr>
                  </w:pPr>
                  <w:r>
                    <w:rPr>
                      <w:rFonts w:hint="eastAsia" w:ascii="Times New Roman" w:cs="Times New Roman"/>
                      <w:b w:val="0"/>
                      <w:bCs w:val="0"/>
                      <w:kern w:val="2"/>
                      <w:sz w:val="21"/>
                      <w:szCs w:val="21"/>
                      <w:u w:val="single"/>
                    </w:rPr>
                    <w:t>2</w:t>
                  </w:r>
                  <w:r>
                    <w:rPr>
                      <w:rFonts w:ascii="Times New Roman" w:cs="Times New Roman"/>
                      <w:b w:val="0"/>
                      <w:bCs w:val="0"/>
                      <w:kern w:val="2"/>
                      <w:sz w:val="21"/>
                      <w:szCs w:val="21"/>
                      <w:u w:val="single"/>
                    </w:rPr>
                    <w:t>0</w:t>
                  </w:r>
                </w:p>
              </w:tc>
            </w:tr>
          </w:tbl>
          <w:p>
            <w:pPr>
              <w:pStyle w:val="7"/>
              <w:spacing w:after="0" w:line="360" w:lineRule="auto"/>
              <w:ind w:firstLine="480" w:firstLineChars="200"/>
              <w:rPr>
                <w:rFonts w:ascii="Times New Roman" w:hAnsi="宋体"/>
                <w:sz w:val="24"/>
                <w:szCs w:val="24"/>
                <w:u w:val="single"/>
              </w:rPr>
            </w:pPr>
            <w:r>
              <w:rPr>
                <w:rFonts w:hint="eastAsia" w:ascii="Times New Roman" w:hAnsi="Times New Roman"/>
                <w:sz w:val="24"/>
                <w:szCs w:val="24"/>
                <w:u w:val="single"/>
              </w:rPr>
              <w:t>（</w:t>
            </w:r>
            <w:r>
              <w:rPr>
                <w:rFonts w:ascii="Times New Roman" w:hAnsi="Times New Roman"/>
                <w:sz w:val="24"/>
                <w:szCs w:val="24"/>
                <w:u w:val="single"/>
              </w:rPr>
              <w:t>4</w:t>
            </w:r>
            <w:r>
              <w:rPr>
                <w:rFonts w:hint="eastAsia" w:ascii="Times New Roman" w:hAnsi="Times New Roman"/>
                <w:sz w:val="24"/>
                <w:szCs w:val="24"/>
                <w:u w:val="single"/>
              </w:rPr>
              <w:t>）环境空气现状评价</w:t>
            </w:r>
          </w:p>
          <w:p>
            <w:pPr>
              <w:spacing w:line="360" w:lineRule="auto"/>
              <w:ind w:firstLine="480" w:firstLineChars="200"/>
              <w:rPr>
                <w:rFonts w:ascii="Times New Roman" w:hAnsi="宋体"/>
                <w:sz w:val="24"/>
                <w:u w:val="single"/>
              </w:rPr>
            </w:pPr>
            <w:r>
              <w:rPr>
                <w:rFonts w:hint="eastAsia" w:ascii="Times New Roman" w:hAnsi="Times New Roman"/>
                <w:sz w:val="24"/>
                <w:szCs w:val="24"/>
                <w:u w:val="single"/>
              </w:rPr>
              <w:t>根据环境空气质量现状评价结果：监测点位</w:t>
            </w:r>
            <w:r>
              <w:rPr>
                <w:rFonts w:hint="eastAsia" w:ascii="Times New Roman" w:hAnsi="宋体"/>
                <w:sz w:val="24"/>
                <w:u w:val="single"/>
              </w:rPr>
              <w:t>TSP、氟化物</w:t>
            </w:r>
            <w:r>
              <w:rPr>
                <w:rFonts w:hint="eastAsia" w:ascii="Times New Roman" w:hAnsi="宋体"/>
                <w:sz w:val="24"/>
                <w:szCs w:val="24"/>
                <w:u w:val="single"/>
              </w:rPr>
              <w:t>满足《环境空气质量标准》（GB</w:t>
            </w:r>
            <w:r>
              <w:rPr>
                <w:rFonts w:ascii="Times New Roman" w:hAnsi="宋体"/>
                <w:sz w:val="24"/>
                <w:szCs w:val="24"/>
                <w:u w:val="single"/>
              </w:rPr>
              <w:t xml:space="preserve"> 3095-2012</w:t>
            </w:r>
            <w:r>
              <w:rPr>
                <w:rFonts w:hint="eastAsia" w:ascii="Times New Roman" w:hAnsi="宋体"/>
                <w:sz w:val="24"/>
                <w:szCs w:val="24"/>
                <w:u w:val="single"/>
              </w:rPr>
              <w:t>）二级标准要求。</w:t>
            </w:r>
          </w:p>
          <w:p>
            <w:pPr>
              <w:overflowPunct w:val="0"/>
              <w:spacing w:line="360" w:lineRule="auto"/>
              <w:rPr>
                <w:rFonts w:ascii="Times New Roman" w:hAnsi="Times New Roman"/>
                <w:b/>
                <w:spacing w:val="8"/>
                <w:sz w:val="24"/>
                <w:szCs w:val="24"/>
              </w:rPr>
            </w:pPr>
            <w:r>
              <w:rPr>
                <w:rFonts w:ascii="Times New Roman" w:hAnsi="Times New Roman"/>
                <w:b/>
                <w:spacing w:val="8"/>
                <w:sz w:val="24"/>
                <w:szCs w:val="24"/>
              </w:rPr>
              <w:t>2 地表水环境质量现状</w:t>
            </w:r>
          </w:p>
          <w:p>
            <w:pPr>
              <w:overflowPunct w:val="0"/>
              <w:spacing w:line="360" w:lineRule="auto"/>
              <w:ind w:firstLine="480" w:firstLineChars="200"/>
              <w:rPr>
                <w:rFonts w:ascii="Times New Roman" w:hAnsi="宋体"/>
                <w:sz w:val="24"/>
              </w:rPr>
            </w:pPr>
            <w:r>
              <w:rPr>
                <w:rFonts w:ascii="Times New Roman" w:hAnsi="Times New Roman"/>
                <w:color w:val="000000" w:themeColor="text1"/>
                <w:sz w:val="24"/>
                <w14:textFill>
                  <w14:solidFill>
                    <w14:schemeClr w14:val="tx1"/>
                  </w14:solidFill>
                </w14:textFill>
              </w:rPr>
              <w:t>为了解本项目</w:t>
            </w:r>
            <w:r>
              <w:rPr>
                <w:rFonts w:hint="eastAsia" w:ascii="Times New Roman" w:hAnsi="Times New Roman"/>
                <w:color w:val="000000" w:themeColor="text1"/>
                <w:sz w:val="24"/>
                <w14:textFill>
                  <w14:solidFill>
                    <w14:schemeClr w14:val="tx1"/>
                  </w14:solidFill>
                </w14:textFill>
              </w:rPr>
              <w:t>地区</w:t>
            </w:r>
            <w:r>
              <w:rPr>
                <w:rFonts w:ascii="Times New Roman" w:hAnsi="Times New Roman"/>
                <w:color w:val="000000" w:themeColor="text1"/>
                <w:sz w:val="24"/>
                <w14:textFill>
                  <w14:solidFill>
                    <w14:schemeClr w14:val="tx1"/>
                  </w14:solidFill>
                </w14:textFill>
              </w:rPr>
              <w:t>的地表水现状，</w:t>
            </w:r>
            <w:r>
              <w:rPr>
                <w:rFonts w:ascii="Times New Roman" w:hAnsi="Times New Roman"/>
                <w:color w:val="000000" w:themeColor="text1"/>
                <w:spacing w:val="-4"/>
                <w:sz w:val="24"/>
                <w14:textFill>
                  <w14:solidFill>
                    <w14:schemeClr w14:val="tx1"/>
                  </w14:solidFill>
                </w14:textFill>
              </w:rPr>
              <w:t>本评价</w:t>
            </w:r>
            <w:r>
              <w:rPr>
                <w:rFonts w:hint="eastAsia" w:ascii="Times New Roman" w:hAnsi="Times New Roman"/>
                <w:sz w:val="24"/>
              </w:rPr>
              <w:t>本评价委托了湖南守政检测有限公司于2</w:t>
            </w:r>
            <w:r>
              <w:rPr>
                <w:rFonts w:ascii="Times New Roman" w:hAnsi="Times New Roman"/>
                <w:sz w:val="24"/>
              </w:rPr>
              <w:t>020</w:t>
            </w:r>
            <w:r>
              <w:rPr>
                <w:rFonts w:hint="eastAsia" w:ascii="Times New Roman" w:hAnsi="Times New Roman"/>
                <w:sz w:val="24"/>
              </w:rPr>
              <w:t>年7月1</w:t>
            </w:r>
            <w:r>
              <w:rPr>
                <w:rFonts w:ascii="Times New Roman" w:hAnsi="Times New Roman"/>
                <w:sz w:val="24"/>
              </w:rPr>
              <w:t>4</w:t>
            </w:r>
            <w:r>
              <w:rPr>
                <w:rFonts w:hint="eastAsia" w:ascii="Times New Roman" w:hAnsi="Times New Roman"/>
                <w:sz w:val="24"/>
              </w:rPr>
              <w:t>日~</w:t>
            </w:r>
            <w:r>
              <w:rPr>
                <w:rFonts w:ascii="Times New Roman" w:hAnsi="Times New Roman"/>
                <w:sz w:val="24"/>
              </w:rPr>
              <w:t>7</w:t>
            </w:r>
            <w:r>
              <w:rPr>
                <w:rFonts w:hint="eastAsia" w:ascii="Times New Roman" w:hAnsi="Times New Roman"/>
                <w:sz w:val="24"/>
              </w:rPr>
              <w:t>月1</w:t>
            </w:r>
            <w:r>
              <w:rPr>
                <w:rFonts w:ascii="Times New Roman" w:hAnsi="Times New Roman"/>
                <w:sz w:val="24"/>
              </w:rPr>
              <w:t>6</w:t>
            </w:r>
            <w:r>
              <w:rPr>
                <w:rFonts w:hint="eastAsia" w:ascii="Times New Roman" w:hAnsi="Times New Roman"/>
                <w:sz w:val="24"/>
              </w:rPr>
              <w:t>日对项目周边地表水</w:t>
            </w:r>
            <w:r>
              <w:rPr>
                <w:rFonts w:ascii="Times New Roman" w:hAnsi="Times New Roman"/>
                <w:snapToGrid w:val="0"/>
                <w:color w:val="000000" w:themeColor="text1"/>
                <w:kern w:val="0"/>
                <w:sz w:val="24"/>
                <w:szCs w:val="24"/>
                <w14:textFill>
                  <w14:solidFill>
                    <w14:schemeClr w14:val="tx1"/>
                  </w14:solidFill>
                </w14:textFill>
              </w:rPr>
              <w:t>进行了为期</w:t>
            </w:r>
            <w:r>
              <w:rPr>
                <w:rFonts w:hint="eastAsia" w:ascii="Times New Roman" w:hAnsi="Times New Roman"/>
                <w:snapToGrid w:val="0"/>
                <w:color w:val="000000" w:themeColor="text1"/>
                <w:kern w:val="0"/>
                <w:sz w:val="24"/>
                <w:szCs w:val="24"/>
                <w14:textFill>
                  <w14:solidFill>
                    <w14:schemeClr w14:val="tx1"/>
                  </w14:solidFill>
                </w14:textFill>
              </w:rPr>
              <w:t>3</w:t>
            </w:r>
            <w:r>
              <w:rPr>
                <w:rFonts w:ascii="Times New Roman" w:hAnsi="Times New Roman"/>
                <w:snapToGrid w:val="0"/>
                <w:color w:val="000000" w:themeColor="text1"/>
                <w:kern w:val="0"/>
                <w:sz w:val="24"/>
                <w:szCs w:val="24"/>
                <w14:textFill>
                  <w14:solidFill>
                    <w14:schemeClr w14:val="tx1"/>
                  </w14:solidFill>
                </w14:textFill>
              </w:rPr>
              <w:t>天的地表水环境现状监测。</w:t>
            </w:r>
            <w:r>
              <w:rPr>
                <w:rFonts w:ascii="Times New Roman" w:hAnsi="Times New Roman"/>
                <w:color w:val="000000" w:themeColor="text1"/>
                <w:sz w:val="24"/>
                <w14:textFill>
                  <w14:solidFill>
                    <w14:schemeClr w14:val="tx1"/>
                  </w14:solidFill>
                </w14:textFill>
              </w:rPr>
              <w:t>具体监测点位及监测因子见表2-5。</w:t>
            </w:r>
          </w:p>
          <w:p>
            <w:pPr>
              <w:overflowPunct w:val="0"/>
              <w:spacing w:line="360" w:lineRule="auto"/>
              <w:jc w:val="center"/>
              <w:rPr>
                <w:rFonts w:ascii="Times New Roman" w:hAnsi="Times New Roman"/>
                <w:b/>
                <w:sz w:val="24"/>
              </w:rPr>
            </w:pPr>
            <w:r>
              <w:rPr>
                <w:rFonts w:hint="eastAsia" w:ascii="Times New Roman" w:hAnsi="宋体"/>
                <w:b/>
                <w:sz w:val="24"/>
              </w:rPr>
              <w:t>表</w:t>
            </w:r>
            <w:r>
              <w:rPr>
                <w:rFonts w:ascii="Times New Roman" w:hAnsi="宋体"/>
                <w:b/>
                <w:sz w:val="24"/>
              </w:rPr>
              <w:t xml:space="preserve">2-5  </w:t>
            </w:r>
            <w:r>
              <w:rPr>
                <w:rFonts w:hint="eastAsia" w:ascii="Times New Roman" w:hAnsi="宋体"/>
                <w:b/>
                <w:sz w:val="24"/>
              </w:rPr>
              <w:t>地表水环境监测工作内容</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1543"/>
              <w:gridCol w:w="3778"/>
              <w:gridCol w:w="29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3"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504"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河流名称</w:t>
                  </w:r>
                </w:p>
              </w:tc>
              <w:tc>
                <w:tcPr>
                  <w:tcW w:w="3684"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监测位置</w:t>
                  </w:r>
                </w:p>
              </w:tc>
              <w:tc>
                <w:tcPr>
                  <w:tcW w:w="2853" w:type="dxa"/>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3" w:type="dxa"/>
                  <w:vAlign w:val="center"/>
                </w:tcPr>
                <w:p>
                  <w:pPr>
                    <w:pStyle w:val="36"/>
                    <w:tabs>
                      <w:tab w:val="left" w:pos="1410"/>
                    </w:tabs>
                    <w:overflowPunct/>
                    <w:autoSpaceDE/>
                    <w:autoSpaceDN/>
                    <w:adjustRightInd/>
                    <w:spacing w:line="240" w:lineRule="auto"/>
                    <w:textAlignment w:val="auto"/>
                    <w:rPr>
                      <w:rFonts w:ascii="Times New Roman"/>
                      <w:color w:val="000000" w:themeColor="text1"/>
                      <w:sz w:val="21"/>
                      <w:szCs w:val="21"/>
                      <w:vertAlign w:val="subscript"/>
                      <w14:textFill>
                        <w14:solidFill>
                          <w14:schemeClr w14:val="tx1"/>
                        </w14:solidFill>
                      </w14:textFill>
                    </w:rPr>
                  </w:pPr>
                  <w:r>
                    <w:rPr>
                      <w:rFonts w:ascii="Times New Roman"/>
                      <w:color w:val="000000" w:themeColor="text1"/>
                      <w:sz w:val="21"/>
                      <w:szCs w:val="21"/>
                      <w14:textFill>
                        <w14:solidFill>
                          <w14:schemeClr w14:val="tx1"/>
                        </w14:solidFill>
                      </w14:textFill>
                    </w:rPr>
                    <w:t>W1</w:t>
                  </w:r>
                </w:p>
              </w:tc>
              <w:tc>
                <w:tcPr>
                  <w:tcW w:w="1504" w:type="dxa"/>
                  <w:vMerge w:val="restart"/>
                  <w:vAlign w:val="center"/>
                </w:tcPr>
                <w:p>
                  <w:pPr>
                    <w:pStyle w:val="36"/>
                    <w:tabs>
                      <w:tab w:val="left" w:pos="1410"/>
                    </w:tabs>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志溪河</w:t>
                  </w:r>
                </w:p>
              </w:tc>
              <w:tc>
                <w:tcPr>
                  <w:tcW w:w="3684" w:type="dxa"/>
                  <w:vAlign w:val="center"/>
                </w:tcPr>
                <w:p>
                  <w:pPr>
                    <w:pStyle w:val="36"/>
                    <w:tabs>
                      <w:tab w:val="left" w:pos="1410"/>
                    </w:tabs>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项目北面志溪河断面上游5</w:t>
                  </w:r>
                  <w:r>
                    <w:rPr>
                      <w:rFonts w:ascii="Times New Roman"/>
                      <w:bCs/>
                      <w:color w:val="000000" w:themeColor="text1"/>
                      <w:sz w:val="21"/>
                      <w:szCs w:val="21"/>
                      <w14:textFill>
                        <w14:solidFill>
                          <w14:schemeClr w14:val="tx1"/>
                        </w14:solidFill>
                      </w14:textFill>
                    </w:rPr>
                    <w:t>00</w:t>
                  </w:r>
                  <w:r>
                    <w:rPr>
                      <w:rFonts w:hint="eastAsia" w:ascii="Times New Roman"/>
                      <w:bCs/>
                      <w:color w:val="000000" w:themeColor="text1"/>
                      <w:sz w:val="21"/>
                      <w:szCs w:val="21"/>
                      <w14:textFill>
                        <w14:solidFill>
                          <w14:schemeClr w14:val="tx1"/>
                        </w14:solidFill>
                      </w14:textFill>
                    </w:rPr>
                    <w:t>m</w:t>
                  </w:r>
                </w:p>
              </w:tc>
              <w:tc>
                <w:tcPr>
                  <w:tcW w:w="2853"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水温、</w:t>
                  </w:r>
                  <w:r>
                    <w:rPr>
                      <w:rFonts w:ascii="Times New Roman" w:hAnsi="Times New Roman"/>
                      <w:color w:val="000000" w:themeColor="text1"/>
                      <w:szCs w:val="21"/>
                      <w14:textFill>
                        <w14:solidFill>
                          <w14:schemeClr w14:val="tx1"/>
                        </w14:solidFill>
                      </w14:textFill>
                    </w:rPr>
                    <w:t>pH</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COD、</w:t>
                  </w:r>
                  <w:r>
                    <w:rPr>
                      <w:rFonts w:hint="eastAsia"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N</w:t>
                  </w: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氟化物、石油类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3" w:type="dxa"/>
                  <w:vAlign w:val="center"/>
                </w:tcPr>
                <w:p>
                  <w:pPr>
                    <w:pStyle w:val="36"/>
                    <w:tabs>
                      <w:tab w:val="left" w:pos="1410"/>
                    </w:tabs>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W2</w:t>
                  </w:r>
                </w:p>
              </w:tc>
              <w:tc>
                <w:tcPr>
                  <w:tcW w:w="1504"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3684"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项目北面志溪河断面下游1</w:t>
                  </w:r>
                  <w:r>
                    <w:rPr>
                      <w:rFonts w:ascii="Times New Roman" w:hAnsi="Times New Roman"/>
                      <w:bCs/>
                      <w:color w:val="000000" w:themeColor="text1"/>
                      <w:szCs w:val="21"/>
                      <w14:textFill>
                        <w14:solidFill>
                          <w14:schemeClr w14:val="tx1"/>
                        </w14:solidFill>
                      </w14:textFill>
                    </w:rPr>
                    <w:t>000m</w:t>
                  </w:r>
                </w:p>
              </w:tc>
              <w:tc>
                <w:tcPr>
                  <w:tcW w:w="2853" w:type="dxa"/>
                  <w:vMerge w:val="continue"/>
                  <w:vAlign w:val="center"/>
                </w:tcPr>
                <w:p>
                  <w:pPr>
                    <w:pStyle w:val="36"/>
                    <w:overflowPunct/>
                    <w:autoSpaceDE/>
                    <w:autoSpaceDN/>
                    <w:adjustRightInd/>
                    <w:spacing w:line="240" w:lineRule="auto"/>
                    <w:textAlignment w:val="auto"/>
                    <w:rPr>
                      <w:rFonts w:ascii="Times New Roman"/>
                      <w:color w:val="000000" w:themeColor="text1"/>
                      <w:sz w:val="21"/>
                      <w:szCs w:val="21"/>
                      <w14:textFill>
                        <w14:solidFill>
                          <w14:schemeClr w14:val="tx1"/>
                        </w14:solidFill>
                      </w14:textFill>
                    </w:rPr>
                  </w:pPr>
                </w:p>
              </w:tc>
            </w:tr>
          </w:tbl>
          <w:p>
            <w:pPr>
              <w:spacing w:line="360" w:lineRule="auto"/>
              <w:ind w:firstLine="480" w:firstLineChars="200"/>
              <w:rPr>
                <w:rFonts w:ascii="Times New Roman" w:hAnsi="Times New Roman"/>
                <w:color w:val="000000" w:themeColor="text1"/>
                <w:kern w:val="24"/>
                <w:sz w:val="24"/>
                <w14:textFill>
                  <w14:solidFill>
                    <w14:schemeClr w14:val="tx1"/>
                  </w14:solidFill>
                </w14:textFill>
              </w:rPr>
            </w:pPr>
            <w:r>
              <w:rPr>
                <w:rFonts w:ascii="Times New Roman" w:hAnsi="Times New Roman"/>
                <w:color w:val="000000" w:themeColor="text1"/>
                <w:kern w:val="24"/>
                <w:sz w:val="24"/>
                <w14:textFill>
                  <w14:solidFill>
                    <w14:schemeClr w14:val="tx1"/>
                  </w14:solidFill>
                </w14:textFill>
              </w:rPr>
              <w:t>评价方法：</w:t>
            </w:r>
          </w:p>
          <w:p>
            <w:pPr>
              <w:widowControl/>
              <w:spacing w:line="360" w:lineRule="auto"/>
              <w:ind w:firstLine="480" w:firstLineChars="200"/>
              <w:rPr>
                <w:rFonts w:ascii="Times New Roman" w:hAnsi="Times New Roman"/>
                <w:color w:val="000000" w:themeColor="text1"/>
                <w:kern w:val="24"/>
                <w:sz w:val="24"/>
                <w14:textFill>
                  <w14:solidFill>
                    <w14:schemeClr w14:val="tx1"/>
                  </w14:solidFill>
                </w14:textFill>
              </w:rPr>
            </w:pPr>
            <w:r>
              <w:rPr>
                <w:rFonts w:ascii="Times New Roman" w:hAnsi="Times New Roman"/>
                <w:color w:val="000000" w:themeColor="text1"/>
                <w:kern w:val="24"/>
                <w:sz w:val="24"/>
                <w14:textFill>
                  <w14:solidFill>
                    <w14:schemeClr w14:val="tx1"/>
                  </w14:solidFill>
                </w14:textFill>
              </w:rPr>
              <w:t>评价方法采用单项污染指数法。采用单因子指数法进行评价。</w:t>
            </w:r>
          </w:p>
          <w:p>
            <w:pPr>
              <w:spacing w:line="360" w:lineRule="auto"/>
              <w:ind w:firstLine="480" w:firstLineChars="200"/>
              <w:rPr>
                <w:rFonts w:ascii="Times New Roman" w:hAnsi="Times New Roman"/>
                <w:color w:val="000000" w:themeColor="text1"/>
                <w:kern w:val="24"/>
                <w:sz w:val="24"/>
                <w14:textFill>
                  <w14:solidFill>
                    <w14:schemeClr w14:val="tx1"/>
                  </w14:solidFill>
                </w14:textFill>
              </w:rPr>
            </w:pPr>
            <w:r>
              <w:rPr>
                <w:rFonts w:ascii="Times New Roman" w:hAnsi="Times New Roman"/>
                <w:color w:val="000000" w:themeColor="text1"/>
                <w:kern w:val="24"/>
                <w:sz w:val="24"/>
                <w14:textFill>
                  <w14:solidFill>
                    <w14:schemeClr w14:val="tx1"/>
                  </w14:solidFill>
                </w14:textFill>
              </w:rPr>
              <w:t>现状监测结果如下</w:t>
            </w:r>
            <w:r>
              <w:rPr>
                <w:rFonts w:hint="eastAsia" w:ascii="Times New Roman" w:hAnsi="Times New Roman"/>
                <w:color w:val="000000" w:themeColor="text1"/>
                <w:kern w:val="24"/>
                <w:sz w:val="24"/>
                <w14:textFill>
                  <w14:solidFill>
                    <w14:schemeClr w14:val="tx1"/>
                  </w14:solidFill>
                </w14:textFill>
              </w:rPr>
              <w:t>表</w:t>
            </w:r>
            <w:r>
              <w:rPr>
                <w:rFonts w:ascii="Times New Roman" w:hAnsi="Times New Roman"/>
                <w:color w:val="000000" w:themeColor="text1"/>
                <w:kern w:val="24"/>
                <w:sz w:val="24"/>
                <w14:textFill>
                  <w14:solidFill>
                    <w14:schemeClr w14:val="tx1"/>
                  </w14:solidFill>
                </w14:textFill>
              </w:rPr>
              <w:t>2</w:t>
            </w:r>
            <w:r>
              <w:rPr>
                <w:rFonts w:hint="eastAsia" w:ascii="Times New Roman" w:hAnsi="Times New Roman"/>
                <w:color w:val="000000" w:themeColor="text1"/>
                <w:kern w:val="24"/>
                <w:sz w:val="24"/>
                <w14:textFill>
                  <w14:solidFill>
                    <w14:schemeClr w14:val="tx1"/>
                  </w14:solidFill>
                </w14:textFill>
              </w:rPr>
              <w:t>-</w:t>
            </w:r>
            <w:r>
              <w:rPr>
                <w:rFonts w:ascii="Times New Roman" w:hAnsi="Times New Roman"/>
                <w:color w:val="000000" w:themeColor="text1"/>
                <w:kern w:val="24"/>
                <w:sz w:val="24"/>
                <w14:textFill>
                  <w14:solidFill>
                    <w14:schemeClr w14:val="tx1"/>
                  </w14:solidFill>
                </w14:textFill>
              </w:rPr>
              <w:t>6</w:t>
            </w:r>
            <w:r>
              <w:rPr>
                <w:rFonts w:hint="eastAsia" w:ascii="Times New Roman" w:hAnsi="Times New Roman"/>
                <w:color w:val="000000" w:themeColor="text1"/>
                <w:kern w:val="24"/>
                <w:sz w:val="24"/>
                <w14:textFill>
                  <w14:solidFill>
                    <w14:schemeClr w14:val="tx1"/>
                  </w14:solidFill>
                </w14:textFill>
              </w:rPr>
              <w:t>。</w:t>
            </w:r>
          </w:p>
          <w:p>
            <w:pPr>
              <w:overflowPunct w:val="0"/>
              <w:spacing w:line="360" w:lineRule="auto"/>
              <w:jc w:val="center"/>
              <w:rPr>
                <w:rFonts w:ascii="Times New Roman" w:hAnsi="Times New Roman"/>
                <w:b/>
                <w:sz w:val="24"/>
              </w:rPr>
            </w:pPr>
            <w:r>
              <w:rPr>
                <w:rFonts w:hint="eastAsia" w:ascii="Times New Roman" w:hAnsi="宋体"/>
                <w:b/>
                <w:sz w:val="24"/>
              </w:rPr>
              <w:t>表</w:t>
            </w:r>
            <w:r>
              <w:rPr>
                <w:rFonts w:ascii="Times New Roman" w:hAnsi="宋体"/>
                <w:b/>
                <w:sz w:val="24"/>
              </w:rPr>
              <w:t xml:space="preserve">2-6  </w:t>
            </w:r>
            <w:r>
              <w:rPr>
                <w:rFonts w:ascii="Times New Roman" w:hAnsi="Times New Roman"/>
                <w:b/>
                <w:color w:val="000000" w:themeColor="text1"/>
                <w:sz w:val="24"/>
                <w:szCs w:val="24"/>
                <w14:textFill>
                  <w14:solidFill>
                    <w14:schemeClr w14:val="tx1"/>
                  </w14:solidFill>
                </w14:textFill>
              </w:rPr>
              <w:t>地表水监测数据与评价结果</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92"/>
              <w:gridCol w:w="1291"/>
              <w:gridCol w:w="1291"/>
              <w:gridCol w:w="1291"/>
              <w:gridCol w:w="1291"/>
              <w:gridCol w:w="1291"/>
              <w:gridCol w:w="12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jc w:val="center"/>
                    <w:rPr>
                      <w:rFonts w:ascii="Times New Roman" w:hAnsi="Times New Roman"/>
                      <w:b/>
                      <w:szCs w:val="21"/>
                    </w:rPr>
                  </w:pPr>
                  <w:r>
                    <w:rPr>
                      <w:rFonts w:hint="eastAsia" w:ascii="Times New Roman" w:hAnsi="Times New Roman"/>
                      <w:b/>
                      <w:szCs w:val="21"/>
                    </w:rPr>
                    <w:t>检测点位</w:t>
                  </w:r>
                </w:p>
              </w:tc>
              <w:tc>
                <w:tcPr>
                  <w:tcW w:w="1259" w:type="dxa"/>
                  <w:vMerge w:val="restart"/>
                  <w:vAlign w:val="center"/>
                </w:tcPr>
                <w:p>
                  <w:pPr>
                    <w:jc w:val="center"/>
                    <w:rPr>
                      <w:rFonts w:ascii="Times New Roman" w:hAnsi="Times New Roman"/>
                      <w:b/>
                      <w:szCs w:val="21"/>
                    </w:rPr>
                  </w:pPr>
                  <w:r>
                    <w:rPr>
                      <w:rFonts w:hint="eastAsia" w:ascii="Times New Roman" w:hAnsi="Times New Roman"/>
                      <w:b/>
                      <w:szCs w:val="21"/>
                    </w:rPr>
                    <w:t>项目</w:t>
                  </w:r>
                </w:p>
              </w:tc>
              <w:tc>
                <w:tcPr>
                  <w:tcW w:w="3777" w:type="dxa"/>
                  <w:gridSpan w:val="3"/>
                  <w:vAlign w:val="center"/>
                </w:tcPr>
                <w:p>
                  <w:pPr>
                    <w:jc w:val="center"/>
                    <w:rPr>
                      <w:rFonts w:ascii="Times New Roman" w:hAnsi="Times New Roman"/>
                      <w:b/>
                      <w:szCs w:val="21"/>
                    </w:rPr>
                  </w:pPr>
                  <w:r>
                    <w:rPr>
                      <w:rFonts w:hint="eastAsia" w:ascii="Times New Roman" w:hAnsi="Times New Roman"/>
                      <w:b/>
                      <w:szCs w:val="21"/>
                    </w:rPr>
                    <w:t>检测结果</w:t>
                  </w:r>
                </w:p>
              </w:tc>
              <w:tc>
                <w:tcPr>
                  <w:tcW w:w="1259" w:type="dxa"/>
                  <w:vMerge w:val="restart"/>
                  <w:vAlign w:val="center"/>
                </w:tcPr>
                <w:p>
                  <w:pPr>
                    <w:jc w:val="center"/>
                    <w:rPr>
                      <w:rFonts w:ascii="Times New Roman" w:hAnsi="Times New Roman"/>
                      <w:b/>
                      <w:szCs w:val="21"/>
                    </w:rPr>
                  </w:pPr>
                  <w:r>
                    <w:rPr>
                      <w:rFonts w:hint="eastAsia" w:ascii="Times New Roman" w:hAnsi="Times New Roman"/>
                      <w:b/>
                      <w:szCs w:val="21"/>
                    </w:rPr>
                    <w:t>参考限值</w:t>
                  </w:r>
                </w:p>
              </w:tc>
              <w:tc>
                <w:tcPr>
                  <w:tcW w:w="1259" w:type="dxa"/>
                  <w:vMerge w:val="restart"/>
                  <w:vAlign w:val="center"/>
                </w:tcPr>
                <w:p>
                  <w:pPr>
                    <w:jc w:val="center"/>
                    <w:rPr>
                      <w:rFonts w:ascii="Times New Roman" w:hAnsi="Times New Roman"/>
                      <w:b/>
                      <w:szCs w:val="21"/>
                    </w:rPr>
                  </w:pPr>
                  <w:r>
                    <w:rPr>
                      <w:rFonts w:hint="eastAsia" w:ascii="Times New Roman" w:hAnsi="Times New Roman"/>
                      <w:b/>
                      <w:szCs w:val="21"/>
                    </w:rPr>
                    <w:t>是否达标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
                      <w:szCs w:val="21"/>
                    </w:rPr>
                  </w:pPr>
                  <w:r>
                    <w:rPr>
                      <w:rFonts w:hint="eastAsia" w:ascii="Times New Roman" w:hAnsi="Times New Roman"/>
                      <w:b/>
                      <w:szCs w:val="21"/>
                    </w:rPr>
                    <w:t>2</w:t>
                  </w:r>
                  <w:r>
                    <w:rPr>
                      <w:rFonts w:ascii="Times New Roman" w:hAnsi="Times New Roman"/>
                      <w:b/>
                      <w:szCs w:val="21"/>
                    </w:rPr>
                    <w:t>020.07.14</w:t>
                  </w:r>
                </w:p>
              </w:tc>
              <w:tc>
                <w:tcPr>
                  <w:tcW w:w="1259" w:type="dxa"/>
                  <w:vAlign w:val="center"/>
                </w:tcPr>
                <w:p>
                  <w:pPr>
                    <w:jc w:val="center"/>
                    <w:rPr>
                      <w:rFonts w:ascii="Times New Roman" w:hAnsi="Times New Roman"/>
                      <w:b/>
                      <w:szCs w:val="21"/>
                    </w:rPr>
                  </w:pPr>
                  <w:r>
                    <w:rPr>
                      <w:rFonts w:hint="eastAsia" w:ascii="Times New Roman" w:hAnsi="Times New Roman"/>
                      <w:b/>
                      <w:szCs w:val="21"/>
                    </w:rPr>
                    <w:t>2</w:t>
                  </w:r>
                  <w:r>
                    <w:rPr>
                      <w:rFonts w:ascii="Times New Roman" w:hAnsi="Times New Roman"/>
                      <w:b/>
                      <w:szCs w:val="21"/>
                    </w:rPr>
                    <w:t>020.07.15</w:t>
                  </w:r>
                </w:p>
              </w:tc>
              <w:tc>
                <w:tcPr>
                  <w:tcW w:w="1259" w:type="dxa"/>
                  <w:vAlign w:val="center"/>
                </w:tcPr>
                <w:p>
                  <w:pPr>
                    <w:jc w:val="center"/>
                    <w:rPr>
                      <w:rFonts w:ascii="Times New Roman" w:hAnsi="Times New Roman"/>
                      <w:b/>
                      <w:szCs w:val="21"/>
                    </w:rPr>
                  </w:pPr>
                  <w:r>
                    <w:rPr>
                      <w:rFonts w:hint="eastAsia" w:ascii="Times New Roman" w:hAnsi="Times New Roman"/>
                      <w:b/>
                      <w:szCs w:val="21"/>
                    </w:rPr>
                    <w:t>2</w:t>
                  </w:r>
                  <w:r>
                    <w:rPr>
                      <w:rFonts w:ascii="Times New Roman" w:hAnsi="Times New Roman"/>
                      <w:b/>
                      <w:szCs w:val="21"/>
                    </w:rPr>
                    <w:t>020.07.16</w:t>
                  </w:r>
                </w:p>
              </w:tc>
              <w:tc>
                <w:tcPr>
                  <w:tcW w:w="1259" w:type="dxa"/>
                  <w:vMerge w:val="continue"/>
                  <w:vAlign w:val="center"/>
                </w:tcPr>
                <w:p>
                  <w:pPr>
                    <w:jc w:val="center"/>
                    <w:rPr>
                      <w:rFonts w:ascii="Times New Roman" w:hAnsi="Times New Roman"/>
                      <w:bCs/>
                      <w:szCs w:val="21"/>
                    </w:rPr>
                  </w:pPr>
                </w:p>
              </w:tc>
              <w:tc>
                <w:tcPr>
                  <w:tcW w:w="1259" w:type="dxa"/>
                  <w:vMerge w:val="continue"/>
                  <w:vAlign w:val="center"/>
                </w:tcPr>
                <w:p>
                  <w:pPr>
                    <w:jc w:val="center"/>
                    <w:rPr>
                      <w:rFonts w:ascii="Times New Roman" w:hAnsi="Times New Roman"/>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jc w:val="center"/>
                    <w:rPr>
                      <w:rFonts w:ascii="Times New Roman" w:hAnsi="Times New Roman"/>
                      <w:bCs/>
                      <w:szCs w:val="21"/>
                    </w:rPr>
                  </w:pPr>
                  <w:r>
                    <w:rPr>
                      <w:rFonts w:hint="eastAsia" w:ascii="Times New Roman" w:hAnsi="Times New Roman"/>
                      <w:bCs/>
                      <w:szCs w:val="21"/>
                    </w:rPr>
                    <w:t>项目北面志溪河断面上游5</w:t>
                  </w:r>
                  <w:r>
                    <w:rPr>
                      <w:rFonts w:ascii="Times New Roman" w:hAnsi="Times New Roman"/>
                      <w:bCs/>
                      <w:szCs w:val="21"/>
                    </w:rPr>
                    <w:t>00</w:t>
                  </w:r>
                  <w:r>
                    <w:rPr>
                      <w:rFonts w:hint="eastAsia" w:ascii="Times New Roman" w:hAnsi="Times New Roman"/>
                      <w:bCs/>
                      <w:szCs w:val="21"/>
                    </w:rPr>
                    <w:t>米</w:t>
                  </w:r>
                </w:p>
              </w:tc>
              <w:tc>
                <w:tcPr>
                  <w:tcW w:w="1259" w:type="dxa"/>
                  <w:vAlign w:val="center"/>
                </w:tcPr>
                <w:p>
                  <w:pPr>
                    <w:jc w:val="center"/>
                    <w:rPr>
                      <w:rFonts w:ascii="Times New Roman" w:hAnsi="Times New Roman"/>
                      <w:bCs/>
                      <w:szCs w:val="21"/>
                    </w:rPr>
                  </w:pPr>
                  <w:r>
                    <w:rPr>
                      <w:rFonts w:hint="eastAsia" w:ascii="Times New Roman" w:hAnsi="Times New Roman"/>
                      <w:bCs/>
                      <w:szCs w:val="21"/>
                    </w:rPr>
                    <w:t>水温</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5.2</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5.0</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5.4</w:t>
                  </w:r>
                </w:p>
              </w:tc>
              <w:tc>
                <w:tcPr>
                  <w:tcW w:w="1259" w:type="dxa"/>
                  <w:vAlign w:val="center"/>
                </w:tcPr>
                <w:p>
                  <w:pPr>
                    <w:jc w:val="center"/>
                    <w:rPr>
                      <w:rFonts w:ascii="Times New Roman" w:hAnsi="Times New Roman"/>
                      <w:bCs/>
                      <w:szCs w:val="21"/>
                    </w:rPr>
                  </w:pPr>
                  <w:r>
                    <w:rPr>
                      <w:rFonts w:hint="eastAsia" w:ascii="Times New Roman" w:hAnsi="Times New Roman"/>
                      <w:bCs/>
                      <w:szCs w:val="21"/>
                    </w:rPr>
                    <w:t>/</w:t>
                  </w:r>
                </w:p>
              </w:tc>
              <w:tc>
                <w:tcPr>
                  <w:tcW w:w="1259" w:type="dxa"/>
                  <w:vAlign w:val="center"/>
                </w:tcPr>
                <w:p>
                  <w:pPr>
                    <w:jc w:val="center"/>
                    <w:rPr>
                      <w:rFonts w:ascii="Times New Roman" w:hAnsi="Times New Roman"/>
                      <w:bCs/>
                      <w:szCs w:val="21"/>
                    </w:rPr>
                  </w:pPr>
                  <w:r>
                    <w:rPr>
                      <w:rFonts w:hint="eastAsia" w:ascii="Times New Roman" w:hAnsi="Times New Roman"/>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pH值</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.25</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.27</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.25</w:t>
                  </w:r>
                </w:p>
              </w:tc>
              <w:tc>
                <w:tcPr>
                  <w:tcW w:w="1259" w:type="dxa"/>
                  <w:vAlign w:val="center"/>
                </w:tcPr>
                <w:p>
                  <w:pPr>
                    <w:jc w:val="center"/>
                    <w:rPr>
                      <w:rFonts w:ascii="Times New Roman" w:hAnsi="Times New Roman"/>
                      <w:bCs/>
                      <w:szCs w:val="21"/>
                    </w:rPr>
                  </w:pPr>
                  <w:r>
                    <w:rPr>
                      <w:rFonts w:hint="eastAsia" w:ascii="Times New Roman" w:hAnsi="Times New Roman"/>
                      <w:bCs/>
                      <w:szCs w:val="21"/>
                    </w:rPr>
                    <w:t>6~</w:t>
                  </w:r>
                  <w:r>
                    <w:rPr>
                      <w:rFonts w:ascii="Times New Roman" w:hAnsi="Times New Roman"/>
                      <w:bCs/>
                      <w:szCs w:val="21"/>
                    </w:rPr>
                    <w:t>9</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COD</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7</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8</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7</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NH</w:t>
                  </w:r>
                  <w:r>
                    <w:rPr>
                      <w:rFonts w:ascii="Times New Roman" w:hAnsi="Times New Roman"/>
                      <w:bCs/>
                      <w:szCs w:val="21"/>
                      <w:vertAlign w:val="subscript"/>
                    </w:rPr>
                    <w:t>3</w:t>
                  </w:r>
                  <w:r>
                    <w:rPr>
                      <w:rFonts w:hint="eastAsia" w:ascii="Times New Roman" w:hAnsi="Times New Roman"/>
                      <w:bCs/>
                      <w:szCs w:val="21"/>
                    </w:rPr>
                    <w:t>-N</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.824</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.813</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.836</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BOD</w:t>
                  </w:r>
                  <w:r>
                    <w:rPr>
                      <w:rFonts w:ascii="Times New Roman" w:hAnsi="Times New Roman"/>
                      <w:bCs/>
                      <w:szCs w:val="21"/>
                      <w:vertAlign w:val="subscript"/>
                    </w:rPr>
                    <w:t>5</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.6</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.7</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.5</w:t>
                  </w:r>
                </w:p>
              </w:tc>
              <w:tc>
                <w:tcPr>
                  <w:tcW w:w="1259" w:type="dxa"/>
                  <w:vAlign w:val="center"/>
                </w:tcPr>
                <w:p>
                  <w:pPr>
                    <w:jc w:val="center"/>
                    <w:rPr>
                      <w:rFonts w:ascii="Times New Roman" w:hAnsi="Times New Roman"/>
                      <w:bCs/>
                      <w:szCs w:val="21"/>
                    </w:rPr>
                  </w:pPr>
                  <w:r>
                    <w:rPr>
                      <w:rFonts w:hint="eastAsia" w:ascii="Times New Roman" w:hAnsi="Times New Roman"/>
                      <w:bCs/>
                      <w:szCs w:val="21"/>
                    </w:rPr>
                    <w:t>4</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氟化物</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.11</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.09</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.10</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石油类</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.05</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restart"/>
                  <w:vAlign w:val="center"/>
                </w:tcPr>
                <w:p>
                  <w:pPr>
                    <w:jc w:val="center"/>
                    <w:rPr>
                      <w:rFonts w:ascii="Times New Roman" w:hAnsi="Times New Roman"/>
                      <w:bCs/>
                      <w:szCs w:val="21"/>
                    </w:rPr>
                  </w:pPr>
                  <w:r>
                    <w:rPr>
                      <w:rFonts w:hint="eastAsia" w:ascii="Times New Roman" w:hAnsi="Times New Roman"/>
                      <w:bCs/>
                      <w:szCs w:val="21"/>
                    </w:rPr>
                    <w:t>项目北面志溪河断面下游</w:t>
                  </w:r>
                  <w:r>
                    <w:rPr>
                      <w:rFonts w:ascii="Times New Roman" w:hAnsi="Times New Roman"/>
                      <w:bCs/>
                      <w:szCs w:val="21"/>
                    </w:rPr>
                    <w:t>1000</w:t>
                  </w:r>
                  <w:r>
                    <w:rPr>
                      <w:rFonts w:hint="eastAsia" w:ascii="Times New Roman" w:hAnsi="Times New Roman"/>
                      <w:bCs/>
                      <w:szCs w:val="21"/>
                    </w:rPr>
                    <w:t>米</w:t>
                  </w:r>
                </w:p>
              </w:tc>
              <w:tc>
                <w:tcPr>
                  <w:tcW w:w="1259" w:type="dxa"/>
                  <w:vAlign w:val="center"/>
                </w:tcPr>
                <w:p>
                  <w:pPr>
                    <w:jc w:val="center"/>
                    <w:rPr>
                      <w:rFonts w:ascii="Times New Roman" w:hAnsi="Times New Roman"/>
                      <w:bCs/>
                      <w:szCs w:val="21"/>
                    </w:rPr>
                  </w:pPr>
                  <w:r>
                    <w:rPr>
                      <w:rFonts w:hint="eastAsia" w:ascii="Times New Roman" w:hAnsi="Times New Roman"/>
                      <w:bCs/>
                      <w:szCs w:val="21"/>
                    </w:rPr>
                    <w:t>水温</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5.3</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5.1</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5.6</w:t>
                  </w:r>
                </w:p>
              </w:tc>
              <w:tc>
                <w:tcPr>
                  <w:tcW w:w="1259" w:type="dxa"/>
                  <w:vAlign w:val="center"/>
                </w:tcPr>
                <w:p>
                  <w:pPr>
                    <w:jc w:val="center"/>
                    <w:rPr>
                      <w:rFonts w:ascii="Times New Roman" w:hAnsi="Times New Roman"/>
                      <w:bCs/>
                      <w:szCs w:val="21"/>
                    </w:rPr>
                  </w:pPr>
                  <w:r>
                    <w:rPr>
                      <w:rFonts w:hint="eastAsia" w:ascii="Times New Roman" w:hAnsi="Times New Roman"/>
                      <w:bCs/>
                      <w:szCs w:val="21"/>
                    </w:rPr>
                    <w:t>/</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pH值</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.23</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.24</w:t>
                  </w:r>
                </w:p>
              </w:tc>
              <w:tc>
                <w:tcPr>
                  <w:tcW w:w="1259" w:type="dxa"/>
                  <w:vAlign w:val="center"/>
                </w:tcPr>
                <w:p>
                  <w:pPr>
                    <w:jc w:val="center"/>
                    <w:rPr>
                      <w:rFonts w:ascii="Times New Roman" w:hAnsi="Times New Roman"/>
                      <w:bCs/>
                      <w:szCs w:val="21"/>
                    </w:rPr>
                  </w:pPr>
                  <w:r>
                    <w:rPr>
                      <w:rFonts w:hint="eastAsia" w:ascii="Times New Roman" w:hAnsi="Times New Roman"/>
                      <w:bCs/>
                      <w:szCs w:val="21"/>
                    </w:rPr>
                    <w:t>7</w:t>
                  </w:r>
                  <w:r>
                    <w:rPr>
                      <w:rFonts w:ascii="Times New Roman" w:hAnsi="Times New Roman"/>
                      <w:bCs/>
                      <w:szCs w:val="21"/>
                    </w:rPr>
                    <w:t>.24</w:t>
                  </w:r>
                </w:p>
              </w:tc>
              <w:tc>
                <w:tcPr>
                  <w:tcW w:w="1259" w:type="dxa"/>
                  <w:vAlign w:val="center"/>
                </w:tcPr>
                <w:p>
                  <w:pPr>
                    <w:jc w:val="center"/>
                    <w:rPr>
                      <w:rFonts w:ascii="Times New Roman" w:hAnsi="Times New Roman"/>
                      <w:bCs/>
                      <w:szCs w:val="21"/>
                    </w:rPr>
                  </w:pPr>
                  <w:r>
                    <w:rPr>
                      <w:rFonts w:hint="eastAsia" w:ascii="Times New Roman" w:hAnsi="Times New Roman"/>
                      <w:bCs/>
                      <w:szCs w:val="21"/>
                    </w:rPr>
                    <w:t>6~</w:t>
                  </w:r>
                  <w:r>
                    <w:rPr>
                      <w:rFonts w:ascii="Times New Roman" w:hAnsi="Times New Roman"/>
                      <w:bCs/>
                      <w:szCs w:val="21"/>
                    </w:rPr>
                    <w:t>9</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COD</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2</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1</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2</w:t>
                  </w:r>
                </w:p>
              </w:tc>
              <w:tc>
                <w:tcPr>
                  <w:tcW w:w="1259" w:type="dxa"/>
                  <w:vAlign w:val="center"/>
                </w:tcPr>
                <w:p>
                  <w:pPr>
                    <w:jc w:val="center"/>
                    <w:rPr>
                      <w:rFonts w:ascii="Times New Roman" w:hAnsi="Times New Roman"/>
                      <w:bCs/>
                      <w:szCs w:val="21"/>
                    </w:rPr>
                  </w:pPr>
                  <w:r>
                    <w:rPr>
                      <w:rFonts w:hint="eastAsia" w:ascii="Times New Roman" w:hAnsi="Times New Roman"/>
                      <w:bCs/>
                      <w:szCs w:val="21"/>
                    </w:rPr>
                    <w:t>2</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NH</w:t>
                  </w:r>
                  <w:r>
                    <w:rPr>
                      <w:rFonts w:ascii="Times New Roman" w:hAnsi="Times New Roman"/>
                      <w:bCs/>
                      <w:szCs w:val="21"/>
                      <w:vertAlign w:val="subscript"/>
                    </w:rPr>
                    <w:t>3</w:t>
                  </w:r>
                  <w:r>
                    <w:rPr>
                      <w:rFonts w:hint="eastAsia" w:ascii="Times New Roman" w:hAnsi="Times New Roman"/>
                      <w:bCs/>
                      <w:szCs w:val="21"/>
                    </w:rPr>
                    <w:t>-N</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.411</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.415</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.407</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BOD</w:t>
                  </w:r>
                  <w:r>
                    <w:rPr>
                      <w:rFonts w:ascii="Times New Roman" w:hAnsi="Times New Roman"/>
                      <w:bCs/>
                      <w:szCs w:val="21"/>
                      <w:vertAlign w:val="subscript"/>
                    </w:rPr>
                    <w:t>5</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.4</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.5</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.4</w:t>
                  </w:r>
                </w:p>
              </w:tc>
              <w:tc>
                <w:tcPr>
                  <w:tcW w:w="1259" w:type="dxa"/>
                  <w:vAlign w:val="center"/>
                </w:tcPr>
                <w:p>
                  <w:pPr>
                    <w:jc w:val="center"/>
                    <w:rPr>
                      <w:rFonts w:ascii="Times New Roman" w:hAnsi="Times New Roman"/>
                      <w:bCs/>
                      <w:szCs w:val="21"/>
                    </w:rPr>
                  </w:pPr>
                  <w:r>
                    <w:rPr>
                      <w:rFonts w:hint="eastAsia" w:ascii="Times New Roman" w:hAnsi="Times New Roman"/>
                      <w:bCs/>
                      <w:szCs w:val="21"/>
                    </w:rPr>
                    <w:t>4</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氟化物</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.12</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.14</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.11</w:t>
                  </w:r>
                </w:p>
              </w:tc>
              <w:tc>
                <w:tcPr>
                  <w:tcW w:w="1259" w:type="dxa"/>
                  <w:vAlign w:val="center"/>
                </w:tcPr>
                <w:p>
                  <w:pPr>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.0</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60" w:type="dxa"/>
                  <w:vMerge w:val="continue"/>
                  <w:vAlign w:val="center"/>
                </w:tcPr>
                <w:p>
                  <w:pPr>
                    <w:jc w:val="center"/>
                    <w:rPr>
                      <w:rFonts w:ascii="Times New Roman" w:hAnsi="Times New Roman"/>
                      <w:bCs/>
                      <w:szCs w:val="21"/>
                    </w:rPr>
                  </w:pPr>
                </w:p>
              </w:tc>
              <w:tc>
                <w:tcPr>
                  <w:tcW w:w="1259" w:type="dxa"/>
                  <w:vAlign w:val="center"/>
                </w:tcPr>
                <w:p>
                  <w:pPr>
                    <w:jc w:val="center"/>
                    <w:rPr>
                      <w:rFonts w:ascii="Times New Roman" w:hAnsi="Times New Roman"/>
                      <w:bCs/>
                      <w:szCs w:val="21"/>
                    </w:rPr>
                  </w:pPr>
                  <w:r>
                    <w:rPr>
                      <w:rFonts w:hint="eastAsia" w:ascii="Times New Roman" w:hAnsi="Times New Roman"/>
                      <w:bCs/>
                      <w:szCs w:val="21"/>
                    </w:rPr>
                    <w:t>石油类</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.01</w:t>
                  </w:r>
                  <w:r>
                    <w:rPr>
                      <w:rFonts w:hint="eastAsia" w:ascii="Times New Roman" w:hAnsi="Times New Roman"/>
                      <w:bCs/>
                      <w:szCs w:val="21"/>
                    </w:rPr>
                    <w:t>L</w:t>
                  </w:r>
                </w:p>
              </w:tc>
              <w:tc>
                <w:tcPr>
                  <w:tcW w:w="1259" w:type="dxa"/>
                  <w:vAlign w:val="center"/>
                </w:tcPr>
                <w:p>
                  <w:pPr>
                    <w:jc w:val="center"/>
                    <w:rPr>
                      <w:rFonts w:ascii="Times New Roman" w:hAnsi="Times New Roman"/>
                      <w:bCs/>
                      <w:szCs w:val="21"/>
                    </w:rPr>
                  </w:pPr>
                  <w:r>
                    <w:rPr>
                      <w:rFonts w:hint="eastAsia" w:ascii="Times New Roman" w:hAnsi="Times New Roman"/>
                      <w:bCs/>
                      <w:szCs w:val="21"/>
                    </w:rPr>
                    <w:t>0</w:t>
                  </w:r>
                  <w:r>
                    <w:rPr>
                      <w:rFonts w:ascii="Times New Roman" w:hAnsi="Times New Roman"/>
                      <w:bCs/>
                      <w:szCs w:val="21"/>
                    </w:rPr>
                    <w:t>.05</w:t>
                  </w:r>
                </w:p>
              </w:tc>
              <w:tc>
                <w:tcPr>
                  <w:tcW w:w="1259" w:type="dxa"/>
                  <w:vAlign w:val="center"/>
                </w:tcPr>
                <w:p>
                  <w:pPr>
                    <w:jc w:val="center"/>
                    <w:rPr>
                      <w:rFonts w:ascii="Times New Roman" w:hAnsi="Times New Roman"/>
                      <w:bCs/>
                      <w:szCs w:val="21"/>
                    </w:rPr>
                  </w:pPr>
                  <w:r>
                    <w:rPr>
                      <w:rFonts w:hint="eastAsia" w:ascii="Times New Roman" w:hAnsi="Times New Roman"/>
                      <w:bCs/>
                      <w:szCs w:val="21"/>
                    </w:rPr>
                    <w:t>达标</w:t>
                  </w:r>
                </w:p>
              </w:tc>
            </w:tr>
          </w:tbl>
          <w:p>
            <w:pPr>
              <w:spacing w:line="360" w:lineRule="auto"/>
              <w:ind w:firstLine="480" w:firstLineChars="200"/>
              <w:rPr>
                <w:rFonts w:ascii="Times New Roman" w:hAnsi="Times New Roman"/>
                <w:bCs/>
                <w:sz w:val="24"/>
              </w:rPr>
            </w:pPr>
            <w:r>
              <w:rPr>
                <w:rFonts w:hint="eastAsia" w:ascii="Times New Roman" w:hAnsi="Times New Roman"/>
                <w:bCs/>
                <w:sz w:val="24"/>
              </w:rPr>
              <w:t>监测结果表明：监测期间，各监测断面所监测的因子均符合《地表水环境质量标准》（GB3838-2002）中的</w:t>
            </w:r>
            <w:r>
              <w:rPr>
                <w:rFonts w:ascii="Times New Roman" w:hAnsi="Times New Roman"/>
                <w:bCs/>
                <w:sz w:val="24"/>
              </w:rPr>
              <w:t>Ⅲ类</w:t>
            </w:r>
            <w:r>
              <w:rPr>
                <w:rFonts w:hint="eastAsia" w:ascii="Times New Roman" w:hAnsi="Times New Roman"/>
                <w:bCs/>
                <w:sz w:val="24"/>
              </w:rPr>
              <w:t>标准要求。</w:t>
            </w:r>
          </w:p>
          <w:p>
            <w:pPr>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3 声环境质量现状</w:t>
            </w:r>
          </w:p>
          <w:p>
            <w:pPr>
              <w:tabs>
                <w:tab w:val="left" w:pos="645"/>
              </w:tabs>
              <w:spacing w:line="360" w:lineRule="auto"/>
              <w:ind w:firstLine="480" w:firstLineChars="200"/>
              <w:rPr>
                <w:rFonts w:ascii="Times New Roman" w:hAnsi="Times New Roman"/>
                <w:color w:val="000000" w:themeColor="text1"/>
                <w:kern w:val="24"/>
                <w:sz w:val="24"/>
                <w:szCs w:val="24"/>
                <w14:textFill>
                  <w14:solidFill>
                    <w14:schemeClr w14:val="tx1"/>
                  </w14:solidFill>
                </w14:textFill>
              </w:rPr>
            </w:pPr>
            <w:r>
              <w:rPr>
                <w:rFonts w:ascii="Times New Roman" w:hAnsi="Times New Roman"/>
                <w:color w:val="000000" w:themeColor="text1"/>
                <w:kern w:val="24"/>
                <w:sz w:val="24"/>
                <w:szCs w:val="24"/>
                <w14:textFill>
                  <w14:solidFill>
                    <w14:schemeClr w14:val="tx1"/>
                  </w14:solidFill>
                </w14:textFill>
              </w:rPr>
              <w:t>本项目位于</w:t>
            </w:r>
            <w:r>
              <w:rPr>
                <w:rFonts w:ascii="Times New Roman" w:hAnsi="Times New Roman"/>
                <w:color w:val="000000" w:themeColor="text1"/>
                <w:sz w:val="24"/>
                <w14:textFill>
                  <w14:solidFill>
                    <w14:schemeClr w14:val="tx1"/>
                  </w14:solidFill>
                </w14:textFill>
              </w:rPr>
              <w:t>桃江县鸬鹚渡镇百亩村</w:t>
            </w:r>
            <w:r>
              <w:rPr>
                <w:rFonts w:ascii="Times New Roman" w:hAnsi="Times New Roman"/>
                <w:color w:val="000000" w:themeColor="text1"/>
                <w:kern w:val="24"/>
                <w:sz w:val="24"/>
                <w:szCs w:val="24"/>
                <w14:textFill>
                  <w14:solidFill>
                    <w14:schemeClr w14:val="tx1"/>
                  </w14:solidFill>
                </w14:textFill>
              </w:rPr>
              <w:t>，</w:t>
            </w:r>
            <w:r>
              <w:rPr>
                <w:rFonts w:ascii="Times New Roman" w:hAnsi="Times New Roman"/>
                <w:color w:val="000000" w:themeColor="text1"/>
                <w:kern w:val="24"/>
                <w:sz w:val="24"/>
                <w14:textFill>
                  <w14:solidFill>
                    <w14:schemeClr w14:val="tx1"/>
                  </w14:solidFill>
                </w14:textFill>
              </w:rPr>
              <w:t>声环境执行《声环境质</w:t>
            </w:r>
            <w:r>
              <w:rPr>
                <w:rFonts w:ascii="Times New Roman" w:hAnsi="Times New Roman"/>
                <w:color w:val="000000" w:themeColor="text1"/>
                <w:kern w:val="24"/>
                <w:sz w:val="24"/>
                <w:szCs w:val="24"/>
                <w14:textFill>
                  <w14:solidFill>
                    <w14:schemeClr w14:val="tx1"/>
                  </w14:solidFill>
                </w14:textFill>
              </w:rPr>
              <w:t>量标准》（GB3096-2008）中的2类标准。为了解建设项目周围声环境状况，</w:t>
            </w:r>
            <w:r>
              <w:rPr>
                <w:rFonts w:ascii="Times New Roman" w:hAnsi="Times New Roman"/>
                <w:color w:val="000000" w:themeColor="text1"/>
                <w:kern w:val="24"/>
                <w:sz w:val="24"/>
                <w14:textFill>
                  <w14:solidFill>
                    <w14:schemeClr w14:val="tx1"/>
                  </w14:solidFill>
                </w14:textFill>
              </w:rPr>
              <w:t>本评价委托</w:t>
            </w:r>
            <w:r>
              <w:rPr>
                <w:rFonts w:ascii="Times New Roman" w:hAnsi="Times New Roman"/>
                <w:kern w:val="24"/>
                <w:sz w:val="24"/>
              </w:rPr>
              <w:t>湖南</w:t>
            </w:r>
            <w:r>
              <w:rPr>
                <w:rFonts w:hint="eastAsia" w:ascii="Times New Roman" w:hAnsi="Times New Roman"/>
                <w:kern w:val="24"/>
                <w:sz w:val="24"/>
              </w:rPr>
              <w:t>守政有限</w:t>
            </w:r>
            <w:r>
              <w:rPr>
                <w:rFonts w:ascii="Times New Roman" w:hAnsi="Times New Roman"/>
                <w:kern w:val="24"/>
                <w:sz w:val="24"/>
              </w:rPr>
              <w:t>公司</w:t>
            </w:r>
            <w:r>
              <w:rPr>
                <w:rFonts w:hint="eastAsia" w:ascii="Times New Roman" w:hAnsi="Times New Roman"/>
                <w:kern w:val="24"/>
                <w:sz w:val="24"/>
              </w:rPr>
              <w:t>于2</w:t>
            </w:r>
            <w:r>
              <w:rPr>
                <w:rFonts w:ascii="Times New Roman" w:hAnsi="Times New Roman"/>
                <w:kern w:val="24"/>
                <w:sz w:val="24"/>
              </w:rPr>
              <w:t>020</w:t>
            </w:r>
            <w:r>
              <w:rPr>
                <w:rFonts w:hint="eastAsia" w:ascii="Times New Roman" w:hAnsi="Times New Roman"/>
                <w:kern w:val="24"/>
                <w:sz w:val="24"/>
              </w:rPr>
              <w:t>年7月1</w:t>
            </w:r>
            <w:r>
              <w:rPr>
                <w:rFonts w:ascii="Times New Roman" w:hAnsi="Times New Roman"/>
                <w:kern w:val="24"/>
                <w:sz w:val="24"/>
              </w:rPr>
              <w:t>5</w:t>
            </w:r>
            <w:r>
              <w:rPr>
                <w:rFonts w:hint="eastAsia" w:ascii="Times New Roman" w:hAnsi="Times New Roman"/>
                <w:kern w:val="24"/>
                <w:sz w:val="24"/>
              </w:rPr>
              <w:t>日~</w:t>
            </w:r>
            <w:r>
              <w:rPr>
                <w:rFonts w:ascii="Times New Roman" w:hAnsi="Times New Roman"/>
                <w:kern w:val="24"/>
                <w:sz w:val="24"/>
              </w:rPr>
              <w:t>7</w:t>
            </w:r>
            <w:r>
              <w:rPr>
                <w:rFonts w:hint="eastAsia" w:ascii="Times New Roman" w:hAnsi="Times New Roman"/>
                <w:kern w:val="24"/>
                <w:sz w:val="24"/>
              </w:rPr>
              <w:t>月1</w:t>
            </w:r>
            <w:r>
              <w:rPr>
                <w:rFonts w:ascii="Times New Roman" w:hAnsi="Times New Roman"/>
                <w:kern w:val="24"/>
                <w:sz w:val="24"/>
              </w:rPr>
              <w:t>6</w:t>
            </w:r>
            <w:r>
              <w:rPr>
                <w:rFonts w:hint="eastAsia" w:ascii="Times New Roman" w:hAnsi="Times New Roman"/>
                <w:kern w:val="24"/>
                <w:sz w:val="24"/>
              </w:rPr>
              <w:t>日</w:t>
            </w:r>
            <w:r>
              <w:rPr>
                <w:rFonts w:ascii="Times New Roman" w:hAnsi="Times New Roman"/>
                <w:color w:val="000000" w:themeColor="text1"/>
                <w:kern w:val="24"/>
                <w:sz w:val="24"/>
                <w:szCs w:val="24"/>
                <w14:textFill>
                  <w14:solidFill>
                    <w14:schemeClr w14:val="tx1"/>
                  </w14:solidFill>
                </w14:textFill>
              </w:rPr>
              <w:t>进行了为期2天的声环境现状监测。</w:t>
            </w:r>
          </w:p>
          <w:p>
            <w:pPr>
              <w:spacing w:line="360" w:lineRule="auto"/>
              <w:ind w:firstLine="480" w:firstLineChars="200"/>
              <w:rPr>
                <w:rFonts w:ascii="Times New Roman" w:hAnsi="Times New Roman"/>
                <w:color w:val="000000" w:themeColor="text1"/>
                <w:kern w:val="24"/>
                <w:sz w:val="24"/>
                <w14:textFill>
                  <w14:solidFill>
                    <w14:schemeClr w14:val="tx1"/>
                  </w14:solidFill>
                </w14:textFill>
              </w:rPr>
            </w:pPr>
            <w:r>
              <w:rPr>
                <w:rFonts w:ascii="Times New Roman" w:hAnsi="Times New Roman"/>
                <w:color w:val="000000" w:themeColor="text1"/>
                <w:kern w:val="24"/>
                <w:sz w:val="24"/>
                <w14:textFill>
                  <w14:solidFill>
                    <w14:schemeClr w14:val="tx1"/>
                  </w14:solidFill>
                </w14:textFill>
              </w:rPr>
              <w:t>监测点位布设：根据本项目周围环境特征，本评价范围内共布设4个噪声监测点，即本项目N1东厂界外1m处，N4北厂界外1m处，N3西厂界外1m处，N2南厂界外1m处，监测点位位置具体见附图4。</w:t>
            </w:r>
          </w:p>
          <w:p>
            <w:pPr>
              <w:spacing w:line="360" w:lineRule="auto"/>
              <w:ind w:firstLine="480" w:firstLineChars="200"/>
              <w:rPr>
                <w:rFonts w:ascii="Times New Roman" w:hAnsi="Times New Roman"/>
                <w:color w:val="000000" w:themeColor="text1"/>
                <w:kern w:val="24"/>
                <w:sz w:val="24"/>
                <w14:textFill>
                  <w14:solidFill>
                    <w14:schemeClr w14:val="tx1"/>
                  </w14:solidFill>
                </w14:textFill>
              </w:rPr>
            </w:pPr>
            <w:r>
              <w:rPr>
                <w:rFonts w:ascii="Times New Roman" w:hAnsi="Times New Roman"/>
                <w:color w:val="000000" w:themeColor="text1"/>
                <w:kern w:val="24"/>
                <w:sz w:val="24"/>
                <w14:textFill>
                  <w14:solidFill>
                    <w14:schemeClr w14:val="tx1"/>
                  </w14:solidFill>
                </w14:textFill>
              </w:rPr>
              <w:t>监测因子：连续等效A声级。</w:t>
            </w:r>
          </w:p>
          <w:p>
            <w:pPr>
              <w:pStyle w:val="62"/>
              <w:overflowPunct w:val="0"/>
              <w:adjustRightInd/>
              <w:ind w:firstLine="480"/>
              <w:jc w:val="both"/>
              <w:rPr>
                <w:rFonts w:ascii="Times New Roman" w:cs="Times New Roman"/>
                <w:snapToGrid/>
                <w:kern w:val="2"/>
              </w:rPr>
            </w:pPr>
            <w:r>
              <w:rPr>
                <w:rFonts w:ascii="Times New Roman" w:cs="Times New Roman"/>
                <w:color w:val="000000" w:themeColor="text1"/>
                <w14:textFill>
                  <w14:solidFill>
                    <w14:schemeClr w14:val="tx1"/>
                  </w14:solidFill>
                </w14:textFill>
              </w:rPr>
              <w:t>监测时间与濒次：本评价委托</w:t>
            </w:r>
            <w:r>
              <w:rPr>
                <w:rFonts w:ascii="Times New Roman"/>
              </w:rPr>
              <w:t>湖南</w:t>
            </w:r>
            <w:r>
              <w:rPr>
                <w:rFonts w:hint="eastAsia" w:ascii="Times New Roman"/>
              </w:rPr>
              <w:t>守政有限</w:t>
            </w:r>
            <w:r>
              <w:rPr>
                <w:rFonts w:ascii="Times New Roman"/>
              </w:rPr>
              <w:t>公司</w:t>
            </w:r>
            <w:r>
              <w:rPr>
                <w:rFonts w:ascii="Times New Roman" w:cs="Times New Roman"/>
                <w:color w:val="000000" w:themeColor="text1"/>
                <w14:textFill>
                  <w14:solidFill>
                    <w14:schemeClr w14:val="tx1"/>
                  </w14:solidFill>
                </w14:textFill>
              </w:rPr>
              <w:t>连续监测两天，每天昼间、夜间各监测一次，每次连续监测20min。测量方法按《声环境质量标准》（GB3096-2008）的相关要求进行。监测结果统计如表2</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7所示。评价标准执行《声环境质量标准》（GB 3096-2008）中2类标准。</w:t>
            </w:r>
          </w:p>
          <w:p>
            <w:pPr>
              <w:overflowPunct w:val="0"/>
              <w:spacing w:line="360" w:lineRule="auto"/>
              <w:jc w:val="center"/>
              <w:textAlignment w:val="baseline"/>
              <w:rPr>
                <w:rFonts w:ascii="Times New Roman" w:hAnsi="Times New Roman"/>
                <w:b/>
                <w:sz w:val="24"/>
              </w:rPr>
            </w:pPr>
            <w:r>
              <w:rPr>
                <w:rFonts w:ascii="Times New Roman" w:hAnsi="Times New Roman"/>
                <w:b/>
                <w:sz w:val="24"/>
              </w:rPr>
              <w:t xml:space="preserve">表2-7  </w:t>
            </w:r>
            <w:r>
              <w:rPr>
                <w:rFonts w:ascii="Times New Roman" w:hAnsi="Times New Roman"/>
                <w:b/>
                <w:color w:val="000000" w:themeColor="text1"/>
                <w:sz w:val="24"/>
                <w:szCs w:val="24"/>
                <w14:textFill>
                  <w14:solidFill>
                    <w14:schemeClr w14:val="tx1"/>
                  </w14:solidFill>
                </w14:textFill>
              </w:rPr>
              <w:t>项目所在地噪声监测及评价结果</w:t>
            </w:r>
          </w:p>
          <w:tbl>
            <w:tblPr>
              <w:tblStyle w:val="24"/>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362"/>
              <w:gridCol w:w="1437"/>
              <w:gridCol w:w="1386"/>
              <w:gridCol w:w="1486"/>
              <w:gridCol w:w="140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vMerge w:val="restart"/>
                  <w:tcBorders>
                    <w:top w:val="single" w:color="auto" w:sz="12" w:space="0"/>
                    <w:left w:val="single" w:color="auto" w:sz="12" w:space="0"/>
                    <w:bottom w:val="single" w:color="auto" w:sz="6" w:space="0"/>
                    <w:right w:val="single" w:color="auto" w:sz="6" w:space="0"/>
                    <w:tl2br w:val="single" w:color="auto" w:sz="12" w:space="0"/>
                  </w:tcBorders>
                  <w:shd w:val="clear" w:color="auto" w:fill="auto"/>
                  <w:vAlign w:val="center"/>
                </w:tcPr>
                <w:p>
                  <w:pPr>
                    <w:jc w:val="right"/>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监测项目</w:t>
                  </w:r>
                </w:p>
                <w:p>
                  <w:pP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监测点位</w:t>
                  </w:r>
                </w:p>
              </w:tc>
              <w:tc>
                <w:tcPr>
                  <w:tcW w:w="5547" w:type="dxa"/>
                  <w:gridSpan w:val="4"/>
                  <w:tcBorders>
                    <w:top w:val="single" w:color="auto" w:sz="12" w:space="0"/>
                    <w:left w:val="single" w:color="auto" w:sz="6" w:space="0"/>
                    <w:bottom w:val="single" w:color="auto" w:sz="6" w:space="0"/>
                    <w:right w:val="single" w:color="auto" w:sz="12"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噪声测得值Leq[dB(A)]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vMerge w:val="continue"/>
                  <w:tcBorders>
                    <w:top w:val="single" w:color="auto" w:sz="6" w:space="0"/>
                    <w:left w:val="single" w:color="auto" w:sz="12" w:space="0"/>
                    <w:bottom w:val="single" w:color="auto" w:sz="6" w:space="0"/>
                    <w:right w:val="single" w:color="auto" w:sz="6" w:space="0"/>
                    <w:tl2br w:val="single" w:color="auto" w:sz="12" w:space="0"/>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p>
              </w:tc>
              <w:tc>
                <w:tcPr>
                  <w:tcW w:w="2743" w:type="dxa"/>
                  <w:gridSpan w:val="2"/>
                  <w:tcBorders>
                    <w:top w:val="single" w:color="auto" w:sz="6" w:space="0"/>
                    <w:left w:val="single" w:color="auto" w:sz="6" w:space="0"/>
                    <w:bottom w:val="single" w:color="auto" w:sz="6" w:space="0"/>
                    <w:right w:val="single" w:color="auto" w:sz="6"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2020.07.15</w:t>
                  </w:r>
                </w:p>
              </w:tc>
              <w:tc>
                <w:tcPr>
                  <w:tcW w:w="2804" w:type="dxa"/>
                  <w:gridSpan w:val="2"/>
                  <w:tcBorders>
                    <w:top w:val="single" w:color="auto" w:sz="6" w:space="0"/>
                    <w:left w:val="single" w:color="auto" w:sz="6" w:space="0"/>
                    <w:bottom w:val="single" w:color="auto" w:sz="6" w:space="0"/>
                    <w:right w:val="single" w:color="auto" w:sz="12"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2020.07.16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vMerge w:val="continue"/>
                  <w:tcBorders>
                    <w:top w:val="single" w:color="auto" w:sz="6" w:space="0"/>
                    <w:left w:val="single" w:color="auto" w:sz="12" w:space="0"/>
                    <w:bottom w:val="single" w:color="auto" w:sz="6" w:space="0"/>
                    <w:right w:val="single" w:color="auto" w:sz="6" w:space="0"/>
                    <w:tl2br w:val="single" w:color="auto" w:sz="12" w:space="0"/>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p>
              </w:tc>
              <w:tc>
                <w:tcPr>
                  <w:tcW w:w="1396" w:type="dxa"/>
                  <w:tcBorders>
                    <w:top w:val="single" w:color="auto" w:sz="6" w:space="0"/>
                    <w:left w:val="single" w:color="auto" w:sz="6" w:space="0"/>
                    <w:bottom w:val="single" w:color="auto" w:sz="6" w:space="0"/>
                    <w:right w:val="single" w:color="auto" w:sz="6"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昼间</w:t>
                  </w:r>
                </w:p>
              </w:tc>
              <w:tc>
                <w:tcPr>
                  <w:tcW w:w="1347" w:type="dxa"/>
                  <w:tcBorders>
                    <w:top w:val="single" w:color="auto" w:sz="6" w:space="0"/>
                    <w:left w:val="single" w:color="auto" w:sz="6" w:space="0"/>
                    <w:bottom w:val="single" w:color="auto" w:sz="6" w:space="0"/>
                    <w:right w:val="single" w:color="auto" w:sz="6"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夜间</w:t>
                  </w:r>
                </w:p>
              </w:tc>
              <w:tc>
                <w:tcPr>
                  <w:tcW w:w="1444" w:type="dxa"/>
                  <w:tcBorders>
                    <w:top w:val="single" w:color="auto" w:sz="6" w:space="0"/>
                    <w:left w:val="single" w:color="auto" w:sz="6" w:space="0"/>
                    <w:bottom w:val="single" w:color="auto" w:sz="6" w:space="0"/>
                    <w:right w:val="single" w:color="auto" w:sz="6"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昼间</w:t>
                  </w:r>
                </w:p>
              </w:tc>
              <w:tc>
                <w:tcPr>
                  <w:tcW w:w="1360" w:type="dxa"/>
                  <w:tcBorders>
                    <w:top w:val="single" w:color="auto" w:sz="6" w:space="0"/>
                    <w:left w:val="single" w:color="auto" w:sz="6" w:space="0"/>
                    <w:bottom w:val="single" w:color="auto" w:sz="6" w:space="0"/>
                    <w:right w:val="single" w:color="auto" w:sz="12" w:space="0"/>
                    <w:tl2br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夜间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N1：项目边界东1m处</w:t>
                  </w:r>
                </w:p>
              </w:tc>
              <w:tc>
                <w:tcPr>
                  <w:tcW w:w="1396"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2.4</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6.2</w:t>
                  </w:r>
                </w:p>
              </w:tc>
              <w:tc>
                <w:tcPr>
                  <w:tcW w:w="14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3.4</w:t>
                  </w:r>
                </w:p>
              </w:tc>
              <w:tc>
                <w:tcPr>
                  <w:tcW w:w="1360" w:type="dxa"/>
                  <w:tcBorders>
                    <w:top w:val="single" w:color="auto" w:sz="6" w:space="0"/>
                    <w:left w:val="single" w:color="auto" w:sz="6" w:space="0"/>
                    <w:bottom w:val="single" w:color="auto" w:sz="6" w:space="0"/>
                    <w:right w:val="single" w:color="auto"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4.8</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N2：项目边界南1m处</w:t>
                  </w:r>
                </w:p>
              </w:tc>
              <w:tc>
                <w:tcPr>
                  <w:tcW w:w="1396"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3.9</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5.6</w:t>
                  </w:r>
                </w:p>
              </w:tc>
              <w:tc>
                <w:tcPr>
                  <w:tcW w:w="14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3.0</w:t>
                  </w:r>
                </w:p>
              </w:tc>
              <w:tc>
                <w:tcPr>
                  <w:tcW w:w="1360" w:type="dxa"/>
                  <w:tcBorders>
                    <w:top w:val="single" w:color="auto" w:sz="6" w:space="0"/>
                    <w:left w:val="single" w:color="auto" w:sz="6" w:space="0"/>
                    <w:bottom w:val="single" w:color="auto" w:sz="6" w:space="0"/>
                    <w:right w:val="single" w:color="auto"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6.0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N3：项目边界西1m处</w:t>
                  </w:r>
                </w:p>
              </w:tc>
              <w:tc>
                <w:tcPr>
                  <w:tcW w:w="1396"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3.5</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7.2</w:t>
                  </w:r>
                </w:p>
              </w:tc>
              <w:tc>
                <w:tcPr>
                  <w:tcW w:w="14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3.0</w:t>
                  </w:r>
                </w:p>
              </w:tc>
              <w:tc>
                <w:tcPr>
                  <w:tcW w:w="1360" w:type="dxa"/>
                  <w:tcBorders>
                    <w:top w:val="single" w:color="auto" w:sz="6" w:space="0"/>
                    <w:left w:val="single" w:color="auto" w:sz="6" w:space="0"/>
                    <w:bottom w:val="single" w:color="auto" w:sz="6" w:space="0"/>
                    <w:right w:val="single" w:color="auto"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6.4</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267" w:type="dxa"/>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N4: 项目边界北1m处</w:t>
                  </w:r>
                </w:p>
              </w:tc>
              <w:tc>
                <w:tcPr>
                  <w:tcW w:w="1396"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3.3</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6.1</w:t>
                  </w:r>
                </w:p>
              </w:tc>
              <w:tc>
                <w:tcPr>
                  <w:tcW w:w="14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r>
                    <w:rPr>
                      <w:rFonts w:ascii="Times New Roman" w:hAnsi="Times New Roman"/>
                      <w:color w:val="000000" w:themeColor="text1"/>
                      <w:szCs w:val="21"/>
                      <w14:textFill>
                        <w14:solidFill>
                          <w14:schemeClr w14:val="tx1"/>
                        </w14:solidFill>
                      </w14:textFill>
                    </w:rPr>
                    <w:t>2.4</w:t>
                  </w:r>
                </w:p>
              </w:tc>
              <w:tc>
                <w:tcPr>
                  <w:tcW w:w="1360" w:type="dxa"/>
                  <w:tcBorders>
                    <w:top w:val="single" w:color="auto" w:sz="6" w:space="0"/>
                    <w:left w:val="single" w:color="auto" w:sz="6" w:space="0"/>
                    <w:bottom w:val="single" w:color="auto" w:sz="6" w:space="0"/>
                    <w:right w:val="single" w:color="auto" w:sz="12"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7.7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8814" w:type="dxa"/>
                  <w:gridSpan w:val="5"/>
                  <w:tcBorders>
                    <w:top w:val="single" w:color="auto" w:sz="6" w:space="0"/>
                    <w:left w:val="single" w:color="auto" w:sz="12" w:space="0"/>
                    <w:bottom w:val="single" w:color="auto" w:sz="12" w:space="0"/>
                    <w:right w:val="single" w:color="auto" w:sz="12" w:space="0"/>
                  </w:tcBorders>
                  <w:shd w:val="clear" w:color="auto" w:fill="auto"/>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备注：参照《声环境质量标准》（GB 3096-2008）中的2类标准限值</w:t>
                  </w:r>
                </w:p>
              </w:tc>
            </w:tr>
          </w:tbl>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360" w:lineRule="auto"/>
              <w:ind w:firstLine="480" w:firstLineChars="200"/>
              <w:rPr>
                <w:rFonts w:ascii="Times New Roman" w:hAnsi="Times New Roman"/>
                <w:sz w:val="24"/>
              </w:rPr>
            </w:pPr>
            <w:r>
              <w:rPr>
                <w:rFonts w:hint="eastAsia" w:ascii="Times New Roman" w:hAnsi="Times New Roman"/>
                <w:sz w:val="24"/>
              </w:rPr>
              <w:t>从表2-</w:t>
            </w:r>
            <w:r>
              <w:rPr>
                <w:rFonts w:ascii="Times New Roman" w:hAnsi="Times New Roman"/>
                <w:sz w:val="24"/>
              </w:rPr>
              <w:t>7</w:t>
            </w:r>
            <w:r>
              <w:rPr>
                <w:rFonts w:hint="eastAsia" w:ascii="Times New Roman" w:hAnsi="Times New Roman"/>
                <w:sz w:val="24"/>
              </w:rPr>
              <w:t>可以看出</w:t>
            </w:r>
            <w:r>
              <w:rPr>
                <w:rFonts w:ascii="Times New Roman" w:hAnsi="Times New Roman"/>
                <w:sz w:val="24"/>
              </w:rPr>
              <w:t>，</w:t>
            </w:r>
            <w:r>
              <w:rPr>
                <w:rFonts w:hint="eastAsia" w:ascii="Times New Roman" w:hAnsi="Times New Roman"/>
                <w:sz w:val="24"/>
              </w:rPr>
              <w:t>监测点昼、夜间噪声级场界东、南、西、北面均可达到《声环境质量标准》（</w:t>
            </w:r>
            <w:r>
              <w:rPr>
                <w:rFonts w:ascii="Times New Roman" w:hAnsi="Times New Roman"/>
                <w:sz w:val="24"/>
              </w:rPr>
              <w:t>GB 3096-2008</w:t>
            </w:r>
            <w:r>
              <w:rPr>
                <w:rFonts w:hint="eastAsia" w:ascii="Times New Roman" w:hAnsi="Times New Roman"/>
                <w:sz w:val="24"/>
              </w:rPr>
              <w:t>）中</w:t>
            </w:r>
            <w:r>
              <w:rPr>
                <w:rFonts w:ascii="Times New Roman" w:hAnsi="Times New Roman"/>
                <w:sz w:val="24"/>
              </w:rPr>
              <w:t>2</w:t>
            </w:r>
            <w:r>
              <w:rPr>
                <w:rFonts w:hint="eastAsia" w:ascii="Times New Roman" w:hAnsi="Times New Roman"/>
                <w:sz w:val="24"/>
              </w:rPr>
              <w:t>类区标准。</w:t>
            </w: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p>
            <w:pPr>
              <w:pStyle w:val="17"/>
              <w:tabs>
                <w:tab w:val="left" w:pos="1110"/>
              </w:tabs>
              <w:spacing w:after="0" w:line="360" w:lineRule="auto"/>
              <w:rPr>
                <w:rFonts w:ascii="Times New Roman" w:hAnsi="Times New Roman"/>
                <w:color w:val="000000"/>
                <w:sz w:val="24"/>
                <w:szCs w:val="24"/>
              </w:rPr>
            </w:pPr>
          </w:p>
        </w:tc>
      </w:tr>
    </w:tbl>
    <w:p>
      <w:pPr>
        <w:pStyle w:val="2"/>
        <w:keepNext w:val="0"/>
        <w:keepLines w:val="0"/>
        <w:kinsoku w:val="0"/>
        <w:overflowPunct w:val="0"/>
        <w:rPr>
          <w:rFonts w:ascii="Times New Roman" w:hAnsi="宋体"/>
        </w:rPr>
        <w:sectPr>
          <w:pgSz w:w="11906" w:h="16838"/>
          <w:pgMar w:top="1418" w:right="1418" w:bottom="1418" w:left="1418" w:header="851" w:footer="992" w:gutter="0"/>
          <w:pgNumType w:chapStyle="1"/>
          <w:cols w:space="720" w:num="1"/>
          <w:docGrid w:linePitch="318" w:charSpace="190"/>
        </w:sectPr>
      </w:pPr>
      <w:bookmarkStart w:id="23" w:name="_Toc509910586"/>
      <w:bookmarkStart w:id="24" w:name="_Toc511833649"/>
      <w:bookmarkStart w:id="25" w:name="_Toc511833739"/>
      <w:bookmarkStart w:id="26" w:name="_Toc511833758"/>
    </w:p>
    <w:p>
      <w:pPr>
        <w:pStyle w:val="2"/>
        <w:kinsoku w:val="0"/>
        <w:overflowPunct w:val="0"/>
        <w:rPr>
          <w:rFonts w:ascii="Times New Roman" w:hAnsi="Times New Roman"/>
          <w:spacing w:val="8"/>
        </w:rPr>
      </w:pPr>
      <w:r>
        <w:rPr>
          <w:rFonts w:ascii="Times New Roman" w:hAnsi="宋体"/>
          <w:spacing w:val="8"/>
        </w:rPr>
        <w:t>三、评价适用标准</w:t>
      </w:r>
      <w:bookmarkEnd w:id="23"/>
      <w:bookmarkEnd w:id="24"/>
      <w:bookmarkEnd w:id="25"/>
      <w:bookmarkEnd w:id="26"/>
    </w:p>
    <w:tbl>
      <w:tblPr>
        <w:tblStyle w:val="24"/>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7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9" w:hRule="atLeast"/>
          <w:jc w:val="center"/>
        </w:trPr>
        <w:tc>
          <w:tcPr>
            <w:tcW w:w="1271" w:type="dxa"/>
            <w:vAlign w:val="center"/>
          </w:tcPr>
          <w:p>
            <w:pPr>
              <w:kinsoku w:val="0"/>
              <w:overflowPunct w:val="0"/>
              <w:spacing w:line="360" w:lineRule="auto"/>
              <w:jc w:val="center"/>
              <w:rPr>
                <w:sz w:val="24"/>
                <w:szCs w:val="24"/>
              </w:rPr>
            </w:pPr>
            <w:r>
              <w:rPr>
                <w:rFonts w:hint="eastAsia"/>
                <w:sz w:val="24"/>
                <w:szCs w:val="24"/>
              </w:rPr>
              <w:t>环</w:t>
            </w:r>
          </w:p>
          <w:p>
            <w:pPr>
              <w:kinsoku w:val="0"/>
              <w:overflowPunct w:val="0"/>
              <w:spacing w:line="360" w:lineRule="auto"/>
              <w:jc w:val="center"/>
              <w:rPr>
                <w:sz w:val="24"/>
                <w:szCs w:val="24"/>
              </w:rPr>
            </w:pPr>
            <w:r>
              <w:rPr>
                <w:rFonts w:hint="eastAsia"/>
                <w:sz w:val="24"/>
                <w:szCs w:val="24"/>
              </w:rPr>
              <w:t>境</w:t>
            </w:r>
          </w:p>
          <w:p>
            <w:pPr>
              <w:kinsoku w:val="0"/>
              <w:overflowPunct w:val="0"/>
              <w:spacing w:line="360" w:lineRule="auto"/>
              <w:jc w:val="center"/>
              <w:rPr>
                <w:sz w:val="24"/>
                <w:szCs w:val="24"/>
              </w:rPr>
            </w:pPr>
            <w:r>
              <w:rPr>
                <w:rFonts w:hint="eastAsia"/>
                <w:sz w:val="24"/>
                <w:szCs w:val="24"/>
              </w:rPr>
              <w:t>质</w:t>
            </w:r>
          </w:p>
          <w:p>
            <w:pPr>
              <w:kinsoku w:val="0"/>
              <w:overflowPunct w:val="0"/>
              <w:spacing w:line="360" w:lineRule="auto"/>
              <w:jc w:val="center"/>
              <w:rPr>
                <w:sz w:val="24"/>
                <w:szCs w:val="24"/>
              </w:rPr>
            </w:pPr>
            <w:r>
              <w:rPr>
                <w:rFonts w:hint="eastAsia"/>
                <w:sz w:val="24"/>
                <w:szCs w:val="24"/>
              </w:rPr>
              <w:t>量</w:t>
            </w:r>
          </w:p>
          <w:p>
            <w:pPr>
              <w:kinsoku w:val="0"/>
              <w:overflowPunct w:val="0"/>
              <w:spacing w:line="360" w:lineRule="auto"/>
              <w:jc w:val="center"/>
              <w:rPr>
                <w:sz w:val="24"/>
                <w:szCs w:val="24"/>
              </w:rPr>
            </w:pPr>
            <w:r>
              <w:rPr>
                <w:rFonts w:hint="eastAsia"/>
                <w:sz w:val="24"/>
                <w:szCs w:val="24"/>
              </w:rPr>
              <w:t>标</w:t>
            </w:r>
          </w:p>
          <w:p>
            <w:pPr>
              <w:kinsoku w:val="0"/>
              <w:overflowPunct w:val="0"/>
              <w:spacing w:line="360" w:lineRule="auto"/>
              <w:jc w:val="center"/>
              <w:rPr>
                <w:sz w:val="28"/>
                <w:szCs w:val="28"/>
              </w:rPr>
            </w:pPr>
            <w:r>
              <w:rPr>
                <w:rFonts w:hint="eastAsia"/>
                <w:sz w:val="24"/>
                <w:szCs w:val="24"/>
              </w:rPr>
              <w:t>准</w:t>
            </w:r>
          </w:p>
        </w:tc>
        <w:tc>
          <w:tcPr>
            <w:tcW w:w="7801" w:type="dxa"/>
            <w:vAlign w:val="center"/>
          </w:tcPr>
          <w:p>
            <w:pPr>
              <w:overflowPunct w:val="0"/>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rPr>
              <w:t>、环境空气</w:t>
            </w:r>
            <w:r>
              <w:rPr>
                <w:rFonts w:hint="eastAsia" w:ascii="Times New Roman" w:hAnsi="Times New Roman"/>
                <w:sz w:val="24"/>
                <w:szCs w:val="24"/>
              </w:rPr>
              <w:t>：执行《环境空气质量标准》（GB3095-2012）中的二级标准</w:t>
            </w:r>
            <w:r>
              <w:rPr>
                <w:rFonts w:hint="eastAsia" w:ascii="Times New Roman" w:hAnsi="宋体"/>
                <w:sz w:val="24"/>
                <w:szCs w:val="24"/>
              </w:rPr>
              <w:t>；</w:t>
            </w:r>
          </w:p>
          <w:p>
            <w:pPr>
              <w:overflowPunct w:val="0"/>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hint="eastAsia" w:ascii="Times New Roman" w:hAnsi="Times New Roman"/>
                <w:b/>
                <w:bCs/>
                <w:sz w:val="24"/>
                <w:szCs w:val="24"/>
              </w:rPr>
              <w:t>、地表水环境</w:t>
            </w:r>
            <w:r>
              <w:rPr>
                <w:rFonts w:hint="eastAsia" w:ascii="Times New Roman" w:hAnsi="Times New Roman"/>
                <w:sz w:val="24"/>
                <w:szCs w:val="24"/>
              </w:rPr>
              <w:t>：执行《地表水环境质量标准》（</w:t>
            </w:r>
            <w:r>
              <w:rPr>
                <w:rFonts w:ascii="Times New Roman" w:hAnsi="Times New Roman"/>
                <w:sz w:val="24"/>
                <w:szCs w:val="24"/>
              </w:rPr>
              <w:t>GB3838-2002</w:t>
            </w:r>
            <w:r>
              <w:rPr>
                <w:rFonts w:hint="eastAsia" w:ascii="Times New Roman" w:hAnsi="Times New Roman"/>
                <w:sz w:val="24"/>
                <w:szCs w:val="24"/>
              </w:rPr>
              <w:t>）</w:t>
            </w:r>
            <w:r>
              <w:rPr>
                <w:rFonts w:ascii="Times New Roman" w:hAnsi="Times New Roman"/>
                <w:sz w:val="24"/>
                <w:szCs w:val="24"/>
              </w:rPr>
              <w:t>Ⅲ</w:t>
            </w:r>
            <w:r>
              <w:rPr>
                <w:rFonts w:hint="eastAsia" w:ascii="Times New Roman" w:hAnsi="Times New Roman"/>
                <w:sz w:val="24"/>
                <w:szCs w:val="24"/>
              </w:rPr>
              <w:t>类标准；</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hint="eastAsia" w:ascii="Times New Roman" w:hAnsi="Times New Roman"/>
                <w:b/>
                <w:bCs/>
                <w:sz w:val="24"/>
                <w:szCs w:val="24"/>
              </w:rPr>
              <w:t>、声环境</w:t>
            </w:r>
            <w:r>
              <w:rPr>
                <w:rFonts w:hint="eastAsia" w:ascii="Times New Roman" w:hAnsi="Times New Roman"/>
                <w:sz w:val="24"/>
                <w:szCs w:val="24"/>
              </w:rPr>
              <w:t>：执行《声环境质量标准》（</w:t>
            </w:r>
            <w:r>
              <w:rPr>
                <w:rFonts w:ascii="Times New Roman" w:hAnsi="Times New Roman"/>
                <w:sz w:val="24"/>
                <w:szCs w:val="24"/>
              </w:rPr>
              <w:t>GB 3096-2008</w:t>
            </w:r>
            <w:r>
              <w:rPr>
                <w:rFonts w:hint="eastAsia" w:ascii="Times New Roman" w:hAnsi="Times New Roman"/>
                <w:sz w:val="24"/>
                <w:szCs w:val="24"/>
              </w:rPr>
              <w:t>）中</w:t>
            </w:r>
            <w:r>
              <w:rPr>
                <w:rFonts w:ascii="Times New Roman" w:hAnsi="Times New Roman"/>
                <w:sz w:val="24"/>
                <w:szCs w:val="24"/>
              </w:rPr>
              <w:t>2</w:t>
            </w:r>
            <w:r>
              <w:rPr>
                <w:rFonts w:hint="eastAsia" w:ascii="Times New Roman" w:hAnsi="Times New Roman"/>
                <w:sz w:val="24"/>
                <w:szCs w:val="24"/>
              </w:rPr>
              <w:t>类区标准。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29" w:hRule="atLeast"/>
          <w:jc w:val="center"/>
        </w:trPr>
        <w:tc>
          <w:tcPr>
            <w:tcW w:w="1271" w:type="dxa"/>
            <w:vAlign w:val="center"/>
          </w:tcPr>
          <w:p>
            <w:pPr>
              <w:kinsoku w:val="0"/>
              <w:overflowPunct w:val="0"/>
              <w:spacing w:line="360" w:lineRule="auto"/>
              <w:jc w:val="center"/>
              <w:rPr>
                <w:sz w:val="24"/>
                <w:szCs w:val="24"/>
              </w:rPr>
            </w:pPr>
            <w:r>
              <w:rPr>
                <w:rFonts w:hint="eastAsia"/>
                <w:sz w:val="24"/>
                <w:szCs w:val="24"/>
              </w:rPr>
              <w:t>污</w:t>
            </w:r>
          </w:p>
          <w:p>
            <w:pPr>
              <w:kinsoku w:val="0"/>
              <w:overflowPunct w:val="0"/>
              <w:spacing w:line="360" w:lineRule="auto"/>
              <w:jc w:val="center"/>
              <w:rPr>
                <w:sz w:val="24"/>
                <w:szCs w:val="24"/>
              </w:rPr>
            </w:pPr>
            <w:r>
              <w:rPr>
                <w:rFonts w:hint="eastAsia"/>
                <w:sz w:val="24"/>
                <w:szCs w:val="24"/>
              </w:rPr>
              <w:t>染</w:t>
            </w:r>
          </w:p>
          <w:p>
            <w:pPr>
              <w:kinsoku w:val="0"/>
              <w:overflowPunct w:val="0"/>
              <w:spacing w:line="360" w:lineRule="auto"/>
              <w:jc w:val="center"/>
              <w:rPr>
                <w:sz w:val="24"/>
                <w:szCs w:val="24"/>
              </w:rPr>
            </w:pPr>
            <w:r>
              <w:rPr>
                <w:rFonts w:hint="eastAsia"/>
                <w:sz w:val="24"/>
                <w:szCs w:val="24"/>
              </w:rPr>
              <w:t>物</w:t>
            </w:r>
          </w:p>
          <w:p>
            <w:pPr>
              <w:kinsoku w:val="0"/>
              <w:overflowPunct w:val="0"/>
              <w:spacing w:line="360" w:lineRule="auto"/>
              <w:jc w:val="center"/>
              <w:rPr>
                <w:sz w:val="24"/>
                <w:szCs w:val="24"/>
              </w:rPr>
            </w:pPr>
            <w:r>
              <w:rPr>
                <w:rFonts w:hint="eastAsia"/>
                <w:sz w:val="24"/>
                <w:szCs w:val="24"/>
              </w:rPr>
              <w:t>排</w:t>
            </w:r>
          </w:p>
          <w:p>
            <w:pPr>
              <w:kinsoku w:val="0"/>
              <w:overflowPunct w:val="0"/>
              <w:spacing w:line="360" w:lineRule="auto"/>
              <w:jc w:val="center"/>
              <w:rPr>
                <w:sz w:val="24"/>
                <w:szCs w:val="24"/>
              </w:rPr>
            </w:pPr>
            <w:r>
              <w:rPr>
                <w:rFonts w:hint="eastAsia"/>
                <w:sz w:val="24"/>
                <w:szCs w:val="24"/>
              </w:rPr>
              <w:t>放</w:t>
            </w:r>
          </w:p>
          <w:p>
            <w:pPr>
              <w:kinsoku w:val="0"/>
              <w:overflowPunct w:val="0"/>
              <w:spacing w:line="360" w:lineRule="auto"/>
              <w:jc w:val="center"/>
              <w:rPr>
                <w:sz w:val="24"/>
                <w:szCs w:val="24"/>
              </w:rPr>
            </w:pPr>
            <w:r>
              <w:rPr>
                <w:rFonts w:hint="eastAsia"/>
                <w:sz w:val="24"/>
                <w:szCs w:val="24"/>
              </w:rPr>
              <w:t>标</w:t>
            </w:r>
          </w:p>
          <w:p>
            <w:pPr>
              <w:kinsoku w:val="0"/>
              <w:overflowPunct w:val="0"/>
              <w:spacing w:line="360" w:lineRule="auto"/>
              <w:jc w:val="center"/>
              <w:rPr>
                <w:sz w:val="28"/>
                <w:szCs w:val="28"/>
              </w:rPr>
            </w:pPr>
            <w:r>
              <w:rPr>
                <w:rFonts w:hint="eastAsia"/>
                <w:sz w:val="24"/>
                <w:szCs w:val="24"/>
              </w:rPr>
              <w:t>准</w:t>
            </w:r>
          </w:p>
        </w:tc>
        <w:tc>
          <w:tcPr>
            <w:tcW w:w="7801" w:type="dxa"/>
            <w:vAlign w:val="center"/>
          </w:tcPr>
          <w:p>
            <w:pPr>
              <w:overflowPunct w:val="0"/>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rPr>
              <w:t>、大气污染物：</w:t>
            </w:r>
            <w:r>
              <w:rPr>
                <w:rFonts w:hint="eastAsia" w:ascii="Times New Roman" w:hAnsi="Times New Roman"/>
                <w:sz w:val="24"/>
                <w:szCs w:val="24"/>
              </w:rPr>
              <w:t>窑炉废气</w:t>
            </w:r>
            <w:r>
              <w:rPr>
                <w:rFonts w:ascii="Times New Roman" w:hAnsi="Times New Roman"/>
                <w:sz w:val="24"/>
                <w:szCs w:val="24"/>
              </w:rPr>
              <w:t>执行《砖瓦工业大气污染物排放标准》（GB29620-2013）</w:t>
            </w:r>
            <w:r>
              <w:rPr>
                <w:rFonts w:hint="eastAsia" w:ascii="Times New Roman" w:hAnsi="Times New Roman"/>
                <w:sz w:val="24"/>
                <w:szCs w:val="24"/>
              </w:rPr>
              <w:t>表2中排放限值及表3中边界大气污染物浓度限值；破碎筛分产生的颗粒物执行</w:t>
            </w:r>
            <w:r>
              <w:rPr>
                <w:rFonts w:ascii="Times New Roman" w:hAnsi="Times New Roman"/>
                <w:sz w:val="24"/>
                <w:szCs w:val="24"/>
              </w:rPr>
              <w:t>《砖瓦工业大气污染物排放标准》（GB29620-2013）</w:t>
            </w:r>
            <w:r>
              <w:rPr>
                <w:rFonts w:hint="eastAsia" w:ascii="Times New Roman" w:hAnsi="Times New Roman"/>
                <w:sz w:val="24"/>
                <w:szCs w:val="24"/>
              </w:rPr>
              <w:t>表3中无组织排放限值标准；食堂油烟废气执行《饮食业油烟排放标准（试行）》（GB18483-2001）表2中的标准限值。</w:t>
            </w:r>
          </w:p>
          <w:p>
            <w:pPr>
              <w:overflowPunct w:val="0"/>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hint="eastAsia" w:ascii="Times New Roman" w:hAnsi="Times New Roman"/>
                <w:b/>
                <w:bCs/>
                <w:sz w:val="24"/>
                <w:szCs w:val="24"/>
              </w:rPr>
              <w:t>、水污染物</w:t>
            </w:r>
            <w:r>
              <w:rPr>
                <w:rFonts w:hint="eastAsia" w:ascii="Times New Roman" w:hAnsi="Times New Roman"/>
                <w:sz w:val="24"/>
                <w:szCs w:val="24"/>
              </w:rPr>
              <w:t>：生产废水经废水处理设施处理后循环使用；生活污水经化粪池处理后用于周边菜地施肥，综合消纳。</w:t>
            </w:r>
          </w:p>
          <w:p>
            <w:pPr>
              <w:overflowPunct w:val="0"/>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hint="eastAsia" w:ascii="Times New Roman" w:hAnsi="Times New Roman"/>
                <w:b/>
                <w:bCs/>
                <w:sz w:val="24"/>
                <w:szCs w:val="24"/>
              </w:rPr>
              <w:t>、噪声</w:t>
            </w:r>
            <w:r>
              <w:rPr>
                <w:rFonts w:hint="eastAsia" w:ascii="Times New Roman" w:hAnsi="Times New Roman"/>
                <w:sz w:val="24"/>
                <w:szCs w:val="24"/>
              </w:rPr>
              <w:t>：施工期执行《建筑施工场界环境噪声排放标准》（</w:t>
            </w:r>
            <w:r>
              <w:rPr>
                <w:rFonts w:ascii="Times New Roman" w:hAnsi="Times New Roman"/>
                <w:sz w:val="24"/>
                <w:szCs w:val="24"/>
              </w:rPr>
              <w:t>GB12523-2011</w:t>
            </w:r>
            <w:r>
              <w:rPr>
                <w:rFonts w:hint="eastAsia" w:ascii="Times New Roman" w:hAnsi="Times New Roman"/>
                <w:sz w:val="24"/>
                <w:szCs w:val="24"/>
              </w:rPr>
              <w:t>），营运期执行《工业企业厂界环境噪声排放标准》（</w:t>
            </w:r>
            <w:r>
              <w:rPr>
                <w:rFonts w:ascii="Times New Roman" w:hAnsi="Times New Roman"/>
                <w:sz w:val="24"/>
                <w:szCs w:val="24"/>
              </w:rPr>
              <w:t>GB 12348-2008</w:t>
            </w:r>
            <w:r>
              <w:rPr>
                <w:rFonts w:hint="eastAsia" w:ascii="Times New Roman" w:hAnsi="Times New Roman"/>
                <w:sz w:val="24"/>
                <w:szCs w:val="24"/>
              </w:rPr>
              <w:t>）中</w:t>
            </w:r>
            <w:r>
              <w:rPr>
                <w:rFonts w:ascii="Times New Roman" w:hAnsi="Times New Roman"/>
                <w:sz w:val="24"/>
                <w:szCs w:val="24"/>
              </w:rPr>
              <w:t>2</w:t>
            </w:r>
            <w:r>
              <w:rPr>
                <w:rFonts w:hint="eastAsia" w:ascii="Times New Roman" w:hAnsi="Times New Roman"/>
                <w:sz w:val="24"/>
                <w:szCs w:val="24"/>
              </w:rPr>
              <w:t>类区标准；</w:t>
            </w:r>
          </w:p>
          <w:p>
            <w:pPr>
              <w:spacing w:line="360" w:lineRule="auto"/>
              <w:ind w:firstLine="482" w:firstLineChars="200"/>
              <w:rPr>
                <w:rFonts w:ascii="Times New Roman" w:hAnsi="Times New Roman"/>
                <w:sz w:val="24"/>
                <w:szCs w:val="24"/>
              </w:rPr>
            </w:pPr>
            <w:r>
              <w:rPr>
                <w:rFonts w:ascii="Times New Roman" w:hAnsi="Times New Roman"/>
                <w:b/>
                <w:bCs/>
                <w:sz w:val="24"/>
                <w:szCs w:val="24"/>
              </w:rPr>
              <w:t>4</w:t>
            </w:r>
            <w:r>
              <w:rPr>
                <w:rFonts w:hint="eastAsia" w:ascii="Times New Roman" w:hAnsi="Times New Roman"/>
                <w:b/>
                <w:bCs/>
                <w:sz w:val="24"/>
                <w:szCs w:val="24"/>
              </w:rPr>
              <w:t>、固体废物</w:t>
            </w:r>
            <w:r>
              <w:rPr>
                <w:rFonts w:hint="eastAsia" w:ascii="Times New Roman" w:hAnsi="Times New Roman"/>
                <w:sz w:val="24"/>
                <w:szCs w:val="24"/>
              </w:rPr>
              <w:t>：一般工业固体废物执行《一般工业固体废物贮存、处置场污染控制标准》（</w:t>
            </w:r>
            <w:r>
              <w:rPr>
                <w:rFonts w:ascii="Times New Roman" w:hAnsi="Times New Roman"/>
                <w:sz w:val="24"/>
                <w:szCs w:val="24"/>
              </w:rPr>
              <w:t>GB 18599-2001</w:t>
            </w:r>
            <w:r>
              <w:rPr>
                <w:rFonts w:hint="eastAsia" w:ascii="Times New Roman" w:hAnsi="Times New Roman"/>
                <w:sz w:val="24"/>
                <w:szCs w:val="24"/>
              </w:rPr>
              <w:t>）及</w:t>
            </w:r>
            <w:r>
              <w:rPr>
                <w:rFonts w:ascii="Times New Roman" w:hAnsi="Times New Roman"/>
                <w:sz w:val="24"/>
                <w:szCs w:val="24"/>
              </w:rPr>
              <w:t>2013</w:t>
            </w:r>
            <w:r>
              <w:rPr>
                <w:rFonts w:hint="eastAsia" w:ascii="Times New Roman" w:hAnsi="Times New Roman"/>
                <w:sz w:val="24"/>
                <w:szCs w:val="24"/>
              </w:rPr>
              <w:t>年修改单，危险废物执行《危险废物贮存污染控制标准》（</w:t>
            </w:r>
            <w:r>
              <w:rPr>
                <w:rFonts w:ascii="Times New Roman" w:hAnsi="Times New Roman"/>
                <w:sz w:val="24"/>
                <w:szCs w:val="24"/>
              </w:rPr>
              <w:t>GB18597-2001</w:t>
            </w:r>
            <w:r>
              <w:rPr>
                <w:rFonts w:hint="eastAsia" w:ascii="Times New Roman" w:hAnsi="Times New Roman"/>
                <w:sz w:val="24"/>
                <w:szCs w:val="24"/>
              </w:rPr>
              <w:t>）及</w:t>
            </w:r>
            <w:r>
              <w:rPr>
                <w:rFonts w:ascii="Times New Roman" w:hAnsi="Times New Roman"/>
                <w:sz w:val="24"/>
                <w:szCs w:val="24"/>
              </w:rPr>
              <w:t>2013</w:t>
            </w:r>
            <w:r>
              <w:rPr>
                <w:rFonts w:hint="eastAsia" w:ascii="Times New Roman" w:hAnsi="Times New Roman"/>
                <w:sz w:val="24"/>
                <w:szCs w:val="24"/>
              </w:rPr>
              <w:t>年修改单，生活垃圾执行《生活垃圾焚烧污染控制标准》（</w:t>
            </w:r>
            <w:r>
              <w:rPr>
                <w:rFonts w:ascii="Times New Roman" w:hAnsi="Times New Roman"/>
                <w:sz w:val="24"/>
                <w:szCs w:val="24"/>
              </w:rPr>
              <w:t>GB 18485-2014</w:t>
            </w:r>
            <w:r>
              <w:rPr>
                <w:rFonts w:hint="eastAsia" w:ascii="Times New Roman" w:hAnsi="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8" w:hRule="atLeast"/>
          <w:jc w:val="center"/>
        </w:trPr>
        <w:tc>
          <w:tcPr>
            <w:tcW w:w="1271" w:type="dxa"/>
            <w:vAlign w:val="center"/>
          </w:tcPr>
          <w:p>
            <w:pPr>
              <w:spacing w:line="360" w:lineRule="auto"/>
              <w:jc w:val="center"/>
              <w:rPr>
                <w:sz w:val="24"/>
                <w:szCs w:val="24"/>
              </w:rPr>
            </w:pPr>
            <w:r>
              <w:rPr>
                <w:rFonts w:hint="eastAsia"/>
                <w:sz w:val="24"/>
                <w:szCs w:val="24"/>
              </w:rPr>
              <w:t>总</w:t>
            </w:r>
          </w:p>
          <w:p>
            <w:pPr>
              <w:spacing w:line="360" w:lineRule="auto"/>
              <w:jc w:val="center"/>
              <w:rPr>
                <w:sz w:val="24"/>
                <w:szCs w:val="24"/>
              </w:rPr>
            </w:pPr>
            <w:r>
              <w:rPr>
                <w:rFonts w:hint="eastAsia"/>
                <w:sz w:val="24"/>
                <w:szCs w:val="24"/>
              </w:rPr>
              <w:t>量</w:t>
            </w:r>
          </w:p>
          <w:p>
            <w:pPr>
              <w:spacing w:line="360" w:lineRule="auto"/>
              <w:jc w:val="center"/>
              <w:rPr>
                <w:sz w:val="24"/>
                <w:szCs w:val="24"/>
              </w:rPr>
            </w:pPr>
            <w:r>
              <w:rPr>
                <w:rFonts w:hint="eastAsia"/>
                <w:sz w:val="24"/>
                <w:szCs w:val="24"/>
              </w:rPr>
              <w:t>控</w:t>
            </w:r>
          </w:p>
          <w:p>
            <w:pPr>
              <w:spacing w:line="360" w:lineRule="auto"/>
              <w:jc w:val="center"/>
              <w:rPr>
                <w:sz w:val="24"/>
                <w:szCs w:val="24"/>
              </w:rPr>
            </w:pPr>
            <w:r>
              <w:rPr>
                <w:rFonts w:hint="eastAsia"/>
                <w:sz w:val="24"/>
                <w:szCs w:val="24"/>
              </w:rPr>
              <w:t>制</w:t>
            </w:r>
          </w:p>
          <w:p>
            <w:pPr>
              <w:spacing w:line="360" w:lineRule="auto"/>
              <w:jc w:val="center"/>
              <w:rPr>
                <w:sz w:val="24"/>
                <w:szCs w:val="24"/>
              </w:rPr>
            </w:pPr>
            <w:r>
              <w:rPr>
                <w:rFonts w:hint="eastAsia"/>
                <w:sz w:val="24"/>
                <w:szCs w:val="24"/>
              </w:rPr>
              <w:t>标</w:t>
            </w:r>
          </w:p>
          <w:p>
            <w:pPr>
              <w:spacing w:line="360" w:lineRule="auto"/>
              <w:jc w:val="center"/>
              <w:rPr>
                <w:sz w:val="28"/>
                <w:szCs w:val="28"/>
              </w:rPr>
            </w:pPr>
            <w:r>
              <w:rPr>
                <w:rFonts w:hint="eastAsia"/>
                <w:sz w:val="24"/>
                <w:szCs w:val="24"/>
              </w:rPr>
              <w:t>准</w:t>
            </w:r>
          </w:p>
        </w:tc>
        <w:tc>
          <w:tcPr>
            <w:tcW w:w="7801" w:type="dxa"/>
            <w:vAlign w:val="center"/>
          </w:tcPr>
          <w:p>
            <w:pPr>
              <w:spacing w:line="360" w:lineRule="auto"/>
              <w:ind w:firstLine="480" w:firstLineChars="200"/>
              <w:contextualSpacing/>
              <w:rPr>
                <w:rFonts w:ascii="Times New Roman" w:hAnsi="Times New Roman"/>
                <w:kern w:val="10"/>
                <w:sz w:val="24"/>
                <w:szCs w:val="24"/>
              </w:rPr>
            </w:pPr>
            <w:r>
              <w:rPr>
                <w:rFonts w:hint="eastAsia" w:ascii="Times New Roman" w:hAnsi="Times New Roman"/>
                <w:kern w:val="10"/>
                <w:sz w:val="24"/>
                <w:szCs w:val="24"/>
              </w:rPr>
              <w:t>废气：二氧化硫</w:t>
            </w:r>
            <w:r>
              <w:rPr>
                <w:rFonts w:ascii="Times New Roman" w:hAnsi="Times New Roman"/>
                <w:kern w:val="10"/>
                <w:sz w:val="24"/>
                <w:szCs w:val="24"/>
              </w:rPr>
              <w:t>14.45</w:t>
            </w:r>
            <w:r>
              <w:rPr>
                <w:rFonts w:hint="eastAsia" w:ascii="Times New Roman" w:hAnsi="Times New Roman"/>
                <w:kern w:val="10"/>
                <w:sz w:val="24"/>
                <w:szCs w:val="24"/>
              </w:rPr>
              <w:t>t/a，氮氧化物</w:t>
            </w:r>
            <w:r>
              <w:rPr>
                <w:rFonts w:ascii="Times New Roman" w:hAnsi="Times New Roman"/>
                <w:kern w:val="10"/>
                <w:sz w:val="24"/>
                <w:szCs w:val="24"/>
              </w:rPr>
              <w:t>9.98</w:t>
            </w:r>
            <w:r>
              <w:rPr>
                <w:rFonts w:hint="eastAsia" w:ascii="Times New Roman" w:hAnsi="Times New Roman"/>
                <w:kern w:val="10"/>
                <w:sz w:val="24"/>
                <w:szCs w:val="24"/>
              </w:rPr>
              <w:t>t/a</w:t>
            </w:r>
          </w:p>
          <w:p>
            <w:pPr>
              <w:spacing w:line="360" w:lineRule="auto"/>
              <w:ind w:firstLine="480" w:firstLineChars="200"/>
              <w:contextualSpacing/>
              <w:rPr>
                <w:rFonts w:ascii="Times New Roman" w:hAnsi="Times New Roman"/>
                <w:kern w:val="10"/>
                <w:sz w:val="24"/>
                <w:szCs w:val="24"/>
              </w:rPr>
            </w:pPr>
            <w:r>
              <w:rPr>
                <w:rFonts w:hint="eastAsia" w:ascii="Times New Roman" w:hAnsi="Times New Roman"/>
                <w:kern w:val="10"/>
                <w:sz w:val="24"/>
                <w:szCs w:val="24"/>
              </w:rPr>
              <w:t>废水：</w:t>
            </w:r>
            <w:r>
              <w:rPr>
                <w:rFonts w:hint="eastAsia" w:ascii="Times New Roman" w:hAnsi="Times New Roman"/>
                <w:sz w:val="24"/>
                <w:szCs w:val="24"/>
              </w:rPr>
              <w:t>生产废水经废水处理设施处理后循环使用；生活污水经化粪池处理后用于周边农田施肥，综合消纳。</w:t>
            </w:r>
            <w:r>
              <w:rPr>
                <w:rFonts w:hint="eastAsia" w:ascii="Times New Roman" w:hAnsi="Times New Roman"/>
                <w:kern w:val="10"/>
                <w:sz w:val="24"/>
                <w:szCs w:val="24"/>
              </w:rPr>
              <w:t>不需要申请总量控制指标。</w:t>
            </w:r>
          </w:p>
        </w:tc>
      </w:tr>
    </w:tbl>
    <w:p>
      <w:pPr>
        <w:pStyle w:val="2"/>
        <w:kinsoku w:val="0"/>
        <w:overflowPunct w:val="0"/>
        <w:rPr>
          <w:rFonts w:ascii="Times New Roman" w:hAnsi="Times New Roman"/>
        </w:rPr>
        <w:sectPr>
          <w:pgSz w:w="11906" w:h="16838"/>
          <w:pgMar w:top="1418" w:right="1418" w:bottom="1418" w:left="1418" w:header="851" w:footer="992" w:gutter="0"/>
          <w:pgNumType w:chapStyle="1"/>
          <w:cols w:space="720" w:num="1"/>
          <w:docGrid w:linePitch="318" w:charSpace="190"/>
        </w:sectPr>
      </w:pPr>
      <w:bookmarkStart w:id="27" w:name="_Toc511833740"/>
      <w:bookmarkStart w:id="28" w:name="_Toc511833759"/>
      <w:bookmarkStart w:id="29" w:name="_Toc511833650"/>
    </w:p>
    <w:p>
      <w:pPr>
        <w:pStyle w:val="2"/>
        <w:keepNext w:val="0"/>
        <w:keepLines w:val="0"/>
        <w:kinsoku w:val="0"/>
        <w:overflowPunct w:val="0"/>
        <w:spacing w:line="240" w:lineRule="auto"/>
        <w:rPr>
          <w:rFonts w:ascii="Times New Roman" w:hAnsi="Times New Roman"/>
        </w:rPr>
      </w:pPr>
      <w:r>
        <w:rPr>
          <w:rFonts w:ascii="Times New Roman" w:hAnsi="Times New Roman"/>
        </w:rPr>
        <w:t>四、工程分析</w:t>
      </w:r>
      <w:bookmarkEnd w:id="27"/>
      <w:bookmarkEnd w:id="28"/>
      <w:bookmarkEnd w:id="29"/>
    </w:p>
    <w:tbl>
      <w:tblPr>
        <w:tblStyle w:val="24"/>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4" w:type="dxa"/>
            <w:vAlign w:val="center"/>
          </w:tcPr>
          <w:p>
            <w:pPr>
              <w:overflowPunct w:val="0"/>
              <w:spacing w:before="120" w:beforeLines="50" w:line="360" w:lineRule="auto"/>
              <w:textAlignment w:val="baseline"/>
              <w:rPr>
                <w:rFonts w:ascii="Times New Roman" w:hAnsi="Times New Roman"/>
                <w:b/>
                <w:spacing w:val="8"/>
                <w:sz w:val="28"/>
                <w:szCs w:val="28"/>
              </w:rPr>
            </w:pPr>
            <w:r>
              <w:rPr>
                <w:rFonts w:ascii="Times New Roman" w:hAnsi="Times New Roman"/>
                <w:b/>
                <w:spacing w:val="8"/>
                <w:sz w:val="28"/>
                <w:szCs w:val="28"/>
              </w:rPr>
              <w:t>（一）工艺流程简述</w:t>
            </w:r>
          </w:p>
          <w:p>
            <w:pPr>
              <w:widowControl/>
              <w:spacing w:line="360" w:lineRule="auto"/>
              <w:jc w:val="left"/>
              <w:rPr>
                <w:rFonts w:ascii="Times New Roman" w:hAnsi="Times New Roman" w:cs="宋体"/>
                <w:b/>
                <w:bCs/>
                <w:color w:val="000000" w:themeColor="text1"/>
                <w:kern w:val="0"/>
                <w:sz w:val="24"/>
                <w:szCs w:val="20"/>
                <w14:textFill>
                  <w14:solidFill>
                    <w14:schemeClr w14:val="tx1"/>
                  </w14:solidFill>
                </w14:textFill>
              </w:rPr>
            </w:pPr>
            <w:r>
              <w:rPr>
                <w:rFonts w:hint="eastAsia" w:ascii="Times New Roman" w:hAnsi="Times New Roman" w:cs="宋体"/>
                <w:b/>
                <w:bCs/>
                <w:color w:val="000000" w:themeColor="text1"/>
                <w:kern w:val="0"/>
                <w:sz w:val="24"/>
                <w:szCs w:val="20"/>
                <w14:textFill>
                  <w14:solidFill>
                    <w14:schemeClr w14:val="tx1"/>
                  </w14:solidFill>
                </w14:textFill>
              </w:rPr>
              <w:t>1 施工期工艺流程</w:t>
            </w:r>
          </w:p>
          <w:p>
            <w:pPr>
              <w:spacing w:line="360" w:lineRule="auto"/>
              <w:ind w:firstLine="480" w:firstLineChars="200"/>
              <w:textAlignment w:val="baseline"/>
              <w:rPr>
                <w:rFonts w:ascii="Times New Roman" w:hAnsi="Times New Roman" w:cs="宋体"/>
                <w:color w:val="000000" w:themeColor="text1"/>
                <w:sz w:val="24"/>
                <w:szCs w:val="20"/>
                <w14:textFill>
                  <w14:solidFill>
                    <w14:schemeClr w14:val="tx1"/>
                  </w14:solidFill>
                </w14:textFill>
              </w:rPr>
            </w:pPr>
            <w:r>
              <w:rPr>
                <w:rFonts w:hint="eastAsia" w:ascii="Times New Roman" w:hAnsi="Times New Roman" w:cs="宋体"/>
                <w:color w:val="000000" w:themeColor="text1"/>
                <w:sz w:val="24"/>
                <w:szCs w:val="20"/>
                <w14:textFill>
                  <w14:solidFill>
                    <w14:schemeClr w14:val="tx1"/>
                  </w14:solidFill>
                </w14:textFill>
              </w:rPr>
              <w:t>本项目施工期主要是碎石生产区、页岩砖生产区以及沉淀池的建设</w:t>
            </w:r>
            <w:r>
              <w:rPr>
                <w:rFonts w:hint="eastAsia" w:ascii="Times New Roman" w:hAnsi="Times New Roman" w:cs="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0"/>
                <w14:textFill>
                  <w14:solidFill>
                    <w14:schemeClr w14:val="tx1"/>
                  </w14:solidFill>
                </w14:textFill>
              </w:rPr>
              <w:t>页岩砖生产线利用原厂址进行扩</w:t>
            </w:r>
            <w:r>
              <w:rPr>
                <w:rFonts w:hint="eastAsia" w:ascii="Times New Roman" w:hAnsi="Times New Roman" w:cs="宋体"/>
                <w:sz w:val="24"/>
                <w:szCs w:val="20"/>
              </w:rPr>
              <w:t>建</w:t>
            </w:r>
            <w:r>
              <w:rPr>
                <w:rFonts w:hint="eastAsia" w:ascii="Times New Roman" w:hAnsi="Times New Roman" w:cs="宋体"/>
                <w:sz w:val="24"/>
                <w:szCs w:val="24"/>
              </w:rPr>
              <w:t>，因鑫泰建材有限公司已停产，轮窑、烟</w:t>
            </w:r>
            <w:r>
              <w:rPr>
                <w:rFonts w:hint="eastAsia" w:ascii="Times New Roman" w:hAnsi="Times New Roman" w:cs="宋体"/>
                <w:color w:val="000000" w:themeColor="text1"/>
                <w:sz w:val="24"/>
                <w:szCs w:val="24"/>
                <w14:textFill>
                  <w14:solidFill>
                    <w14:schemeClr w14:val="tx1"/>
                  </w14:solidFill>
                </w14:textFill>
              </w:rPr>
              <w:t>囱均需整改，其他设备设施须重新安装。故施工期主要污染为</w:t>
            </w:r>
            <w:r>
              <w:rPr>
                <w:rFonts w:hint="eastAsia" w:ascii="Times New Roman" w:hAnsi="Times New Roman" w:cs="宋体"/>
                <w:color w:val="000000" w:themeColor="text1"/>
                <w:sz w:val="24"/>
                <w:szCs w:val="20"/>
                <w14:textFill>
                  <w14:solidFill>
                    <w14:schemeClr w14:val="tx1"/>
                  </w14:solidFill>
                </w14:textFill>
              </w:rPr>
              <w:t>基础工程、主体工程等工序产生的噪声、扬尘、固体废弃物、少量污水和废气等污染，具体见图</w:t>
            </w:r>
            <w:r>
              <w:rPr>
                <w:rFonts w:ascii="Times New Roman" w:hAnsi="Times New Roman"/>
                <w:color w:val="000000" w:themeColor="text1"/>
                <w:sz w:val="24"/>
                <w:szCs w:val="20"/>
                <w14:textFill>
                  <w14:solidFill>
                    <w14:schemeClr w14:val="tx1"/>
                  </w14:solidFill>
                </w14:textFill>
              </w:rPr>
              <w:t>4-1</w:t>
            </w:r>
            <w:r>
              <w:rPr>
                <w:rFonts w:hint="eastAsia" w:ascii="Times New Roman" w:hAnsi="Times New Roman" w:cs="宋体"/>
                <w:color w:val="000000" w:themeColor="text1"/>
                <w:sz w:val="24"/>
                <w:szCs w:val="20"/>
                <w14:textFill>
                  <w14:solidFill>
                    <w14:schemeClr w14:val="tx1"/>
                  </w14:solidFill>
                </w14:textFill>
              </w:rPr>
              <w:t>。</w:t>
            </w:r>
          </w:p>
          <w:p>
            <w:pPr>
              <w:spacing w:line="360" w:lineRule="auto"/>
              <w:jc w:val="center"/>
            </w:pPr>
            <w:r>
              <w:rPr>
                <w:rFonts w:ascii="Times New Roman" w:hAnsi="Times New Roman"/>
                <w:color w:val="000000" w:themeColor="text1"/>
                <w:sz w:val="24"/>
                <w:szCs w:val="20"/>
                <w14:textFill>
                  <w14:solidFill>
                    <w14:schemeClr w14:val="tx1"/>
                  </w14:solidFill>
                </w14:textFill>
              </w:rPr>
              <w:drawing>
                <wp:inline distT="0" distB="0" distL="0" distR="0">
                  <wp:extent cx="5585460" cy="285750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88609" cy="2859057"/>
                          </a:xfrm>
                          <a:prstGeom prst="rect">
                            <a:avLst/>
                          </a:prstGeom>
                          <a:noFill/>
                          <a:ln>
                            <a:noFill/>
                          </a:ln>
                        </pic:spPr>
                      </pic:pic>
                    </a:graphicData>
                  </a:graphic>
                </wp:inline>
              </w:drawing>
            </w:r>
          </w:p>
          <w:p>
            <w:pPr>
              <w:spacing w:line="360" w:lineRule="auto"/>
              <w:jc w:val="center"/>
              <w:textAlignment w:val="baseline"/>
              <w:rPr>
                <w:b/>
                <w:sz w:val="24"/>
              </w:rPr>
            </w:pPr>
            <w:r>
              <w:rPr>
                <w:rFonts w:hint="eastAsia" w:ascii="Times New Roman"/>
                <w:b/>
                <w:sz w:val="24"/>
                <w:szCs w:val="24"/>
              </w:rPr>
              <w:t>图</w:t>
            </w:r>
            <w:r>
              <w:rPr>
                <w:rFonts w:hint="eastAsia" w:ascii="Times New Roman" w:hAnsi="Times New Roman"/>
                <w:b/>
                <w:sz w:val="24"/>
                <w:szCs w:val="24"/>
              </w:rPr>
              <w:t xml:space="preserve">4-1  </w:t>
            </w:r>
            <w:r>
              <w:rPr>
                <w:rFonts w:hint="eastAsia"/>
                <w:b/>
                <w:sz w:val="24"/>
              </w:rPr>
              <w:t>项目施工期工艺流程及产污环节图</w:t>
            </w:r>
          </w:p>
          <w:p>
            <w:pPr>
              <w:widowControl/>
              <w:spacing w:line="360" w:lineRule="auto"/>
              <w:jc w:val="left"/>
              <w:rPr>
                <w:rFonts w:ascii="Times New Roman" w:hAnsi="Times New Roman" w:cs="宋体"/>
                <w:b/>
                <w:bCs/>
                <w:color w:val="000000" w:themeColor="text1"/>
                <w:kern w:val="0"/>
                <w:sz w:val="24"/>
                <w:szCs w:val="20"/>
                <w14:textFill>
                  <w14:solidFill>
                    <w14:schemeClr w14:val="tx1"/>
                  </w14:solidFill>
                </w14:textFill>
              </w:rPr>
            </w:pPr>
            <w:bookmarkStart w:id="30" w:name="_Toc478656548"/>
            <w:bookmarkStart w:id="31" w:name="_Toc511833651"/>
            <w:bookmarkStart w:id="32" w:name="_Toc511833741"/>
            <w:bookmarkStart w:id="33" w:name="_Toc511833760"/>
            <w:r>
              <w:rPr>
                <w:rFonts w:ascii="Times New Roman" w:hAnsi="Times New Roman" w:cs="宋体"/>
                <w:b/>
                <w:bCs/>
                <w:color w:val="000000" w:themeColor="text1"/>
                <w:kern w:val="0"/>
                <w:sz w:val="24"/>
                <w:szCs w:val="20"/>
                <w14:textFill>
                  <w14:solidFill>
                    <w14:schemeClr w14:val="tx1"/>
                  </w14:solidFill>
                </w14:textFill>
              </w:rPr>
              <w:t>2</w:t>
            </w:r>
            <w:r>
              <w:rPr>
                <w:rFonts w:hint="eastAsia" w:ascii="Times New Roman" w:hAnsi="Times New Roman" w:cs="宋体"/>
                <w:b/>
                <w:bCs/>
                <w:color w:val="000000" w:themeColor="text1"/>
                <w:kern w:val="0"/>
                <w:sz w:val="24"/>
                <w:szCs w:val="20"/>
                <w14:textFill>
                  <w14:solidFill>
                    <w14:schemeClr w14:val="tx1"/>
                  </w14:solidFill>
                </w14:textFill>
              </w:rPr>
              <w:t xml:space="preserve"> 营运期工艺流程</w:t>
            </w:r>
          </w:p>
          <w:p>
            <w:pPr>
              <w:widowControl/>
              <w:spacing w:line="360" w:lineRule="auto"/>
              <w:jc w:val="left"/>
              <w:rPr>
                <w:rFonts w:ascii="Times New Roman" w:hAnsi="Times New Roman" w:cs="宋体"/>
                <w:b/>
                <w:bCs/>
                <w:color w:val="000000" w:themeColor="text1"/>
                <w:kern w:val="0"/>
                <w:sz w:val="24"/>
                <w:szCs w:val="20"/>
                <w14:textFill>
                  <w14:solidFill>
                    <w14:schemeClr w14:val="tx1"/>
                  </w14:solidFill>
                </w14:textFill>
              </w:rPr>
            </w:pPr>
            <w:r>
              <w:rPr>
                <w:rFonts w:ascii="Times New Roman" w:hAnsi="Times New Roman" w:cs="宋体"/>
                <w:b/>
                <w:bCs/>
                <w:color w:val="000000" w:themeColor="text1"/>
                <w:kern w:val="0"/>
                <w:sz w:val="24"/>
                <w:szCs w:val="20"/>
                <w14:textFill>
                  <w14:solidFill>
                    <w14:schemeClr w14:val="tx1"/>
                  </w14:solidFill>
                </w14:textFill>
              </w:rPr>
              <w:t>2</w:t>
            </w:r>
            <w:r>
              <w:rPr>
                <w:rFonts w:hint="eastAsia" w:ascii="Times New Roman" w:hAnsi="Times New Roman" w:cs="宋体"/>
                <w:b/>
                <w:bCs/>
                <w:color w:val="000000" w:themeColor="text1"/>
                <w:kern w:val="0"/>
                <w:sz w:val="24"/>
                <w:szCs w:val="20"/>
                <w14:textFill>
                  <w14:solidFill>
                    <w14:schemeClr w14:val="tx1"/>
                  </w14:solidFill>
                </w14:textFill>
              </w:rPr>
              <w:t>.1 采矿区工艺流程</w:t>
            </w:r>
          </w:p>
          <w:p>
            <w:pPr>
              <w:widowControl/>
              <w:spacing w:line="360" w:lineRule="auto"/>
              <w:ind w:firstLine="480" w:firstLineChars="200"/>
              <w:rPr>
                <w:rFonts w:ascii="Times New Roman" w:hAnsi="Times New Roman" w:cs="宋体"/>
                <w:color w:val="000000" w:themeColor="text1"/>
                <w:sz w:val="24"/>
                <w:szCs w:val="20"/>
                <w14:textFill>
                  <w14:solidFill>
                    <w14:schemeClr w14:val="tx1"/>
                  </w14:solidFill>
                </w14:textFill>
              </w:rPr>
            </w:pPr>
            <w:r>
              <w:rPr>
                <w:rFonts w:hint="eastAsia" w:ascii="Times New Roman" w:hAnsi="Times New Roman" w:cs="宋体"/>
                <w:color w:val="000000" w:themeColor="text1"/>
                <w:sz w:val="24"/>
                <w:szCs w:val="20"/>
                <w14:textFill>
                  <w14:solidFill>
                    <w14:schemeClr w14:val="tx1"/>
                  </w14:solidFill>
                </w14:textFill>
              </w:rPr>
              <w:t>本矿山为一个矿体，设一个开采区，开采方式为露天开采，其顺序为先上后下，分阶段从山坡高处往下开采。开采出的矿石运至厂区西南侧约</w:t>
            </w:r>
            <w:r>
              <w:rPr>
                <w:rFonts w:ascii="Times New Roman" w:hAnsi="Times New Roman" w:cs="宋体"/>
                <w:color w:val="000000" w:themeColor="text1"/>
                <w:sz w:val="24"/>
                <w:szCs w:val="20"/>
                <w14:textFill>
                  <w14:solidFill>
                    <w14:schemeClr w14:val="tx1"/>
                  </w14:solidFill>
                </w14:textFill>
              </w:rPr>
              <w:t>1000</w:t>
            </w:r>
            <w:r>
              <w:rPr>
                <w:rFonts w:hint="eastAsia" w:ascii="Times New Roman" w:hAnsi="Times New Roman" w:cs="宋体"/>
                <w:color w:val="000000" w:themeColor="text1"/>
                <w:sz w:val="24"/>
                <w:szCs w:val="20"/>
                <w14:textFill>
                  <w14:solidFill>
                    <w14:schemeClr w14:val="tx1"/>
                  </w14:solidFill>
                </w14:textFill>
              </w:rPr>
              <w:t>m的原料堆场。不在矿区进行破碎及其他机械选矿操作，不进行爆破，清理的表土堆存于排土场。</w:t>
            </w:r>
          </w:p>
          <w:p>
            <w:pPr>
              <w:widowControl/>
              <w:spacing w:line="360" w:lineRule="auto"/>
              <w:rPr>
                <w:rFonts w:ascii="Times New Roman" w:hAnsi="Times New Roman" w:cs="宋体"/>
                <w:b/>
                <w:bCs/>
                <w:color w:val="000000" w:themeColor="text1"/>
                <w:kern w:val="0"/>
                <w:sz w:val="24"/>
                <w:szCs w:val="20"/>
                <w14:textFill>
                  <w14:solidFill>
                    <w14:schemeClr w14:val="tx1"/>
                  </w14:solidFill>
                </w14:textFill>
              </w:rPr>
            </w:pPr>
            <w:r>
              <w:rPr>
                <w:rFonts w:ascii="Times New Roman" w:hAnsi="Times New Roman"/>
                <w:sz w:val="24"/>
                <w:szCs w:val="24"/>
              </w:rPr>
              <mc:AlternateContent>
                <mc:Choice Requires="wpc">
                  <w:drawing>
                    <wp:inline distT="0" distB="0" distL="0" distR="0">
                      <wp:extent cx="5543550" cy="1000760"/>
                      <wp:effectExtent l="0" t="0" r="12700" b="2540"/>
                      <wp:docPr id="67" name="画布 511"/>
                      <wp:cNvGraphicFramePr/>
                      <a:graphic xmlns:a="http://schemas.openxmlformats.org/drawingml/2006/main">
                        <a:graphicData uri="http://schemas.microsoft.com/office/word/2010/wordprocessingCanvas">
                          <wpc:wpc>
                            <wpc:bg>
                              <a:noFill/>
                            </wpc:bg>
                            <wpc:whole>
                              <a:ln>
                                <a:noFill/>
                              </a:ln>
                            </wpc:whole>
                            <wps:wsp>
                              <wps:cNvPr id="118" name="矩形 2135"/>
                              <wps:cNvSpPr>
                                <a:spLocks noChangeArrowheads="1"/>
                              </wps:cNvSpPr>
                              <wps:spPr bwMode="auto">
                                <a:xfrm>
                                  <a:off x="54806" y="653839"/>
                                  <a:ext cx="1135033" cy="271916"/>
                                </a:xfrm>
                                <a:prstGeom prst="rect">
                                  <a:avLst/>
                                </a:prstGeom>
                                <a:solidFill>
                                  <a:srgbClr val="FFFFFF"/>
                                </a:solidFill>
                                <a:ln w="9525">
                                  <a:solidFill>
                                    <a:srgbClr val="000000"/>
                                  </a:solidFill>
                                  <a:miter lim="800000"/>
                                </a:ln>
                              </wps:spPr>
                              <wps:txbx>
                                <w:txbxContent>
                                  <w:p>
                                    <w:pPr>
                                      <w:jc w:val="center"/>
                                    </w:pPr>
                                    <w:r>
                                      <w:rPr>
                                        <w:rFonts w:hint="eastAsia"/>
                                      </w:rPr>
                                      <w:t>表土剥离</w:t>
                                    </w:r>
                                  </w:p>
                                </w:txbxContent>
                              </wps:txbx>
                              <wps:bodyPr rot="0" vert="horz" wrap="square" lIns="91440" tIns="45720" rIns="91440" bIns="45720" anchor="t" anchorCtr="0" upright="1">
                                <a:noAutofit/>
                              </wps:bodyPr>
                            </wps:wsp>
                            <wps:wsp>
                              <wps:cNvPr id="119" name="矩形 2135"/>
                              <wps:cNvSpPr>
                                <a:spLocks noChangeArrowheads="1"/>
                              </wps:cNvSpPr>
                              <wps:spPr bwMode="auto">
                                <a:xfrm>
                                  <a:off x="1826814" y="654639"/>
                                  <a:ext cx="895505" cy="271916"/>
                                </a:xfrm>
                                <a:prstGeom prst="rect">
                                  <a:avLst/>
                                </a:prstGeom>
                                <a:solidFill>
                                  <a:srgbClr val="FFFFFF"/>
                                </a:solidFill>
                                <a:ln w="9525">
                                  <a:solidFill>
                                    <a:srgbClr val="000000"/>
                                  </a:solidFill>
                                  <a:miter lim="800000"/>
                                </a:ln>
                              </wps:spPr>
                              <wps:txbx>
                                <w:txbxContent>
                                  <w:p>
                                    <w:pPr>
                                      <w:jc w:val="center"/>
                                    </w:pPr>
                                    <w:r>
                                      <w:rPr>
                                        <w:rFonts w:hint="eastAsia"/>
                                      </w:rPr>
                                      <w:t>挖掘机剥离</w:t>
                                    </w:r>
                                  </w:p>
                                </w:txbxContent>
                              </wps:txbx>
                              <wps:bodyPr rot="0" vert="horz" wrap="square" lIns="91440" tIns="45720" rIns="91440" bIns="45720" anchor="t" anchorCtr="0" upright="1">
                                <a:noAutofit/>
                              </wps:bodyPr>
                            </wps:wsp>
                            <wps:wsp>
                              <wps:cNvPr id="120" name="矩形 2135"/>
                              <wps:cNvSpPr>
                                <a:spLocks noChangeArrowheads="1"/>
                              </wps:cNvSpPr>
                              <wps:spPr bwMode="auto">
                                <a:xfrm>
                                  <a:off x="3370095" y="653839"/>
                                  <a:ext cx="889604" cy="271916"/>
                                </a:xfrm>
                                <a:prstGeom prst="rect">
                                  <a:avLst/>
                                </a:prstGeom>
                                <a:solidFill>
                                  <a:srgbClr val="FFFFFF"/>
                                </a:solidFill>
                                <a:ln w="9525">
                                  <a:solidFill>
                                    <a:srgbClr val="000000"/>
                                  </a:solidFill>
                                  <a:miter lim="800000"/>
                                </a:ln>
                              </wps:spPr>
                              <wps:txbx>
                                <w:txbxContent>
                                  <w:p>
                                    <w:pPr>
                                      <w:jc w:val="center"/>
                                    </w:pPr>
                                    <w:r>
                                      <w:rPr>
                                        <w:rFonts w:hint="eastAsia"/>
                                      </w:rPr>
                                      <w:t>采装</w:t>
                                    </w:r>
                                  </w:p>
                                </w:txbxContent>
                              </wps:txbx>
                              <wps:bodyPr rot="0" vert="horz" wrap="square" lIns="91440" tIns="45720" rIns="91440" bIns="45720" anchor="t" anchorCtr="0" upright="1">
                                <a:noAutofit/>
                              </wps:bodyPr>
                            </wps:wsp>
                            <wps:wsp>
                              <wps:cNvPr id="121" name="矩形 2135"/>
                              <wps:cNvSpPr>
                                <a:spLocks noChangeArrowheads="1"/>
                              </wps:cNvSpPr>
                              <wps:spPr bwMode="auto">
                                <a:xfrm>
                                  <a:off x="4678449" y="653839"/>
                                  <a:ext cx="865501" cy="272716"/>
                                </a:xfrm>
                                <a:prstGeom prst="rect">
                                  <a:avLst/>
                                </a:prstGeom>
                                <a:solidFill>
                                  <a:srgbClr val="FFFFFF"/>
                                </a:solidFill>
                                <a:ln w="9525">
                                  <a:solidFill>
                                    <a:srgbClr val="000000"/>
                                  </a:solidFill>
                                  <a:miter lim="800000"/>
                                </a:ln>
                              </wps:spPr>
                              <wps:txbx>
                                <w:txbxContent>
                                  <w:p>
                                    <w:pPr>
                                      <w:jc w:val="center"/>
                                    </w:pPr>
                                    <w:r>
                                      <w:rPr>
                                        <w:rFonts w:hint="eastAsia"/>
                                      </w:rPr>
                                      <w:t>加工场</w:t>
                                    </w:r>
                                  </w:p>
                                </w:txbxContent>
                              </wps:txbx>
                              <wps:bodyPr rot="0" vert="horz" wrap="square" lIns="91440" tIns="45720" rIns="91440" bIns="45720" anchor="t" anchorCtr="0" upright="1">
                                <a:noAutofit/>
                              </wps:bodyPr>
                            </wps:wsp>
                            <wps:wsp>
                              <wps:cNvPr id="122" name="矩形 2135"/>
                              <wps:cNvSpPr>
                                <a:spLocks noChangeArrowheads="1"/>
                              </wps:cNvSpPr>
                              <wps:spPr bwMode="auto">
                                <a:xfrm>
                                  <a:off x="1826814" y="0"/>
                                  <a:ext cx="895505" cy="271816"/>
                                </a:xfrm>
                                <a:prstGeom prst="rect">
                                  <a:avLst/>
                                </a:prstGeom>
                                <a:solidFill>
                                  <a:srgbClr val="FFFFFF"/>
                                </a:solidFill>
                                <a:ln>
                                  <a:noFill/>
                                </a:ln>
                              </wps:spPr>
                              <wps:txbx>
                                <w:txbxContent>
                                  <w:p>
                                    <w:pPr>
                                      <w:jc w:val="center"/>
                                      <w:rPr>
                                        <w:sz w:val="18"/>
                                        <w:szCs w:val="18"/>
                                      </w:rPr>
                                    </w:pPr>
                                    <w:r>
                                      <w:rPr>
                                        <w:rFonts w:hint="eastAsia"/>
                                        <w:sz w:val="18"/>
                                        <w:szCs w:val="18"/>
                                      </w:rPr>
                                      <w:t>粉尘、噪声</w:t>
                                    </w:r>
                                  </w:p>
                                </w:txbxContent>
                              </wps:txbx>
                              <wps:bodyPr rot="0" vert="horz" wrap="square" lIns="91440" tIns="45720" rIns="91440" bIns="45720" anchor="t" anchorCtr="0" upright="1">
                                <a:noAutofit/>
                              </wps:bodyPr>
                            </wps:wsp>
                            <wps:wsp>
                              <wps:cNvPr id="123" name="AutoShape 11"/>
                              <wps:cNvCnPr>
                                <a:cxnSpLocks noChangeShapeType="1"/>
                              </wps:cNvCnPr>
                              <wps:spPr bwMode="auto">
                                <a:xfrm>
                                  <a:off x="4259699" y="789847"/>
                                  <a:ext cx="418749" cy="800"/>
                                </a:xfrm>
                                <a:prstGeom prst="straightConnector1">
                                  <a:avLst/>
                                </a:prstGeom>
                                <a:noFill/>
                                <a:ln w="9525">
                                  <a:solidFill>
                                    <a:srgbClr val="000000"/>
                                  </a:solidFill>
                                  <a:round/>
                                  <a:tailEnd type="triangle" w="med" len="med"/>
                                </a:ln>
                              </wps:spPr>
                              <wps:bodyPr/>
                            </wps:wsp>
                            <wps:wsp>
                              <wps:cNvPr id="124" name="矩形 2135"/>
                              <wps:cNvSpPr>
                                <a:spLocks noChangeArrowheads="1"/>
                              </wps:cNvSpPr>
                              <wps:spPr bwMode="auto">
                                <a:xfrm>
                                  <a:off x="35904" y="0"/>
                                  <a:ext cx="1180338" cy="271816"/>
                                </a:xfrm>
                                <a:prstGeom prst="rect">
                                  <a:avLst/>
                                </a:prstGeom>
                                <a:solidFill>
                                  <a:srgbClr val="FFFFFF"/>
                                </a:solidFill>
                                <a:ln>
                                  <a:noFill/>
                                </a:ln>
                              </wps:spPr>
                              <wps:txbx>
                                <w:txbxContent>
                                  <w:p>
                                    <w:pPr>
                                      <w:jc w:val="center"/>
                                      <w:rPr>
                                        <w:sz w:val="18"/>
                                        <w:szCs w:val="18"/>
                                      </w:rPr>
                                    </w:pPr>
                                    <w:r>
                                      <w:rPr>
                                        <w:rFonts w:hint="eastAsia"/>
                                        <w:sz w:val="18"/>
                                        <w:szCs w:val="18"/>
                                      </w:rPr>
                                      <w:t>扬尘、表土、噪声</w:t>
                                    </w:r>
                                  </w:p>
                                </w:txbxContent>
                              </wps:txbx>
                              <wps:bodyPr rot="0" vert="horz" wrap="square" lIns="91440" tIns="45720" rIns="91440" bIns="45720" anchor="t" anchorCtr="0" upright="1">
                                <a:noAutofit/>
                              </wps:bodyPr>
                            </wps:wsp>
                            <wps:wsp>
                              <wps:cNvPr id="125" name="AutoShape 13"/>
                              <wps:cNvCnPr>
                                <a:cxnSpLocks noChangeShapeType="1"/>
                              </wps:cNvCnPr>
                              <wps:spPr bwMode="auto">
                                <a:xfrm flipV="1">
                                  <a:off x="3790945" y="271816"/>
                                  <a:ext cx="800" cy="382023"/>
                                </a:xfrm>
                                <a:prstGeom prst="straightConnector1">
                                  <a:avLst/>
                                </a:prstGeom>
                                <a:noFill/>
                                <a:ln w="9525">
                                  <a:solidFill>
                                    <a:srgbClr val="000000"/>
                                  </a:solidFill>
                                  <a:prstDash val="dash"/>
                                  <a:round/>
                                  <a:tailEnd type="triangle" w="med" len="med"/>
                                </a:ln>
                              </wps:spPr>
                              <wps:bodyPr/>
                            </wps:wsp>
                            <wps:wsp>
                              <wps:cNvPr id="126" name="AutoShape 14"/>
                              <wps:cNvCnPr>
                                <a:cxnSpLocks noChangeShapeType="1"/>
                              </wps:cNvCnPr>
                              <wps:spPr bwMode="auto">
                                <a:xfrm flipV="1">
                                  <a:off x="2722319" y="789847"/>
                                  <a:ext cx="647776" cy="800"/>
                                </a:xfrm>
                                <a:prstGeom prst="straightConnector1">
                                  <a:avLst/>
                                </a:prstGeom>
                                <a:noFill/>
                                <a:ln w="9525">
                                  <a:solidFill>
                                    <a:srgbClr val="000000"/>
                                  </a:solidFill>
                                  <a:round/>
                                  <a:tailEnd type="triangle" w="med" len="med"/>
                                </a:ln>
                              </wps:spPr>
                              <wps:bodyPr/>
                            </wps:wsp>
                            <wps:wsp>
                              <wps:cNvPr id="127" name="AutoShape 16"/>
                              <wps:cNvCnPr>
                                <a:cxnSpLocks noChangeShapeType="1"/>
                              </wps:cNvCnPr>
                              <wps:spPr bwMode="auto">
                                <a:xfrm>
                                  <a:off x="1189840" y="789847"/>
                                  <a:ext cx="636975" cy="800"/>
                                </a:xfrm>
                                <a:prstGeom prst="straightConnector1">
                                  <a:avLst/>
                                </a:prstGeom>
                                <a:noFill/>
                                <a:ln w="9525">
                                  <a:solidFill>
                                    <a:srgbClr val="000000"/>
                                  </a:solidFill>
                                  <a:round/>
                                  <a:tailEnd type="triangle" w="med" len="med"/>
                                </a:ln>
                              </wps:spPr>
                              <wps:bodyPr/>
                            </wps:wsp>
                            <wps:wsp>
                              <wps:cNvPr id="64" name="矩形 2135"/>
                              <wps:cNvSpPr>
                                <a:spLocks noChangeArrowheads="1"/>
                              </wps:cNvSpPr>
                              <wps:spPr bwMode="auto">
                                <a:xfrm>
                                  <a:off x="3370095" y="0"/>
                                  <a:ext cx="838598" cy="271816"/>
                                </a:xfrm>
                                <a:prstGeom prst="rect">
                                  <a:avLst/>
                                </a:prstGeom>
                                <a:solidFill>
                                  <a:srgbClr val="FFFFFF"/>
                                </a:solidFill>
                                <a:ln>
                                  <a:noFill/>
                                </a:ln>
                              </wps:spPr>
                              <wps:txbx>
                                <w:txbxContent>
                                  <w:p>
                                    <w:pPr>
                                      <w:jc w:val="center"/>
                                      <w:rPr>
                                        <w:sz w:val="18"/>
                                        <w:szCs w:val="18"/>
                                      </w:rPr>
                                    </w:pPr>
                                    <w:r>
                                      <w:rPr>
                                        <w:rFonts w:hint="eastAsia"/>
                                        <w:sz w:val="18"/>
                                        <w:szCs w:val="18"/>
                                      </w:rPr>
                                      <w:t>扬尘、噪声</w:t>
                                    </w:r>
                                  </w:p>
                                </w:txbxContent>
                              </wps:txbx>
                              <wps:bodyPr rot="0" vert="horz" wrap="square" lIns="91440" tIns="45720" rIns="91440" bIns="45720" anchor="t" anchorCtr="0" upright="1">
                                <a:noAutofit/>
                              </wps:bodyPr>
                            </wps:wsp>
                            <wps:wsp>
                              <wps:cNvPr id="65" name="AutoShape 18"/>
                              <wps:cNvCnPr>
                                <a:cxnSpLocks noChangeShapeType="1"/>
                              </wps:cNvCnPr>
                              <wps:spPr bwMode="auto">
                                <a:xfrm flipV="1">
                                  <a:off x="2274567" y="271816"/>
                                  <a:ext cx="0" cy="382823"/>
                                </a:xfrm>
                                <a:prstGeom prst="straightConnector1">
                                  <a:avLst/>
                                </a:prstGeom>
                                <a:noFill/>
                                <a:ln w="9525">
                                  <a:solidFill>
                                    <a:srgbClr val="000000"/>
                                  </a:solidFill>
                                  <a:prstDash val="dash"/>
                                  <a:round/>
                                  <a:tailEnd type="triangle" w="med" len="med"/>
                                </a:ln>
                              </wps:spPr>
                              <wps:bodyPr/>
                            </wps:wsp>
                            <wps:wsp>
                              <wps:cNvPr id="66" name="AutoShape 19"/>
                              <wps:cNvCnPr>
                                <a:cxnSpLocks noChangeShapeType="1"/>
                              </wps:cNvCnPr>
                              <wps:spPr bwMode="auto">
                                <a:xfrm flipH="1" flipV="1">
                                  <a:off x="606671" y="271816"/>
                                  <a:ext cx="3100" cy="382023"/>
                                </a:xfrm>
                                <a:prstGeom prst="straightConnector1">
                                  <a:avLst/>
                                </a:prstGeom>
                                <a:noFill/>
                                <a:ln w="9525">
                                  <a:solidFill>
                                    <a:srgbClr val="000000"/>
                                  </a:solidFill>
                                  <a:prstDash val="dash"/>
                                  <a:round/>
                                  <a:tailEnd type="triangle" w="med" len="med"/>
                                </a:ln>
                              </wps:spPr>
                              <wps:bodyPr/>
                            </wps:wsp>
                          </wpc:wpc>
                        </a:graphicData>
                      </a:graphic>
                    </wp:inline>
                  </w:drawing>
                </mc:Choice>
                <mc:Fallback>
                  <w:pict>
                    <v:group id="画布 511" o:spid="_x0000_s1026" o:spt="203" style="height:78.8pt;width:436.5pt;" coordsize="5543550,1000760" editas="canvas" o:gfxdata="UEsDBAoAAAAAAIdO4kAAAAAAAAAAAAAAAAAEAAAAZHJzL1BLAwQUAAAACACHTuJAJBBVmNYAAAAF&#10;AQAADwAAAGRycy9kb3ducmV2LnhtbE2PQUvDQBCF74L/YRnBi9hNFdsSs+mhIBYRSlPteZodk2B2&#10;Ns1uk/rvHb3oZeDxHm++ly3PrlUD9aHxbGA6SUARl942XBl42z3dLkCFiGyx9UwGvijAMr+8yDC1&#10;fuQtDUWslJRwSNFAHWOXah3KmhyGie+IxfvwvcMosq+07XGUctfquySZaYcNy4caO1rVVH4WJ2dg&#10;LDfDfvf6rDc3+7Xn4/q4Kt5fjLm+miaPoCKd418YfvAFHXJhOvgT26BaAzIk/l7xFvN7kQcJPcxn&#10;oPNM/6fPvwFQSwMEFAAAAAgAh07iQM/MNgfgBAAAriEAAA4AAABkcnMvZTJvRG9jLnhtbO1a3Y7j&#10;NBS+R+IdLN8zzf+fJrNadXYGpAVWmoV7N3GaiMQOtjvpcMsrcI/EHW+AhHicFa/BsZ12Op2WXQHT&#10;apn2oo1rxzk+/nz8fcc5f7HsWnRLhWw4y7F75mBEWcHLhs1z/M3bq88SjKQirCQtZzTHd1TiFxef&#10;fnI+9Bn1eM3bkgoEnTCZDX2Oa6X6bDKRRU07Is94TxlUVlx0REFRzCelIAP03rUTz3GiycBF2Qte&#10;UCnh30tbiccexYd0yKuqKeglLxYdZcr2KmhLFAxJ1k0v8YWxtqpoob6uKkkVanMMI1XmGx4C1zP9&#10;Pbk4J9lckL5uitEE8iEmbI2pIw2Dh667uiSKoIVoHnXVNYXgklfqrODdxA7EeARG4TpbvrkWfNGb&#10;scyzYd6vnQ4TteX1f9xt8dXtG4GaMsdRjBEjHcz4nz/9/u63H1Houto9Qz/PoNW16G/6N2L8Y25L&#10;esTLSnT6F8aClsaxd2vH0qVCBfwZhoEfhuDzAupcx3HiaHR9UcP8PLqvqF+9587J6sETbd/anKEH&#10;UMp7T8l/56mbmvTUTIDUPhg95bqwREZX/fzruz9+QZ7rh9ZXpp12lHaJ7F/z4juJGJ/WhM3pSyH4&#10;UFNSglnGt2D8xg26IOFWNBu+5CVMBFkoblC15eMwSJwII/BlFPqJn1oUr5ztgjGO71tne7GbupFu&#10;sPYYyXoh1TXlHdIXORawSsxjyO1rqWzTVRMzDN425VXTtqYg5rNpK9AtgRV1ZT5j73KzWcvQkOM0&#10;9ELT84M6udkFgAE+u7roGgWBpm26HCebjVoGg1n5SuNTZmo5WxpkymzGyztwoeB2qUOgg4uaix8w&#10;GmCZ51h+vyCCYtR+wWAaUjcIdFwwhSCMPSiIzZrZZg1hBXSVY4WRvZwqG0sWvWjmNTzJNcNl/CVM&#10;XdUYZ2oDrVWj3QBQa/YBkJoeF6lu4kWJG4xYDaJtrCYphIXwBFW9Hz1zqOqVd8yg6vux46SAxT1h&#10;NUnSyAEk6y3sFFWfdVT13ONCNYjiJAggtO+DagRRFWy0UAWwngjAcyUAnndcqG4SgJHyr3jq1t6f&#10;HAelmtMyrtmtJb4ndrlDiO7RQR6IDLtla7prGqGVaDS6ZsqsECqW7GZLC5nWb+96kDkPpJC9ZUXv&#10;3yuFAi9Mo9SGwjhJkyB+KIYCN4l1pNShEFTE3wshqQTRNH7KGQNNxIVl83tk0Ro1JPsP1A5IfVYC&#10;BEmmSNO+YiVSxjlKNCAdWxAsoKc6WoJwoZC30Vd7AWvVhq7Wfjyg3PCAHx2Vw4Wppmgw11uxBiQ7&#10;SGKQ7SN7OwWbj07KQibhcbDx9SLQIIfszBMFG1S1Tf/tStmPWS4/Tp00sGIB+NUIJ5Kt9zYINQZr&#10;fuI5ECbtUl2lcVbJlTH/csywo025JLK2+ZwSrrStJPt/hCNIkj3an4IjQcaLPc939+9UURDHMRh8&#10;2qkOkcL11tnuDepiZNLTRhO9tsYYAnsS8BWIE7Bd7aIukR+lMYSYEyAOAIjo2MxlI/u0xV0SPwnT&#10;E3WBZP2Yn//YqEu0i7kkx9qGvDgI9VkfRJ1dzOWetyQn3qKPkg4vo6JdtMUc8j3t3mSY7uea6e7k&#10;vJETRTHU7QGOD+e6J86r8x16lnZIcHNSDcf45ih2fOVAvyewWTaS/f41i4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CQQVZjWAAAABQEAAA8AAAAAAAAAAQAgAAAAIgAAAGRycy9kb3ducmV2Lnht&#10;bFBLAQIUABQAAAAIAIdO4kDPzDYH4AQAAK4hAAAOAAAAAAAAAAEAIAAAACUBAABkcnMvZTJvRG9j&#10;LnhtbFBLBQYAAAAABgAGAFkBAAB3CAAAAAA=&#10;">
                      <o:lock v:ext="edit" aspectratio="f"/>
                      <v:shape id="画布 511" o:spid="_x0000_s1026" style="position:absolute;left:0;top:0;height:1000760;width:5543550;" filled="f" stroked="f" coordsize="21600,21600" o:gfxdata="UEsDBAoAAAAAAIdO4kAAAAAAAAAAAAAAAAAEAAAAZHJzL1BLAwQUAAAACACHTuJAJBBVmNYAAAAF&#10;AQAADwAAAGRycy9kb3ducmV2LnhtbE2PQUvDQBCF74L/YRnBi9hNFdsSs+mhIBYRSlPteZodk2B2&#10;Ns1uk/rvHb3oZeDxHm++ly3PrlUD9aHxbGA6SUARl942XBl42z3dLkCFiGyx9UwGvijAMr+8yDC1&#10;fuQtDUWslJRwSNFAHWOXah3KmhyGie+IxfvwvcMosq+07XGUctfquySZaYcNy4caO1rVVH4WJ2dg&#10;LDfDfvf6rDc3+7Xn4/q4Kt5fjLm+miaPoCKd418YfvAFHXJhOvgT26BaAzIk/l7xFvN7kQcJPcxn&#10;oPNM/6fPvwFQSwMEFAAAAAgAh07iQP/6zt+WBAAAKCEAAA4AAABkcnMvZTJvRG9jLnhtbO1a3W7b&#10;NhS+H7B3IHi/WP9/iFIUzrIN6NYC6XZPS5QlTCI1ko6dvsyA3e0h9jjFXmOHpOw4jj0E6GKhq3zh&#10;UCZ1eHj48fD7yFy+2nQtuqNCNpzl2L1wMKKs4GXDljn++f3NNwlGUhFWkpYzmuN7KvGrq6+/ulz3&#10;GfV4zduSCgRGmMzWfY5rpfpsNpNFTTsiL3hPGVRWXHREwaNYzkpB1mC9a2ee40SzNRdlL3hBpYRf&#10;r20lHiyK5xjkVdUU9JoXq44yZa0K2hIFQ5J100t8ZbytKlqot1UlqUJtjmGkynxDJ1Be6O/Z1SXJ&#10;loL0dVMMLpDnuHAwpo40DDrdmbomiqCVaJ6Y6ppCcMkrdVHwbmYHYiICo3Cdg9jMCbsjdjAFxHrr&#10;IJT+Q7uLpfab8ZumbSEaM7Ce6d/03zXMNtXVLXvcyP5i2g5t1j3AQfY7YMhPc/G2Jj010yiz4qe7&#10;dwI1JaDVBXAy0gEs//79z49//YE81w/1JOruod1t/05oT2X/hhe/SsT4vCZsSV8Lwdc1JSW45er2&#10;4PreC/pBwqtosf6Rl2CdrBQ387mpRKcNwkyhTY7DIHEijO5zHIV+4qcWP3SjUAG1Ljjj+D5GBTTw&#10;Yjd1I9MXybZmeiHVd5R3SBdyLACfphty90Yq7RbJtk3MMHjblHpizINYLuatQHcEsHxjPoN1ud+s&#10;ZWid4zT0QmP5UZ3cN+GYzzETXaNgibdNl+Nkv5FGgQmcjpWNudosNkP4F7y8hxAKbhcZpBgo1Fx8&#10;wGgNCyzH8rcVERSj9gcG05C6QaBXpHkIwtiDB7Ffs9ivIawAUzlWGNniXNlVvOpFs6yhJ9cMl/HX&#10;MHVVY4Kpp9V6NfgNALVunwGp6bhIdRMvStxgwGoQHWI1ScPQCSeo6p3gC4eqXnljJlXfjx0nBSye&#10;SKtJkkYOIHnKqhNU3XGhGkRxEgSQ2k9BNYKsCj5aqAIFmAjAl0oAPG9cqO4TgEHnbHnqwd6fjINS&#10;zWkfZMdOUVgmPrFLK49P6CAPRIbdsjXdNY2Qa4TNoGvmzAqhYsNuD7SQaf3+vgeZ80gK2VeeLYUC&#10;L0yj1KbCOEmTIH4shgI3iXWm1KkQVMS/CyGpBNE0fs4ZA03EhWXzJ2TRDjUaNJ+sdgRfsRI0DMkU&#10;adpvWYmUCY4SDUjHFgQL6KmOliBcKJyY6JJVakfkkFUbulrH8YxywwN+NCqHC1NN0WCuD3INSHaQ&#10;xCDbB/Y2JZvPTsrCScLTZOPrRfCyyQZVbdP/slX2wwmMH6dOGlixAPxqgBPJdnsbpBqDNT/xHEiT&#10;dqmeOH8ZM+3oc55rImt7nlNCSftKsv9HOoJDsif7UzASZLzY83z39E4VBXEcg8PTTnWOI1wvPgIN&#10;I5NeNpvotTXkENiTgK9AnoDt6hh1ifwojSHFTIA4AyCisZnL3unTAXdJ/CRMJ+oCh/XD+fznRl2i&#10;Y8wlGWsb8uIgjCD7QdY5xlweeEsy8RZ9lXR+GRUdoy3mku9l9ybDdL/XTPco542cKIqh7gRwfHfi&#10;vA83kkckuL2n7gtzvzpc9usb+v1nI9kf/sHh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AkEFWY&#10;1gAAAAUBAAAPAAAAAAAAAAEAIAAAACIAAABkcnMvZG93bnJldi54bWxQSwECFAAUAAAACACHTuJA&#10;//rO35YEAAAoIQAADgAAAAAAAAABACAAAAAlAQAAZHJzL2Uyb0RvYy54bWxQSwUGAAAAAAYABgBZ&#10;AQAALQgAAAAA&#10;">
                        <v:fill on="f" focussize="0,0"/>
                        <v:stroke on="f"/>
                        <v:imagedata o:title=""/>
                        <o:lock v:ext="edit" aspectratio="f"/>
                      </v:shape>
                      <v:rect id="矩形 2135" o:spid="_x0000_s1026" o:spt="1" style="position:absolute;left:54806;top:653839;height:271916;width:1135033;" fillcolor="#FFFFFF" filled="t" stroked="t" coordsize="21600,21600" o:gfxdata="UEsDBAoAAAAAAIdO4kAAAAAAAAAAAAAAAAAEAAAAZHJzL1BLAwQUAAAACACHTuJA4XBPTdQAAAAF&#10;AQAADwAAAGRycy9kb3ducmV2LnhtbE2PsU7DQBBEeyT+4bRIdOScRCTB+JwCFCTKxGno1r7FNvj2&#10;LN85MXw9C01oVhrNaPZNtp1cp040hNazgfksAUVcedtybeBY7O42oEJEtth5JgNfFGCbX19lmFp/&#10;5j2dDrFWUsIhRQNNjH2qdagachhmvicW790PDqPIodZ2wLOUu04vkmSlHbYsHxrs6amh6vMwOgNl&#10;uzji9754SdzDbhlfp+JjfHs25vZmnjyCijTFSxh+8QUdcmEq/cg2qM6ADIl/V7zNeimylND9egU6&#10;z/R/+vwHUEsDBBQAAAAIAIdO4kBExzE9RwIAAIgEAAAOAAAAZHJzL2Uyb0RvYy54bWytVM2O0zAQ&#10;viPxDpbvNEn/to2arlatipAWWGnhARzHaSz8x9hturwMEjcegsdBvAYTJ7t0Fw57IIfIkxl/M983&#10;M1ldnrQiRwFeWlPQbJRSIgy3lTT7gn78sHu1oMQHZiqmrBEFvROeXq5fvli1Lhdj21hVCSAIYnze&#10;uoI2Ibg8STxvhGZ+ZJ0w6KwtaBbQhH1SAWsRXatknKbzpLVQObBceI9ft72TDojwHEBb15KLreUH&#10;LUzoUUEoFpCSb6TzdB2rrWvBw/u69iIQVVBkGuIbk+C57N7JesXyPTDXSD6UwJ5TwhNOmkmDSR+g&#10;tiwwcgD5F5SWHKy3dRhxq5OeSFQEWWTpE21uG+ZE5IJSe/cguv9/sPzd8QaIrHASMmy8YRpb/uvr&#10;958/vpFxNpl1ArXO5xh3626go+jdteWfPDF20zCzF1cAtm0Eq7CsrItPHl3oDI9XSdm+tRWis0Ow&#10;UatTDboDRBXIqaCz6SKdU3JX0Plsspgs+96IUyAcvRkWk04mlHAMGF9ky2wec7H8HsaBD6+F1aQ7&#10;FBSw9zENO1770JXF8vuQSMMqWe2kUtGAfblRQI4M52QXnwHdn4cpQ9qCLmfjWUR+5PPnEGl8/gWh&#10;ZcD1UVIXdHEepMwgXKdVr3k4ladB/tJWdygh2H6AcX3x0Fj4QkmLw1tQ//nAQFCi3hhswzKbTrtp&#10;j8Z0djFGA8495bmHGY5QBQ2U9MdN6Dfk4EDuG8yURbrGXmHrahnF7NraVzXUjQMaNR6WqduAcztG&#10;/fmBr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XBPTdQAAAAFAQAADwAAAAAAAAABACAAAAAi&#10;AAAAZHJzL2Rvd25yZXYueG1sUEsBAhQAFAAAAAgAh07iQETHMT1HAgAAiAQAAA4AAAAAAAAAAQAg&#10;AAAAIwEAAGRycy9lMm9Eb2MueG1sUEsFBgAAAAAGAAYAWQEAANwFAAAAAA==&#10;">
                        <v:fill on="t" focussize="0,0"/>
                        <v:stroke color="#000000" miterlimit="8" joinstyle="miter"/>
                        <v:imagedata o:title=""/>
                        <o:lock v:ext="edit" aspectratio="f"/>
                        <v:textbox>
                          <w:txbxContent>
                            <w:p>
                              <w:pPr>
                                <w:jc w:val="center"/>
                              </w:pPr>
                              <w:r>
                                <w:rPr>
                                  <w:rFonts w:hint="eastAsia"/>
                                </w:rPr>
                                <w:t>表土剥离</w:t>
                              </w:r>
                            </w:p>
                          </w:txbxContent>
                        </v:textbox>
                      </v:rect>
                      <v:rect id="矩形 2135" o:spid="_x0000_s1026" o:spt="1" style="position:absolute;left:1826814;top:654639;height:271916;width:895505;" fillcolor="#FFFFFF" filled="t" stroked="t" coordsize="21600,21600" o:gfxdata="UEsDBAoAAAAAAIdO4kAAAAAAAAAAAAAAAAAEAAAAZHJzL1BLAwQUAAAACACHTuJA4XBPTdQAAAAF&#10;AQAADwAAAGRycy9kb3ducmV2LnhtbE2PsU7DQBBEeyT+4bRIdOScRCTB+JwCFCTKxGno1r7FNvj2&#10;LN85MXw9C01oVhrNaPZNtp1cp040hNazgfksAUVcedtybeBY7O42oEJEtth5JgNfFGCbX19lmFp/&#10;5j2dDrFWUsIhRQNNjH2qdagachhmvicW790PDqPIodZ2wLOUu04vkmSlHbYsHxrs6amh6vMwOgNl&#10;uzji9754SdzDbhlfp+JjfHs25vZmnjyCijTFSxh+8QUdcmEq/cg2qM6ADIl/V7zNeimylND9egU6&#10;z/R/+vwHUEsDBBQAAAAIAIdO4kBPp2k8RwIAAIkEAAAOAAAAZHJzL2Uyb0RvYy54bWytVM2O0zAQ&#10;viPxDpbvNE226bZR09WqVRHSAistPIDrOI2F/xi7TcvLIHHjIXgcxGswcbJLd+GwB3KIPJnxN/N9&#10;M5PF1VErchDgpTUlTUdjSoThtpJmV9KPHzavZpT4wEzFlDWipCfh6dXy5YtF6wqR2caqSgBBEOOL&#10;1pW0CcEVSeJ5IzTzI+uEQWdtQbOAJuySCliL6Fol2Xg8TVoLlQPLhff4dd076YAIzwG0dS25WFu+&#10;18KEHhWEYgEp+UY6T5ex2roWPLyvay8CUSVFpiG+MQmet907WS5YsQPmGsmHEthzSnjCSTNpMOkD&#10;1JoFRvYg/4LSkoP1tg4jbnXSE4mKIIt0/ESbu4Y5Ebmg1N49iO7/Hyx/d7gFIiuchHROiWEaW/7r&#10;6/efP76RLL3IO4Fa5wuMu3O30FH07sbyT54Yu2qY2YlrANs2glVYVtrFJ48udIbHq2TbvrUVorN9&#10;sFGrYw26A0QVyBHvzrLpLJ1QcirpNJ9ML+Z9d8QxEI7+2TzPxzklHP3ZZTpPpzEZK+5xHPjwWlhN&#10;ukNJAZsf87DDjQ9dXay4D4k8rJLVRioVDdhtVwrIgeGgbOIzoPvzMGVIW9J5nuUR+ZHPn0OM4/Mv&#10;CC0D7o+SGhmdBykzKNeJ1YsejtvjoP/WVifUEGw/wbi/eGgsfKGkxektqf+8ZyAoUW8M9mGeTibd&#10;uEdjkl9maMC5Z3vuYYYjVEkDJf1xFfoV2TuQuwYzpZGusdfYu1pGMbu+9lUNdeOERo2HbepW4NyO&#10;UX/+I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XBPTdQAAAAFAQAADwAAAAAAAAABACAAAAAi&#10;AAAAZHJzL2Rvd25yZXYueG1sUEsBAhQAFAAAAAgAh07iQE+naTxHAgAAiQQAAA4AAAAAAAAAAQAg&#10;AAAAIwEAAGRycy9lMm9Eb2MueG1sUEsFBgAAAAAGAAYAWQEAANwFAAAAAA==&#10;">
                        <v:fill on="t" focussize="0,0"/>
                        <v:stroke color="#000000" miterlimit="8" joinstyle="miter"/>
                        <v:imagedata o:title=""/>
                        <o:lock v:ext="edit" aspectratio="f"/>
                        <v:textbox>
                          <w:txbxContent>
                            <w:p>
                              <w:pPr>
                                <w:jc w:val="center"/>
                              </w:pPr>
                              <w:r>
                                <w:rPr>
                                  <w:rFonts w:hint="eastAsia"/>
                                </w:rPr>
                                <w:t>挖掘机剥离</w:t>
                              </w:r>
                            </w:p>
                          </w:txbxContent>
                        </v:textbox>
                      </v:rect>
                      <v:rect id="矩形 2135" o:spid="_x0000_s1026" o:spt="1" style="position:absolute;left:3370095;top:653839;height:271916;width:889604;" fillcolor="#FFFFFF" filled="t" stroked="t" coordsize="21600,21600" o:gfxdata="UEsDBAoAAAAAAIdO4kAAAAAAAAAAAAAAAAAEAAAAZHJzL1BLAwQUAAAACACHTuJA4XBPTdQAAAAF&#10;AQAADwAAAGRycy9kb3ducmV2LnhtbE2PsU7DQBBEeyT+4bRIdOScRCTB+JwCFCTKxGno1r7FNvj2&#10;LN85MXw9C01oVhrNaPZNtp1cp040hNazgfksAUVcedtybeBY7O42oEJEtth5JgNfFGCbX19lmFp/&#10;5j2dDrFWUsIhRQNNjH2qdagachhmvicW790PDqPIodZ2wLOUu04vkmSlHbYsHxrs6amh6vMwOgNl&#10;uzji9754SdzDbhlfp+JjfHs25vZmnjyCijTFSxh+8QUdcmEq/cg2qM6ADIl/V7zNeimylND9egU6&#10;z/R/+vwHUEsDBBQAAAAIAIdO4kAK42BRSAIAAIkEAAAOAAAAZHJzL2Uyb0RvYy54bWytVEtu2zAQ&#10;3RfoHQjuG0n+xRYsB4GNFAXSNkDaA9AUZRHlr0PacnqZAt31ED1O0Wt0SCmpk3aRRbUQOJrhm3lv&#10;ZrS8OGpFDgK8tKaixVlOiTDc1tLsKvrxw9WrOSU+MFMzZY2o6J3w9GL18sWyc6UY2daqWgBBEOPL&#10;zlW0DcGVWeZ5KzTzZ9YJg87GgmYBTdhlNbAO0bXKRnk+yzoLtQPLhff4ddM76YAIzwG0TSO52Fi+&#10;18KEHhWEYgEp+VY6T1ep2qYRPLxvGi8CURVFpiG9MQmet/GdrZas3AFzreRDCew5JTzhpJk0mPQB&#10;asMCI3uQf0FpycF624QzbnXWE0mKIIsif6LNbcucSFxQau8eRPf/D5a/O9wAkTVOwgg1MUxjy399&#10;/f7zxzcyKsbTKFDnfIlxt+4GIkXvri3/5Imx65aZnbgEsF0rWI1lFTE+e3QhGh6vkm331taIzvbB&#10;Jq2ODegIiCqQY0XH4/M8X0wpuavobDqejxd9d8QxEI7++XwxyyeUcPSPzotFMUvJWHmP48CH18Jq&#10;Eg8VBWx+ysMO1z7Eulh5H5J4WCXrK6lUMmC3XSsgB4aDcpWeAd2fhilDuooupqNpQn7k86cQeXr+&#10;BaFlwP1RUiOj0yBlBuWiWL3o4bg9DvpvbX2HGoLtJxj3Fw+thS+UdDi9FfWf9wwEJeqNwT4siskk&#10;jnsyJtPz2Fs49WxPPcxwhKpooKQ/rkO/InsHctdipiLRNfYSe9fIJGbsa1/VUDdOaNJ42Ka4Aqd2&#10;ivrzB1n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FwT03UAAAABQEAAA8AAAAAAAAAAQAgAAAA&#10;IgAAAGRycy9kb3ducmV2LnhtbFBLAQIUABQAAAAIAIdO4kAK42BRSAIAAIkEAAAOAAAAAAAAAAEA&#10;IAAAACMBAABkcnMvZTJvRG9jLnhtbFBLBQYAAAAABgAGAFkBAADdBQAAAAA=&#10;">
                        <v:fill on="t" focussize="0,0"/>
                        <v:stroke color="#000000" miterlimit="8" joinstyle="miter"/>
                        <v:imagedata o:title=""/>
                        <o:lock v:ext="edit" aspectratio="f"/>
                        <v:textbox>
                          <w:txbxContent>
                            <w:p>
                              <w:pPr>
                                <w:jc w:val="center"/>
                              </w:pPr>
                              <w:r>
                                <w:rPr>
                                  <w:rFonts w:hint="eastAsia"/>
                                </w:rPr>
                                <w:t>采装</w:t>
                              </w:r>
                            </w:p>
                          </w:txbxContent>
                        </v:textbox>
                      </v:rect>
                      <v:rect id="矩形 2135" o:spid="_x0000_s1026" o:spt="1" style="position:absolute;left:4678449;top:653839;height:272716;width:865501;" fillcolor="#FFFFFF" filled="t" stroked="t" coordsize="21600,21600" o:gfxdata="UEsDBAoAAAAAAIdO4kAAAAAAAAAAAAAAAAAEAAAAZHJzL1BLAwQUAAAACACHTuJA4XBPTdQAAAAF&#10;AQAADwAAAGRycy9kb3ducmV2LnhtbE2PsU7DQBBEeyT+4bRIdOScRCTB+JwCFCTKxGno1r7FNvj2&#10;LN85MXw9C01oVhrNaPZNtp1cp040hNazgfksAUVcedtybeBY7O42oEJEtth5JgNfFGCbX19lmFp/&#10;5j2dDrFWUsIhRQNNjH2qdagachhmvicW790PDqPIodZ2wLOUu04vkmSlHbYsHxrs6amh6vMwOgNl&#10;uzji9754SdzDbhlfp+JjfHs25vZmnjyCijTFSxh+8QUdcmEq/cg2qM6ADIl/V7zNeimylND9egU6&#10;z/R/+vwHUEsDBBQAAAAIAIdO4kATTq/ESAIAAIkEAAAOAAAAZHJzL2Uyb0RvYy54bWytVM1u1DAQ&#10;viPxDpbvbDbpZn+izVZVqyKkApUKD+A4zsbCf4y9m11eBokbD8HjIF6DiZOWbeHQAzlEnsz4m/m+&#10;mcn6/KAV2Qvw0pqSppMpJcJwW0uzLenHD9evlpT4wEzNlDWipEfh6fnm5Yt15wqR2daqWgBBEOOL&#10;zpW0DcEVSeJ5KzTzE+uEQWdjQbOAJmyTGliH6Fol2XQ6TzoLtQPLhff49Wpw0hERngNom0ZycWX5&#10;TgsTBlQQigWk5FvpPN3EaptG8PC+abwIRJUUmYb4xiR4rvp3slmzYgvMtZKPJbDnlPCEk2bSYNIH&#10;qCsWGNmB/AtKSw7W2yZMuNXJQCQqgizS6RNt7lrmROSCUnv3ILr/f7D83f4WiKxxErKUEsM0tvzX&#10;1+8/f3wjWXqW9wJ1zhcYd+duoafo3Y3lnzwx9rJlZisuAGzXClZjWWkfnzy60Bser5Kqe2trRGe7&#10;YKNWhwZ0D4gqkENJZ/PFcjZbUXIs6Tw/W56thu6IQyAc/ct5nk+xRo7+bJEt0nlMxop7HAc+vBZW&#10;k/5QUsDmxzxsf+NDXxcr7kMiD6tkfS2VigZsq0sFZM9wUK7jM6L70zBlSFfSVZ7lEfmRz59CTOPz&#10;LwgtA+6PkhoZnQYpMyrXizWIHg7VYdS/svURNQQ7TDDuLx5aC18o6XB6S+o/7xgIStQbg31YpbNZ&#10;P+7RmOWLDA049VSnHmY4QpU0UDIcL8OwIjsHcttipjTSNfYCe9fIKGbf16GqsW6c0KjxuE39Cpza&#10;MerPH2T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FwT03UAAAABQEAAA8AAAAAAAAAAQAgAAAA&#10;IgAAAGRycy9kb3ducmV2LnhtbFBLAQIUABQAAAAIAIdO4kATTq/ESAIAAIkEAAAOAAAAAAAAAAEA&#10;IAAAACMBAABkcnMvZTJvRG9jLnhtbFBLBQYAAAAABgAGAFkBAADdBQAAAAA=&#10;">
                        <v:fill on="t" focussize="0,0"/>
                        <v:stroke color="#000000" miterlimit="8" joinstyle="miter"/>
                        <v:imagedata o:title=""/>
                        <o:lock v:ext="edit" aspectratio="f"/>
                        <v:textbox>
                          <w:txbxContent>
                            <w:p>
                              <w:pPr>
                                <w:jc w:val="center"/>
                              </w:pPr>
                              <w:r>
                                <w:rPr>
                                  <w:rFonts w:hint="eastAsia"/>
                                </w:rPr>
                                <w:t>加工场</w:t>
                              </w:r>
                            </w:p>
                          </w:txbxContent>
                        </v:textbox>
                      </v:rect>
                      <v:rect id="矩形 2135" o:spid="_x0000_s1026" o:spt="1" style="position:absolute;left:1826814;top:0;height:271816;width:895505;" fillcolor="#FFFFFF" filled="t" stroked="f" coordsize="21600,21600" o:gfxdata="UEsDBAoAAAAAAIdO4kAAAAAAAAAAAAAAAAAEAAAAZHJzL1BLAwQUAAAACACHTuJA64mAE9MAAAAF&#10;AQAADwAAAGRycy9kb3ducmV2LnhtbE2PwU7DMBBE70j8g7VI3KhdStMS4vSA1BNwoEXiuo23SUS8&#10;DrHThr9n4QKXlUYzmn1TbCbfqRMNsQ1sYT4zoIir4FquLbzttzdrUDEhO+wCk4UvirApLy8KzF04&#10;8yuddqlWUsIxRwtNSn2udawa8hhnoScW7xgGj0nkUGs34FnKfadvjcm0x5blQ4M9PTZUfexGbwGz&#10;O/f5clw875/GDO/ryWyX78ba66u5eQCVaEp/YfjBF3QohekQRnZRdRZkSPq94q1XC5EHCS1XGeiy&#10;0P/py29QSwMEFAAAAAgAh07iQMZOFV8qAgAAOwQAAA4AAABkcnMvZTJvRG9jLnhtbK1TwY7TMBC9&#10;I/EPlu80TWi73ajpatWqCGmBlRY+wHWcxiLxmLHbdPkZJG77EXwO4jcYO9lSlsseyCHyeMZv5j0/&#10;L66ObcMOCp0GU/B0NOZMGQmlNruCf/q4eTXnzHlhStGAUQW/V45fLV++WHQ2VxnU0JQKGYEYl3e2&#10;4LX3Nk8SJ2vVCjcCqwwlK8BWeApxl5QoOkJvmyQbj2dJB1haBKmco911n+QDIj4HEKpKS7UGuW+V&#10;8T0qqkZ4ouRqbR1fxmmrSkn/oaqc8qwpODH18U9NaL0N/2S5EPkOha21HEYQzxnhCadWaENNT1Br&#10;4QXbo/4HqtUSwUHlRxLapCcSFSEW6fiJNne1sCpyIamdPYnu/h+sfH+4RaZLckKWcWZES1f+69vD&#10;zx/fWZa+ngaBOutyqruztxgoOnsD8rNjBla1MDt1jQhdrURJY6WhPvnrQAgcHWXb7h2UhC72HqJW&#10;xwrbAEgqsCOdnWezeTrh7P50MeromaTU/HI6HU85k5TKLtJ5Oot9RP4IYdH5NwpaFhYFR7r32EIc&#10;bpwPI4n8sSRSgEaXG900McDddtUgOwjyyCZ+A7o7L2tMKDYQjvWIYSdyDfR6mfxxexwU20J5T6wR&#10;es/Ri6NFDfiVs478VnD3ZS9Qcda8NaTcZTqZBIPGYDK9yCjA88z2PCOMJKiCe8765cr3pt5b1Lua&#10;OqWRv4FrUrvSUYNwE/1Uw9zkqSjN4P9g2vM4Vv158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4mAE9MAAAAFAQAADwAAAAAAAAABACAAAAAiAAAAZHJzL2Rvd25yZXYueG1sUEsBAhQAFAAAAAgA&#10;h07iQMZOFV8qAgAAOwQAAA4AAAAAAAAAAQAgAAAAIgEAAGRycy9lMm9Eb2MueG1sUEsFBgAAAAAG&#10;AAYAWQEAAL4FAAAAAA==&#10;">
                        <v:fill on="t" focussize="0,0"/>
                        <v:stroke on="f"/>
                        <v:imagedata o:title=""/>
                        <o:lock v:ext="edit" aspectratio="f"/>
                        <v:textbox>
                          <w:txbxContent>
                            <w:p>
                              <w:pPr>
                                <w:jc w:val="center"/>
                                <w:rPr>
                                  <w:sz w:val="18"/>
                                  <w:szCs w:val="18"/>
                                </w:rPr>
                              </w:pPr>
                              <w:r>
                                <w:rPr>
                                  <w:rFonts w:hint="eastAsia"/>
                                  <w:sz w:val="18"/>
                                  <w:szCs w:val="18"/>
                                </w:rPr>
                                <w:t>粉尘、噪声</w:t>
                              </w:r>
                            </w:p>
                          </w:txbxContent>
                        </v:textbox>
                      </v:rect>
                      <v:shape id="AutoShape 11" o:spid="_x0000_s1026" o:spt="32" type="#_x0000_t32" style="position:absolute;left:4259699;top:789847;height:800;width:418749;" filled="f" stroked="t" coordsize="21600,21600" o:gfxdata="UEsDBAoAAAAAAIdO4kAAAAAAAAAAAAAAAAAEAAAAZHJzL1BLAwQUAAAACACHTuJAUwyy/dYAAAAF&#10;AQAADwAAAGRycy9kb3ducmV2LnhtbE2PzU7DMBCE70i8g7VI3KhTEGlJ41SCCpELSG0R4ujG29gi&#10;Xkex+8fTs3Chl5VGM5r9ppwffSf2OEQXSMF4lIFAaoJx1Cp4Xz/fTEHEpMnoLhAqOGGEeXV5UerC&#10;hAMtcb9KreASioVWYFPqCyljY9HrOAo9EnvbMHidWA6tNIM+cLnv5G2W5dJrR/zB6h6fLDZfq51X&#10;kBafJ5t/NI8P7m398pq777quF0pdX42zGYiEx/Qfhl98RoeKmTZhRyaKTgEPSX+XvenkjuWGQ/eT&#10;HGRVynP66gdQSwMEFAAAAAgAh07iQGmZSlkAAgAA7wMAAA4AAABkcnMvZTJvRG9jLnhtbK1TwXLb&#10;IBC9d6b/wHCvZbl2bGssZzp200vaeCbJB2BAElNgGcCW/fddkJ02ySWH6qABdve9fY9ldXsymhyl&#10;DwpsTcvRmBJpOQhl25o+P919WVASIrOCabCypmcZ6O3686dV7yo5gQ60kJ4giA1V72raxeiqogi8&#10;k4aFEThpMdiANyzi1reF8KxHdKOLyXh8U/TghfPAZQh4uh2C9ILoPwIITaO43AI/GGnjgOqlZhEl&#10;hU65QNe526aRPD40TZCR6Jqi0pj/SILrffoX6xWrWs9cp/ilBfaRFt5oMkxZJH2B2rLIyMGrd1BG&#10;cQ8BmjjiYIpBSHYEVZTjN948dszJrAWtDu7F9PD/YPmv484TJXASJl8psczglX87RMjcpCyTQ70L&#10;FSZu7M4njfxkH9098N+BWNh0zLYyZz+dHRbniuJVSdoEhzz7/icIzGFIkO06Nd4kSDSCnGo6ncyW&#10;N8slJeeazhfLxXQ+XJA8RcJTvFzMpxjmGF+M8+0VrLqCOB/iDwmGpEVNQ/RMtV3cgLU4B+DLTMmO&#10;9yGiKCy8FqQOLNwprfM4aEv6mi5nk1kuCKCVSMGUFny732hPjiwNVP5Siwj2Ks3DwYoMFpnS360g&#10;MZsTvUK7tKSJwUhBiZb4CtNqQNEWwa5+Dc7vQZx3PoXTOc5BprvMbBq0f/c56+87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wyy/dYAAAAFAQAADwAAAAAAAAABACAAAAAiAAAAZHJzL2Rvd25y&#10;ZXYueG1sUEsBAhQAFAAAAAgAh07iQGmZSlkAAgAA7wMAAA4AAAAAAAAAAQAgAAAAJQEAAGRycy9l&#10;Mm9Eb2MueG1sUEsFBgAAAAAGAAYAWQEAAJcFAAAAAA==&#10;">
                        <v:fill on="f" focussize="0,0"/>
                        <v:stroke color="#000000" joinstyle="round" endarrow="block"/>
                        <v:imagedata o:title=""/>
                        <o:lock v:ext="edit" aspectratio="f"/>
                      </v:shape>
                      <v:rect id="矩形 2135" o:spid="_x0000_s1026" o:spt="1" style="position:absolute;left:35904;top:0;height:271816;width:1180338;" fillcolor="#FFFFFF" filled="t" stroked="f" coordsize="21600,21600" o:gfxdata="UEsDBAoAAAAAAIdO4kAAAAAAAAAAAAAAAAAEAAAAZHJzL1BLAwQUAAAACACHTuJA64mAE9MAAAAF&#10;AQAADwAAAGRycy9kb3ducmV2LnhtbE2PwU7DMBBE70j8g7VI3KhdStMS4vSA1BNwoEXiuo23SUS8&#10;DrHThr9n4QKXlUYzmn1TbCbfqRMNsQ1sYT4zoIir4FquLbzttzdrUDEhO+wCk4UvirApLy8KzF04&#10;8yuddqlWUsIxRwtNSn2udawa8hhnoScW7xgGj0nkUGs34FnKfadvjcm0x5blQ4M9PTZUfexGbwGz&#10;O/f5clw875/GDO/ryWyX78ba66u5eQCVaEp/YfjBF3QohekQRnZRdRZkSPq94q1XC5EHCS1XGeiy&#10;0P/py29QSwMEFAAAAAgAh07iQEcGj5EqAgAAOgQAAA4AAABkcnMvZTJvRG9jLnhtbK1TwY7TMBC9&#10;I/EPlu80TdrudqOmq1WrIqQFVlr4ANdxGovEY8Zuk+VnkLjxEXwO4jcYO91SlsseyCHyeMZv5j0/&#10;L677tmEHhU6DKXg6GnOmjIRSm13BP37YvJpz5rwwpWjAqII/KMevly9fLDqbqwxqaEqFjECMyztb&#10;8Np7myeJk7VqhRuBVYaSFWArPIW4S0oUHaG3TZKNxxdJB1haBKmco931kORHRHwOIFSVlmoNct8q&#10;4wdUVI3wRMnV2jq+jNNWlZL+fVU55VlTcGLq45+a0Hob/slyIfIdCltreRxBPGeEJ5xaoQ01PUGt&#10;hRdsj/ofqFZLBAeVH0lok4FIVIRYpOMn2tzXwqrIhaR29iS6+3+w8t3hDpkuyQnZlDMjWrryX1+/&#10;//zxjWXpZBYE6qzLqe7e3mGg6OwtyE+OGVjVwuzUDSJ0tRIljZWG+uSvAyFwdJRtu7dQErrYe4ha&#10;9RW2AZBUYH3BJ7OrMY3wcLoW1XsmKZGm8/FkQraUlMsu03l6EduI/BHBovOvFbQsLAqOdO2xgzjc&#10;Oh8mEvljSWQAjS43umligLvtqkF2EGSRTfyO6O68rDGh2EA4NiCGnUg1sBtU8v22Pwq2hfKBSCMM&#10;lqMHR4sa8AtnHdmt4O7zXqDirHljSLirdDoN/ozBdHaZUYDnme15RhhJUAX3nA3LlR88vbeodzV1&#10;SiN/AzckdqWjBuEihqmOc5OlojRH+wfPnsex6s+TX/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4mAE9MAAAAFAQAADwAAAAAAAAABACAAAAAiAAAAZHJzL2Rvd25yZXYueG1sUEsBAhQAFAAAAAgA&#10;h07iQEcGj5EqAgAAOgQAAA4AAAAAAAAAAQAgAAAAIgEAAGRycy9lMm9Eb2MueG1sUEsFBgAAAAAG&#10;AAYAWQEAAL4FAAAAAA==&#10;">
                        <v:fill on="t" focussize="0,0"/>
                        <v:stroke on="f"/>
                        <v:imagedata o:title=""/>
                        <o:lock v:ext="edit" aspectratio="f"/>
                        <v:textbox>
                          <w:txbxContent>
                            <w:p>
                              <w:pPr>
                                <w:jc w:val="center"/>
                                <w:rPr>
                                  <w:sz w:val="18"/>
                                  <w:szCs w:val="18"/>
                                </w:rPr>
                              </w:pPr>
                              <w:r>
                                <w:rPr>
                                  <w:rFonts w:hint="eastAsia"/>
                                  <w:sz w:val="18"/>
                                  <w:szCs w:val="18"/>
                                </w:rPr>
                                <w:t>扬尘、表土、噪声</w:t>
                              </w:r>
                            </w:p>
                          </w:txbxContent>
                        </v:textbox>
                      </v:rect>
                      <v:shape id="AutoShape 13" o:spid="_x0000_s1026" o:spt="32" type="#_x0000_t32" style="position:absolute;left:3790945;top:271816;flip:y;height:382023;width:800;" filled="f" stroked="t" coordsize="21600,21600" o:gfxdata="UEsDBAoAAAAAAIdO4kAAAAAAAAAAAAAAAAAEAAAAZHJzL1BLAwQUAAAACACHTuJACEXRZNEAAAAF&#10;AQAADwAAAGRycy9kb3ducmV2LnhtbE2PwU7DMBBE70j8g7VI3KhTKpIqjdMDEgeOTfIBTryNI+J1&#10;ZLtN4etZuMBlpdGMZt9Ux5ubxRVDnDwp2G4yEEiDNxONCrr27WkPIiZNRs+eUMEnRjjW93eVLo1f&#10;6YTXJo2CSyiWWoFNaSmljINFp+PGL0jsnX1wOrEMozRBr1zuZvmcZbl0eiL+YPWCrxaHj+biFMje&#10;Uvg6t12+Zu9LtzamaJ1R6vFhmx1AJLylvzD84DM61MzU+wuZKGYFPCT9Xvb2xY5lz6GXIgdZV/I/&#10;ff0NUEsDBBQAAAAIAIdO4kCfDUATDwIAABEEAAAOAAAAZHJzL2Uyb0RvYy54bWytU01v2zAMvQ/Y&#10;fxB0X/yRtU2MOMWQrLt0W4B2uyuSbAuTREFS4uTfj5KDdssuPcwHQTTJR75HanV/MpocpQ8KbEur&#10;WUmJtByEsn1Lfzw/fFhQEiKzgmmwsqVnGej9+v271egaWcMAWkhPEMSGZnQtHWJ0TVEEPkjDwgyc&#10;tOjswBsW0fR9ITwbEd3ooi7L22IEL5wHLkPAv9vJSS+I/i2A0HWKyy3wg5E2TqheahaRUhiUC3Sd&#10;u+06yeP3rgsyEt1SZBrziUXwvk9nsV6xpvfMDYpfWmBvaeGKk2HKYtEXqC2LjBy8+gfKKO4hQBdn&#10;HEwxEcmKIIuqvNLmaWBOZi4odXAvoof/B8u/HXeeKIGbUN9QYpnBkX86RMi1STVPCo0uNBi4sTuf&#10;OPKTfXKPwH8FYmEzMNvLHP18dphcpYzir5RkBId19uNXEBjDsECW69R5Qzqt3M+UmMBREnJq6fxu&#10;WS4/YkfnltZ31aK6nUYlT5Fw9C9KnCBH53xRl3XusmBNgksgzof4RYIh6dLSED1T/RA3YC1uBPip&#10;FDs+hpiafU1IyRYelNZ5MbQlY0uXNyhN8gTQSiRnNny/32hPjiytVv4y86uw1MGWhWGKE3ibiHg4&#10;WJGLRKb0ZytIzPJFr1BQLWmqbKSgREt8p+k2tartRd6k6DSbPYjzzid3Uho3JXO6bHVaxT/tHPX6&#10;k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hF0WTRAAAABQEAAA8AAAAAAAAAAQAgAAAAIgAA&#10;AGRycy9kb3ducmV2LnhtbFBLAQIUABQAAAAIAIdO4kCfDUATDwIAABEEAAAOAAAAAAAAAAEAIAAA&#10;ACABAABkcnMvZTJvRG9jLnhtbFBLBQYAAAAABgAGAFkBAAChBQAAAAA=&#10;">
                        <v:fill on="f" focussize="0,0"/>
                        <v:stroke color="#000000" joinstyle="round" dashstyle="dash" endarrow="block"/>
                        <v:imagedata o:title=""/>
                        <o:lock v:ext="edit" aspectratio="f"/>
                      </v:shape>
                      <v:shape id="AutoShape 14" o:spid="_x0000_s1026" o:spt="32" type="#_x0000_t32" style="position:absolute;left:2722319;top:789847;flip:y;height:800;width:647776;" filled="f" stroked="t" coordsize="21600,21600" o:gfxdata="UEsDBAoAAAAAAIdO4kAAAAAAAAAAAAAAAAAEAAAAZHJzL1BLAwQUAAAACACHTuJAY5Cag9UAAAAF&#10;AQAADwAAAGRycy9kb3ducmV2LnhtbE2PwW7CMBBE75X6D9ZW4lIVByogCnE4tIWeKkQKdxNvk4h4&#10;HcUGkr/vthe4rDSa0eybdNXbRlyw87UjBZNxBAKpcKamUsH+e/0Sg/BBk9GNI1QwoIdV9viQ6sS4&#10;K+3wkodScAn5RCuoQmgTKX1RodV+7Fok9n5cZ3Vg2ZXSdPrK5baR0yiaS6tr4g+VbvGtwuKUn62C&#10;93w7Wx+e9/10KD6/8k182tLwodToaRItQQTswy0Mf/iMDhkzHd2ZjBeNAh4S/i978eKV5ZFDs8Uc&#10;ZJbKe/rsF1BLAwQUAAAACACHTuJAnlJbAwcCAAD5AwAADgAAAGRycy9lMm9Eb2MueG1srVPBjtsg&#10;EL1X6j8g7o0TNxsnVpxVlXR72XYj7bZ3AthGBQYBiZO/74Cj3e32sof6gMAz8+a9x7C+PRtNTtIH&#10;Bbahs8mUEmk5CGW7hv58uvu0pCREZgXTYGVDLzLQ283HD+vB1bKEHrSQniCIDfXgGtrH6OqiCLyX&#10;hoUJOGkx2II3LOLRd4XwbEB0o4tyOl0UA3jhPHAZAv7djUF6RfTvAYS2VVzugB+NtHFE9VKziJJC&#10;r1ygm8y2bSWPD20bZCS6oag05hWb4P6Q1mKzZnXnmesVv1Jg76HwRpNhymLTZ6gdi4wcvfoHyiju&#10;IUAbJxxMMQrJjqCK2fSNN489czJrQauDezY9/D9Y/uO090QJnIRyQYllBq/8yzFC7k1m8+TQ4EKN&#10;iVu790kjP9tHdw/8dyAWtj2znczZTxeHxbNUUfxVkg7BYZ/D8B0E5jBskO06t96QViv3KxUmcLSE&#10;nBtaVmX5ebai5NLQarlazqvxquQ5Eo7xxbyqKiTMMb6c5nssWJ3gEojzIX6TYEjaNDREz1TXxy1Y&#10;ixMBfmzFTvchJrIvBanYwp3SOg+GtmRo6OqmvMncAmglUjClBd8dttqTE0ujlb+sHCOv0zwcrchg&#10;kSn91QoSs03RKzROS5o6GCko0RLfY9qNlLS92picG+/gAOKy9ymcHMWJyNyv05tG7vU5Z7282M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5Cag9UAAAAFAQAADwAAAAAAAAABACAAAAAiAAAAZHJz&#10;L2Rvd25yZXYueG1sUEsBAhQAFAAAAAgAh07iQJ5SWwMHAgAA+QMAAA4AAAAAAAAAAQAgAAAAJAEA&#10;AGRycy9lMm9Eb2MueG1sUEsFBgAAAAAGAAYAWQEAAJ0FAAAAAA==&#10;">
                        <v:fill on="f" focussize="0,0"/>
                        <v:stroke color="#000000" joinstyle="round" endarrow="block"/>
                        <v:imagedata o:title=""/>
                        <o:lock v:ext="edit" aspectratio="f"/>
                      </v:shape>
                      <v:shape id="AutoShape 16" o:spid="_x0000_s1026" o:spt="32" type="#_x0000_t32" style="position:absolute;left:1189840;top:789847;height:800;width:636975;" filled="f" stroked="t" coordsize="21600,21600" o:gfxdata="UEsDBAoAAAAAAIdO4kAAAAAAAAAAAAAAAAAEAAAAZHJzL1BLAwQUAAAACACHTuJAUwyy/dYAAAAF&#10;AQAADwAAAGRycy9kb3ducmV2LnhtbE2PzU7DMBCE70i8g7VI3KhTEGlJ41SCCpELSG0R4ujG29gi&#10;Xkex+8fTs3Chl5VGM5r9ppwffSf2OEQXSMF4lIFAaoJx1Cp4Xz/fTEHEpMnoLhAqOGGEeXV5UerC&#10;hAMtcb9KreASioVWYFPqCyljY9HrOAo9EnvbMHidWA6tNIM+cLnv5G2W5dJrR/zB6h6fLDZfq51X&#10;kBafJ5t/NI8P7m398pq777quF0pdX42zGYiEx/Qfhl98RoeKmTZhRyaKTgEPSX+XvenkjuWGQ/eT&#10;HGRVynP66gdQSwMEFAAAAAgAh07iQLmvQ8oAAgAA7wMAAA4AAABkcnMvZTJvRG9jLnhtbK1TTW/b&#10;MAy9D9h/EHRfHWfLlxGnGJJ1l24L0O4HKJJsC5NFgVLi5N+PktOu6y49zAeBMslHvkdqfXvuLTtp&#10;DAZczcubCWfaSVDGtTX/+Xj3YclZiMIpYcHpml904Leb9+/Wg6/0FDqwSiMjEBeqwde8i9FXRRFk&#10;p3sRbsBrR84GsBeRrtgWCsVA6L0tppPJvBgAlUeQOgT6uxud/IqIbwGEpjFS70Aee+3iiIraikiU&#10;Qmd84JvcbdNoGX80TdCR2ZoT05hPKkL2IZ3FZi2qFoXvjLy2IN7SwitOvTCOij5D7UQU7IjmH6je&#10;SIQATbyR0BcjkawIsSgnr7R56ITXmQtJHfyz6OH/wcrvpz0yo2gTpgvOnOhp5J+PEXJtVs6TQoMP&#10;FQVu3R4TR3l2D/4e5K/AHGw74Vqdox8vnpLLlFH8lZIuwVOdw/ANFMUIKpDlOjfYJ0gSgp0pt1yu&#10;lp9oNpeaL5K5GAekz5FJ8s8/zleLGWeS/MtJnl4hqicQjyF+1dCzZNQ8RBSm7eIWnKM9ACxzSXG6&#10;DzG1KKqnhNSBgztjbV4H69hQ89VsOssJAaxRyZnCAraHrUV2Emmh8pf5kudlGMLRqQwWhbFfnGIx&#10;ixPRkFxW81Sh14ozq+kVJmtsybqreEmvUfkDqMsekzvpSHuQe7/ubFq0l/cc9eed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wyy/dYAAAAFAQAADwAAAAAAAAABACAAAAAiAAAAZHJzL2Rvd25y&#10;ZXYueG1sUEsBAhQAFAAAAAgAh07iQLmvQ8oAAgAA7wMAAA4AAAAAAAAAAQAgAAAAJQEAAGRycy9l&#10;Mm9Eb2MueG1sUEsFBgAAAAAGAAYAWQEAAJcFAAAAAA==&#10;">
                        <v:fill on="f" focussize="0,0"/>
                        <v:stroke color="#000000" joinstyle="round" endarrow="block"/>
                        <v:imagedata o:title=""/>
                        <o:lock v:ext="edit" aspectratio="f"/>
                      </v:shape>
                      <v:rect id="矩形 2135" o:spid="_x0000_s1026" o:spt="1" style="position:absolute;left:3370095;top:0;height:271816;width:838598;" fillcolor="#FFFFFF" filled="t" stroked="f" coordsize="21600,21600" o:gfxdata="UEsDBAoAAAAAAIdO4kAAAAAAAAAAAAAAAAAEAAAAZHJzL1BLAwQUAAAACACHTuJA64mAE9MAAAAF&#10;AQAADwAAAGRycy9kb3ducmV2LnhtbE2PwU7DMBBE70j8g7VI3KhdStMS4vSA1BNwoEXiuo23SUS8&#10;DrHThr9n4QKXlUYzmn1TbCbfqRMNsQ1sYT4zoIir4FquLbzttzdrUDEhO+wCk4UvirApLy8KzF04&#10;8yuddqlWUsIxRwtNSn2udawa8hhnoScW7xgGj0nkUGs34FnKfadvjcm0x5blQ4M9PTZUfexGbwGz&#10;O/f5clw875/GDO/ryWyX78ba66u5eQCVaEp/YfjBF3QohekQRnZRdRZkSPq94q1XC5EHCS1XGeiy&#10;0P/py29QSwMEFAAAAAgAh07iQG9mfVAqAgAAOgQAAA4AAABkcnMvZTJvRG9jLnhtbK1TzY7TMBC+&#10;I/EOlu80Tf8bNV2tWhUhLbDSwgO4jtNYJB4zdpuWl0HixkPwOIjXYOx0S1kueyCHyOMZfzPf58+L&#10;m2NTs4NCp8HkPO31OVNGQqHNLucfP2xezThzXphC1GBUzk/K8ZvlyxeL1mZqABXUhUJGIMZlrc15&#10;5b3NksTJSjXC9cAqQ8kSsBGeQtwlBYqW0Js6GfT7k6QFLCyCVM7R7rpL8jMiPgcQylJLtQa5b5Tx&#10;HSqqWnii5CptHV/GactSSf++LJ3yrM45MfXxT01ovQ3/ZLkQ2Q6FrbQ8jyCeM8ITTo3QhppeoNbC&#10;C7ZH/Q9UoyWCg9L3JDRJRyQqQizS/hNtHiphVeRCUjt7Ed39P1j57nCPTBc5n4w4M6KhG//19fvP&#10;H9/YIB2Ogz6tdRmVPdh7DAydvQP5yTEDq0qYnbpFhLZSoqCp0lCf/HUgBI6Osm37FgpCF3sPUapj&#10;iU0AJBHYMefD4bTfn485O13uRR09k5SaDWfjOdlSUmowTWfpJPYR2SOERedfK2hYWOQc6dpjC3G4&#10;cz6MJLLHkkgBal1sdF3HAHfbVY3sIMgim/id0d11WW1CsYFwrEMMO5FroNfJ5I/b41mxLRQnYo3Q&#10;WY4eHC0qwC+ctWS3nLvPe4GKs/qNIeXm6WgU/BmD0Xg6oACvM9vrjDCSoHLuOeuWK995em9R7yrq&#10;lEb+Bm5J7VJHDcJNdFOd5yZLRWnO9g+evY5j1Z8n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4mAE9MAAAAFAQAADwAAAAAAAAABACAAAAAiAAAAZHJzL2Rvd25yZXYueG1sUEsBAhQAFAAAAAgA&#10;h07iQG9mfVAqAgAAOgQAAA4AAAAAAAAAAQAgAAAAIgEAAGRycy9lMm9Eb2MueG1sUEsFBgAAAAAG&#10;AAYAWQEAAL4FAAAAAA==&#10;">
                        <v:fill on="t" focussize="0,0"/>
                        <v:stroke on="f"/>
                        <v:imagedata o:title=""/>
                        <o:lock v:ext="edit" aspectratio="f"/>
                        <v:textbox>
                          <w:txbxContent>
                            <w:p>
                              <w:pPr>
                                <w:jc w:val="center"/>
                                <w:rPr>
                                  <w:sz w:val="18"/>
                                  <w:szCs w:val="18"/>
                                </w:rPr>
                              </w:pPr>
                              <w:r>
                                <w:rPr>
                                  <w:rFonts w:hint="eastAsia"/>
                                  <w:sz w:val="18"/>
                                  <w:szCs w:val="18"/>
                                </w:rPr>
                                <w:t>扬尘、噪声</w:t>
                              </w:r>
                            </w:p>
                          </w:txbxContent>
                        </v:textbox>
                      </v:rect>
                      <v:shape id="AutoShape 18" o:spid="_x0000_s1026" o:spt="32" type="#_x0000_t32" style="position:absolute;left:2274567;top:271816;flip:y;height:382823;width:0;" filled="f" stroked="t" coordsize="21600,21600" o:gfxdata="UEsDBAoAAAAAAIdO4kAAAAAAAAAAAAAAAAAEAAAAZHJzL1BLAwQUAAAACACHTuJACEXRZNEAAAAF&#10;AQAADwAAAGRycy9kb3ducmV2LnhtbE2PwU7DMBBE70j8g7VI3KhTKpIqjdMDEgeOTfIBTryNI+J1&#10;ZLtN4etZuMBlpdGMZt9Ux5ubxRVDnDwp2G4yEEiDNxONCrr27WkPIiZNRs+eUMEnRjjW93eVLo1f&#10;6YTXJo2CSyiWWoFNaSmljINFp+PGL0jsnX1wOrEMozRBr1zuZvmcZbl0eiL+YPWCrxaHj+biFMje&#10;Uvg6t12+Zu9LtzamaJ1R6vFhmx1AJLylvzD84DM61MzU+wuZKGYFPCT9Xvb2xY5lz6GXIgdZV/I/&#10;ff0NUEsDBBQAAAAIAIdO4kB+dHATDQIAAA4EAAAOAAAAZHJzL2Uyb0RvYy54bWytU8Fu2zAMvQ/Y&#10;Pwi6L47dJfGMOMWQrLt0W4B2uyuSbAuTREFS4uTvR8lBu3aXHuaDQZnke3xP9Pr2bDQ5SR8U2JaW&#10;szkl0nIQyvYt/fl496GmJERmBdNgZUsvMtDbzft369E1soIBtJCeIIgNzehaOsTomqIIfJCGhRk4&#10;aTHZgTcs4tH3hfBsRHSji2o+XxYjeOE8cBkCft1NSXpF9G8BhK5TXO6AH420cUL1UrOIksKgXKCb&#10;PG3XSR5/dF2QkeiWotKY30iC8SG9i82aNb1nblD8OgJ7ywivNBmmLJI+Qe1YZOTo1T9QRnEPAbo4&#10;42CKSUh2BFWU81fePAzMyawFrQ7uyfTw/2D599PeEyVaulxQYpnBG/98jJCpSVkng0YXGqzb2r1P&#10;EvnZPrh74L8DsbAdmO1lrn68OGwuU0fxoiUdgkOaw/gNBNYwJMhunTtvSKeV+5UaEzg6Qs4trarV&#10;x8VyRckF41VZl8vppuQ5Eo55vD6OqZu6qqubzMiaBJYgnA/xqwRDUtDSED1T/RC3YC2uA/iJiJ3u&#10;Q0yjPjekZgt3Suu8FdqSsaWfFtUiTxZAK5GSqSz4/rDVnpxY2qv8XKd4UZYm2LEwTHUCo0mGh6MV&#10;mSQypb9YQWI2L3qFdmpJE7ORghIt8SdN0TSqtldzk5/TzRxAXPY+pZPPuCZZ03Wl0x7+fc5Vz7/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RdFk0QAAAAUBAAAPAAAAAAAAAAEAIAAAACIAAABk&#10;cnMvZG93bnJldi54bWxQSwECFAAUAAAACACHTuJAfnRwEw0CAAAOBAAADgAAAAAAAAABACAAAAAg&#10;AQAAZHJzL2Uyb0RvYy54bWxQSwUGAAAAAAYABgBZAQAAnwUAAAAA&#10;">
                        <v:fill on="f" focussize="0,0"/>
                        <v:stroke color="#000000" joinstyle="round" dashstyle="dash" endarrow="block"/>
                        <v:imagedata o:title=""/>
                        <o:lock v:ext="edit" aspectratio="f"/>
                      </v:shape>
                      <v:shape id="AutoShape 19" o:spid="_x0000_s1026" o:spt="32" type="#_x0000_t32" style="position:absolute;left:606671;top:271816;flip:x y;height:382023;width:3100;" filled="f" stroked="t" coordsize="21600,21600" o:gfxdata="UEsDBAoAAAAAAIdO4kAAAAAAAAAAAAAAAAAEAAAAZHJzL1BLAwQUAAAACACHTuJAZfJg4NYAAAAF&#10;AQAADwAAAGRycy9kb3ducmV2LnhtbE2PzWrDMBCE74W+g9hCLqWRnNDEuJZzKLQxJBDq5gEUa2ub&#10;WitjKX99+m57aS8Lwwyz3+Sri+vFCcfQedKQTBUIpNrbjhoN+/eXhxREiIas6T2hhisGWBW3N7nJ&#10;rD/TG56q2AguoZAZDW2MQyZlqFt0Jkz9gMTehx+diSzHRtrRnLnc9XKm1EI60xF/aM2Azy3Wn9XR&#10;adjNq/tElZtmm+zLNb5u069NGbSe3CXqCUTES/wLww8+o0PBTAd/JBtEr4GHxN/LXrqcszxw6HG5&#10;AFnk8j998Q1QSwMEFAAAAAgAh07iQFciyNkTAgAAGgQAAA4AAABkcnMvZTJvRG9jLnhtbK1TTW/b&#10;MAy9D9h/EHRf/BE0TY04xZCs26FbA7TbXZFkW5gkCpISJ/9+lBy0a3fpYT4YlEm+9/hEr25PRpOj&#10;9EGBbWk1KymRloNQtm/pz6e7T0tKQmRWMA1WtvQsA71df/ywGl0jaxhAC+kJgtjQjK6lQ4yuKYrA&#10;B2lYmIGTFpMdeMMiHn1fCM9GRDe6qMtyUYzghfPAZQj4dTsl6QXRvwcQuk5xuQV+MNLGCdVLzSKO&#10;FAblAl1ntV0neXzouiAj0S3FSWN+IwnG+/Qu1ivW9J65QfGLBPYeCW9mMkxZJH2G2rLIyMGrf6CM&#10;4h4CdHHGwRTTINkRnKIq33jzODAn8yxodXDPpof/B8t/HHeeKNHSxYISywze+OdDhExNqptk0OhC&#10;g3Ubu/NpRH6yj+4e+O9ALGwGZnuZq5/ODpur1FG8akmH4JBmP34HgTUMCbJbp84b0mnlvqXGHP1K&#10;UaJBb8gJZZWLxTXmzi2tr6tltZiuTJ4i4ZieVyVeJcfsfFmX9TyzsyYBJxDnQ/wqwZAUtDREz1Q/&#10;xA1Yi6sBfqJix/sQk+yXhtRs4U5pnTdEWzK29OaqvsraAmglUjKVBd/vN9qTI0s7lp+LildlScGW&#10;hWGqExhNk3g4WJFJIlP6ixUkZiOjV2itljQxGyko0RJ/2BRNUrW9GJ28nW5pD+K88ymdPMeVyTNd&#10;1jvt5N/nXPXyS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XyYODWAAAABQEAAA8AAAAAAAAA&#10;AQAgAAAAIgAAAGRycy9kb3ducmV2LnhtbFBLAQIUABQAAAAIAIdO4kBXIsjZEwIAABoEAAAOAAAA&#10;AAAAAAEAIAAAACUBAABkcnMvZTJvRG9jLnhtbFBLBQYAAAAABgAGAFkBAACqBQAAAAA=&#10;">
                        <v:fill on="f" focussize="0,0"/>
                        <v:stroke color="#000000" joinstyle="round" dashstyle="dash" endarrow="block"/>
                        <v:imagedata o:title=""/>
                        <o:lock v:ext="edit" aspectratio="f"/>
                      </v:shape>
                      <w10:wrap type="none"/>
                      <w10:anchorlock/>
                    </v:group>
                  </w:pict>
                </mc:Fallback>
              </mc:AlternateContent>
            </w:r>
          </w:p>
          <w:p>
            <w:pPr>
              <w:spacing w:line="360" w:lineRule="auto"/>
              <w:jc w:val="center"/>
              <w:textAlignment w:val="baseline"/>
              <w:rPr>
                <w:b/>
                <w:sz w:val="24"/>
              </w:rPr>
            </w:pPr>
            <w:r>
              <w:rPr>
                <w:rFonts w:hint="eastAsia" w:ascii="Times New Roman"/>
                <w:b/>
                <w:sz w:val="24"/>
                <w:szCs w:val="24"/>
              </w:rPr>
              <w:t>图</w:t>
            </w:r>
            <w:r>
              <w:rPr>
                <w:rFonts w:hint="eastAsia" w:ascii="Times New Roman" w:hAnsi="Times New Roman"/>
                <w:b/>
                <w:sz w:val="24"/>
                <w:szCs w:val="24"/>
              </w:rPr>
              <w:t>4-</w:t>
            </w:r>
            <w:r>
              <w:rPr>
                <w:rFonts w:ascii="Times New Roman" w:hAnsi="Times New Roman"/>
                <w:b/>
                <w:sz w:val="24"/>
                <w:szCs w:val="24"/>
              </w:rPr>
              <w:t>2</w:t>
            </w: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页岩矿开采工艺流程及产物节点图</w:t>
            </w:r>
          </w:p>
          <w:p>
            <w:pPr>
              <w:spacing w:line="360" w:lineRule="auto"/>
              <w:ind w:firstLine="482" w:firstLineChars="200"/>
              <w:rPr>
                <w:rFonts w:ascii="Times New Roman" w:hAnsi="Times New Roman" w:cs="宋体"/>
                <w:b/>
                <w:color w:val="000000" w:themeColor="text1"/>
                <w:kern w:val="0"/>
                <w:sz w:val="24"/>
                <w:szCs w:val="20"/>
                <w14:textFill>
                  <w14:solidFill>
                    <w14:schemeClr w14:val="tx1"/>
                  </w14:solidFill>
                </w14:textFill>
              </w:rPr>
            </w:pPr>
            <w:r>
              <w:rPr>
                <w:rFonts w:hint="eastAsia" w:ascii="Times New Roman" w:hAnsi="Times New Roman" w:cs="宋体"/>
                <w:b/>
                <w:color w:val="000000" w:themeColor="text1"/>
                <w:kern w:val="0"/>
                <w:sz w:val="24"/>
                <w:szCs w:val="20"/>
                <w14:textFill>
                  <w14:solidFill>
                    <w14:schemeClr w14:val="tx1"/>
                  </w14:solidFill>
                </w14:textFill>
              </w:rPr>
              <w:t>采矿工艺过程简述：</w:t>
            </w:r>
          </w:p>
          <w:p>
            <w:pPr>
              <w:spacing w:line="360" w:lineRule="auto"/>
              <w:ind w:firstLine="480" w:firstLineChars="200"/>
              <w:rPr>
                <w:rFonts w:ascii="Times New Roman" w:hAnsi="Times New Roman"/>
                <w:color w:val="000000" w:themeColor="text1"/>
                <w:kern w:val="24"/>
                <w:sz w:val="24"/>
                <w:szCs w:val="24"/>
                <w14:textFill>
                  <w14:solidFill>
                    <w14:schemeClr w14:val="tx1"/>
                  </w14:solidFill>
                </w14:textFill>
              </w:rPr>
            </w:pPr>
            <w:r>
              <w:rPr>
                <w:rFonts w:hint="eastAsia" w:ascii="Times New Roman" w:hAnsi="Times New Roman" w:cs="宋体"/>
                <w:color w:val="000000" w:themeColor="text1"/>
                <w:kern w:val="24"/>
                <w:sz w:val="24"/>
                <w:szCs w:val="24"/>
                <w14:textFill>
                  <w14:solidFill>
                    <w14:schemeClr w14:val="tx1"/>
                  </w14:solidFill>
                </w14:textFill>
              </w:rPr>
              <w:t>矿区页</w:t>
            </w:r>
            <w:r>
              <w:rPr>
                <w:rFonts w:ascii="Times New Roman" w:hAnsi="Times New Roman"/>
                <w:color w:val="000000" w:themeColor="text1"/>
                <w:kern w:val="24"/>
                <w:sz w:val="24"/>
                <w:szCs w:val="24"/>
                <w14:textFill>
                  <w14:solidFill>
                    <w14:schemeClr w14:val="tx1"/>
                  </w14:solidFill>
                </w14:textFill>
              </w:rPr>
              <w:t>岩矿分布范围广，矿层厚度较大。该矿床选用露天开采方式，多水平台阶式开采，多水平台阶式开采具有采准切割工程小、工作组织简单、生产安全易于管理、生产能力和劳动生产率高等优点。采用挖掘机及装卸机半自动化进行露天剥离采矿，能最大限度合理有效利用资源。矿区公路开拓，采用推土机往返式开采、运输。</w:t>
            </w: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r>
              <w:rPr>
                <w:rFonts w:ascii="Times New Roman" w:hAnsi="Times New Roman" w:cs="宋体"/>
                <w:b/>
                <w:bCs/>
                <w:color w:val="000000" w:themeColor="text1"/>
                <w:kern w:val="0"/>
                <w:sz w:val="24"/>
                <w:szCs w:val="20"/>
                <w:u w:val="single"/>
                <w14:textFill>
                  <w14:solidFill>
                    <w14:schemeClr w14:val="tx1"/>
                  </w14:solidFill>
                </w14:textFill>
              </w:rPr>
              <w:t>2</w:t>
            </w:r>
            <w:r>
              <w:rPr>
                <w:rFonts w:hint="eastAsia" w:ascii="Times New Roman" w:hAnsi="Times New Roman" w:cs="宋体"/>
                <w:b/>
                <w:bCs/>
                <w:color w:val="000000" w:themeColor="text1"/>
                <w:kern w:val="0"/>
                <w:sz w:val="24"/>
                <w:szCs w:val="20"/>
                <w:u w:val="single"/>
                <w14:textFill>
                  <w14:solidFill>
                    <w14:schemeClr w14:val="tx1"/>
                  </w14:solidFill>
                </w14:textFill>
              </w:rPr>
              <w:t>.</w:t>
            </w:r>
            <w:r>
              <w:rPr>
                <w:rFonts w:ascii="Times New Roman" w:hAnsi="Times New Roman" w:cs="宋体"/>
                <w:b/>
                <w:bCs/>
                <w:color w:val="000000" w:themeColor="text1"/>
                <w:kern w:val="0"/>
                <w:sz w:val="24"/>
                <w:szCs w:val="20"/>
                <w:u w:val="single"/>
                <w14:textFill>
                  <w14:solidFill>
                    <w14:schemeClr w14:val="tx1"/>
                  </w14:solidFill>
                </w14:textFill>
              </w:rPr>
              <w:t xml:space="preserve">2 </w:t>
            </w:r>
            <w:r>
              <w:rPr>
                <w:rFonts w:hint="eastAsia" w:ascii="Times New Roman" w:hAnsi="Times New Roman" w:cs="宋体"/>
                <w:b/>
                <w:bCs/>
                <w:color w:val="000000" w:themeColor="text1"/>
                <w:kern w:val="0"/>
                <w:sz w:val="24"/>
                <w:szCs w:val="20"/>
                <w:u w:val="single"/>
                <w14:textFill>
                  <w14:solidFill>
                    <w14:schemeClr w14:val="tx1"/>
                  </w14:solidFill>
                </w14:textFill>
              </w:rPr>
              <w:t>碎石生产区工艺流程</w:t>
            </w:r>
          </w:p>
          <w:p>
            <w:pPr>
              <w:spacing w:line="360" w:lineRule="auto"/>
              <w:jc w:val="center"/>
              <w:rPr>
                <w:rFonts w:ascii="Times New Roman" w:hAnsi="Times New Roman" w:cs="宋体"/>
                <w:color w:val="000000" w:themeColor="text1"/>
                <w:kern w:val="24"/>
                <w:sz w:val="24"/>
                <w:szCs w:val="20"/>
                <w:u w:val="single"/>
                <w14:textFill>
                  <w14:solidFill>
                    <w14:schemeClr w14:val="tx1"/>
                  </w14:solidFill>
                </w14:textFill>
              </w:rPr>
            </w:pPr>
            <w:r>
              <w:rPr>
                <w:rFonts w:ascii="Times New Roman"/>
                <w:sz w:val="24"/>
                <w:szCs w:val="24"/>
                <w:u w:val="single"/>
              </w:rPr>
              <mc:AlternateContent>
                <mc:Choice Requires="wpc">
                  <w:drawing>
                    <wp:inline distT="0" distB="0" distL="0" distR="0">
                      <wp:extent cx="5650230" cy="2573655"/>
                      <wp:effectExtent l="0" t="0" r="7620" b="0"/>
                      <wp:docPr id="82" name="画布 255"/>
                      <wp:cNvGraphicFramePr/>
                      <a:graphic xmlns:a="http://schemas.openxmlformats.org/drawingml/2006/main">
                        <a:graphicData uri="http://schemas.microsoft.com/office/word/2010/wordprocessingCanvas">
                          <wpc:wpc>
                            <wpc:bg>
                              <a:noFill/>
                            </wpc:bg>
                            <wpc:whole>
                              <a:ln>
                                <a:noFill/>
                              </a:ln>
                            </wpc:whole>
                            <wps:wsp>
                              <wps:cNvPr id="502" name="Rectangle 23"/>
                              <wps:cNvSpPr>
                                <a:spLocks noChangeArrowheads="1"/>
                              </wps:cNvSpPr>
                              <wps:spPr bwMode="auto">
                                <a:xfrm>
                                  <a:off x="38100" y="1202379"/>
                                  <a:ext cx="857250" cy="590550"/>
                                </a:xfrm>
                                <a:prstGeom prst="rect">
                                  <a:avLst/>
                                </a:prstGeom>
                                <a:solidFill>
                                  <a:srgbClr val="FFFFFF"/>
                                </a:solidFill>
                                <a:ln w="9525">
                                  <a:solidFill>
                                    <a:srgbClr val="000000"/>
                                  </a:solidFill>
                                  <a:miter lim="800000"/>
                                </a:ln>
                              </wps:spPr>
                              <wps:txbx>
                                <w:txbxContent>
                                  <w:p>
                                    <w:pPr>
                                      <w:jc w:val="center"/>
                                    </w:pPr>
                                    <w:r>
                                      <w:rPr>
                                        <w:rFonts w:hint="eastAsia"/>
                                      </w:rPr>
                                      <w:t>建筑垃圾、废石以及不合格成型砖块</w:t>
                                    </w:r>
                                  </w:p>
                                </w:txbxContent>
                              </wps:txbx>
                              <wps:bodyPr rot="0" vert="horz" wrap="square" lIns="0" tIns="0" rIns="0" bIns="0" anchor="ctr" anchorCtr="0" upright="1">
                                <a:noAutofit/>
                              </wps:bodyPr>
                            </wps:wsp>
                            <wps:wsp>
                              <wps:cNvPr id="503" name="Rectangle 24"/>
                              <wps:cNvSpPr>
                                <a:spLocks noChangeArrowheads="1"/>
                              </wps:cNvSpPr>
                              <wps:spPr bwMode="auto">
                                <a:xfrm>
                                  <a:off x="1114544" y="527711"/>
                                  <a:ext cx="638182" cy="279806"/>
                                </a:xfrm>
                                <a:prstGeom prst="rect">
                                  <a:avLst/>
                                </a:prstGeom>
                                <a:solidFill>
                                  <a:srgbClr val="FFFFFF"/>
                                </a:solidFill>
                                <a:ln w="9525">
                                  <a:solidFill>
                                    <a:srgbClr val="000000"/>
                                  </a:solidFill>
                                  <a:miter lim="800000"/>
                                </a:ln>
                              </wps:spPr>
                              <wps:txbx>
                                <w:txbxContent>
                                  <w:p>
                                    <w:pPr>
                                      <w:jc w:val="center"/>
                                    </w:pPr>
                                    <w:r>
                                      <w:rPr>
                                        <w:rFonts w:hint="eastAsia"/>
                                      </w:rPr>
                                      <w:t>给料机</w:t>
                                    </w:r>
                                  </w:p>
                                </w:txbxContent>
                              </wps:txbx>
                              <wps:bodyPr rot="0" vert="horz" wrap="square" lIns="0" tIns="0" rIns="0" bIns="0" anchor="ctr" anchorCtr="0" upright="1">
                                <a:noAutofit/>
                              </wps:bodyPr>
                            </wps:wsp>
                            <wps:wsp>
                              <wps:cNvPr id="504" name="AutoShape 25"/>
                              <wps:cNvCnPr>
                                <a:cxnSpLocks noChangeShapeType="1"/>
                                <a:stCxn id="502" idx="0"/>
                                <a:endCxn id="188" idx="2"/>
                              </wps:cNvCnPr>
                              <wps:spPr bwMode="auto">
                                <a:xfrm flipV="1">
                                  <a:off x="466725" y="807111"/>
                                  <a:ext cx="3788" cy="395268"/>
                                </a:xfrm>
                                <a:prstGeom prst="straightConnector1">
                                  <a:avLst/>
                                </a:prstGeom>
                                <a:noFill/>
                                <a:ln w="9525">
                                  <a:solidFill>
                                    <a:srgbClr val="000000"/>
                                  </a:solidFill>
                                  <a:round/>
                                  <a:tailEnd type="triangle" w="med" len="med"/>
                                </a:ln>
                              </wps:spPr>
                              <wps:bodyPr/>
                            </wps:wsp>
                            <wps:wsp>
                              <wps:cNvPr id="505" name="Rectangle 26"/>
                              <wps:cNvSpPr>
                                <a:spLocks noChangeArrowheads="1"/>
                              </wps:cNvSpPr>
                              <wps:spPr bwMode="auto">
                                <a:xfrm>
                                  <a:off x="2030362" y="527711"/>
                                  <a:ext cx="922719" cy="279806"/>
                                </a:xfrm>
                                <a:prstGeom prst="rect">
                                  <a:avLst/>
                                </a:prstGeom>
                                <a:solidFill>
                                  <a:srgbClr val="FFFFFF"/>
                                </a:solidFill>
                                <a:ln w="9525">
                                  <a:solidFill>
                                    <a:srgbClr val="000000"/>
                                  </a:solidFill>
                                  <a:miter lim="800000"/>
                                </a:ln>
                              </wps:spPr>
                              <wps:txbx>
                                <w:txbxContent>
                                  <w:p>
                                    <w:pPr>
                                      <w:jc w:val="center"/>
                                    </w:pPr>
                                    <w:r>
                                      <w:rPr>
                                        <w:rFonts w:hint="eastAsia"/>
                                      </w:rPr>
                                      <w:t>鄂式破碎机</w:t>
                                    </w:r>
                                  </w:p>
                                </w:txbxContent>
                              </wps:txbx>
                              <wps:bodyPr rot="0" vert="horz" wrap="square" lIns="0" tIns="0" rIns="0" bIns="0" anchor="ctr" anchorCtr="0" upright="1">
                                <a:noAutofit/>
                              </wps:bodyPr>
                            </wps:wsp>
                            <wps:wsp>
                              <wps:cNvPr id="506" name="AutoShape 27"/>
                              <wps:cNvCnPr>
                                <a:cxnSpLocks noChangeShapeType="1"/>
                              </wps:cNvCnPr>
                              <wps:spPr bwMode="auto">
                                <a:xfrm>
                                  <a:off x="1752726" y="667614"/>
                                  <a:ext cx="277636" cy="0"/>
                                </a:xfrm>
                                <a:prstGeom prst="straightConnector1">
                                  <a:avLst/>
                                </a:prstGeom>
                                <a:noFill/>
                                <a:ln w="9525">
                                  <a:solidFill>
                                    <a:srgbClr val="000000"/>
                                  </a:solidFill>
                                  <a:round/>
                                  <a:tailEnd type="triangle" w="med" len="med"/>
                                </a:ln>
                              </wps:spPr>
                              <wps:bodyPr/>
                            </wps:wsp>
                            <wps:wsp>
                              <wps:cNvPr id="507" name="Rectangle 28"/>
                              <wps:cNvSpPr>
                                <a:spLocks noChangeArrowheads="1"/>
                              </wps:cNvSpPr>
                              <wps:spPr bwMode="auto">
                                <a:xfrm>
                                  <a:off x="3251320" y="527711"/>
                                  <a:ext cx="886815" cy="279806"/>
                                </a:xfrm>
                                <a:prstGeom prst="rect">
                                  <a:avLst/>
                                </a:prstGeom>
                                <a:solidFill>
                                  <a:srgbClr val="FFFFFF"/>
                                </a:solidFill>
                                <a:ln w="9525">
                                  <a:solidFill>
                                    <a:srgbClr val="000000"/>
                                  </a:solidFill>
                                  <a:miter lim="800000"/>
                                </a:ln>
                              </wps:spPr>
                              <wps:txbx>
                                <w:txbxContent>
                                  <w:p>
                                    <w:pPr>
                                      <w:jc w:val="center"/>
                                    </w:pPr>
                                    <w:r>
                                      <w:rPr>
                                        <w:rFonts w:hint="eastAsia"/>
                                      </w:rPr>
                                      <w:t>圆锥破碎机</w:t>
                                    </w:r>
                                  </w:p>
                                </w:txbxContent>
                              </wps:txbx>
                              <wps:bodyPr rot="0" vert="horz" wrap="square" lIns="0" tIns="0" rIns="0" bIns="0" anchor="ctr" anchorCtr="0" upright="1">
                                <a:noAutofit/>
                              </wps:bodyPr>
                            </wps:wsp>
                            <wps:wsp>
                              <wps:cNvPr id="508" name="AutoShape 29"/>
                              <wps:cNvCnPr>
                                <a:cxnSpLocks noChangeShapeType="1"/>
                              </wps:cNvCnPr>
                              <wps:spPr bwMode="auto">
                                <a:xfrm>
                                  <a:off x="2953082" y="667614"/>
                                  <a:ext cx="298239" cy="0"/>
                                </a:xfrm>
                                <a:prstGeom prst="straightConnector1">
                                  <a:avLst/>
                                </a:prstGeom>
                                <a:noFill/>
                                <a:ln w="9525">
                                  <a:solidFill>
                                    <a:srgbClr val="000000"/>
                                  </a:solidFill>
                                  <a:round/>
                                  <a:tailEnd type="triangle" w="med" len="med"/>
                                </a:ln>
                              </wps:spPr>
                              <wps:bodyPr/>
                            </wps:wsp>
                            <wps:wsp>
                              <wps:cNvPr id="509" name="Rectangle 30"/>
                              <wps:cNvSpPr>
                                <a:spLocks noChangeArrowheads="1"/>
                              </wps:cNvSpPr>
                              <wps:spPr bwMode="auto">
                                <a:xfrm>
                                  <a:off x="4580392" y="527711"/>
                                  <a:ext cx="970525" cy="279806"/>
                                </a:xfrm>
                                <a:prstGeom prst="rect">
                                  <a:avLst/>
                                </a:prstGeom>
                                <a:solidFill>
                                  <a:srgbClr val="FFFFFF"/>
                                </a:solidFill>
                                <a:ln w="9525">
                                  <a:solidFill>
                                    <a:srgbClr val="000000"/>
                                  </a:solidFill>
                                  <a:miter lim="800000"/>
                                </a:ln>
                              </wps:spPr>
                              <wps:txbx>
                                <w:txbxContent>
                                  <w:p>
                                    <w:pPr>
                                      <w:jc w:val="center"/>
                                    </w:pPr>
                                    <w:r>
                                      <w:rPr>
                                        <w:rFonts w:hint="eastAsia"/>
                                      </w:rPr>
                                      <w:t>振动筛</w:t>
                                    </w:r>
                                  </w:p>
                                </w:txbxContent>
                              </wps:txbx>
                              <wps:bodyPr rot="0" vert="horz" wrap="square" lIns="0" tIns="0" rIns="0" bIns="0" anchor="ctr" anchorCtr="0" upright="1">
                                <a:noAutofit/>
                              </wps:bodyPr>
                            </wps:wsp>
                            <wps:wsp>
                              <wps:cNvPr id="510" name="Rectangle 31"/>
                              <wps:cNvSpPr>
                                <a:spLocks noChangeArrowheads="1"/>
                              </wps:cNvSpPr>
                              <wps:spPr bwMode="auto">
                                <a:xfrm>
                                  <a:off x="4565590" y="1751237"/>
                                  <a:ext cx="1007230" cy="279806"/>
                                </a:xfrm>
                                <a:prstGeom prst="rect">
                                  <a:avLst/>
                                </a:prstGeom>
                                <a:solidFill>
                                  <a:srgbClr val="FFFFFF"/>
                                </a:solidFill>
                                <a:ln w="9525">
                                  <a:solidFill>
                                    <a:srgbClr val="000000"/>
                                  </a:solidFill>
                                  <a:miter lim="800000"/>
                                </a:ln>
                              </wps:spPr>
                              <wps:txbx>
                                <w:txbxContent>
                                  <w:p>
                                    <w:pPr>
                                      <w:jc w:val="center"/>
                                    </w:pPr>
                                    <w:r>
                                      <w:rPr>
                                        <w:rFonts w:hint="eastAsia"/>
                                      </w:rPr>
                                      <w:t>成品入库</w:t>
                                    </w:r>
                                  </w:p>
                                </w:txbxContent>
                              </wps:txbx>
                              <wps:bodyPr rot="0" vert="horz" wrap="square" lIns="0" tIns="0" rIns="0" bIns="0" anchor="ctr" anchorCtr="0" upright="1">
                                <a:noAutofit/>
                              </wps:bodyPr>
                            </wps:wsp>
                            <wps:wsp>
                              <wps:cNvPr id="96" name="AutoShape 33"/>
                              <wps:cNvCnPr>
                                <a:cxnSpLocks noChangeShapeType="1"/>
                              </wps:cNvCnPr>
                              <wps:spPr bwMode="auto">
                                <a:xfrm>
                                  <a:off x="4138135" y="667614"/>
                                  <a:ext cx="442257" cy="800"/>
                                </a:xfrm>
                                <a:prstGeom prst="straightConnector1">
                                  <a:avLst/>
                                </a:prstGeom>
                                <a:noFill/>
                                <a:ln w="9525">
                                  <a:solidFill>
                                    <a:srgbClr val="000000"/>
                                  </a:solidFill>
                                  <a:round/>
                                  <a:tailEnd type="triangle" w="med" len="med"/>
                                </a:ln>
                              </wps:spPr>
                              <wps:bodyPr/>
                            </wps:wsp>
                            <wps:wsp>
                              <wps:cNvPr id="97" name="AutoShape 34"/>
                              <wps:cNvCnPr>
                                <a:cxnSpLocks noChangeShapeType="1"/>
                              </wps:cNvCnPr>
                              <wps:spPr bwMode="auto">
                                <a:xfrm>
                                  <a:off x="5065654" y="807517"/>
                                  <a:ext cx="3100" cy="943720"/>
                                </a:xfrm>
                                <a:prstGeom prst="straightConnector1">
                                  <a:avLst/>
                                </a:prstGeom>
                                <a:noFill/>
                                <a:ln w="9525">
                                  <a:solidFill>
                                    <a:srgbClr val="000000"/>
                                  </a:solidFill>
                                  <a:round/>
                                  <a:tailEnd type="triangle" w="med" len="med"/>
                                </a:ln>
                              </wps:spPr>
                              <wps:bodyPr/>
                            </wps:wsp>
                            <wps:wsp>
                              <wps:cNvPr id="101" name="Rectangle 38"/>
                              <wps:cNvSpPr>
                                <a:spLocks noChangeArrowheads="1"/>
                              </wps:cNvSpPr>
                              <wps:spPr bwMode="auto">
                                <a:xfrm>
                                  <a:off x="2030562" y="0"/>
                                  <a:ext cx="922219" cy="279806"/>
                                </a:xfrm>
                                <a:prstGeom prst="rect">
                                  <a:avLst/>
                                </a:prstGeom>
                                <a:solidFill>
                                  <a:srgbClr val="FFFFFF"/>
                                </a:solidFill>
                                <a:ln>
                                  <a:noFill/>
                                </a:ln>
                              </wps:spPr>
                              <wps:txbx>
                                <w:txbxContent>
                                  <w:p>
                                    <w:pPr>
                                      <w:spacing w:line="360" w:lineRule="exact"/>
                                      <w:jc w:val="center"/>
                                      <w:rPr>
                                        <w:sz w:val="18"/>
                                        <w:szCs w:val="18"/>
                                      </w:rPr>
                                    </w:pPr>
                                    <w:r>
                                      <w:rPr>
                                        <w:rFonts w:hint="eastAsia"/>
                                        <w:sz w:val="18"/>
                                        <w:szCs w:val="18"/>
                                      </w:rPr>
                                      <w:t>粉尘、噪声</w:t>
                                    </w:r>
                                  </w:p>
                                </w:txbxContent>
                              </wps:txbx>
                              <wps:bodyPr rot="0" vert="horz" wrap="square" lIns="0" tIns="0" rIns="0" bIns="0" anchor="t" anchorCtr="0" upright="1">
                                <a:noAutofit/>
                              </wps:bodyPr>
                            </wps:wsp>
                            <wps:wsp>
                              <wps:cNvPr id="102" name="AutoShape 39"/>
                              <wps:cNvCnPr>
                                <a:cxnSpLocks noChangeShapeType="1"/>
                              </wps:cNvCnPr>
                              <wps:spPr bwMode="auto">
                                <a:xfrm flipH="1" flipV="1">
                                  <a:off x="2491622" y="279806"/>
                                  <a:ext cx="100" cy="247905"/>
                                </a:xfrm>
                                <a:prstGeom prst="straightConnector1">
                                  <a:avLst/>
                                </a:prstGeom>
                                <a:noFill/>
                                <a:ln w="9525">
                                  <a:solidFill>
                                    <a:srgbClr val="000000"/>
                                  </a:solidFill>
                                  <a:prstDash val="dash"/>
                                  <a:round/>
                                  <a:tailEnd type="triangle" w="med" len="med"/>
                                </a:ln>
                              </wps:spPr>
                              <wps:bodyPr/>
                            </wps:wsp>
                            <wps:wsp>
                              <wps:cNvPr id="103" name="Rectangle 40"/>
                              <wps:cNvSpPr>
                                <a:spLocks noChangeArrowheads="1"/>
                              </wps:cNvSpPr>
                              <wps:spPr bwMode="auto">
                                <a:xfrm>
                                  <a:off x="3251320" y="0"/>
                                  <a:ext cx="886815" cy="279806"/>
                                </a:xfrm>
                                <a:prstGeom prst="rect">
                                  <a:avLst/>
                                </a:prstGeom>
                                <a:solidFill>
                                  <a:srgbClr val="FFFFFF"/>
                                </a:solidFill>
                                <a:ln>
                                  <a:noFill/>
                                </a:ln>
                              </wps:spPr>
                              <wps:txbx>
                                <w:txbxContent>
                                  <w:p>
                                    <w:pPr>
                                      <w:spacing w:line="360" w:lineRule="exact"/>
                                      <w:jc w:val="center"/>
                                      <w:rPr>
                                        <w:sz w:val="18"/>
                                        <w:szCs w:val="18"/>
                                      </w:rPr>
                                    </w:pPr>
                                    <w:r>
                                      <w:rPr>
                                        <w:rFonts w:hint="eastAsia"/>
                                        <w:sz w:val="18"/>
                                        <w:szCs w:val="18"/>
                                      </w:rPr>
                                      <w:t>粉尘、噪声</w:t>
                                    </w:r>
                                  </w:p>
                                </w:txbxContent>
                              </wps:txbx>
                              <wps:bodyPr rot="0" vert="horz" wrap="square" lIns="0" tIns="0" rIns="0" bIns="0" anchor="t" anchorCtr="0" upright="1">
                                <a:noAutofit/>
                              </wps:bodyPr>
                            </wps:wsp>
                            <wps:wsp>
                              <wps:cNvPr id="104" name="AutoShape 41"/>
                              <wps:cNvCnPr>
                                <a:cxnSpLocks noChangeShapeType="1"/>
                              </wps:cNvCnPr>
                              <wps:spPr bwMode="auto">
                                <a:xfrm flipV="1">
                                  <a:off x="3695077" y="279806"/>
                                  <a:ext cx="800" cy="247905"/>
                                </a:xfrm>
                                <a:prstGeom prst="straightConnector1">
                                  <a:avLst/>
                                </a:prstGeom>
                                <a:noFill/>
                                <a:ln w="9525">
                                  <a:solidFill>
                                    <a:srgbClr val="000000"/>
                                  </a:solidFill>
                                  <a:prstDash val="dash"/>
                                  <a:round/>
                                  <a:tailEnd type="triangle" w="med" len="med"/>
                                </a:ln>
                              </wps:spPr>
                              <wps:bodyPr/>
                            </wps:wsp>
                            <wps:wsp>
                              <wps:cNvPr id="105" name="Rectangle 42"/>
                              <wps:cNvSpPr>
                                <a:spLocks noChangeArrowheads="1"/>
                              </wps:cNvSpPr>
                              <wps:spPr bwMode="auto">
                                <a:xfrm>
                                  <a:off x="4580392" y="0"/>
                                  <a:ext cx="977526" cy="279806"/>
                                </a:xfrm>
                                <a:prstGeom prst="rect">
                                  <a:avLst/>
                                </a:prstGeom>
                                <a:solidFill>
                                  <a:srgbClr val="FFFFFF"/>
                                </a:solidFill>
                                <a:ln>
                                  <a:noFill/>
                                </a:ln>
                              </wps:spPr>
                              <wps:txbx>
                                <w:txbxContent>
                                  <w:p>
                                    <w:pPr>
                                      <w:spacing w:line="360" w:lineRule="exact"/>
                                      <w:jc w:val="center"/>
                                      <w:rPr>
                                        <w:rFonts w:ascii="Times New Roman" w:hAnsi="Times New Roman"/>
                                        <w:sz w:val="18"/>
                                        <w:szCs w:val="18"/>
                                      </w:rPr>
                                    </w:pPr>
                                    <w:r>
                                      <w:rPr>
                                        <w:rFonts w:hint="eastAsia" w:ascii="Times New Roman"/>
                                        <w:sz w:val="18"/>
                                        <w:szCs w:val="18"/>
                                      </w:rPr>
                                      <w:t>扬尘、噪声</w:t>
                                    </w:r>
                                  </w:p>
                                  <w:p/>
                                </w:txbxContent>
                              </wps:txbx>
                              <wps:bodyPr rot="0" vert="horz" wrap="square" lIns="0" tIns="0" rIns="0" bIns="0" anchor="t" anchorCtr="0" upright="1">
                                <a:noAutofit/>
                              </wps:bodyPr>
                            </wps:wsp>
                            <wps:wsp>
                              <wps:cNvPr id="106" name="AutoShape 43"/>
                              <wps:cNvCnPr>
                                <a:cxnSpLocks noChangeShapeType="1"/>
                              </wps:cNvCnPr>
                              <wps:spPr bwMode="auto">
                                <a:xfrm flipV="1">
                                  <a:off x="5065654" y="279806"/>
                                  <a:ext cx="3100" cy="247905"/>
                                </a:xfrm>
                                <a:prstGeom prst="straightConnector1">
                                  <a:avLst/>
                                </a:prstGeom>
                                <a:noFill/>
                                <a:ln w="9525">
                                  <a:solidFill>
                                    <a:srgbClr val="000000"/>
                                  </a:solidFill>
                                  <a:prstDash val="dash"/>
                                  <a:round/>
                                  <a:tailEnd type="triangle" w="med" len="med"/>
                                </a:ln>
                              </wps:spPr>
                              <wps:bodyPr/>
                            </wps:wsp>
                            <wps:wsp>
                              <wps:cNvPr id="109" name="Rectangle 46"/>
                              <wps:cNvSpPr>
                                <a:spLocks noChangeArrowheads="1"/>
                              </wps:cNvSpPr>
                              <wps:spPr bwMode="auto">
                                <a:xfrm>
                                  <a:off x="4580392" y="2294549"/>
                                  <a:ext cx="977526" cy="279106"/>
                                </a:xfrm>
                                <a:prstGeom prst="rect">
                                  <a:avLst/>
                                </a:prstGeom>
                                <a:solidFill>
                                  <a:srgbClr val="FFFFFF"/>
                                </a:solidFill>
                                <a:ln>
                                  <a:noFill/>
                                </a:ln>
                              </wps:spPr>
                              <wps:txbx>
                                <w:txbxContent>
                                  <w:p>
                                    <w:pPr>
                                      <w:spacing w:line="360" w:lineRule="exact"/>
                                      <w:jc w:val="center"/>
                                      <w:rPr>
                                        <w:sz w:val="18"/>
                                        <w:szCs w:val="18"/>
                                      </w:rPr>
                                    </w:pPr>
                                    <w:r>
                                      <w:rPr>
                                        <w:rFonts w:hint="eastAsia"/>
                                        <w:sz w:val="18"/>
                                        <w:szCs w:val="18"/>
                                      </w:rPr>
                                      <w:t>粉尘、噪声</w:t>
                                    </w:r>
                                  </w:p>
                                  <w:p/>
                                </w:txbxContent>
                              </wps:txbx>
                              <wps:bodyPr rot="0" vert="horz" wrap="square" lIns="0" tIns="0" rIns="0" bIns="0" anchor="t" anchorCtr="0" upright="1">
                                <a:noAutofit/>
                              </wps:bodyPr>
                            </wps:wsp>
                            <wps:wsp>
                              <wps:cNvPr id="110" name="AutoShape 47"/>
                              <wps:cNvCnPr>
                                <a:cxnSpLocks noChangeShapeType="1"/>
                              </wps:cNvCnPr>
                              <wps:spPr bwMode="auto">
                                <a:xfrm>
                                  <a:off x="5068755" y="2031043"/>
                                  <a:ext cx="800" cy="263506"/>
                                </a:xfrm>
                                <a:prstGeom prst="straightConnector1">
                                  <a:avLst/>
                                </a:prstGeom>
                                <a:noFill/>
                                <a:ln w="9525">
                                  <a:solidFill>
                                    <a:srgbClr val="000000"/>
                                  </a:solidFill>
                                  <a:prstDash val="dash"/>
                                  <a:round/>
                                  <a:tailEnd type="triangle" w="med" len="med"/>
                                </a:ln>
                              </wps:spPr>
                              <wps:bodyPr/>
                            </wps:wsp>
                            <wps:wsp>
                              <wps:cNvPr id="117" name="Rectangle 38"/>
                              <wps:cNvSpPr>
                                <a:spLocks noChangeArrowheads="1"/>
                              </wps:cNvSpPr>
                              <wps:spPr bwMode="auto">
                                <a:xfrm>
                                  <a:off x="2852260" y="1047750"/>
                                  <a:ext cx="842817" cy="183204"/>
                                </a:xfrm>
                                <a:prstGeom prst="rect">
                                  <a:avLst/>
                                </a:prstGeom>
                                <a:noFill/>
                                <a:ln>
                                  <a:noFill/>
                                </a:ln>
                              </wps:spPr>
                              <wps:txbx>
                                <w:txbxContent>
                                  <w:p>
                                    <w:pPr>
                                      <w:jc w:val="center"/>
                                      <w:rPr>
                                        <w:kern w:val="0"/>
                                        <w:sz w:val="24"/>
                                        <w:szCs w:val="24"/>
                                      </w:rPr>
                                    </w:pPr>
                                    <w:r>
                                      <w:rPr>
                                        <w:rFonts w:hint="eastAsia"/>
                                        <w:sz w:val="18"/>
                                        <w:szCs w:val="18"/>
                                      </w:rPr>
                                      <w:t>不合格粒径</w:t>
                                    </w:r>
                                  </w:p>
                                </w:txbxContent>
                              </wps:txbx>
                              <wps:bodyPr rot="0" vert="horz" wrap="square" lIns="0" tIns="0" rIns="0" bIns="0" anchor="ctr" anchorCtr="0" upright="1">
                                <a:noAutofit/>
                              </wps:bodyPr>
                            </wps:wsp>
                            <wps:wsp>
                              <wps:cNvPr id="272" name="连接符: 肘形 272"/>
                              <wps:cNvCnPr/>
                              <wps:spPr>
                                <a:xfrm rot="5400000">
                                  <a:off x="3163920" y="-995793"/>
                                  <a:ext cx="12700" cy="3632020"/>
                                </a:xfrm>
                                <a:prstGeom prst="bentConnector3">
                                  <a:avLst>
                                    <a:gd name="adj1" fmla="val 18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Rectangle 38"/>
                              <wps:cNvSpPr>
                                <a:spLocks noChangeArrowheads="1"/>
                              </wps:cNvSpPr>
                              <wps:spPr bwMode="auto">
                                <a:xfrm>
                                  <a:off x="4304325" y="1332525"/>
                                  <a:ext cx="842645" cy="182880"/>
                                </a:xfrm>
                                <a:prstGeom prst="rect">
                                  <a:avLst/>
                                </a:prstGeom>
                                <a:noFill/>
                                <a:ln>
                                  <a:noFill/>
                                </a:ln>
                              </wps:spPr>
                              <wps:txbx>
                                <w:txbxContent>
                                  <w:p>
                                    <w:pPr>
                                      <w:jc w:val="center"/>
                                      <w:rPr>
                                        <w:kern w:val="0"/>
                                        <w:sz w:val="24"/>
                                        <w:szCs w:val="24"/>
                                      </w:rPr>
                                    </w:pPr>
                                    <w:r>
                                      <w:rPr>
                                        <w:rFonts w:hint="eastAsia"/>
                                        <w:sz w:val="18"/>
                                        <w:szCs w:val="18"/>
                                      </w:rPr>
                                      <w:t>合格粒径</w:t>
                                    </w:r>
                                  </w:p>
                                </w:txbxContent>
                              </wps:txbx>
                              <wps:bodyPr rot="0" vert="horz" wrap="square" lIns="0" tIns="0" rIns="0" bIns="0" anchor="ctr" anchorCtr="0" upright="1">
                                <a:noAutofit/>
                              </wps:bodyPr>
                            </wps:wsp>
                            <wps:wsp>
                              <wps:cNvPr id="188" name="Rectangle 24"/>
                              <wps:cNvSpPr>
                                <a:spLocks noChangeArrowheads="1"/>
                              </wps:cNvSpPr>
                              <wps:spPr bwMode="auto">
                                <a:xfrm>
                                  <a:off x="151425" y="527711"/>
                                  <a:ext cx="638175" cy="279400"/>
                                </a:xfrm>
                                <a:prstGeom prst="rect">
                                  <a:avLst/>
                                </a:prstGeom>
                                <a:solidFill>
                                  <a:srgbClr val="FFFFFF"/>
                                </a:solidFill>
                                <a:ln w="9525">
                                  <a:solidFill>
                                    <a:srgbClr val="000000"/>
                                  </a:solidFill>
                                  <a:miter lim="800000"/>
                                </a:ln>
                              </wps:spPr>
                              <wps:txbx>
                                <w:txbxContent>
                                  <w:p>
                                    <w:pPr>
                                      <w:pStyle w:val="19"/>
                                      <w:jc w:val="center"/>
                                      <w:rPr>
                                        <w:kern w:val="0"/>
                                        <w:szCs w:val="24"/>
                                      </w:rPr>
                                    </w:pPr>
                                    <w:r>
                                      <w:rPr>
                                        <w:rFonts w:hint="eastAsia" w:ascii="Calibri" w:cs="Times New Roman"/>
                                        <w:sz w:val="21"/>
                                        <w:szCs w:val="21"/>
                                      </w:rPr>
                                      <w:t>分选</w:t>
                                    </w:r>
                                  </w:p>
                                </w:txbxContent>
                              </wps:txbx>
                              <wps:bodyPr rot="0" vert="horz" wrap="square" lIns="0" tIns="0" rIns="0" bIns="0" anchor="ctr" anchorCtr="0" upright="1">
                                <a:noAutofit/>
                              </wps:bodyPr>
                            </wps:wsp>
                            <wps:wsp>
                              <wps:cNvPr id="189" name="AutoShape 25"/>
                              <wps:cNvCnPr>
                                <a:cxnSpLocks noChangeShapeType="1"/>
                                <a:stCxn id="188" idx="3"/>
                                <a:endCxn id="503" idx="1"/>
                              </wps:cNvCnPr>
                              <wps:spPr bwMode="auto">
                                <a:xfrm>
                                  <a:off x="789600" y="667411"/>
                                  <a:ext cx="324944" cy="203"/>
                                </a:xfrm>
                                <a:prstGeom prst="straightConnector1">
                                  <a:avLst/>
                                </a:prstGeom>
                                <a:noFill/>
                                <a:ln w="9525">
                                  <a:solidFill>
                                    <a:srgbClr val="000000"/>
                                  </a:solidFill>
                                  <a:round/>
                                  <a:tailEnd type="triangle" w="med" len="med"/>
                                </a:ln>
                              </wps:spPr>
                              <wps:bodyPr/>
                            </wps:wsp>
                          </wpc:wpc>
                        </a:graphicData>
                      </a:graphic>
                    </wp:inline>
                  </w:drawing>
                </mc:Choice>
                <mc:Fallback>
                  <w:pict>
                    <v:group id="画布 255" o:spid="_x0000_s1026" o:spt="203" style="height:202.65pt;width:444.9pt;" coordsize="5650230,2573655" editas="canvas" o:gfxdata="UEsDBAoAAAAAAIdO4kAAAAAAAAAAAAAAAAAEAAAAZHJzL1BLAwQUAAAACACHTuJAzLOTQtcAAAAF&#10;AQAADwAAAGRycy9kb3ducmV2LnhtbE2PQUvDQBCF74L/YZmCF7G7VSsxZtNDQSwiFFPteZudJsHs&#10;bJrdJvXfO3qxlwfDG977XrY4uVYM2IfGk4bZVIFAKr1tqNLwsXm+SUCEaMia1hNq+MYAi/zyIjOp&#10;9SO941DESnAIhdRoqGPsUilDWaMzYeo7JPb2vncm8tlX0vZm5HDXylulHqQzDXFDbTpc1lh+FUen&#10;YSzXw3bz9iLX19uVp8PqsCw+X7W+mszUE4iIp/j/DL/4jA45M+38kWwQrQYeEv+UvSR55Bk7Dfdq&#10;fgcyz+Q5ff4DUEsDBBQAAAAIAIdO4kACrzjMfgcAANc6AAAOAAAAZHJzL2Uyb0RvYy54bWztW01v&#10;3EQYviPxHyzf2/WMv1fdVFXSFqQWKlq4e23vrsH2mLGT3XCEOycOnDggwYkfgIQQv6a0P4NnZuy1&#10;s3HaNGWdtnEOiR2PxzOvHz/v+z7zzp27myzVTmJeJiyf6eS2oWtxHrIoyZcz/ctnD255ulZWQR4F&#10;KcvjmX4al/rdg48/urMupjFlK5ZGMdfQSV5O18VMX1VVMZ1MynAVZ0F5mxVxjosLxrOgwilfTiIe&#10;rNF7lk6oYTiTNeNRwVkYlyX+e6Qu6nWP/DIdssUiCeMjFh5ncV6pXnmcBhWmVK6SotQP5GgXizis&#10;Pl8syrjS0pmOmVbyNx6C47n4PTm4E0yXPChWSVgPIbjMEHbmlAVJjoduuzoKqkA75sm5rrIk5Kxk&#10;i+p2yLKJmoi0CGZBjB3bPOTsuJBzWU7Xy2JrdLyoHatfudvws5MnXEuime5RXcuDDG/8xU9/Pf/z&#10;B43atjDPulhO0eohL54WT3j9j6U6EzPeLHgm/mIu2kYa9nRr2HhTaSH+aTu2QU3YPMQ1arumo/oO&#10;puEK7+fcfeHq/mvunDQPnojxbYezLgDKsrVU+XaWeroKili+gFLYoLYU5tKY6gsALMiXaaxRUxlL&#10;NhSWEjYpi0cs/KbUcna4QrP4HudsvYqDCOMioj1G37lBnJS4VZuvH7MIbyI4rpiE1Y6RTY8YsCaM&#10;SSgM6/qir2DamNuzXWrX1rZ9w8axeFZjsmBa8LJ6GLNMEwcznWMW8jHByaOyUk2bJnIaLE2iB0ma&#10;yhO+nB+mXDsJ8Ek9kD9172W3WZpr65nu29SWPZ+5Vna7MORPXxdZUoFp0iQDOLuN0rw2nLCVAGg5&#10;rTbzDcYtDucsOoUJOVPfOpgOByvGv9O1Nb7zmV5+exzwWNfST3O8Bpipag54czBvDoI8xK0zPay4&#10;rqmTw0rRx3HBk+UKfRM5wZzdw8taJNJ87TjqkQKTanQDgNPsAacl7CtGBRTvG5yEEMu2LAlPm7ou&#10;kUhv0ekAvYJsJBe4vmc4IzpvDjqBC+VlxOci+RWOpoPOw1xRZ7jJn+6wp2z97LQAMdaQKqvDTS69&#10;l+TkJJIOCFAH2vKouUY8hDTyGpVIq78D9SRxcjHnaos0Kb5qvvHaxVmOA36V+PYMwHsH36YrnifQ&#10;bYL+HO/V6C4rHggeOWR5DhpmXNHJBUycM0HDcoL/A8EivMgj2VkVJOn9PNIqad2KJ9KpgTFnehZH&#10;4MoYsaI4Qmv4kR4GVrQrLguLDsl3eBMKUR1nLCllIL6jhmmYDggNb7yP73xKXeKPfCdc7c3zxk6D&#10;zg7fuVfjuyZYvAxxCQqs6Yq4QCXFOIBPMJdDZDDQ+mO4aMfEZcFYrwkUR7K6bOp2UebgNnDokJX0&#10;EAORlUltYlKVO/SRlec5HgGjjsHZTSQrxC3ngjOZW9bofIPg7IpkRX3bNER2cBFZ+R41a2c6klWj&#10;wu1J5oCddyMriDiI8QYiK8v2DNN/RWTlGkJfGMnqJkZWBJM+h06Zig2GTqiYvnKliLEIdDjxbbSB&#10;FTQ6t1U9R6XjRulwfk/gb3Y14v37UotAaTOVUNEX+FsWhRav6BMCa53bN1JzIwDXGvEY+r9d6O9v&#10;I/82ETS7suz+8WAbDhZilDAL4comO3xlykUFEfn7lukiSVBizwiIvYRXxCA9DmzIXFAIV3YtXMmX&#10;3bouaFb0+jUr4Uy3ime/7LjvhZ/qPVn2Ie2aZIdfBsjdpEL+iVDIe7VyavnEoSqEp9sQqAXalnKo&#10;5WKl8t2lHOEOj4JypdY9IxypYO9D0NCJ0bNmaA2Z6XVlqR0qejcUqZGKeupT+kVOYvSs8VndzGxP&#10;oU4vAZmObxsugi+ENX0EJAJfJSCMBFTXTgy/iEfA/OeSeUuu1g6WzLdS0w4B+S4WUOr1kRZBQ1fT&#10;jAT0BgTUk3tbA+TevQTUzbpa+LQRUJt1jSFQU711HQzUI3ZbQ5YRdMVuSn2UUO1U9e3wELmeuqmR&#10;hy7PQ61E3eZk1rCL/2Afz0WxrQx/DHCN4sGWftr4xzHReEzAZI3zwEVMBFLcufjHHFQL8mxKnXox&#10;w7AQ8uxEQZ5FPTFKIQ8SDyUEUru8ehS01XVUNdm1Cz3he1Phi2KeBiwv//nl3x9/e/HH71Pt5fc/&#10;P//7V01chPfsrNfXZ6pWWpWAq+Jo21JF1YLR61IhkzhYb1UouOX7tuvLqKllC0LdJl8yHYDgdSLx&#10;HPsztpWNZltjLp65jGrIB9HXQj3KUuy8QFW5Rs5Ue8tKSFl12KxInHFBAj7bSnMtFAXeC+wEAVCz&#10;IkKxd76EgpcuUb4o3rC49Sql6GfVH9mDkn8uKJwUAcw7VSZJ3R6JZ1CGsUz4nrpslpg4UmW/LbbA&#10;MI5Vr+ajQNzzJAONDIMtDkO7I1HAvLu2TruLVXvfQ2ATq8ZKX5Wa2ELg1lBBTgUie3XcMm5wUTtd&#10;PoQNLsTbZmptVK24pOP1BNG/4RaCdptA4/TaLQS2UMjlFgKpY16xuM31fEe4T1XbZp3bOIDFErFv&#10;RtZe4oHKidy85VdYV+53lD603pspNlR2zyUntvtRD/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zLOTQtcAAAAFAQAADwAAAAAAAAABACAAAAAiAAAAZHJzL2Rvd25yZXYueG1sUEsBAhQAFAAAAAgA&#10;h07iQAKvOMx+BwAA1zoAAA4AAAAAAAAAAQAgAAAAJgEAAGRycy9lMm9Eb2MueG1sUEsFBgAAAAAG&#10;AAYAWQEAABYLAAAAAA==&#10;">
                      <o:lock v:ext="edit" aspectratio="f"/>
                      <v:shape id="画布 255" o:spid="_x0000_s1026" style="position:absolute;left:0;top:0;height:2573655;width:5650230;" filled="f" stroked="f" coordsize="21600,21600" o:gfxdata="UEsDBAoAAAAAAIdO4kAAAAAAAAAAAAAAAAAEAAAAZHJzL1BLAwQUAAAACACHTuJAzLOTQtcAAAAF&#10;AQAADwAAAGRycy9kb3ducmV2LnhtbE2PQUvDQBCF74L/YZmCF7G7VSsxZtNDQSwiFFPteZudJsHs&#10;bJrdJvXfO3qxlwfDG977XrY4uVYM2IfGk4bZVIFAKr1tqNLwsXm+SUCEaMia1hNq+MYAi/zyIjOp&#10;9SO941DESnAIhdRoqGPsUilDWaMzYeo7JPb2vncm8tlX0vZm5HDXylulHqQzDXFDbTpc1lh+FUen&#10;YSzXw3bz9iLX19uVp8PqsCw+X7W+mszUE4iIp/j/DL/4jA45M+38kWwQrQYeEv+UvSR55Bk7Dfdq&#10;fgcyz+Q5ff4DUEsDBBQAAAAIAIdO4kDeMjbXRQcAAFE6AAAOAAAAZHJzL2Uyb0RvYy54bWztW91y&#10;4zQYvWeGd/D4fjeW/J/ZdGcnZYGZBTrswr1iO4nBf8huk3LJA3DNFRfMwBWvwPA0wD4GR5Idu6nb&#10;7XaJW7buRSrHiixLR0ffd75PT55u00Q7i3gZ59lMJ48NXYuyIA/jbDXTv3r1/JGna2XFspAleRbN&#10;9POo1J8effjBk00xjWi+zpMw4hoaycrpppjp66oqppNJGayjlJWP8yLKcHOZ85RVuOSrScjZBq2n&#10;yYQahjPZ5DwseB5EZYlvj9VNvW6R36TBfLmMg+g4D07TKKtUqzxKWIVXKtdxUepHsrfLZRRUXyyX&#10;ZVRpyUzHm1byEw9BeSE+J0dP2HTFWbGOg7oL7CZd2HunlMUZHrpr6phVTDvl8aWm0jjgeZkvq8dB&#10;nk7Ui8gRwVsQY29s5iw7Y+plAox100GU/sN2FyvR7yx/HicJRmOC1qfiO/F/g9mOxO0ku1hJfSPr&#10;1nU2BeBQFjtglO/WxZdrVkRyGstp8PnZCdficKbbBtW1jKWA5ZeYWpatkkijpphF8XxUfFmccNHV&#10;sniRB9+WWpbP16gWPeM836wjFqJfRNRH3zs/EBclfqotNp/lIZpnp1UuJ3S75KloEFOlbWe66RED&#10;2DlHK9SgpusrBEXbSgtw27NdauN+gAq2b9goi2exadNMwcvq4yhPNVGY6RxvIR/Dzl6UlaraVJGv&#10;kSdxKGZGXvDVYp5w7YwBzM/lX9162a2WZNpmpvs2tWXLF+6V3SYM+dfXRBpXWONJnOKNupUEDOTA&#10;ibFSY15tF9t6+Bd5eI4h5LlaZeAYFNY5/17XNlhhM7387pTxSNeSTzNMg1iOTYE3hUVTYFmAn870&#10;oOK6pi7mlVq4pwWPV2u0TeQLZvkzTNYylsMnJlL1o+4pMKk6OgA4zR5wWmJ8L2DtcOAkhFi2ZUl4&#10;2tR1iUQ6mzbodIBeDytIoJO6vmc4IzofDjqBC0WdYrlIftVAES0655mizmCbvdxjT1n71XkBYqwh&#10;VVbzbdZychyC/OrdNMrC5h7xYEzIe1QirV4H6knXc662TOLi62aN1+xrOQ74VeLbMwDvPXybrnie&#10;QLcJ+nO869FdVpwJHpnnWQYazrmikyuYeLdBiq3vnQmW56dZiKFn04rFyUdZqFVydCsey00NjDnT&#10;0ygEV0aw0kQJtbGP9DCwojtxW4zokHyHmbi0GUtKGYjvqGEapgNCE7ttD9/5lLrEH/lObLUPbzd2&#10;GnR2+M69Hd81xuJNiKtjLBIXqKToB/AJ5nKINAba/RiQdUzcFoz1BkNxJKubOk1XeQ5uA4eO5yB3&#10;iIHIyqQ2ManyHfrIyvMcj4BRR+PsIZIV7JZLxpn0LWt0voVxdkuyor5tGsI7uIqsfI+a9WY6klWj&#10;fx1I5sA471tWphz0gcjKsj3D9K+xrFxD6AsjWT1Ey4rgpS+hU7pig6HTsaGuSaqCjUWgwwm7rjWs&#10;oNG5FAtmxOcDxKffY/ibXY348HupRaC0mUqo6DP8LYtSGwapsPUgsI46RR1NOshu6u8s/9YRNLuy&#10;7OHxYBuO7dhKmIVwZZM9vjJlUEGgwbdMF06CEnuuCBqMvuC7+YLEID0b2JC+oBCu7Fq4kpPdbl3Q&#10;rOjda1ZiM90pnv2y46EDP9X/JOxD2phkh18G8N2kQv6JUMh7tXJq+cShyoRvgz0t0HaUQy0Xkcr7&#10;SzkiHnrMyrWKe4YoKWPvfdDQidETM7SG9PS6stQeFd0PRWqkop7MkH6Rkxg9MT6r65kdyNTpJSDT&#10;8W3DhfEFs6aPgIThqxy0kYDqnIXhg3gEzH/JmbdktHYwZ76VmvYIyHcRQKnjIy2Chs6mGQnoLQio&#10;x/e2BvC9ewmo63W18GktoNbrGk2gJmvqLhioR+y2hkwj6IrdlPpIodrL6tvjIXI3eVMjD92ch1qJ&#10;uvXJrGGD/2Afz7WVBgh/H7aZ5MGWflr7xzFReXTATvgdsA+kuEv2jzmoFuTZlDp1MMOwYPLsWUGe&#10;RT3RSyEPEg8pBFK7vL0VtNN1rknrVtnQY4ZvbQPX6edI5mnA8vrPn//+8dd/fv9tqr3+4ae//vhF&#10;EzeB3/oXwtGqr1SutEoBV8nRtqWSqgWjN3nlxEG8VaHgke/brr/HFoS6jb9kOgDBm0TiBU5G7DIb&#10;zTbHXDxzFdaQZ+E3Qj1KE5x5QFa5Ri5ke8tMSJl12E1JvwCfXSKkFogE7yXOYACoaREi2TtbQcFL&#10;VkhfDJDDLZ57m1T0i+qPbEEM85WJk4JC7lWaJHV7JJ5BGcYysffUabPEREml/XZ2Ios6Vh3NR4K4&#10;50kGGhkGRxwGzqmVCdP7sXXaDVYd+oALsYlVY6UvS00cIXBrqMCnApGJ1Xh7qFxNCeMBlyb5/b4c&#10;cCHezlNrrWrFJZ1dT3DzWx4haI8JNJtee4TAFgq5PEIgdcxbJre5nu+I7RMmFOLx1qWDAwiWiHMz&#10;MvcSD7wW0u9x+BWjKw8ayhVdn4oURxm715IT25OgR/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zLOTQtcAAAAFAQAADwAAAAAAAAABACAAAAAiAAAAZHJzL2Rvd25yZXYueG1sUEsBAhQAFAAAAAgA&#10;h07iQN4yNtdFBwAAUToAAA4AAAAAAAAAAQAgAAAAJgEAAGRycy9lMm9Eb2MueG1sUEsFBgAAAAAG&#10;AAYAWQEAAN0KAAAAAA==&#10;">
                        <v:fill on="f" focussize="0,0"/>
                        <v:stroke on="f"/>
                        <v:imagedata o:title=""/>
                        <o:lock v:ext="edit" aspectratio="f"/>
                      </v:shape>
                      <v:rect id="Rectangle 23" o:spid="_x0000_s1026" o:spt="1" style="position:absolute;left:38100;top:1202379;height:590550;width:857250;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D7aXiEvAgAAewQAAA4AAABkcnMvZTJvRG9jLnhtbK1UwW7bMAy9&#10;D9g/CLqvdhx4TYI4RZGgw4BuK9btAxRZjoVJokYpcbKvHy07Xdrt0MN0EEiTeuJ7pLy8OVrDDgqD&#10;BlfxyVXOmXISau12Ff/+7e7djLMQhauFAacqflKB36zevll2fqEKaMHUChmBuLDofMXbGP0iy4Js&#10;lRXhCrxyFGwArYjk4i6rUXSEbk1W5Pn7rAOsPYJUIdDXzRDkIyK+BhCaRku1Abm3ysUBFZURkSiF&#10;VvvAV6naplEyfmmaoCIzFSemMe10Cdnbfs9WS7HYofCtlmMJ4jUlvOBkhXZ06RPURkTB9qj/grJa&#10;IgRo4pUEmw1EkiLEYpK/0OaxFV4lLiR18E+ih/8HKz8fHpDpuuJlXnDmhKWWfyXZhNsZxYppr1Dn&#10;w4ISH/0D9hyDvwf5IzAH65bS1C0idK0SNdU16fOzZwd6J9BRtu0+QU3wYh8hiXVs0PaAJAM7Vnw6&#10;m+TUlxOhFHkxvZ4P3VHHyCSFZ+V1UVJcUkI5z0uy+7vE4gzjMcQPCizrjYojsUjXiMN9iEPqOSXR&#10;AKPrO21McnC3XRtkB0GDcpfWiB4u04xjXcXnZVEm5GexcAmRp/UvCKsjvR+jLTG6TDJuFK7XatA8&#10;HrfHUf4t1CeSEGGYYHq/ZLSAvzjraHorHn7uBSrOzEdHbehH/Wzg2dieDeEkHa24jMjZ4Kzj8Cj2&#10;HvWuJexJIujglprV6CRf38ihjrFSmsnUgPH99EN/6aesP/+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7QRJ0wAAAAUBAAAPAAAAAAAAAAEAIAAAACIAAABkcnMvZG93bnJldi54bWxQSwECFAAU&#10;AAAACACHTuJAPtpeIS8CAAB7BAAADgAAAAAAAAABACAAAAAiAQAAZHJzL2Uyb0RvYy54bWxQSwUG&#10;AAAAAAYABgBZAQAAwwUAAAAA&#10;">
                        <v:fill on="t" focussize="0,0"/>
                        <v:stroke color="#000000" miterlimit="8" joinstyle="miter"/>
                        <v:imagedata o:title=""/>
                        <o:lock v:ext="edit" aspectratio="f"/>
                        <v:textbox inset="0mm,0mm,0mm,0mm">
                          <w:txbxContent>
                            <w:p>
                              <w:pPr>
                                <w:jc w:val="center"/>
                              </w:pPr>
                              <w:r>
                                <w:rPr>
                                  <w:rFonts w:hint="eastAsia"/>
                                </w:rPr>
                                <w:t>建筑垃圾、废石以及不合格成型砖块</w:t>
                              </w:r>
                            </w:p>
                          </w:txbxContent>
                        </v:textbox>
                      </v:rect>
                      <v:rect id="Rectangle 24" o:spid="_x0000_s1026" o:spt="1" style="position:absolute;left:1114544;top:527711;height:279806;width:638182;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BBgMPY1AgAAfAQAAA4AAABkcnMvZTJvRG9jLnhtbK1UTW/bMAy9&#10;D9h/EHRf/dGkTY04RdGiw4BuLdbtByiyHAuTRI1S4nS/frTsdGm3Qw/TQSBN8onvifLycm8N2ykM&#10;GlzNi5OcM+UkNNptav792+2HBWchCtcIA07V/EkFfrl6/27Z+0qV0IFpFDICcaHqfc27GH2VZUF2&#10;yopwAl45CraAVkRycZM1KHpCtyYr8/ws6wEbjyBVCPT1ZgzyCRHfAghtq6W6Abm1ysURFZURkSiF&#10;TvvAV6nbtlUy3rdtUJGZmhPTmHY6hOz1sGerpag2KHyn5dSCeEsLrzhZoR0d+gx1I6JgW9R/QVkt&#10;EQK08USCzUYiSRFiUeSvtHnshFeJC0kd/LPo4f/Byi+7B2S6qfk8P+XMCUtX/pVkE25jFCtng0K9&#10;DxUlPvoHHDgGfwfyR2AOrjtKU1eI0HdKNNRXMeRnLwoGJ1ApW/efoSF4sY2QxNq3aAdAkoHtqbYo&#10;ZvPZjLMn6qY8Py8SmKjUPjJJ8bPTRbEoOZMUL88vFvlZOkxUBxyPIX5UYNlg1ByJRjpH7O5CHPoS&#10;1SEl8QCjm1ttTHJws742yHaCJuU2rQk9HKcZx/qaX8zLeUJ+EQvHEHla/4KwOtIDMtrWfHGcZNyk&#10;3CDWKHrcr/eT/mtonkhDhHGE6QGT0QH+4qyn8a15+LkVqDgznxzdwzDrBwMPxvpgCCeptOYyImej&#10;cx3HV7H1qDcdYReJoIMruq1WJ/mGmxz7mDqloUyqTg9omPpjP2X9+Wm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7QRJ0wAAAAUBAAAPAAAAAAAAAAEAIAAAACIAAABkcnMvZG93bnJldi54bWxQ&#10;SwECFAAUAAAACACHTuJAEGAw9jUCAAB8BAAADgAAAAAAAAABACAAAAAiAQAAZHJzL2Uyb0RvYy54&#10;bWxQSwUGAAAAAAYABgBZAQAAyQUAAAAA&#10;">
                        <v:fill on="t" focussize="0,0"/>
                        <v:stroke color="#000000" miterlimit="8" joinstyle="miter"/>
                        <v:imagedata o:title=""/>
                        <o:lock v:ext="edit" aspectratio="f"/>
                        <v:textbox inset="0mm,0mm,0mm,0mm">
                          <w:txbxContent>
                            <w:p>
                              <w:pPr>
                                <w:jc w:val="center"/>
                              </w:pPr>
                              <w:r>
                                <w:rPr>
                                  <w:rFonts w:hint="eastAsia"/>
                                </w:rPr>
                                <w:t>给料机</w:t>
                              </w:r>
                            </w:p>
                          </w:txbxContent>
                        </v:textbox>
                      </v:rect>
                      <v:shape id="AutoShape 25" o:spid="_x0000_s1026" o:spt="32" type="#_x0000_t32" style="position:absolute;left:466725;top:807111;flip:y;height:395268;width:3788;" filled="f" stroked="t" coordsize="21600,21600" o:gfxdata="UEsDBAoAAAAAAIdO4kAAAAAAAAAAAAAAAAAEAAAAZHJzL1BLAwQUAAAACACHTuJAizNcWdYAAAAF&#10;AQAADwAAAGRycy9kb3ducmV2LnhtbE2PwU7DMBBE70j9B2uRuCBqt1AUQpweCoUTqgjl7sZLEjVe&#10;R7HbJn/fpRe4jLSa1cybbDm4VhyxD40nDbOpAoFUettQpWH7tb5LQIRoyJrWE2oYMcAyn1xlJrX+&#10;RJ94LGIlOIRCajTUMXaplKGs0Zkw9R0Sez++dyby2VfS9ubE4a6Vc6UepTMNcUNtOlzVWO6Lg9Pw&#10;UmwW6+/b7TAfy/eP4i3Zb2h81frmeqaeQUQc4t8z/OIzOuTMtPMHskG0GnhIvCh7SfLEM3YaHtTi&#10;HmSeyf/0+RlQSwMEFAAAAAgAh07iQCi+1mcZAgAAMAQAAA4AAABkcnMvZTJvRG9jLnhtbK1TTY/b&#10;IBC9V+p/QNwbf+zmo1GcVZV0e9m2kXbbOwFso2IGAYmdf98Bu9nu9rKH+oDAM/Pem8ewuRs6Tc7S&#10;eQWmosUsp0QaDkKZpqI/nu4/rCjxgRnBNBhZ0Yv09G77/t2mt2tZQgtaSEcQxPh1byvahmDXWeZ5&#10;KzvmZ2ClwWANrmMBj67JhGM9onc6K/N8kfXghHXApff4dz8G6YTo3gIIda243AM/ddKEEdVJzQK2&#10;5FtlPd0mtXUtefhe114GoiuKnYa0Ignuj3HNthu2bhyzreKTBPYWCa966pgySHqF2rPAyMmpf6A6&#10;xR14qMOMQ5eNjSRHsIsif+XNY8usTL2g1d5eTff/D5Z/Ox8cUaKi8/yWEsM6vPJPpwCJm5Tz6FBv&#10;/RoTd+bgYo98MI/2AfgvTwzsWmYambKfLhaLi9FTH3aDmYBLipvharc04k+sWOG0pVgZy7IXTPHg&#10;Lco79l9BIDRDXcnloXYdqbWyPyNf1IROEmS4XSyWqJlcKrrKl0UxiZFDIBzDN8vIxzF683FeLlaJ&#10;k60jXASxzocvEjoSNxX1wTHVtGEHxuAggRup2PnBhyj2uSAWG7hXWqd50ob0FUWGedLmQSsRgzHN&#10;u+a4046cWZzI9E0qXqQ5OBmRwAJT+rMRJCR3g1Pot5Y0MnRSUKIlPuO4GyVpM9kYnRuv7gjicnAx&#10;HB3FQUrap6GPk/r3OWU9P/T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zXFnWAAAABQEAAA8A&#10;AAAAAAAAAQAgAAAAIgAAAGRycy9kb3ducmV2LnhtbFBLAQIUABQAAAAIAIdO4kAovtZnGQIAADAE&#10;AAAOAAAAAAAAAAEAIAAAACUBAABkcnMvZTJvRG9jLnhtbFBLBQYAAAAABgAGAFkBAACwBQAAAAA=&#10;">
                        <v:fill on="f" focussize="0,0"/>
                        <v:stroke color="#000000" joinstyle="round" endarrow="block"/>
                        <v:imagedata o:title=""/>
                        <o:lock v:ext="edit" aspectratio="f"/>
                      </v:shape>
                      <v:rect id="Rectangle 26" o:spid="_x0000_s1026" o:spt="1" style="position:absolute;left:2030362;top:527711;height:279806;width:922719;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MnVOe80AgAAfAQAAA4AAABkcnMvZTJvRG9jLnhtbK1UwW7bMAy9&#10;D9g/CLqvdlykSYw4RZEgw4BuK9rtAxRZjoVJokYpcbKvHy0nXdrt0MN8MEiTenrvifL89mAN2ysM&#10;GlzFR1c5Z8pJqLXbVvz7t/WHKWchClcLA05V/KgCv128fzfvfKkKaMHUChmBuFB2vuJtjL7MsiBb&#10;ZUW4Aq8cFRtAKyKluM1qFB2hW5MVeX6TdYC1R5AqBPq6Gor8hIhvAYSm0VKtQO6scnFARWVEJEmh&#10;1T7wRWLbNErGr00TVGSm4qQ0pjdtQvGmf2eLuSi3KHyr5YmCeAuFV5qs0I42fYZaiSjYDvVfUFZL&#10;hABNvJJgs0FIcoRUjPJX3jy1wqukhawO/tn08P9g5Zf9AzJdV3ycjzlzwtKRP5Jtwm2NYsVN71Dn&#10;Q0mNT/4Be43B34P8EZiDZUtt6g4RulaJmniN+v7sxYI+CbSUbbrPUBO82EVIZh0atD0g2cAOFS/y&#10;6/z6puDsSGyKyWSUwESpDpFJqs+KYjKacSapXkxm0zyRy0R5xvEY4kcFlvVBxZFkpH3E/j7Enpco&#10;zy1JBxhdr7UxKcHtZmmQ7QVNyjo9SQrJvWwzjnXEZFyME/KLWriEyNPzLwirI10go23Fp5dNxp2c&#10;680aTI+HzeHk/wbqI3mIMIwwXWAKWsBfnHU0vhUPP3cCFWfmk6Nz6Gf9HOA52JwD4SQtrbiMyNmQ&#10;LONwK3Ye9bYl7FES6OCOTqvRyb7+JAceJ6Y0lMnV0wXqp/4yT11/fhq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ztBEnTAAAABQEAAA8AAAAAAAAAAQAgAAAAIgAAAGRycy9kb3ducmV2LnhtbFBL&#10;AQIUABQAAAAIAIdO4kDJ1TnvNAIAAHwEAAAOAAAAAAAAAAEAIAAAACIBAABkcnMvZTJvRG9jLnht&#10;bFBLBQYAAAAABgAGAFkBAADIBQAAAAA=&#10;">
                        <v:fill on="t" focussize="0,0"/>
                        <v:stroke color="#000000" miterlimit="8" joinstyle="miter"/>
                        <v:imagedata o:title=""/>
                        <o:lock v:ext="edit" aspectratio="f"/>
                        <v:textbox inset="0mm,0mm,0mm,0mm">
                          <w:txbxContent>
                            <w:p>
                              <w:pPr>
                                <w:jc w:val="center"/>
                              </w:pPr>
                              <w:r>
                                <w:rPr>
                                  <w:rFonts w:hint="eastAsia"/>
                                </w:rPr>
                                <w:t>鄂式破碎机</w:t>
                              </w:r>
                            </w:p>
                          </w:txbxContent>
                        </v:textbox>
                      </v:rect>
                      <v:shape id="AutoShape 27" o:spid="_x0000_s1026" o:spt="32" type="#_x0000_t32" style="position:absolute;left:1752726;top:667614;height:0;width:277636;" filled="f" stroked="t" coordsize="21600,21600" o:gfxdata="UEsDBAoAAAAAAIdO4kAAAAAAAAAAAAAAAAAEAAAAZHJzL1BLAwQUAAAACACHTuJAu690J9cAAAAF&#10;AQAADwAAAGRycy9kb3ducmV2LnhtbE2PS0/DMBCE70j8B2uRuFG7PKI0xKkEFSIXkGgR4ujGS2IR&#10;r6PYffHru/QCl5FWs5r5ppzvfS+2OEYXSMN0okAgNcE6ajW8r56uchAxGbKmD4QaDhhhXp2flaaw&#10;YUdvuF2mVnAIxcJo6FIaCilj06E3cRIGJPa+wuhN4nNspR3NjsN9L6+VyqQ3jrihMwM+dth8Lzde&#10;Q1p8Hrrso3mYudfV80vmfuq6Xmh9eTFV9yAS7tPfM/ziMzpUzLQOG7JR9Bp4SDope3k+4xlrDbfq&#10;7gZkVcr/9NURUEsDBBQAAAAIAIdO4kDcA+Lp/gEAAO0DAAAOAAAAZHJzL2Uyb0RvYy54bWytU8GO&#10;2yAQvVfqPyDujWO3sVsrzqpKur1s20i7/QAC2EYFBgGJk7/vgLPb7fayh/qAwG/mvZnHsL45G01O&#10;0gcFtqPlYkmJtByEskNHfz7cvvtISYjMCqbByo5eZKA3m7dv1pNrZQUjaCE9QRIb2sl1dIzRtUUR&#10;+CgNCwtw0iLYgzcs4tEPhfBsQnaji2q5rIsJvHAeuAwB/+5mkF4Z/WsIoe8VlzvgRyNtnFm91Cxi&#10;S2FULtBNrrbvJY8/+j7ISHRHsdOYVxTB/SGtxWbN2sEzNyp+LYG9poQXPRmmLIo+Ue1YZOTo1T9U&#10;RnEPAfq44GCKuZHsCHZRLl94cz8yJ3MvaHVwT6aH/0fLv5/2nijR0dWypsQyg1f++Rgha5OqSQ5N&#10;LrQYuLV7n3rkZ3vv7oD/CsTCdmR2kDn64eIwuUwZxV8p6RAc6hymbyAwhqFAtuvce5Mo0Qhyxtxm&#10;VTUV1nHpaF03dflhviB5joQjXjVN/R5hjni+u4K1jxTOh/hVgiFp09EQPVPDGLdgLU4B+DILstNd&#10;iKlA1j4mJH0Lt0rrPAzakqmjn1bVKicE0EokMIUFPxy22pMTS+OUv9wtIs/DPBytyGSRKf3FChKz&#10;NdErNEtLmhSMFJRoiW8w7eaStL1al9yafT+AuOx9gpOLOAW59uvEpjF7fs5Rf17p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r3Qn1wAAAAUBAAAPAAAAAAAAAAEAIAAAACIAAABkcnMvZG93bnJl&#10;di54bWxQSwECFAAUAAAACACHTuJA3APi6f4BAADtAwAADgAAAAAAAAABACAAAAAmAQAAZHJzL2Uy&#10;b0RvYy54bWxQSwUGAAAAAAYABgBZAQAAlgUAAAAA&#10;">
                        <v:fill on="f" focussize="0,0"/>
                        <v:stroke color="#000000" joinstyle="round" endarrow="block"/>
                        <v:imagedata o:title=""/>
                        <o:lock v:ext="edit" aspectratio="f"/>
                      </v:shape>
                      <v:rect id="Rectangle 28" o:spid="_x0000_s1026" o:spt="1" style="position:absolute;left:3251320;top:527711;height:279806;width:886815;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BSVyMg0AgAAfAQAAA4AAABkcnMvZTJvRG9jLnhtbK1UTW/bMAy9&#10;D9h/EHRf/VGkSY06RdEgw4BuK9rtByiyHAuTRI1S4nS/frTsdGm3Qw/TQSBN6onvkfLV9cEatlcY&#10;NLiaF2c5Z8pJaLTb1vz7t/WHBWchCtcIA07V/EkFfr18/+6q95UqoQPTKGQE4kLV+5p3Mfoqy4Ls&#10;lBXhDLxyFGwBrYjk4jZrUPSEbk1W5vlF1gM2HkGqEOjragzyCRHfAghtq6VagdxZ5eKIisqISJRC&#10;p33gy1Rt2yoZv7ZtUJGZmhPTmHa6hOzNsGfLK1FtUfhOy6kE8ZYSXnGyQju69BlqJaJgO9R/QVkt&#10;EQK08UyCzUYiSRFiUeSvtHnshFeJC0kd/LPo4f/Byi/7e2S6qfksn3PmhKWWP5Bswm2NYuViUKj3&#10;oaLER3+PA8fg70D+CMzBbUdp6gYR+k6JhuoqhvzsxYHBCXSUbfrP0BC82EVIYh1atAMgycAONT8v&#10;Z8V5SZ15omrK+bxIYKJSh8gkxReLi0Ux40xSvJxfLvKLdJmojjgeQ/yowLLBqDkSjXSP2N+FONQl&#10;qmNK4gFGN2ttTHJwu7k1yPaCJmWd1oQeTtOMY33NL2flLCG/iIVTiDytf0FYHekBGW2J0WmScZNy&#10;g1ij6PGwOUz6b6B5Ig0RxhGmB0xGB/iLs57Gt+bh506g4sx8ctSHYdaPBh6NzdEQTtLRmsuInI3O&#10;bRxfxc6j3naEXSSCDm6oW61O8g2dHOuYKqWhTKpOD2iY+lM/Zf35a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ztBEnTAAAABQEAAA8AAAAAAAAAAQAgAAAAIgAAAGRycy9kb3ducmV2LnhtbFBL&#10;AQIUABQAAAAIAIdO4kAUlcjINAIAAHwEAAAOAAAAAAAAAAEAIAAAACIBAABkcnMvZTJvRG9jLnht&#10;bFBLBQYAAAAABgAGAFkBAADIBQAAAAA=&#10;">
                        <v:fill on="t" focussize="0,0"/>
                        <v:stroke color="#000000" miterlimit="8" joinstyle="miter"/>
                        <v:imagedata o:title=""/>
                        <o:lock v:ext="edit" aspectratio="f"/>
                        <v:textbox inset="0mm,0mm,0mm,0mm">
                          <w:txbxContent>
                            <w:p>
                              <w:pPr>
                                <w:jc w:val="center"/>
                              </w:pPr>
                              <w:r>
                                <w:rPr>
                                  <w:rFonts w:hint="eastAsia"/>
                                </w:rPr>
                                <w:t>圆锥破碎机</w:t>
                              </w:r>
                            </w:p>
                          </w:txbxContent>
                        </v:textbox>
                      </v:rect>
                      <v:shape id="AutoShape 29" o:spid="_x0000_s1026" o:spt="32" type="#_x0000_t32" style="position:absolute;left:2953082;top:667614;height:0;width:298239;" filled="f" stroked="t" coordsize="21600,21600" o:gfxdata="UEsDBAoAAAAAAIdO4kAAAAAAAAAAAAAAAAAEAAAAZHJzL1BLAwQUAAAACACHTuJAu690J9cAAAAF&#10;AQAADwAAAGRycy9kb3ducmV2LnhtbE2PS0/DMBCE70j8B2uRuFG7PKI0xKkEFSIXkGgR4ujGS2IR&#10;r6PYffHru/QCl5FWs5r5ppzvfS+2OEYXSMN0okAgNcE6ajW8r56uchAxGbKmD4QaDhhhXp2flaaw&#10;YUdvuF2mVnAIxcJo6FIaCilj06E3cRIGJPa+wuhN4nNspR3NjsN9L6+VyqQ3jrihMwM+dth8Lzde&#10;Q1p8Hrrso3mYudfV80vmfuq6Xmh9eTFV9yAS7tPfM/ziMzpUzLQOG7JR9Bp4SDope3k+4xlrDbfq&#10;7gZkVcr/9NURUEsDBBQAAAAIAIdO4kBUFA8g/wEAAO0DAAAOAAAAZHJzL2Uyb0RvYy54bWytU8GO&#10;2yAQvVfqPyDujR1vkyZWnFWVdHvZtpF2+wEEsI0KDAISO3/fAWe32+1lD/UBgWfmvXmPYXM7Gk3O&#10;0gcFtqHzWUmJtByEsl1Dfz7efVhREiKzgmmwsqEXGejt9v27zeBqWUEPWkhPEMSGenAN7WN0dVEE&#10;3kvDwgyctBhswRsW8ei7Qng2ILrRRVWWy2IAL5wHLkPAv/spSK+I/i2A0LaKyz3wk5E2TqheahZR&#10;UuiVC3Sbu21byeOPtg0yEt1QVBrziiS4P6a12G5Y3XnmesWvLbC3tPBKk2HKIukz1J5FRk5e/QNl&#10;FPcQoI0zDqaYhGRHUMW8fOXNQ8+czFrQ6uCeTQ//D5Z/Px88UaKhixIv3jKDV/75FCFzk2qdHBpc&#10;qDFxZw8+aeSjfXD3wH8FYmHXM9vJnP14cVg8TxXFXyXpEBzyHIdvIDCHIUG2a2y9SZBoBBkbWq0X&#10;N+WqouTS0OXy03L+cbogOUbCc3xV3awp4RjPd1ew+gnC+RC/SjAkbRoaomeq6+MOrMUpAD/PhOx8&#10;H2JqkNVPBYnfwp3SOg+DtmRo6HpRLXJBAK1ECqa04LvjTntyZmmc8pfVYuRlmoeTFRksMqW/WEFi&#10;tiZ6hWZpSRODkYISLfENpt3UkrZX65Jbk+9HEJeDT+HkIk5B7v06sWnMXp5z1p9Xu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690J9cAAAAFAQAADwAAAAAAAAABACAAAAAiAAAAZHJzL2Rvd25y&#10;ZXYueG1sUEsBAhQAFAAAAAgAh07iQFQUDyD/AQAA7QMAAA4AAAAAAAAAAQAgAAAAJgEAAGRycy9l&#10;Mm9Eb2MueG1sUEsFBgAAAAAGAAYAWQEAAJcFAAAAAA==&#10;">
                        <v:fill on="f" focussize="0,0"/>
                        <v:stroke color="#000000" joinstyle="round" endarrow="block"/>
                        <v:imagedata o:title=""/>
                        <o:lock v:ext="edit" aspectratio="f"/>
                      </v:shape>
                      <v:rect id="Rectangle 30" o:spid="_x0000_s1026" o:spt="1" style="position:absolute;left:4580392;top:527711;height:279806;width:970525;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KN/QmAwAgAAfAQAAA4AAABkcnMvZTJvRG9jLnhtbK1UwW4bIRC9&#10;V+o/IO71rp06tldZR1EiV5XSJmraD8As60UFhg7Y6/TrO7B24qZVlUM5oJlleLz3GPbicm8N2ykM&#10;GlzNx6OSM+UkNNptav7t6+rdnLMQhWuEAadq/qgCv1y+fXPR+0pNoAPTKGQE4kLV+5p3MfqqKILs&#10;lBVhBF45WmwBrYiU4qZoUPSEbk0xKcvzogdsPIJUIdDXm2GRHxDxNYDQtlqqG5Bbq1wcUFEZEUlS&#10;6LQPfJnZtq2S8a5tg4rM1JyUxjzTIRSv01wsL0S1QeE7LQ8UxGsovNBkhXZ06BPUjYiCbVH/AWW1&#10;RAjQxpEEWwxCsiOkYly+8OahE15lLWR18E+mh/8HKz/v7pHppubTcsGZE5au/AvZJtzGKHaWHep9&#10;qKjwwd9j0hj8LcjvgTm47qhMXSFC3ynREK9xcrT4bUNKAm1l6/4TNAQvthGyWfsWbQIkG9i+5u+n&#10;8/JsMeHskdhMZrNxBhOV2kcmaX0xK6eTKWeS1iezxbw8z4eJ6ojjMcQPCixLQc2RZORzxO42xMRL&#10;VMeSrAOMblbamJzgZn1tkO0EdcoqjwN6OC0zjvXEJPH4N0SZx98grI70gIy2NZ+fFhl3cC6ZlRo4&#10;VHG/3hPvFK6heSQPEYYWpgdMQQf4k7Oe2rfm4cdWoOLMfHR0D6nXjwEeg/UxEE7S1prLiJwNyXUc&#10;XsXWo950hD3OAh1c0W21Otv3zOPAlJoyu3p4QKnrT/Nc9fzTW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0ESdMAAAAFAQAADwAAAAAAAAABACAAAAAiAAAAZHJzL2Rvd25yZXYueG1sUEsBAhQA&#10;FAAAAAgAh07iQKN/QmAwAgAAfAQAAA4AAAAAAAAAAQAgAAAAIgEAAGRycy9lMm9Eb2MueG1sUEsF&#10;BgAAAAAGAAYAWQEAAMQFAAAAAA==&#10;">
                        <v:fill on="t" focussize="0,0"/>
                        <v:stroke color="#000000" miterlimit="8" joinstyle="miter"/>
                        <v:imagedata o:title=""/>
                        <o:lock v:ext="edit" aspectratio="f"/>
                        <v:textbox inset="0mm,0mm,0mm,0mm">
                          <w:txbxContent>
                            <w:p>
                              <w:pPr>
                                <w:jc w:val="center"/>
                              </w:pPr>
                              <w:r>
                                <w:rPr>
                                  <w:rFonts w:hint="eastAsia"/>
                                </w:rPr>
                                <w:t>振动筛</w:t>
                              </w:r>
                            </w:p>
                          </w:txbxContent>
                        </v:textbox>
                      </v:rect>
                      <v:rect id="Rectangle 31" o:spid="_x0000_s1026" o:spt="1" style="position:absolute;left:4565590;top:1751237;height:279806;width:1007230;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LC6iyAzAgAAfgQAAA4AAABkcnMvZTJvRG9jLnhtbK1Uy27bMBC8&#10;F+g/ELzXkuzKL1gOAgcpCqRt0LQfQFOURZTkskvacvr1XVF26qQ95FAdhF1xONyZXWp1dbSGHRQG&#10;Da7ixSjnTDkJtXa7in//dvtuzlmIwtXCgFMVf1SBX63fvll1fqnG0IKpFTIicWHZ+Yq3MfpllgXZ&#10;KivCCLxytNgAWhEpxV1Wo+iI3ZpsnOfTrAOsPYJUIdDXm2GRnxjxNYTQNFqqG5B7q1wcWFEZEUlS&#10;aLUPfJ2qbRol45emCSoyU3FSGtObDqF427+z9Uosdyh8q+WpBPGaEl5oskI7OvSJ6kZEwfao/6Ky&#10;WiIEaOJIgs0GIckRUlHkL7x5aIVXSQtZHfyT6eH/0crPh3tkuq54WZAnTlhq+VeyTbidUWxS9A51&#10;PiwJ+ODvsdcY/B3IH4E52LQEU9eI0LVK1FRXwmfPNvRJoK1s232CmujFPkIy69ig7QnJBnas+Pty&#10;WpYLquKReGZlMZ7Mhv6oY2SSAEWez8YTAkhCjGeLeT7tAZlYnpk8hvhBgWV9UHEkIekkcbgLcYCe&#10;IUkJGF3famNSgrvtxiA7CJqV2/Sc2MMlzDjWVXxRjsvE/GwtXFLk6fkXhdWRrpDRtuLzS5BxJOZs&#10;12B7PG6Ppw5soX4kFxGGIaYrTEEL+Iuzjga44uHnXqDizHx01AmyKZ4DPAfbcyCcpK0VlxE5G5JN&#10;HO7F3qPetcRdJIEOrqlfjU729cUNdZwqpbFMDThdoX7uL/OE+vPbW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0ESdMAAAAFAQAADwAAAAAAAAABACAAAAAiAAAAZHJzL2Rvd25yZXYueG1sUEsB&#10;AhQAFAAAAAgAh07iQLC6iyAzAgAAfgQAAA4AAAAAAAAAAQAgAAAAIgEAAGRycy9lMm9Eb2MueG1s&#10;UEsFBgAAAAAGAAYAWQEAAMcFAAAAAA==&#10;">
                        <v:fill on="t" focussize="0,0"/>
                        <v:stroke color="#000000" miterlimit="8" joinstyle="miter"/>
                        <v:imagedata o:title=""/>
                        <o:lock v:ext="edit" aspectratio="f"/>
                        <v:textbox inset="0mm,0mm,0mm,0mm">
                          <w:txbxContent>
                            <w:p>
                              <w:pPr>
                                <w:jc w:val="center"/>
                              </w:pPr>
                              <w:r>
                                <w:rPr>
                                  <w:rFonts w:hint="eastAsia"/>
                                </w:rPr>
                                <w:t>成品入库</w:t>
                              </w:r>
                            </w:p>
                          </w:txbxContent>
                        </v:textbox>
                      </v:rect>
                      <v:shape id="AutoShape 33" o:spid="_x0000_s1026" o:spt="32" type="#_x0000_t32" style="position:absolute;left:4138135;top:667614;height:800;width:442257;" filled="f" stroked="t" coordsize="21600,21600" o:gfxdata="UEsDBAoAAAAAAIdO4kAAAAAAAAAAAAAAAAAEAAAAZHJzL1BLAwQUAAAACACHTuJAu690J9cAAAAF&#10;AQAADwAAAGRycy9kb3ducmV2LnhtbE2PS0/DMBCE70j8B2uRuFG7PKI0xKkEFSIXkGgR4ujGS2IR&#10;r6PYffHru/QCl5FWs5r5ppzvfS+2OEYXSMN0okAgNcE6ajW8r56uchAxGbKmD4QaDhhhXp2flaaw&#10;YUdvuF2mVnAIxcJo6FIaCilj06E3cRIGJPa+wuhN4nNspR3NjsN9L6+VyqQ3jrihMwM+dth8Lzde&#10;Q1p8Hrrso3mYudfV80vmfuq6Xmh9eTFV9yAS7tPfM/ziMzpUzLQOG7JR9Bp4SDope3k+4xlrDbfq&#10;7gZkVcr/9NURUEsDBBQAAAAIAIdO4kACVybUAQIAAO4DAAAOAAAAZHJzL2Uyb0RvYy54bWytU01z&#10;2yAQvXem/4HhXsvyV1yN5UzHbnpJG88k/QEYkMQUWAawJf/7LshJ0/SSQ3VgQLv73r7HsrkdjCZn&#10;6YMCW9NyMqVEWg5C2bamP5/uPq0pCZFZwTRYWdOLDPR2+/HDpneVnEEHWkhPEMSGqnc17WJ0VVEE&#10;3knDwgSctBhswBsW8ejbQnjWI7rRxWw6XRU9eOE8cBkC/t2PQXpF9O8BhKZRXO6Bn4y0cUT1UrOI&#10;kkKnXKDb3G3TSB4fmibISHRNUWnMK5Lg/pjWYrthVeuZ6xS/tsDe08IbTYYpi6QvUHsWGTl59Q+U&#10;UdxDgCZOOJhiFJIdQRXl9I03jx1zMmtBq4N7MT38P1j+43zwRImafl5RYpnBG/9yipCpyXyeDOpd&#10;qDBvZw8+SeSDfXT3wH8FYmHXMdvKnP10cVhcporir5J0CA5pjv13EJjDkCC7NTTeJEj0gQw1XZTz&#10;dTlfUnKp6Wp1syoX4/3IIRKe4ovZbHlDCcf4epovr2DVM4jzIX6TYEja1DREz1TbxR1Yi2MAvsyU&#10;7HwfYmqRVc8FqQMLd0rrPA3akh7tWM6WuSCAViIFU1rw7XGnPTmzNE/5y3ox8jrNw8mKDBaZ0l+t&#10;IDGbE71Cu7SkicFIQYmW+AjTbmxJ26t5ya/R+SOIy8GncPIRxyD3fh3ZNGevzznrzzP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r3Qn1wAAAAUBAAAPAAAAAAAAAAEAIAAAACIAAABkcnMvZG93&#10;bnJldi54bWxQSwECFAAUAAAACACHTuJAAlcm1AECAADuAwAADgAAAAAAAAABACAAAAAmAQAAZHJz&#10;L2Uyb0RvYy54bWxQSwUGAAAAAAYABgBZAQAAmQUAAAAA&#10;">
                        <v:fill on="f" focussize="0,0"/>
                        <v:stroke color="#000000" joinstyle="round" endarrow="block"/>
                        <v:imagedata o:title=""/>
                        <o:lock v:ext="edit" aspectratio="f"/>
                      </v:shape>
                      <v:shape id="AutoShape 34" o:spid="_x0000_s1026" o:spt="32" type="#_x0000_t32" style="position:absolute;left:5065654;top:807517;height:943720;width:3100;" filled="f" stroked="t" coordsize="21600,21600" o:gfxdata="UEsDBAoAAAAAAIdO4kAAAAAAAAAAAAAAAAAEAAAAZHJzL1BLAwQUAAAACACHTuJAu690J9cAAAAF&#10;AQAADwAAAGRycy9kb3ducmV2LnhtbE2PS0/DMBCE70j8B2uRuFG7PKI0xKkEFSIXkGgR4ujGS2IR&#10;r6PYffHru/QCl5FWs5r5ppzvfS+2OEYXSMN0okAgNcE6ajW8r56uchAxGbKmD4QaDhhhXp2flaaw&#10;YUdvuF2mVnAIxcJo6FIaCilj06E3cRIGJPa+wuhN4nNspR3NjsN9L6+VyqQ3jrihMwM+dth8Lzde&#10;Q1p8Hrrso3mYudfV80vmfuq6Xmh9eTFV9yAS7tPfM/ziMzpUzLQOG7JR9Bp4SDope3k+4xlrDbfq&#10;7gZkVcr/9NURUEsDBBQAAAAIAIdO4kDYScPAAgIAAO8DAAAOAAAAZHJzL2Uyb0RvYy54bWytU01z&#10;2yAQvXem/4HhXkvyZ6KxnOnYTS9p65mkPwADkpgCywC27H/fBTlpml5yqA4MaHff2/dY1ndno8lJ&#10;+qDANrSalJRIy0Eo2zX059P9pxtKQmRWMA1WNvQiA73bfPywHlwtp9CDFtITBLGhHlxD+xhdXRSB&#10;99KwMAEnLQZb8IZFPPquEJ4NiG50MS3LZTGAF84DlyHg390YpFdE/x5AaFvF5Q740UgbR1QvNYso&#10;KfTKBbrJ3bat5PFH2wYZiW4oKo15RRLcH9JabNas7jxzveLXFth7WnijyTBlkfQFasciI0ev/oEy&#10;insI0MYJB1OMQrIjqKIq33jz2DMnsxa0OrgX08P/g+XfT3tPlGjo7YoSywze+OdjhExNZvNk0OBC&#10;jXlbu/dJIj/bR/cA/FcgFrY9s53M2U8Xh8VVqij+KkmH4JDmMHwDgTkMCbJb59abBIk+kHNDF+Vy&#10;sVzMKbk09KZcLarVeD/yHAnH+Kwq8d44Rm/ns9U0317B6mcU50P8KsGQtGloiJ6pro9bsBbnAHyV&#10;OdnpIcTUI6ufC1ILFu6V1nkctCUDUiymi1wQQCuRgikt+O6w1Z6cWBqo/GXBGHmd5uFoRQaLTOkv&#10;VpCY3YleoV9a0sRgpKBES3yFaTe2pO3VvWTYaP0BxGXvUzgZiXOQe7/ObBq01+ec9eed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690J9cAAAAFAQAADwAAAAAAAAABACAAAAAiAAAAZHJzL2Rv&#10;d25yZXYueG1sUEsBAhQAFAAAAAgAh07iQNhJw8ACAgAA7wMAAA4AAAAAAAAAAQAgAAAAJgEAAGRy&#10;cy9lMm9Eb2MueG1sUEsFBgAAAAAGAAYAWQEAAJoFAAAAAA==&#10;">
                        <v:fill on="f" focussize="0,0"/>
                        <v:stroke color="#000000" joinstyle="round" endarrow="block"/>
                        <v:imagedata o:title=""/>
                        <o:lock v:ext="edit" aspectratio="f"/>
                      </v:shape>
                      <v:rect id="Rectangle 38" o:spid="_x0000_s1026" o:spt="1" style="position:absolute;left:2030562;top:0;height:279806;width:922219;" fillcolor="#FFFFFF" filled="t" stroked="f" coordsize="21600,21600" o:gfxdata="UEsDBAoAAAAAAIdO4kAAAAAAAAAAAAAAAAAEAAAAZHJzL1BLAwQUAAAACACHTuJACGQBbNIAAAAF&#10;AQAADwAAAGRycy9kb3ducmV2LnhtbE2PO0/EMBCEeyT+g7VIdJwdXgohzhU8dDU5EO1evMQBex3F&#10;zl3g12NooBlpNauZb+r14p3Y0xSHwBqKlQJB3AUzcK/heft4VoKICdmgC0waPinCujk+qrEy4cBP&#10;tG9TL3IIxwo12JTGSsrYWfIYV2Ekzt5bmDymfE69NBMecrh38lypa+lx4NxgcaQ7S91HO3sNm+L+&#10;YXyXXy1uXKL5xS6de120Pj0p1C2IREv6e4Yf/IwOTWbahZlNFE5DHpJ+NXtleZNn7DRcqqsLkE0t&#10;/9M331BLAwQUAAAACACHTuJAq3/1fRUCAAAsBAAADgAAAGRycy9lMm9Eb2MueG1srVPBjtMwEL0j&#10;8Q+W7zRpVpQ2arpatSpCWmC1Cx/gOk5j4XjM2G1avp6xk5ZlueyBHKyxZ+Z53svz8vbUGXZU6DXY&#10;ik8nOWfKSqi13Vf8+7ftuzlnPghbCwNWVfysPL9dvX2z7F2pCmjB1AoZgVhf9q7ibQiuzDIvW9UJ&#10;PwGnLCUbwE4E2uI+q1H0hN6ZrMjzWdYD1g5BKu/pdDMk+YiIrwGEptFSbUAeOmXDgIrKiECUfKud&#10;56s0bdMoGb42jVeBmYoT05BWuoTiXVyz1VKUexSu1XIcQbxmhBecOqEtXXqF2ogg2AH1P1Cdlgge&#10;mjCR0GUDkaQIsZjmL7R5aoVTiQtJ7d1VdP//YOWX4wMyXZMT8ilnVnT0yx9JNmH3RrGbeVSod76k&#10;wif3gJGjd/cgf3hmYd1SmbpDhL5Voqa5prE++6shbjy1sl3/GWqCF4cASaxTg10EJBnYqeJFfpO/&#10;nxWcna9/Rp0Ck5RaFEUxXXAmKVV8WMzzWbpHlBcIhz58VNCxGFQciUG6QhzvfYgjifJSkiiA0fVW&#10;G5M2uN+tDbKjIJNs0zei++dlxsZiC7FtQIwniWukN8gUTrvTqNgO6jOxRhhMR0+OghbwF2c9Ga7i&#10;/udBoOLMfLKkXHTnJcBLsLsEwkpqrXjgbAjXYXDxwaHet4Q8TXwt3JG6jU6co/LDFOOcZKIkxWj4&#10;6NLn+1T155G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ZAFs0gAAAAUBAAAPAAAAAAAAAAEA&#10;IAAAACIAAABkcnMvZG93bnJldi54bWxQSwECFAAUAAAACACHTuJAq3/1fRUCAAAsBAAADgAAAAAA&#10;AAABACAAAAAhAQAAZHJzL2Uyb0RvYy54bWxQSwUGAAAAAAYABgBZAQAAqAUAAAAA&#10;">
                        <v:fill on="t" focussize="0,0"/>
                        <v:stroke on="f"/>
                        <v:imagedata o:title=""/>
                        <o:lock v:ext="edit" aspectratio="f"/>
                        <v:textbox inset="0mm,0mm,0mm,0mm">
                          <w:txbxContent>
                            <w:p>
                              <w:pPr>
                                <w:spacing w:line="360" w:lineRule="exact"/>
                                <w:jc w:val="center"/>
                                <w:rPr>
                                  <w:sz w:val="18"/>
                                  <w:szCs w:val="18"/>
                                </w:rPr>
                              </w:pPr>
                              <w:r>
                                <w:rPr>
                                  <w:rFonts w:hint="eastAsia"/>
                                  <w:sz w:val="18"/>
                                  <w:szCs w:val="18"/>
                                </w:rPr>
                                <w:t>粉尘、噪声</w:t>
                              </w:r>
                            </w:p>
                          </w:txbxContent>
                        </v:textbox>
                      </v:rect>
                      <v:shape id="AutoShape 39" o:spid="_x0000_s1026" o:spt="32" type="#_x0000_t32" style="position:absolute;left:2491622;top:279806;flip:x y;height:247905;width:100;" filled="f" stroked="t" coordsize="21600,21600" o:gfxdata="UEsDBAoAAAAAAIdO4kAAAAAAAAAAAAAAAAAEAAAAZHJzL1BLAwQUAAAACACHTuJAjVGmOtcAAAAF&#10;AQAADwAAAGRycy9kb3ducmV2LnhtbE2PzU7DMBCE70h9B2uRuKDWDoUqhDg9VAIitRIi9AHceEki&#10;4nUUuz/06dlygctIq1nNfJMvT64XBxxD50lDMlMgkGpvO2o0bD+epymIEA1Z03tCDd8YYFlMrnKT&#10;WX+kdzxUsREcQiEzGtoYh0zKULfoTJj5AYm9Tz86E/kcG2lHc+Rw18s7pRbSmY64oTUDrlqsv6q9&#10;0/A2r24TVa6bTbItX/Flk57XZdD65jpRTyAinuLfM1zwGR0KZtr5Pdkgeg08JP4qe2n6yDN2Gu7V&#10;wxxkkcv/9MUPUEsDBBQAAAAIAIdO4kBve6lnEwIAABsEAAAOAAAAZHJzL2Uyb0RvYy54bWytU8Fu&#10;2zAMvQ/YPwi6L3a8Jm2MOMWQrNuh2wK0212R5FiYLAqSEid/P1IO2rW79DAfDMok33t8ope3p96y&#10;ow7RgGv4dFJypp0EZdy+4T8f7z7ccBaTcEpYcLrhZx357er9u+Xga11BB1bpwBDExXrwDe9S8nVR&#10;RNnpXsQJeO0w2ULoRcJj2BcqiAHRe1tUZTkvBgjKB5A6Rvy6GZP8ghjeAghta6TegDz02qURNWgr&#10;Eo4UO+MjX2W1batl+tG2USdmG46TpvxGEox39C5WS1Hvg/CdkRcJ4i0SXs3UC+OQ9AlqI5Jgh2D+&#10;geqNDBChTRMJfTEOkh3BKablK28eOuF1ngWtjv7J9Pj/YOX34zYwo3ATyoozJ3q88k+HBJmbfVyQ&#10;Q4OPNRau3TbQjPLkHvw9yN+ROVh3wu11rn48e2yeUkfxooUO0SPPbvgGCmsEEmS7Tm3oWWuN/0qN&#10;OfpFEdGgOezU8OpqMZ1XqO2M8fXippyPl6ZPiUnMT0u8S0nJq+tFOcvsoiZgAvEhpi8aekZBw2MK&#10;wuy7tAbncDcgjFTieB8TyX5uoGYHd8bavCLWsaHhi1k1y9oiWKMoSWUx7HdrG9hR0JLl56LiRRkp&#10;2IjYjXUKo3GQAAenMkkSxn52iqVsZAoGrbWaE3OvFWdW4x9L0SjVuovR5O14SztQ522gNHmOO5Nn&#10;uuw3LeXf51z1/E+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UaY61wAAAAUBAAAPAAAAAAAA&#10;AAEAIAAAACIAAABkcnMvZG93bnJldi54bWxQSwECFAAUAAAACACHTuJAb3upZxMCAAAbBAAADgAA&#10;AAAAAAABACAAAAAmAQAAZHJzL2Uyb0RvYy54bWxQSwUGAAAAAAYABgBZAQAAqwUAAAAA&#10;">
                        <v:fill on="f" focussize="0,0"/>
                        <v:stroke color="#000000" joinstyle="round" dashstyle="dash" endarrow="block"/>
                        <v:imagedata o:title=""/>
                        <o:lock v:ext="edit" aspectratio="f"/>
                      </v:shape>
                      <v:rect id="Rectangle 40" o:spid="_x0000_s1026" o:spt="1" style="position:absolute;left:3251320;top:0;height:279806;width:886815;" fillcolor="#FFFFFF" filled="t" stroked="f" coordsize="21600,21600" o:gfxdata="UEsDBAoAAAAAAIdO4kAAAAAAAAAAAAAAAAAEAAAAZHJzL1BLAwQUAAAACACHTuJACGQBbNIAAAAF&#10;AQAADwAAAGRycy9kb3ducmV2LnhtbE2PO0/EMBCEeyT+g7VIdJwdXgohzhU8dDU5EO1evMQBex3F&#10;zl3g12NooBlpNauZb+r14p3Y0xSHwBqKlQJB3AUzcK/heft4VoKICdmgC0waPinCujk+qrEy4cBP&#10;tG9TL3IIxwo12JTGSsrYWfIYV2Ekzt5bmDymfE69NBMecrh38lypa+lx4NxgcaQ7S91HO3sNm+L+&#10;YXyXXy1uXKL5xS6de120Pj0p1C2IREv6e4Yf/IwOTWbahZlNFE5DHpJ+NXtleZNn7DRcqqsLkE0t&#10;/9M331BLAwQUAAAACACHTuJARTliIhYCAAAsBAAADgAAAGRycy9lMm9Eb2MueG1srVPBbtswDL0P&#10;2D8Iui+2kzXLjDhFkSDDgG4t1u0DFFmOhcmiRimxu68fJSdp1116mA8GKVJPfE9Py+uhM+yo0Guw&#10;FS8mOWfKSqi13Vf8x/ftuwVnPghbCwNWVfxReX69evtm2btSTaEFUytkBGJ92buKtyG4Msu8bFUn&#10;/AScslRsADsRKMV9VqPoCb0z2TTP51kPWDsEqbyn1c1Y5CdEfA0gNI2WagPy0CkbRlRURgSi5Fvt&#10;PF+laZtGyXDXNF4FZipOTEP60yEU7+I/Wy1FuUfhWi1PI4jXjPCCUye0pUMvUBsRBDug/geq0xLB&#10;QxMmErpsJJIUIRZF/kKbh1Y4lbiQ1N5dRPf/D1Z+Pd4j0zU5IZ9xZkVHV/6NZBN2bxR7nxTqnS+p&#10;8cHdY+To3S3In55ZWLfUpm4QoW+VqGmuIiqa/bUhJp62sl3/BWqCF4cASayhwS4CkgxsqPhselXM&#10;pnQzj5ebUUNgkkqLxXxRXHEmqTT98HGRz9M5ojxDOPThk4KOxaDiSAzSEeJ460McSZTnlkQBjK63&#10;2piU4H63NsiOgkyyTd8J3T9vMzY2W4jbRsS4krhGetFyvgzDbqBiDHdQPxJrhNF09OQoaAF/c9aT&#10;4Srufx0EKs7MZ0vKRXeeAzwHu3MgrKStFQ+cjeE6jC4+ONT7lpCLxNfCDanb6MT5aYrTnGSiJMXJ&#10;8NGlz/PU9fTI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GQBbNIAAAAFAQAADwAAAAAAAAAB&#10;ACAAAAAiAAAAZHJzL2Rvd25yZXYueG1sUEsBAhQAFAAAAAgAh07iQEU5YiIWAgAALAQAAA4AAAAA&#10;AAAAAQAgAAAAIQEAAGRycy9lMm9Eb2MueG1sUEsFBgAAAAAGAAYAWQEAAKkFAAAAAA==&#10;">
                        <v:fill on="t" focussize="0,0"/>
                        <v:stroke on="f"/>
                        <v:imagedata o:title=""/>
                        <o:lock v:ext="edit" aspectratio="f"/>
                        <v:textbox inset="0mm,0mm,0mm,0mm">
                          <w:txbxContent>
                            <w:p>
                              <w:pPr>
                                <w:spacing w:line="360" w:lineRule="exact"/>
                                <w:jc w:val="center"/>
                                <w:rPr>
                                  <w:sz w:val="18"/>
                                  <w:szCs w:val="18"/>
                                </w:rPr>
                              </w:pPr>
                              <w:r>
                                <w:rPr>
                                  <w:rFonts w:hint="eastAsia"/>
                                  <w:sz w:val="18"/>
                                  <w:szCs w:val="18"/>
                                </w:rPr>
                                <w:t>粉尘、噪声</w:t>
                              </w:r>
                            </w:p>
                          </w:txbxContent>
                        </v:textbox>
                      </v:rect>
                      <v:shape id="AutoShape 41" o:spid="_x0000_s1026" o:spt="32" type="#_x0000_t32" style="position:absolute;left:3695077;top:279806;flip:y;height:247905;width:800;" filled="f" stroked="t" coordsize="21600,21600" o:gfxdata="UEsDBAoAAAAAAIdO4kAAAAAAAAAAAAAAAAAEAAAAZHJzL1BLAwQUAAAACACHTuJA4OYXvtIAAAAF&#10;AQAADwAAAGRycy9kb3ducmV2LnhtbE2PzU7DMBCE70i8g7VI3KhdfkoIcXpA4sCRJA/gxNs4Il5H&#10;ttsUnp6FC1xGWs1q5ptqf/azOGFMUyAN240CgTQEO9GooWtfbwoQKRuyZg6EGj4xwb6+vKhMacNK&#10;73hq8ig4hFJpNLicl1LKNDj0Jm3CgsTeIURvMp9xlDaalcP9LG+V2klvJuIGZxZ8cTh8NEevQfaO&#10;4teh7Xarelu6tbGPrbdaX19t1TOIjOf89ww/+IwONTP14Ug2iVkDD8m/yl5RPPGMXsO9ergDWVfy&#10;P339DVBLAwQUAAAACACHTuJAH89kgw8CAAARBAAADgAAAGRycy9lMm9Eb2MueG1srVNNb9swDL0P&#10;2H8QdF/sZPk04hRDsu7SbQHa7q5Isi1MEgVJiZN/P0pOu7W79FAfDEokH/keqfXN2Whykj4osDUd&#10;j0pKpOUglG1r+vhw+2lJSYjMCqbByppeZKA3m48f1r2r5AQ60EJ6giA2VL2raRejq4oi8E4aFkbg&#10;pEVnA96wiEffFsKzHtGNLiZlOS968MJ54DIEvN0NTnpF9G8BhKZRXO6AH420cUD1UrOIlEKnXKCb&#10;3G3TSB5/Nk2QkeiaItOY/1gE7UP6F5s1q1rPXKf4tQX2lhZecTJMWSz6DLVjkZGjV/9BGcU9BGji&#10;iIMpBiJZEWQxLl9pc98xJzMXlDq4Z9HD+8HyH6e9J0rgJpRTSiwzOPIvxwi5NpmOk0K9CxUGbu3e&#10;J478bO/dHfDfgVjYdsy2Mkc/XBwm54ziRUo6BId1Dv13EBjDsECW69x4Qxqt3K+UmMBREnKu6ef5&#10;alYuFpRcajpZrJblfBiVPEfC0b8scYI8OaeLVTlLzoJVCS6BOB/iNwmGJKOmIXqm2i5uwVrcCPBD&#10;KXa6C3FIfEpIyRZuldZ5MbQlfU1Xs8ks9xZAK5GcKSz49rDVnpxYWq38Xbt4EZaQdyx0Q5xAayDi&#10;4WhFLhKZ0l+tIDHLF71CQbWkqbKRghIt8Z0ma2hVW6T6pOgwmwOIy94nd7rHTcliXLc6reK/5xz1&#10;9yV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5he+0gAAAAUBAAAPAAAAAAAAAAEAIAAAACIA&#10;AABkcnMvZG93bnJldi54bWxQSwECFAAUAAAACACHTuJAH89kgw8CAAARBAAADgAAAAAAAAABACAA&#10;AAAhAQAAZHJzL2Uyb0RvYy54bWxQSwUGAAAAAAYABgBZAQAAogUAAAAA&#10;">
                        <v:fill on="f" focussize="0,0"/>
                        <v:stroke color="#000000" joinstyle="round" dashstyle="dash" endarrow="block"/>
                        <v:imagedata o:title=""/>
                        <o:lock v:ext="edit" aspectratio="f"/>
                      </v:shape>
                      <v:rect id="Rectangle 42" o:spid="_x0000_s1026" o:spt="1" style="position:absolute;left:4580392;top:0;height:279806;width:977526;" fillcolor="#FFFFFF" filled="t" stroked="f" coordsize="21600,21600" o:gfxdata="UEsDBAoAAAAAAIdO4kAAAAAAAAAAAAAAAAAEAAAAZHJzL1BLAwQUAAAACACHTuJACGQBbNIAAAAF&#10;AQAADwAAAGRycy9kb3ducmV2LnhtbE2PO0/EMBCEeyT+g7VIdJwdXgohzhU8dDU5EO1evMQBex3F&#10;zl3g12NooBlpNauZb+r14p3Y0xSHwBqKlQJB3AUzcK/heft4VoKICdmgC0waPinCujk+qrEy4cBP&#10;tG9TL3IIxwo12JTGSsrYWfIYV2Ekzt5bmDymfE69NBMecrh38lypa+lx4NxgcaQ7S91HO3sNm+L+&#10;YXyXXy1uXKL5xS6de120Pj0p1C2IREv6e4Yf/IwOTWbahZlNFE5DHpJ+NXtleZNn7DRcqqsLkE0t&#10;/9M331BLAwQUAAAACACHTuJAtaLpIxYCAAAsBAAADgAAAGRycy9lMm9Eb2MueG1srVPBjtMwEL0j&#10;8Q+W7zRp2XbbqOlq1aoIaYEVCx/gOE5j4XjM2G1avp6x05ZlueyBHKyxZ+Z53svz8u7YGXZQ6DXY&#10;ko9HOWfKSqi13ZX8+7ftuzlnPghbCwNWlfykPL9bvX2z7F2hJtCCqRUyArG+6F3J2xBckWVetqoT&#10;fgROWUo2gJ0ItMVdVqPoCb0z2STPZ1kPWDsEqbyn082Q5GdEfA0gNI2WagNy3ykbBlRURgSi5Fvt&#10;PF+laZtGyfClabwKzJScmIa00iUUV3HNVktR7FC4VsvzCOI1I7zg1Alt6dIr1EYEwfao/4HqtETw&#10;0ISRhC4biCRFiMU4f6HNUyucSlxIau+uovv/Bys/Hx6R6ZqckE85s6KjX/6VZBN2ZxS7mUSFeucL&#10;Knxyjxg5evcA8odnFtYtlal7ROhbJWqaaxzrs78a4sZTK6v6T1ATvNgHSGIdG+wiIMnAjiW/mc7z&#10;94sJZ6frn1HHwCSlFre308mMM0mpye1ins/SPaK4QDj04YOCjsWg5EgM0hXi8OBDHEkUl5JEAYyu&#10;t9qYtMFdtTbIDoJMsk3fGd0/LzM2FluIbQNiPElcI71BpnCsjmfFKqhPxBphMB09OQpawF+c9WS4&#10;kvufe4GKM/PRknLRnZcAL0F1CYSV1FrywNkQrsPg4r1DvWsJeZz4WrgndRudOEflhynOc5KJkhRn&#10;w0eXPt+nqj+PfP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GQBbNIAAAAFAQAADwAAAAAAAAAB&#10;ACAAAAAiAAAAZHJzL2Rvd25yZXYueG1sUEsBAhQAFAAAAAgAh07iQLWi6SMWAgAALAQAAA4AAAAA&#10;AAAAAQAgAAAAIQEAAGRycy9lMm9Eb2MueG1sUEsFBgAAAAAGAAYAWQEAAKkFAAAAAA==&#10;">
                        <v:fill on="t" focussize="0,0"/>
                        <v:stroke on="f"/>
                        <v:imagedata o:title=""/>
                        <o:lock v:ext="edit" aspectratio="f"/>
                        <v:textbox inset="0mm,0mm,0mm,0mm">
                          <w:txbxContent>
                            <w:p>
                              <w:pPr>
                                <w:spacing w:line="360" w:lineRule="exact"/>
                                <w:jc w:val="center"/>
                                <w:rPr>
                                  <w:rFonts w:ascii="Times New Roman" w:hAnsi="Times New Roman"/>
                                  <w:sz w:val="18"/>
                                  <w:szCs w:val="18"/>
                                </w:rPr>
                              </w:pPr>
                              <w:r>
                                <w:rPr>
                                  <w:rFonts w:hint="eastAsia" w:ascii="Times New Roman"/>
                                  <w:sz w:val="18"/>
                                  <w:szCs w:val="18"/>
                                </w:rPr>
                                <w:t>扬尘、噪声</w:t>
                              </w:r>
                            </w:p>
                            <w:p/>
                          </w:txbxContent>
                        </v:textbox>
                      </v:rect>
                      <v:shape id="AutoShape 43" o:spid="_x0000_s1026" o:spt="32" type="#_x0000_t32" style="position:absolute;left:5065654;top:279806;flip:y;height:247905;width:3100;" filled="f" stroked="t" coordsize="21600,21600" o:gfxdata="UEsDBAoAAAAAAIdO4kAAAAAAAAAAAAAAAAAEAAAAZHJzL1BLAwQUAAAACACHTuJA4OYXvtIAAAAF&#10;AQAADwAAAGRycy9kb3ducmV2LnhtbE2PzU7DMBCE70i8g7VI3KhdfkoIcXpA4sCRJA/gxNs4Il5H&#10;ttsUnp6FC1xGWs1q5ptqf/azOGFMUyAN240CgTQEO9GooWtfbwoQKRuyZg6EGj4xwb6+vKhMacNK&#10;73hq8ig4hFJpNLicl1LKNDj0Jm3CgsTeIURvMp9xlDaalcP9LG+V2klvJuIGZxZ8cTh8NEevQfaO&#10;4teh7Xarelu6tbGPrbdaX19t1TOIjOf89ww/+IwONTP14Ug2iVkDD8m/yl5RPPGMXsO9ergDWVfy&#10;P339DVBLAwQUAAAACACHTuJAW+BkIRACAAASBAAADgAAAGRycy9lMm9Eb2MueG1srVPBctsgEL13&#10;pv/AcK8lO5YTayxnOnbTS9p6JmnuGJDEFFgGsGX/fRfkSZr0kkN0YEC7+97bx7K6PRlNjtIHBbah&#10;00lJibQchLJdQ38/3n25oSREZgXTYGVDzzLQ2/XnT6vB1XIGPWghPUEQG+rBNbSP0dVFEXgvDQsT&#10;cNJisAVvWMSj7wrh2YDoRhezslwUA3jhPHAZAv7djkF6QfTvAYS2VVxugR+MtHFE9VKziC2FXrlA&#10;11lt20oef7VtkJHohmKnMa9Igvt9Wov1itWdZ65X/CKBvUfCm54MUxZJn6G2LDJy8Oo/KKO4hwBt&#10;nHAwxdhIdgS7mJZvvHnomZO5F7Q6uGfTw8fB8p/HnSdK4CSUC0osM3jlXw8RMjeZXyWHBhdqTNzY&#10;nU898pN9cPfA/wRiYdMz28mc/Xh2WDxNFcWrknQIDnn2ww8QmMOQINt1ar0hrVbuKRUmcLSEnBpa&#10;lYtqUc0pOTd0dr28QXH5quQpEo7xq2mJV8hTdH69LKtMyuqEl1CcD/G7BEPSpqEheqa6Pm7AWhwJ&#10;8CMXO96HmNS+FKRiC3dK60ynLRkauqxmVRYXQCuRgikt+G6/0Z4cWZqt/F1UvEpLCrYs9GOewN3Y&#10;iYeDFZkkMqW/WUFi9i96hY5qSROzkYISLfGhpt0oVduLv8nS8XL2IM47n8LJahyV3NNlrNMs/nvO&#10;WS9Pe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OYXvtIAAAAFAQAADwAAAAAAAAABACAAAAAi&#10;AAAAZHJzL2Rvd25yZXYueG1sUEsBAhQAFAAAAAgAh07iQFvgZCEQAgAAEgQAAA4AAAAAAAAAAQAg&#10;AAAAIQEAAGRycy9lMm9Eb2MueG1sUEsFBgAAAAAGAAYAWQEAAKMFAAAAAA==&#10;">
                        <v:fill on="f" focussize="0,0"/>
                        <v:stroke color="#000000" joinstyle="round" dashstyle="dash" endarrow="block"/>
                        <v:imagedata o:title=""/>
                        <o:lock v:ext="edit" aspectratio="f"/>
                      </v:shape>
                      <v:rect id="Rectangle 46" o:spid="_x0000_s1026" o:spt="1" style="position:absolute;left:4580392;top:2294549;height:279106;width:977526;" fillcolor="#FFFFFF" filled="t" stroked="f" coordsize="21600,21600" o:gfxdata="UEsDBAoAAAAAAIdO4kAAAAAAAAAAAAAAAAAEAAAAZHJzL1BLAwQUAAAACACHTuJACGQBbNIAAAAF&#10;AQAADwAAAGRycy9kb3ducmV2LnhtbE2PO0/EMBCEeyT+g7VIdJwdXgohzhU8dDU5EO1evMQBex3F&#10;zl3g12NooBlpNauZb+r14p3Y0xSHwBqKlQJB3AUzcK/heft4VoKICdmgC0waPinCujk+qrEy4cBP&#10;tG9TL3IIxwo12JTGSsrYWfIYV2Ekzt5bmDymfE69NBMecrh38lypa+lx4NxgcaQ7S91HO3sNm+L+&#10;YXyXXy1uXKL5xS6de120Pj0p1C2IREv6e4Yf/IwOTWbahZlNFE5DHpJ+NXtleZNn7DRcqqsLkE0t&#10;/9M331BLAwQUAAAACACHTuJAzYm9yB0CAAAyBAAADgAAAGRycy9lMm9Eb2MueG1srVNNj9sgFLxX&#10;6n9A3Bs7aT7WVpzVKlGqStt21W1/AME4RsU8+iBx0l/fB0622+1lD/UBPWAY3oyH5e2pM+yo0Guw&#10;FR+Pcs6UlVBru6/492/bdzec+SBsLQxYVfGz8vx29fbNsnelmkALplbIiMT6sncVb0NwZZZ52apO&#10;+BE4ZWmzAexEoCnusxpFT+ydySZ5Ps96wNohSOU9rW6GTX5hxNcQQtNoqTYgD52yYWBFZUQgSb7V&#10;zvNV6rZplAxfmsarwEzFSWlII11C9S6O2Wopyj0K12p5aUG8poUXmjqhLV36RLURQbAD6n+oOi0R&#10;PDRhJKHLBiHJEVIxzl9489gKp5IWstq7J9P9/6OVn48PyHRNScgLzqzo6Jd/JduE3RvFpvPoUO98&#10;ScBH94BRo3f3IH94ZmHdEkzdIULfKlFTX+OIz/46ECeejrJd/wlqoheHAMmsU4NdJCQb2Kni09lN&#10;/r6YcHau+GRSTGfTYvg/6hSYJECxWMwmc85kBCyKcZ66y0R5JXLowwcFHYtFxZF0pIvE8d6H2Jgo&#10;r5AkBIyut9qYNMH9bm2QHQVFZZu+pIX0PocZG8EW4rGBMa4kxVHkYFY47U4X33ZQn0k7whA9enhU&#10;tIC/OOspdhX3Pw8CFWfmoyX/YkavBV6L3bUQVtLRigfOhnIdhiwfHOp9S8zjpNfCHXnc6KQ5+j90&#10;cemTopSsuMQ+ZvX5PKH+PPX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hkAWzSAAAABQEAAA8A&#10;AAAAAAAAAQAgAAAAIgAAAGRycy9kb3ducmV2LnhtbFBLAQIUABQAAAAIAIdO4kDNib3IHQIAADIE&#10;AAAOAAAAAAAAAAEAIAAAACEBAABkcnMvZTJvRG9jLnhtbFBLBQYAAAAABgAGAFkBAACwBQAAAAA=&#10;">
                        <v:fill on="t" focussize="0,0"/>
                        <v:stroke on="f"/>
                        <v:imagedata o:title=""/>
                        <o:lock v:ext="edit" aspectratio="f"/>
                        <v:textbox inset="0mm,0mm,0mm,0mm">
                          <w:txbxContent>
                            <w:p>
                              <w:pPr>
                                <w:spacing w:line="360" w:lineRule="exact"/>
                                <w:jc w:val="center"/>
                                <w:rPr>
                                  <w:sz w:val="18"/>
                                  <w:szCs w:val="18"/>
                                </w:rPr>
                              </w:pPr>
                              <w:r>
                                <w:rPr>
                                  <w:rFonts w:hint="eastAsia"/>
                                  <w:sz w:val="18"/>
                                  <w:szCs w:val="18"/>
                                </w:rPr>
                                <w:t>粉尘、噪声</w:t>
                              </w:r>
                            </w:p>
                            <w:p/>
                          </w:txbxContent>
                        </v:textbox>
                      </v:rect>
                      <v:shape id="AutoShape 47" o:spid="_x0000_s1026" o:spt="32" type="#_x0000_t32" style="position:absolute;left:5068755;top:2031043;height:263506;width:800;" filled="f" stroked="t" coordsize="21600,21600" o:gfxdata="UEsDBAoAAAAAAIdO4kAAAAAAAAAAAAAAAAAEAAAAZHJzL1BLAwQUAAAACACHTuJA/HBH3NMAAAAF&#10;AQAADwAAAGRycy9kb3ducmV2LnhtbE2PO0/DQBCE+0j8h9Mi0ZE7G4Ic43MKEioqAgXlxbfYhnuY&#10;u82Df89CQ5qRVrOa+aZZnbwTB0x5jEFDMVcgMHTRjqHX8PryeF2ByGSCNS4G1PCNGVbtxawxtY3H&#10;8IyHLfWCQ0KujYaBaKqlzN2A3uR5nDCw9x6TN8Rn6qVN5sjh3slSqTvpzRi4YTATPgzYfW73XsOy&#10;85uS3p6c+Vp/rFNBaiHLjdZXl4W6B0F4ov9n+MVndGiZaRf3wWbhNPAQ+lP2qmrJM3YabtXiBmTb&#10;yHP69gdQSwMEFAAAAAgAh07iQDOYkskKAgAACAQAAA4AAABkcnMvZTJvRG9jLnhtbK1TwXLbIBC9&#10;d6b/wHCvJdmx42gsZzp200vaeCbpB2BAElNgGcCW/fddkJM2ySWH6sCAdve9fY9ldXsymhylDwps&#10;Q6tJSYm0HISyXUN/Pd19WVISIrOCabCyoWcZ6O3686fV4Go5hR60kJ4giA314Brax+jqogi8l4aF&#10;CThpMdiCNyzi0XeF8GxAdKOLaVkuigG8cB64DAH/bscgvSD6jwBC2yout8APRto4onqpWURJoVcu&#10;0HXutm0ljw9tG2QkuqGoNOYVSXC/T2uxXrG688z1il9aYB9p4Y0mw5RF0heoLYuMHLx6B2UU9xCg&#10;jRMOphiFZEdQRVW+8eaxZ05mLWh1cC+mh/8Hy38ed54ogZNQoSeWGbzyr4cImZtcXSeHBhdqTNzY&#10;nU8a+ck+unvgvwOxsOmZ7WTOfjo7LK5SRfGqJB2CQ5798AME5jAkyHadWm8SJBpBTg2dl4vl9XxO&#10;ybmh03JWlVez8YbkKRKOCcsSm+QpuphhcqZi9TOK8yF+l2BI2jQ0RM9U18cNWIuDAL7KnOx4H2Lq&#10;kdXPBakFC3dK6zwP2pKhoTfz6TwXBNBKpGBKC77bb7QnR5YmKn+XLl6lJeQtC/2YJ3A3CvFwsCKT&#10;RKb0NytIzK5Fr9BHLWliNlJQoiU+z7QbW9X24moycrySPYjzzqdwMhgHJGu6DHOawH/POevvA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wR9zTAAAABQEAAA8AAAAAAAAAAQAgAAAAIgAAAGRy&#10;cy9kb3ducmV2LnhtbFBLAQIUABQAAAAIAIdO4kAzmJLJCgIAAAgEAAAOAAAAAAAAAAEAIAAAACIB&#10;AABkcnMvZTJvRG9jLnhtbFBLBQYAAAAABgAGAFkBAACeBQAAAAA=&#10;">
                        <v:fill on="f" focussize="0,0"/>
                        <v:stroke color="#000000" joinstyle="round" dashstyle="dash" endarrow="block"/>
                        <v:imagedata o:title=""/>
                        <o:lock v:ext="edit" aspectratio="f"/>
                      </v:shape>
                      <v:rect id="Rectangle 38" o:spid="_x0000_s1026" o:spt="1" style="position:absolute;left:2852260;top:1047750;height:183204;width:842817;v-text-anchor:middle;" filled="f" stroked="f" coordsize="21600,21600" o:gfxdata="UEsDBAoAAAAAAIdO4kAAAAAAAAAAAAAAAAAEAAAAZHJzL1BLAwQUAAAACACHTuJAFRhnG9YAAAAF&#10;AQAADwAAAGRycy9kb3ducmV2LnhtbE2PS0/DMBCE70j8B2uRuKDWLs8kxKkQj+aI2nLh5sZbJyJe&#10;R7H74N+z5QKXkVazmvmmnB99L/Y4xi6QhtlUgUBqgu3IafhYv00yEDEZsqYPhBq+McK8Oj8rTWHD&#10;gZa4XyUnOIRiYTS0KQ2FlLFp0Zs4DQMSe9swepP4HJ20ozlwuO/ltVL30puOuKE1Az632Hytdl7D&#10;w8vTFb5/hm16zRd57Zb1Ine11pcXM/UIIuEx/T3DCZ/RoWKmTdiRjaLXwEPSr7KXZTnP2Gi4VXc3&#10;IKtS/qevfgBQSwMEFAAAAAgAh07iQLwg1cIHAgAACwQAAA4AAABkcnMvZTJvRG9jLnhtbK1TQW7b&#10;MBC8F+gfCN5ryYoTC4LlIIiRokDaBkn7AJqiLKISl13SltzXd0lJaZNecuhFWJLL2ZnhaHM9dC07&#10;KXQaTMmXi5QzZSRU2hxK/v3b3YecM+eFqUQLRpX8rBy/3r5/t+ltoTJooK0UMgIxruhtyRvvbZEk&#10;TjaqE24BVhk6rAE74WmJh6RC0RN61yZZml4lPWBlEaRyjnZ34yGfEPEtgFDXWqodyGOnjB9RUbXC&#10;kyTXaOv4NrKtayX917p2yrO25KTUxy8NoXofvsl2I4oDCttoOVEQb6HwSlMntKGhz1A74QU7ov4H&#10;qtMSwUHtFxK6ZBQSHSEVy/SVN0+NsCpqIaudfTbd/T9Y+eX0gExXlITlmjMjOnryR7JNmEOr2EUe&#10;HOqtK6jxyT5g0OjsPcgfjhm4bahN3SBC3yhREa9l6E9eXAgLR1fZvv8MFcGLo4do1lBjFwDJBjaU&#10;PMsvs+yKXuZMOOlqvb6c3kcNnklqyFdZHljK0JBfZOkqThPFDGTR+Y8KOhaKkiPpiIPE6d75QEwU&#10;c0uYa+BOt22MQGtebFBj2IlCAvfRAz/sh8mOPVRnkoQwJor+JyoawF+c9ZSmkrufR4GKs/aTIVtC&#10;9OYC52I/F8JIulpy6ZGzcXHrx5AeLepDQ9jLKMTADZlX6ygmGDvymJhSRqLGKc8hhH+vY9eff3j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ZxvWAAAABQEAAA8AAAAAAAAAAQAgAAAAIgAAAGRy&#10;cy9kb3ducmV2LnhtbFBLAQIUABQAAAAIAIdO4kC8INXCBwIAAAsEAAAOAAAAAAAAAAEAIAAAACUB&#10;AABkcnMvZTJvRG9jLnhtbFBLBQYAAAAABgAGAFkBAACeBQAAAAA=&#10;">
                        <v:fill on="f" focussize="0,0"/>
                        <v:stroke on="f"/>
                        <v:imagedata o:title=""/>
                        <o:lock v:ext="edit" aspectratio="f"/>
                        <v:textbox inset="0mm,0mm,0mm,0mm">
                          <w:txbxContent>
                            <w:p>
                              <w:pPr>
                                <w:jc w:val="center"/>
                                <w:rPr>
                                  <w:kern w:val="0"/>
                                  <w:sz w:val="24"/>
                                  <w:szCs w:val="24"/>
                                </w:rPr>
                              </w:pPr>
                              <w:r>
                                <w:rPr>
                                  <w:rFonts w:hint="eastAsia"/>
                                  <w:sz w:val="18"/>
                                  <w:szCs w:val="18"/>
                                </w:rPr>
                                <w:t>不合格粒径</w:t>
                              </w:r>
                            </w:p>
                          </w:txbxContent>
                        </v:textbox>
                      </v:rect>
                      <v:shape id="连接符: 肘形 272" o:spid="_x0000_s1026" o:spt="34" type="#_x0000_t34" style="position:absolute;left:3163920;top:-995793;height:3632020;width:12700;rotation:5898240f;" filled="f" stroked="t" coordsize="21600,21600" o:gfxdata="UEsDBAoAAAAAAIdO4kAAAAAAAAAAAAAAAAAEAAAAZHJzL1BLAwQUAAAACACHTuJA3Kl+i9cAAAAF&#10;AQAADwAAAGRycy9kb3ducmV2LnhtbE2PS0/DMBCE70j8B2uRuFG75aEQ4lSIh1RxAPVx4LiNt0kg&#10;Xkex+6C/noULXEZazWrmm2J68J3a0RDbwBbGIwOKuAqu5drCavl8kYGKCdlhF5gsfFGEaXl6UmDu&#10;wp7ntFukWkkIxxwtNCn1udaxashjHIWeWLxNGDwmOYdauwH3Eu47PTHmRntsWRoa7OmhoepzsfUW&#10;ejf5eH/bvB5Xj3N+MfezYzV7Wlp7fjY2d6ASHdLfM/zgCzqUwrQOW3ZRdRZkSPpV8bLsVmasLVyZ&#10;60vQZaH/05ffUEsDBBQAAAAIAIdO4kB9wFDRKQIAABMEAAAOAAAAZHJzL2Uyb0RvYy54bWytU82O&#10;0zAQviPxDpbv2/zRdhM13UPLckFQCXgA13ESI//J9jbtlQfgzIkDEnviFRBPA+xjMHbCsiyXPZBD&#10;NPbMfDPfN+PVxVEKdGDWca1qnM1SjJiiuuGqq/Gb15dn5xg5T1RDhFasxifm8MX68aPVYCqW616L&#10;hlkEIMpVg6lx772pksTRnkniZtowBc5WW0k8HG2XNJYMgC5FkqfpIhm0bYzVlDkHt9vRiSdE+xBA&#10;3bacsq2mV5IpP6JaJogHSq7nxuF17LZtGfUv29Yxj0SNgamPfygC9j78k/WKVJ0lpud0aoE8pIV7&#10;nCThCoreQm2JJ+jK8n+gJKdWO936GdUyGYlERYBFlt7T5lVPDItcQGpnbkV3/w+WvjjsLOJNjfNl&#10;jpEiEkZ+8+3jj/eff365rtDNuw/fv35CwQlSDcZVkLFROzudnNnZwPvYWomsBn3nT9LwRTWAHzrW&#10;uMgWRZmD5Kcan5XlfFkWo/Ds6BGFgCxfQgai4C8WRZ5CLOAnI2yAN9b5Z0xLFIwa72HsG60UjFfb&#10;IpYih+fOxwk0EwvSvM0waqWAgR6IQNn52NiIPMVDjd/YIVnpSy4ERJBKKDTUuJznc2iMwKK3sGBg&#10;SgNiOdVhREQHL4h6GxtwWvAmZIdkZ7v9RlgEdWHL7tb9KyyU3hLXj3HRNQrjCRdPVYP8ycA8vOVE&#10;dYJNoggF2oRRjOIHa6+bU5xJvIddiepNex2W8e45Zv95y+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Kl+i9cAAAAFAQAADwAAAAAAAAABACAAAAAiAAAAZHJzL2Rvd25yZXYueG1sUEsBAhQAFAAA&#10;AAgAh07iQH3AUNEpAgAAEwQAAA4AAAAAAAAAAQAgAAAAJgEAAGRycy9lMm9Eb2MueG1sUEsFBgAA&#10;AAAGAAYAWQEAAMEFAAAAAA==&#10;" adj="388800">
                        <v:fill on="f" focussize="0,0"/>
                        <v:stroke color="#000000 [3213]" joinstyle="round" endarrow="block"/>
                        <v:imagedata o:title=""/>
                        <o:lock v:ext="edit" aspectratio="f"/>
                      </v:shape>
                      <v:rect id="Rectangle 38" o:spid="_x0000_s1026" o:spt="1" style="position:absolute;left:4304325;top:1332525;height:182880;width:842645;v-text-anchor:middle;" filled="f" stroked="f" coordsize="21600,21600" o:gfxdata="UEsDBAoAAAAAAIdO4kAAAAAAAAAAAAAAAAAEAAAAZHJzL1BLAwQUAAAACACHTuJAFRhnG9YAAAAF&#10;AQAADwAAAGRycy9kb3ducmV2LnhtbE2PS0/DMBCE70j8B2uRuKDWLs8kxKkQj+aI2nLh5sZbJyJe&#10;R7H74N+z5QKXkVazmvmmnB99L/Y4xi6QhtlUgUBqgu3IafhYv00yEDEZsqYPhBq+McK8Oj8rTWHD&#10;gZa4XyUnOIRiYTS0KQ2FlLFp0Zs4DQMSe9swepP4HJ20ozlwuO/ltVL30puOuKE1Az632Hytdl7D&#10;w8vTFb5/hm16zRd57Zb1Ine11pcXM/UIIuEx/T3DCZ/RoWKmTdiRjaLXwEPSr7KXZTnP2Gi4VXc3&#10;IKtS/qevfgBQSwMEFAAAAAgAh07iQFT86aMGAgAACwQAAA4AAABkcnMvZTJvRG9jLnhtbK1TwW4T&#10;MRC9I/EPlu9kk00oq1U3VdWoCKlAReEDHK83a2F7zNjJbvh6xt6kpeXSAxdrxn5+M+95fHk1WsMO&#10;CoMG1/DFbM6ZchJa7XYN//H99l3FWYjCtcKAUw0/qsCv1m/fXA6+ViX0YFqFjEhcqAff8D5GXxdF&#10;kL2yIszAK0eHHaAVkVLcFS2KgditKcr5/KIYAFuPIFUItLuZDvmJEV9DCF2npdqA3Fvl4sSKyohI&#10;kkKvfeDr3G3XKRm/dl1QkZmGk9KYVypC8TatxfpS1DsUvtfy1IJ4TQsvNFmhHRV9pNqIKNge9T9U&#10;VkuEAF2cSbDFJCQ7QioW8xfePPTCq6yFrA7+0fTw/2jll8M9Mt02vPyw5MwJS0/+jWwTbmcUW1bJ&#10;ocGHmoAP/h6TxuDvQP4MzMFNTzB1jQhDr0RLfS0Svnh2ISWBrrLt8Blaohf7CNmssUObCMkGNjZ8&#10;tZyvluV7zo7Es6SI4vw+aoxMEqBalRcrOpcJUJVVld+vEPWZyGOIHxVYloKGI+nIhcThLsTUmKjP&#10;kFTXwa02Jpcw7tkGAdNOFpJ6nzyI43YkdBK0hfZIkhCmiaL/REEP+Juzgaap4eHXXqDizHxyZEsa&#10;vXOA52B7DoSTdLXhMiJnU3ITpyHde9S7nrgXWYiDazKv01nMUx+nTmlGssbTPKch/DvPqKc/vP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RhnG9YAAAAFAQAADwAAAAAAAAABACAAAAAiAAAAZHJz&#10;L2Rvd25yZXYueG1sUEsBAhQAFAAAAAgAh07iQFT86aMGAgAACwQAAA4AAAAAAAAAAQAgAAAAJQEA&#10;AGRycy9lMm9Eb2MueG1sUEsFBgAAAAAGAAYAWQEAAJ0FAAAAAA==&#10;">
                        <v:fill on="f" focussize="0,0"/>
                        <v:stroke on="f"/>
                        <v:imagedata o:title=""/>
                        <o:lock v:ext="edit" aspectratio="f"/>
                        <v:textbox inset="0mm,0mm,0mm,0mm">
                          <w:txbxContent>
                            <w:p>
                              <w:pPr>
                                <w:jc w:val="center"/>
                                <w:rPr>
                                  <w:kern w:val="0"/>
                                  <w:sz w:val="24"/>
                                  <w:szCs w:val="24"/>
                                </w:rPr>
                              </w:pPr>
                              <w:r>
                                <w:rPr>
                                  <w:rFonts w:hint="eastAsia"/>
                                  <w:sz w:val="18"/>
                                  <w:szCs w:val="18"/>
                                </w:rPr>
                                <w:t>合格粒径</w:t>
                              </w:r>
                            </w:p>
                          </w:txbxContent>
                        </v:textbox>
                      </v:rect>
                      <v:rect id="Rectangle 24" o:spid="_x0000_s1026" o:spt="1" style="position:absolute;left:151425;top:527711;height:279400;width:638175;v-text-anchor:middle;" fillcolor="#FFFFFF" filled="t" stroked="t" coordsize="21600,21600" o:gfxdata="UEsDBAoAAAAAAIdO4kAAAAAAAAAAAAAAAAAEAAAAZHJzL1BLAwQUAAAACACHTuJAbO0ESdMAAAAF&#10;AQAADwAAAGRycy9kb3ducmV2LnhtbE2PsU7EMBBEeyT+wVokOs4OcCiEOFecoAAa7kDUe7FxIuJ1&#10;ZDuX8PcsNNCMtJrVzJt6s/hBHG1MfSANxUqBsNQG05PT8Pb6cFGCSBnJ4BDIaviyCTbN6UmNlQkz&#10;7exxn53gEEoVauhyHispU9tZj2kVRkvsfYToMfMZnTQRZw73g7xU6kZ67IkbOhzttrPt537yGtzy&#10;Pu+m+LS+f2ydR7UdXuRzofX5WaHuQGS75L9n+MFndGiY6RAmMkkMGnhI/lX2yvKWZxw0XKv1Fcim&#10;lv/pm29QSwMEFAAAAAgAh07iQMEIAj8wAgAAewQAAA4AAABkcnMvZTJvRG9jLnhtbK1UUW/TMBB+&#10;R+I/WH6naUq7dlHTaWpVhDRgYvADHMdpLGyfObtNx6/n4rSjDIT2gB+su9z5833fnbO8OVrDDgqD&#10;BlfyfDTmTDkJtXa7kn/9sn2z4CxE4WphwKmSP6rAb1avXy07X6gJtGBqhYxAXCg6X/I2Rl9kWZCt&#10;siKMwCtHwQbQikgu7rIaRUfo1mST8fgq6wBrjyBVCPR1MwT5CRFfAghNo6XagNxb5eKAisqISJRC&#10;q33gq1Rt0ygZPzVNUJGZkhPTmHa6hOyq37PVUhQ7FL7V8lSCeEkJzzhZoR1d+gS1EVGwPeo/oKyW&#10;CAGaOJJgs4FIUoRY5ONn2jy0wqvEhaQO/kn08P9g5cfDPTJd0yQsqPFOWGr5Z5JNuJ1RbDLtFep8&#10;KCjxwd9jzzH4O5DfAnOwbilN3SJC1ypRU115n5/9dqB3Ah1lVfcBaoIX+whJrGODtgckGdiRzs7y&#10;6WTG2WPJZ5P5PE9YolDHyCSFr94u8jmFJcUn8+vpOHUvE8UZxmOI7xRY1hslR2KRrhGHuxD7skRx&#10;Tkk0wOh6q41JDu6qtUF2EDQo27QSE2J7mWYc60p+PaMy/w0xTutvEFZHej9G25IvLpOMOwnXazVo&#10;Ho/V8SR/BfUjSYgwTDC9XzJawB+cdTS9JQ/f9wIVZ+a9ozb0o3428GxUZ0M4SUdLLiNyNjjrODyK&#10;vUe9awk7TwQd3FKzGp3k6xs51HGqlGYyqXp6P/3QX/op69c/Y/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0ESdMAAAAFAQAADwAAAAAAAAABACAAAAAiAAAAZHJzL2Rvd25yZXYueG1sUEsBAhQA&#10;FAAAAAgAh07iQMEIAj8wAgAAewQAAA4AAAAAAAAAAQAgAAAAIgEAAGRycy9lMm9Eb2MueG1sUEsF&#10;BgAAAAAGAAYAWQEAAMQFAAAAAA==&#10;">
                        <v:fill on="t" focussize="0,0"/>
                        <v:stroke color="#000000" miterlimit="8" joinstyle="miter"/>
                        <v:imagedata o:title=""/>
                        <o:lock v:ext="edit" aspectratio="f"/>
                        <v:textbox inset="0mm,0mm,0mm,0mm">
                          <w:txbxContent>
                            <w:p>
                              <w:pPr>
                                <w:pStyle w:val="19"/>
                                <w:jc w:val="center"/>
                                <w:rPr>
                                  <w:kern w:val="0"/>
                                  <w:szCs w:val="24"/>
                                </w:rPr>
                              </w:pPr>
                              <w:r>
                                <w:rPr>
                                  <w:rFonts w:hint="eastAsia" w:ascii="Calibri" w:cs="Times New Roman"/>
                                  <w:sz w:val="21"/>
                                  <w:szCs w:val="21"/>
                                </w:rPr>
                                <w:t>分选</w:t>
                              </w:r>
                            </w:p>
                          </w:txbxContent>
                        </v:textbox>
                      </v:rect>
                      <v:shape id="AutoShape 25" o:spid="_x0000_s1026" o:spt="32" type="#_x0000_t32" style="position:absolute;left:789600;top:667411;height:203;width:324944;" filled="f" stroked="t" coordsize="21600,21600" o:gfxdata="UEsDBAoAAAAAAIdO4kAAAAAAAAAAAAAAAAAEAAAAZHJzL1BLAwQUAAAACACHTuJAu690J9cAAAAF&#10;AQAADwAAAGRycy9kb3ducmV2LnhtbE2PS0/DMBCE70j8B2uRuFG7PKI0xKkEFSIXkGgR4ujGS2IR&#10;r6PYffHru/QCl5FWs5r5ppzvfS+2OEYXSMN0okAgNcE6ajW8r56uchAxGbKmD4QaDhhhXp2flaaw&#10;YUdvuF2mVnAIxcJo6FIaCilj06E3cRIGJPa+wuhN4nNspR3NjsN9L6+VyqQ3jrihMwM+dth8Lzde&#10;Q1p8Hrrso3mYudfV80vmfuq6Xmh9eTFV9yAS7tPfM/ziMzpUzLQOG7JR9Bp4SDope3k+4xlrDbfq&#10;7gZkVcr/9NURUEsDBBQAAAAIAIdO4kAQyl5YEwIAACUEAAAOAAAAZHJzL2Uyb0RvYy54bWytU8Fy&#10;2yAUvHem/8BwbyQ7tmNrLGc6dtNL2nom6QdgQBZT4DGALfnv+0By2qSXHKqDBljYt7s81ve90eQs&#10;fVBgazq5KSmRloNQ9ljTn88Pn5aUhMisYBqsrOlFBnq/+fhh3blKTqEFLaQnSGJD1bmatjG6qigC&#10;b6Vh4QactAg24A2LOPXHQnjWIbvRxbQsF0UHXjgPXIaAq7sBpCOjfw8hNI3icgf8ZKSNA6uXmkW0&#10;FFrlAt1ktU0jefzRNEFGomuKTmP+YxEcH9K/2KxZdfTMtYqPEth7JLzxZJiyWPSFasciIyev/qEy&#10;insI0MQbDqYYjORE0MWkfJPNU8uczF4w6uBeQg//j5Z/P+89UQI7YbmixDKDV/75FCHXJtN5Sqhz&#10;ocKNW7v3ySPv7ZN7BP4rEAvbltmjzLufLw4PT4ZMQ9z2diTGjlKir+ntAEkrrti8vB2xfKx4VSlN&#10;gkN5h+4bCKRmqCun3DfeJCWYH0Heu+VqUeKNXmq6WNzNJqME2UfCU9npbDWbUcIRn2JBdFSw6srh&#10;fIhfJRiSBjUN0TN1bOMWrMXuAT/JFdn5McTh4PVAEmDhQWmdm0hb0tV0NcfIEhJAK5HAPPHHw1Z7&#10;cmapDfM3qni1zcPJikwWmdJfrCAxRxq9wpC1pKmCkYISLfHtptEgSVu0dI1ruK8DiMveJzitY/dk&#10;02Onp/b8e553/Xnd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r3Qn1wAAAAUBAAAPAAAAAAAA&#10;AAEAIAAAACIAAABkcnMvZG93bnJldi54bWxQSwECFAAUAAAACACHTuJAEMpeWBMCAAAlBAAADgAA&#10;AAAAAAABACAAAAAmAQAAZHJzL2Uyb0RvYy54bWxQSwUGAAAAAAYABgBZAQAAqwUAAAAA&#10;">
                        <v:fill on="f" focussize="0,0"/>
                        <v:stroke color="#000000" joinstyle="round" endarrow="block"/>
                        <v:imagedata o:title=""/>
                        <o:lock v:ext="edit" aspectratio="f"/>
                      </v:shape>
                      <w10:wrap type="none"/>
                      <w10:anchorlock/>
                    </v:group>
                  </w:pict>
                </mc:Fallback>
              </mc:AlternateContent>
            </w:r>
          </w:p>
          <w:p>
            <w:pPr>
              <w:spacing w:line="360" w:lineRule="auto"/>
              <w:jc w:val="center"/>
              <w:rPr>
                <w:rFonts w:ascii="Times New Roman" w:hAnsi="Times New Roman" w:cs="宋体"/>
                <w:b/>
                <w:bCs/>
                <w:color w:val="000000" w:themeColor="text1"/>
                <w:kern w:val="24"/>
                <w:sz w:val="24"/>
                <w:szCs w:val="20"/>
                <w:u w:val="single"/>
                <w14:textFill>
                  <w14:solidFill>
                    <w14:schemeClr w14:val="tx1"/>
                  </w14:solidFill>
                </w14:textFill>
              </w:rPr>
            </w:pPr>
            <w:r>
              <w:rPr>
                <w:rFonts w:hint="eastAsia" w:ascii="Times New Roman" w:hAnsi="Times New Roman" w:cs="宋体"/>
                <w:b/>
                <w:bCs/>
                <w:color w:val="000000" w:themeColor="text1"/>
                <w:kern w:val="24"/>
                <w:sz w:val="24"/>
                <w:szCs w:val="20"/>
                <w:u w:val="single"/>
                <w14:textFill>
                  <w14:solidFill>
                    <w14:schemeClr w14:val="tx1"/>
                  </w14:solidFill>
                </w14:textFill>
              </w:rPr>
              <w:t>图4-</w:t>
            </w:r>
            <w:r>
              <w:rPr>
                <w:rFonts w:ascii="Times New Roman" w:hAnsi="Times New Roman" w:cs="宋体"/>
                <w:b/>
                <w:bCs/>
                <w:color w:val="000000" w:themeColor="text1"/>
                <w:kern w:val="24"/>
                <w:sz w:val="24"/>
                <w:szCs w:val="20"/>
                <w:u w:val="single"/>
                <w14:textFill>
                  <w14:solidFill>
                    <w14:schemeClr w14:val="tx1"/>
                  </w14:solidFill>
                </w14:textFill>
              </w:rPr>
              <w:t xml:space="preserve">3  </w:t>
            </w:r>
            <w:r>
              <w:rPr>
                <w:rFonts w:hint="eastAsia" w:ascii="Times New Roman" w:hAnsi="Times New Roman" w:cs="宋体"/>
                <w:b/>
                <w:bCs/>
                <w:color w:val="000000" w:themeColor="text1"/>
                <w:kern w:val="24"/>
                <w:sz w:val="24"/>
                <w:szCs w:val="20"/>
                <w:u w:val="single"/>
                <w14:textFill>
                  <w14:solidFill>
                    <w14:schemeClr w14:val="tx1"/>
                  </w14:solidFill>
                </w14:textFill>
              </w:rPr>
              <w:t>碎石生产工艺及产污节点图</w:t>
            </w:r>
          </w:p>
          <w:p>
            <w:pPr>
              <w:spacing w:line="360" w:lineRule="auto"/>
              <w:ind w:firstLine="482" w:firstLineChars="200"/>
              <w:rPr>
                <w:rFonts w:ascii="Times New Roman" w:hAnsi="Times New Roman" w:cs="宋体"/>
                <w:b/>
                <w:color w:val="000000" w:themeColor="text1"/>
                <w:kern w:val="0"/>
                <w:sz w:val="24"/>
                <w:szCs w:val="20"/>
                <w:u w:val="single"/>
                <w14:textFill>
                  <w14:solidFill>
                    <w14:schemeClr w14:val="tx1"/>
                  </w14:solidFill>
                </w14:textFill>
              </w:rPr>
            </w:pPr>
            <w:r>
              <w:rPr>
                <w:rFonts w:hint="eastAsia" w:ascii="Times New Roman" w:hAnsi="Times New Roman" w:cs="宋体"/>
                <w:b/>
                <w:color w:val="000000" w:themeColor="text1"/>
                <w:kern w:val="0"/>
                <w:sz w:val="24"/>
                <w:szCs w:val="20"/>
                <w:u w:val="single"/>
                <w14:textFill>
                  <w14:solidFill>
                    <w14:schemeClr w14:val="tx1"/>
                  </w14:solidFill>
                </w14:textFill>
              </w:rPr>
              <w:t>碎石生产工艺过程简述：</w:t>
            </w:r>
          </w:p>
          <w:p>
            <w:pPr>
              <w:spacing w:line="360" w:lineRule="auto"/>
              <w:ind w:firstLine="480" w:firstLineChars="200"/>
              <w:rPr>
                <w:sz w:val="24"/>
                <w:szCs w:val="24"/>
                <w:u w:val="single"/>
              </w:rPr>
            </w:pPr>
            <w:r>
              <w:rPr>
                <w:rFonts w:hint="eastAsia"/>
                <w:sz w:val="24"/>
                <w:szCs w:val="24"/>
                <w:u w:val="single"/>
              </w:rPr>
              <w:t>建筑垃圾、废石以及不合格成型砖块</w:t>
            </w:r>
            <w:r>
              <w:rPr>
                <w:sz w:val="24"/>
                <w:szCs w:val="24"/>
                <w:u w:val="single"/>
              </w:rPr>
              <w:t>利用汽车运输至破碎区</w:t>
            </w:r>
            <w:r>
              <w:rPr>
                <w:rFonts w:hint="eastAsia"/>
                <w:sz w:val="24"/>
                <w:szCs w:val="24"/>
                <w:u w:val="single"/>
              </w:rPr>
              <w:t>分选后</w:t>
            </w:r>
            <w:r>
              <w:rPr>
                <w:sz w:val="24"/>
                <w:szCs w:val="24"/>
                <w:u w:val="single"/>
              </w:rPr>
              <w:t>，进入原料堆场，通过</w:t>
            </w:r>
            <w:r>
              <w:rPr>
                <w:rFonts w:hint="eastAsia"/>
                <w:sz w:val="24"/>
                <w:szCs w:val="24"/>
                <w:u w:val="single"/>
              </w:rPr>
              <w:t>给料平台</w:t>
            </w:r>
            <w:r>
              <w:rPr>
                <w:sz w:val="24"/>
                <w:szCs w:val="24"/>
                <w:u w:val="single"/>
              </w:rPr>
              <w:t>进入颚式破碎机入料口进行破碎，</w:t>
            </w:r>
            <w:r>
              <w:rPr>
                <w:rFonts w:hint="eastAsia"/>
                <w:sz w:val="24"/>
                <w:szCs w:val="24"/>
                <w:u w:val="single"/>
              </w:rPr>
              <w:t>后进入圆锥破碎机进行二次破碎，之后</w:t>
            </w:r>
            <w:r>
              <w:rPr>
                <w:sz w:val="24"/>
                <w:szCs w:val="24"/>
                <w:u w:val="single"/>
              </w:rPr>
              <w:t>通过振动筛筛分</w:t>
            </w:r>
            <w:r>
              <w:rPr>
                <w:rFonts w:hint="eastAsia"/>
                <w:sz w:val="24"/>
                <w:szCs w:val="24"/>
                <w:u w:val="single"/>
              </w:rPr>
              <w:t>，粒径较大石块返回再破碎，满足粒径的物料作为成品入库堆存。</w:t>
            </w: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r>
              <w:rPr>
                <w:rFonts w:ascii="Times New Roman" w:hAnsi="Times New Roman" w:cs="宋体"/>
                <w:b/>
                <w:bCs/>
                <w:color w:val="000000" w:themeColor="text1"/>
                <w:kern w:val="0"/>
                <w:sz w:val="24"/>
                <w:szCs w:val="20"/>
                <w:u w:val="single"/>
                <w14:textFill>
                  <w14:solidFill>
                    <w14:schemeClr w14:val="tx1"/>
                  </w14:solidFill>
                </w14:textFill>
              </w:rPr>
              <w:t>2</w:t>
            </w:r>
            <w:r>
              <w:rPr>
                <w:rFonts w:hint="eastAsia" w:ascii="Times New Roman" w:hAnsi="Times New Roman" w:cs="宋体"/>
                <w:b/>
                <w:bCs/>
                <w:color w:val="000000" w:themeColor="text1"/>
                <w:kern w:val="0"/>
                <w:sz w:val="24"/>
                <w:szCs w:val="20"/>
                <w:u w:val="single"/>
                <w14:textFill>
                  <w14:solidFill>
                    <w14:schemeClr w14:val="tx1"/>
                  </w14:solidFill>
                </w14:textFill>
              </w:rPr>
              <w:t>.</w:t>
            </w:r>
            <w:r>
              <w:rPr>
                <w:rFonts w:ascii="Times New Roman" w:hAnsi="Times New Roman" w:cs="宋体"/>
                <w:b/>
                <w:bCs/>
                <w:color w:val="000000" w:themeColor="text1"/>
                <w:kern w:val="0"/>
                <w:sz w:val="24"/>
                <w:szCs w:val="20"/>
                <w:u w:val="single"/>
                <w14:textFill>
                  <w14:solidFill>
                    <w14:schemeClr w14:val="tx1"/>
                  </w14:solidFill>
                </w14:textFill>
              </w:rPr>
              <w:t xml:space="preserve">3 </w:t>
            </w:r>
            <w:r>
              <w:rPr>
                <w:rFonts w:hint="eastAsia" w:ascii="Times New Roman" w:hAnsi="Times New Roman" w:cs="宋体"/>
                <w:b/>
                <w:bCs/>
                <w:color w:val="000000" w:themeColor="text1"/>
                <w:kern w:val="0"/>
                <w:sz w:val="24"/>
                <w:szCs w:val="20"/>
                <w:u w:val="single"/>
                <w14:textFill>
                  <w14:solidFill>
                    <w14:schemeClr w14:val="tx1"/>
                  </w14:solidFill>
                </w14:textFill>
              </w:rPr>
              <w:t>页岩砖生产区工艺流程</w:t>
            </w: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widowControl/>
              <w:spacing w:line="360" w:lineRule="auto"/>
              <w:jc w:val="left"/>
              <w:rPr>
                <w:rFonts w:ascii="Times New Roman" w:hAnsi="Times New Roman" w:cs="宋体"/>
                <w:b/>
                <w:bCs/>
                <w:color w:val="000000" w:themeColor="text1"/>
                <w:kern w:val="0"/>
                <w:sz w:val="24"/>
                <w:szCs w:val="20"/>
                <w:u w:val="single"/>
                <w14:textFill>
                  <w14:solidFill>
                    <w14:schemeClr w14:val="tx1"/>
                  </w14:solidFill>
                </w14:textFill>
              </w:rPr>
            </w:pPr>
          </w:p>
          <w:p>
            <w:pPr>
              <w:spacing w:line="360" w:lineRule="auto"/>
              <w:jc w:val="center"/>
              <w:rPr>
                <w:rFonts w:ascii="Times New Roman" w:hAnsi="Times New Roman" w:cs="宋体"/>
                <w:b/>
                <w:bCs/>
                <w:color w:val="000000" w:themeColor="text1"/>
                <w:kern w:val="24"/>
                <w:sz w:val="24"/>
                <w:szCs w:val="20"/>
                <w:u w:val="single"/>
                <w14:textFill>
                  <w14:solidFill>
                    <w14:schemeClr w14:val="tx1"/>
                  </w14:solidFill>
                </w14:textFill>
              </w:rPr>
            </w:pPr>
            <w:r>
              <w:rPr>
                <w:rFonts w:ascii="Times New Roman"/>
                <w:sz w:val="24"/>
                <w:szCs w:val="24"/>
                <w:u w:val="single"/>
              </w:rPr>
              <mc:AlternateContent>
                <mc:Choice Requires="wpc">
                  <w:drawing>
                    <wp:inline distT="0" distB="0" distL="0" distR="0">
                      <wp:extent cx="5152390" cy="7219950"/>
                      <wp:effectExtent l="0" t="0" r="0" b="0"/>
                      <wp:docPr id="115" name="画布 88"/>
                      <wp:cNvGraphicFramePr/>
                      <a:graphic xmlns:a="http://schemas.openxmlformats.org/drawingml/2006/main">
                        <a:graphicData uri="http://schemas.microsoft.com/office/word/2010/wordprocessingCanvas">
                          <wpc:wpc>
                            <wpc:bg>
                              <a:noFill/>
                            </wpc:bg>
                            <wpc:whole>
                              <a:ln>
                                <a:noFill/>
                              </a:ln>
                            </wpc:whole>
                            <wps:wsp>
                              <wps:cNvPr id="225" name="Rectangle 55"/>
                              <wps:cNvSpPr>
                                <a:spLocks noChangeArrowheads="1"/>
                              </wps:cNvSpPr>
                              <wps:spPr bwMode="auto">
                                <a:xfrm>
                                  <a:off x="2095537" y="586704"/>
                                  <a:ext cx="959517" cy="279902"/>
                                </a:xfrm>
                                <a:prstGeom prst="rect">
                                  <a:avLst/>
                                </a:prstGeom>
                                <a:solidFill>
                                  <a:srgbClr val="FFFFFF"/>
                                </a:solidFill>
                                <a:ln w="9525">
                                  <a:solidFill>
                                    <a:srgbClr val="000000"/>
                                  </a:solidFill>
                                  <a:miter lim="800000"/>
                                </a:ln>
                              </wps:spPr>
                              <wps:txbx>
                                <w:txbxContent>
                                  <w:p>
                                    <w:pPr>
                                      <w:jc w:val="center"/>
                                    </w:pPr>
                                    <w:r>
                                      <w:rPr>
                                        <w:rFonts w:hint="eastAsia"/>
                                      </w:rPr>
                                      <w:t>破碎</w:t>
                                    </w:r>
                                  </w:p>
                                </w:txbxContent>
                              </wps:txbx>
                              <wps:bodyPr rot="0" vert="horz" wrap="square" lIns="0" tIns="0" rIns="0" bIns="0" anchor="ctr" anchorCtr="0" upright="1">
                                <a:noAutofit/>
                              </wps:bodyPr>
                            </wps:wsp>
                            <wps:wsp>
                              <wps:cNvPr id="226" name="AutoShape 59"/>
                              <wps:cNvCnPr>
                                <a:cxnSpLocks noChangeShapeType="1"/>
                              </wps:cNvCnPr>
                              <wps:spPr bwMode="auto">
                                <a:xfrm flipH="1">
                                  <a:off x="2575245" y="373603"/>
                                  <a:ext cx="900" cy="213101"/>
                                </a:xfrm>
                                <a:prstGeom prst="straightConnector1">
                                  <a:avLst/>
                                </a:prstGeom>
                                <a:noFill/>
                                <a:ln w="9525">
                                  <a:solidFill>
                                    <a:srgbClr val="000000"/>
                                  </a:solidFill>
                                  <a:round/>
                                  <a:tailEnd type="triangle" w="med" len="med"/>
                                </a:ln>
                              </wps:spPr>
                              <wps:bodyPr/>
                            </wps:wsp>
                            <wps:wsp>
                              <wps:cNvPr id="227" name="AutoShape 69"/>
                              <wps:cNvCnPr>
                                <a:cxnSpLocks noChangeShapeType="1"/>
                              </wps:cNvCnPr>
                              <wps:spPr bwMode="auto">
                                <a:xfrm>
                                  <a:off x="3055053" y="726605"/>
                                  <a:ext cx="363506" cy="2500"/>
                                </a:xfrm>
                                <a:prstGeom prst="straightConnector1">
                                  <a:avLst/>
                                </a:prstGeom>
                                <a:noFill/>
                                <a:ln w="9525">
                                  <a:solidFill>
                                    <a:srgbClr val="000000"/>
                                  </a:solidFill>
                                  <a:prstDash val="dash"/>
                                  <a:round/>
                                  <a:tailEnd type="triangle" w="med" len="med"/>
                                </a:ln>
                              </wps:spPr>
                              <wps:bodyPr/>
                            </wps:wsp>
                            <wps:wsp>
                              <wps:cNvPr id="228" name="Rectangle 55"/>
                              <wps:cNvSpPr>
                                <a:spLocks noChangeArrowheads="1"/>
                              </wps:cNvSpPr>
                              <wps:spPr bwMode="auto">
                                <a:xfrm>
                                  <a:off x="1874433" y="0"/>
                                  <a:ext cx="1403425" cy="373603"/>
                                </a:xfrm>
                                <a:prstGeom prst="rect">
                                  <a:avLst/>
                                </a:prstGeom>
                                <a:solidFill>
                                  <a:srgbClr val="FFFFFF"/>
                                </a:solidFill>
                                <a:ln>
                                  <a:noFill/>
                                </a:ln>
                              </wps:spPr>
                              <wps:txbx>
                                <w:txbxContent>
                                  <w:p>
                                    <w:pPr>
                                      <w:jc w:val="center"/>
                                      <w:rPr>
                                        <w:kern w:val="0"/>
                                        <w:sz w:val="24"/>
                                        <w:szCs w:val="24"/>
                                      </w:rPr>
                                    </w:pPr>
                                    <w:r>
                                      <w:rPr>
                                        <w:rFonts w:hint="eastAsia"/>
                                        <w:szCs w:val="21"/>
                                      </w:rPr>
                                      <w:t>页岩、煤渣、无烟煤</w:t>
                                    </w:r>
                                  </w:p>
                                </w:txbxContent>
                              </wps:txbx>
                              <wps:bodyPr rot="0" vert="horz" wrap="square" lIns="0" tIns="0" rIns="0" bIns="0" anchor="ctr" anchorCtr="0" upright="1">
                                <a:noAutofit/>
                              </wps:bodyPr>
                            </wps:wsp>
                            <wps:wsp>
                              <wps:cNvPr id="229" name="Rectangle 55"/>
                              <wps:cNvSpPr>
                                <a:spLocks noChangeArrowheads="1"/>
                              </wps:cNvSpPr>
                              <wps:spPr bwMode="auto">
                                <a:xfrm>
                                  <a:off x="2095537" y="1122908"/>
                                  <a:ext cx="9594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配料</w:t>
                                    </w:r>
                                    <w:r>
                                      <w:rPr>
                                        <w:szCs w:val="21"/>
                                      </w:rPr>
                                      <w:t>搅拌</w:t>
                                    </w:r>
                                  </w:p>
                                </w:txbxContent>
                              </wps:txbx>
                              <wps:bodyPr rot="0" vert="horz" wrap="square" lIns="0" tIns="0" rIns="0" bIns="0" anchor="ctr" anchorCtr="0" upright="1">
                                <a:noAutofit/>
                              </wps:bodyPr>
                            </wps:wsp>
                            <wps:wsp>
                              <wps:cNvPr id="230" name="AutoShape 59"/>
                              <wps:cNvCnPr>
                                <a:cxnSpLocks noChangeShapeType="1"/>
                              </wps:cNvCnPr>
                              <wps:spPr bwMode="auto">
                                <a:xfrm flipH="1">
                                  <a:off x="2575245" y="866606"/>
                                  <a:ext cx="0" cy="256302"/>
                                </a:xfrm>
                                <a:prstGeom prst="straightConnector1">
                                  <a:avLst/>
                                </a:prstGeom>
                                <a:noFill/>
                                <a:ln w="9525">
                                  <a:solidFill>
                                    <a:srgbClr val="000000"/>
                                  </a:solidFill>
                                  <a:round/>
                                  <a:tailEnd type="triangle" w="med" len="med"/>
                                </a:ln>
                              </wps:spPr>
                              <wps:bodyPr/>
                            </wps:wsp>
                            <wps:wsp>
                              <wps:cNvPr id="231" name="Rectangle 55"/>
                              <wps:cNvSpPr>
                                <a:spLocks noChangeArrowheads="1"/>
                              </wps:cNvSpPr>
                              <wps:spPr bwMode="auto">
                                <a:xfrm>
                                  <a:off x="2095537" y="1646811"/>
                                  <a:ext cx="9594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陈化堆放</w:t>
                                    </w:r>
                                  </w:p>
                                </w:txbxContent>
                              </wps:txbx>
                              <wps:bodyPr rot="0" vert="horz" wrap="square" lIns="0" tIns="0" rIns="0" bIns="0" anchor="ctr" anchorCtr="0" upright="1">
                                <a:noAutofit/>
                              </wps:bodyPr>
                            </wps:wsp>
                            <wps:wsp>
                              <wps:cNvPr id="232" name="AutoShape 59"/>
                              <wps:cNvCnPr>
                                <a:cxnSpLocks noChangeShapeType="1"/>
                              </wps:cNvCnPr>
                              <wps:spPr bwMode="auto">
                                <a:xfrm>
                                  <a:off x="2575245" y="1402310"/>
                                  <a:ext cx="0" cy="244502"/>
                                </a:xfrm>
                                <a:prstGeom prst="straightConnector1">
                                  <a:avLst/>
                                </a:prstGeom>
                                <a:noFill/>
                                <a:ln w="9525">
                                  <a:solidFill>
                                    <a:srgbClr val="000000"/>
                                  </a:solidFill>
                                  <a:round/>
                                  <a:tailEnd type="triangle" w="med" len="med"/>
                                </a:ln>
                              </wps:spPr>
                              <wps:bodyPr/>
                            </wps:wsp>
                            <wps:wsp>
                              <wps:cNvPr id="233" name="AutoShape 59"/>
                              <wps:cNvCnPr>
                                <a:cxnSpLocks noChangeShapeType="1"/>
                              </wps:cNvCnPr>
                              <wps:spPr bwMode="auto">
                                <a:xfrm>
                                  <a:off x="2575245" y="1926213"/>
                                  <a:ext cx="0" cy="270702"/>
                                </a:xfrm>
                                <a:prstGeom prst="straightConnector1">
                                  <a:avLst/>
                                </a:prstGeom>
                                <a:noFill/>
                                <a:ln w="9525">
                                  <a:solidFill>
                                    <a:srgbClr val="000000"/>
                                  </a:solidFill>
                                  <a:round/>
                                  <a:tailEnd type="triangle" w="med" len="med"/>
                                </a:ln>
                              </wps:spPr>
                              <wps:bodyPr/>
                            </wps:wsp>
                            <wps:wsp>
                              <wps:cNvPr id="234" name="Rectangle 55"/>
                              <wps:cNvSpPr>
                                <a:spLocks noChangeArrowheads="1"/>
                              </wps:cNvSpPr>
                              <wps:spPr bwMode="auto">
                                <a:xfrm>
                                  <a:off x="2095537" y="3275623"/>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制坯</w:t>
                                    </w:r>
                                  </w:p>
                                </w:txbxContent>
                              </wps:txbx>
                              <wps:bodyPr rot="0" vert="horz" wrap="square" lIns="0" tIns="0" rIns="0" bIns="0" anchor="ctr" anchorCtr="0" upright="1">
                                <a:noAutofit/>
                              </wps:bodyPr>
                            </wps:wsp>
                            <wps:wsp>
                              <wps:cNvPr id="235" name="Rectangle 55"/>
                              <wps:cNvSpPr>
                                <a:spLocks noChangeArrowheads="1"/>
                              </wps:cNvSpPr>
                              <wps:spPr bwMode="auto">
                                <a:xfrm>
                                  <a:off x="2095537" y="2740619"/>
                                  <a:ext cx="9594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强力搅拌</w:t>
                                    </w:r>
                                  </w:p>
                                </w:txbxContent>
                              </wps:txbx>
                              <wps:bodyPr rot="0" vert="horz" wrap="square" lIns="0" tIns="0" rIns="0" bIns="0" anchor="ctr" anchorCtr="0" upright="1">
                                <a:noAutofit/>
                              </wps:bodyPr>
                            </wps:wsp>
                            <wps:wsp>
                              <wps:cNvPr id="236" name="Rectangle 55"/>
                              <wps:cNvSpPr>
                                <a:spLocks noChangeArrowheads="1"/>
                              </wps:cNvSpPr>
                              <wps:spPr bwMode="auto">
                                <a:xfrm>
                                  <a:off x="2095537" y="2196915"/>
                                  <a:ext cx="959417" cy="279402"/>
                                </a:xfrm>
                                <a:prstGeom prst="rect">
                                  <a:avLst/>
                                </a:prstGeom>
                                <a:solidFill>
                                  <a:srgbClr val="FFFFFF"/>
                                </a:solidFill>
                                <a:ln w="9525">
                                  <a:solidFill>
                                    <a:srgbClr val="000000"/>
                                  </a:solidFill>
                                  <a:miter lim="800000"/>
                                </a:ln>
                              </wps:spPr>
                              <wps:txbx>
                                <w:txbxContent>
                                  <w:p>
                                    <w:pPr>
                                      <w:jc w:val="center"/>
                                      <w:rPr>
                                        <w:kern w:val="0"/>
                                        <w:szCs w:val="21"/>
                                      </w:rPr>
                                    </w:pPr>
                                    <w:r>
                                      <w:rPr>
                                        <w:rFonts w:hint="eastAsia"/>
                                        <w:kern w:val="0"/>
                                        <w:szCs w:val="21"/>
                                      </w:rPr>
                                      <w:t>棍式细碎</w:t>
                                    </w:r>
                                  </w:p>
                                </w:txbxContent>
                              </wps:txbx>
                              <wps:bodyPr rot="0" vert="horz" wrap="square" lIns="0" tIns="0" rIns="0" bIns="0" anchor="ctr" anchorCtr="0" upright="1">
                                <a:noAutofit/>
                              </wps:bodyPr>
                            </wps:wsp>
                            <wps:wsp>
                              <wps:cNvPr id="237" name="AutoShape 59"/>
                              <wps:cNvCnPr>
                                <a:cxnSpLocks noChangeShapeType="1"/>
                              </wps:cNvCnPr>
                              <wps:spPr bwMode="auto">
                                <a:xfrm>
                                  <a:off x="2575245" y="2476317"/>
                                  <a:ext cx="0" cy="264302"/>
                                </a:xfrm>
                                <a:prstGeom prst="straightConnector1">
                                  <a:avLst/>
                                </a:prstGeom>
                                <a:noFill/>
                                <a:ln w="9525">
                                  <a:solidFill>
                                    <a:srgbClr val="000000"/>
                                  </a:solidFill>
                                  <a:round/>
                                  <a:tailEnd type="triangle" w="med" len="med"/>
                                </a:ln>
                              </wps:spPr>
                              <wps:bodyPr/>
                            </wps:wsp>
                            <wps:wsp>
                              <wps:cNvPr id="238" name="AutoShape 59"/>
                              <wps:cNvCnPr>
                                <a:cxnSpLocks noChangeShapeType="1"/>
                              </wps:cNvCnPr>
                              <wps:spPr bwMode="auto">
                                <a:xfrm>
                                  <a:off x="2575245" y="3020021"/>
                                  <a:ext cx="100" cy="255602"/>
                                </a:xfrm>
                                <a:prstGeom prst="straightConnector1">
                                  <a:avLst/>
                                </a:prstGeom>
                                <a:noFill/>
                                <a:ln w="9525">
                                  <a:solidFill>
                                    <a:srgbClr val="000000"/>
                                  </a:solidFill>
                                  <a:round/>
                                  <a:tailEnd type="triangle" w="med" len="med"/>
                                </a:ln>
                              </wps:spPr>
                              <wps:bodyPr/>
                            </wps:wsp>
                            <wps:wsp>
                              <wps:cNvPr id="239" name="Rectangle 55"/>
                              <wps:cNvSpPr>
                                <a:spLocks noChangeArrowheads="1"/>
                              </wps:cNvSpPr>
                              <wps:spPr bwMode="auto">
                                <a:xfrm>
                                  <a:off x="2095537" y="4323330"/>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切条</w:t>
                                    </w:r>
                                  </w:p>
                                </w:txbxContent>
                              </wps:txbx>
                              <wps:bodyPr rot="0" vert="horz" wrap="square" lIns="0" tIns="0" rIns="0" bIns="0" anchor="ctr" anchorCtr="0" upright="1">
                                <a:noAutofit/>
                              </wps:bodyPr>
                            </wps:wsp>
                            <wps:wsp>
                              <wps:cNvPr id="241" name="Rectangle 55"/>
                              <wps:cNvSpPr>
                                <a:spLocks noChangeArrowheads="1"/>
                              </wps:cNvSpPr>
                              <wps:spPr bwMode="auto">
                                <a:xfrm>
                                  <a:off x="2095537" y="3799526"/>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挤出</w:t>
                                    </w:r>
                                  </w:p>
                                </w:txbxContent>
                              </wps:txbx>
                              <wps:bodyPr rot="0" vert="horz" wrap="square" lIns="0" tIns="0" rIns="0" bIns="0" anchor="ctr" anchorCtr="0" upright="1">
                                <a:noAutofit/>
                              </wps:bodyPr>
                            </wps:wsp>
                            <wps:wsp>
                              <wps:cNvPr id="242" name="AutoShape 59"/>
                              <wps:cNvCnPr>
                                <a:cxnSpLocks noChangeShapeType="1"/>
                              </wps:cNvCnPr>
                              <wps:spPr bwMode="auto">
                                <a:xfrm>
                                  <a:off x="2575345" y="3555025"/>
                                  <a:ext cx="0" cy="244502"/>
                                </a:xfrm>
                                <a:prstGeom prst="straightConnector1">
                                  <a:avLst/>
                                </a:prstGeom>
                                <a:noFill/>
                                <a:ln w="9525">
                                  <a:solidFill>
                                    <a:srgbClr val="000000"/>
                                  </a:solidFill>
                                  <a:round/>
                                  <a:tailEnd type="triangle" w="med" len="med"/>
                                </a:ln>
                              </wps:spPr>
                              <wps:bodyPr/>
                            </wps:wsp>
                            <wps:wsp>
                              <wps:cNvPr id="243" name="AutoShape 59"/>
                              <wps:cNvCnPr>
                                <a:cxnSpLocks noChangeShapeType="1"/>
                              </wps:cNvCnPr>
                              <wps:spPr bwMode="auto">
                                <a:xfrm>
                                  <a:off x="2575345" y="4078928"/>
                                  <a:ext cx="0" cy="244402"/>
                                </a:xfrm>
                                <a:prstGeom prst="straightConnector1">
                                  <a:avLst/>
                                </a:prstGeom>
                                <a:noFill/>
                                <a:ln w="9525">
                                  <a:solidFill>
                                    <a:srgbClr val="000000"/>
                                  </a:solidFill>
                                  <a:round/>
                                  <a:tailEnd type="triangle" w="med" len="med"/>
                                </a:ln>
                              </wps:spPr>
                              <wps:bodyPr/>
                            </wps:wsp>
                            <wps:wsp>
                              <wps:cNvPr id="244" name="Rectangle 55"/>
                              <wps:cNvSpPr>
                                <a:spLocks noChangeArrowheads="1"/>
                              </wps:cNvSpPr>
                              <wps:spPr bwMode="auto">
                                <a:xfrm>
                                  <a:off x="2095437" y="6904648"/>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成品入库</w:t>
                                    </w:r>
                                  </w:p>
                                </w:txbxContent>
                              </wps:txbx>
                              <wps:bodyPr rot="0" vert="horz" wrap="square" lIns="0" tIns="0" rIns="0" bIns="0" anchor="ctr" anchorCtr="0" upright="1">
                                <a:noAutofit/>
                              </wps:bodyPr>
                            </wps:wsp>
                            <wps:wsp>
                              <wps:cNvPr id="245" name="Rectangle 55"/>
                              <wps:cNvSpPr>
                                <a:spLocks noChangeArrowheads="1"/>
                              </wps:cNvSpPr>
                              <wps:spPr bwMode="auto">
                                <a:xfrm>
                                  <a:off x="2095437" y="6390344"/>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焙烧</w:t>
                                    </w:r>
                                  </w:p>
                                </w:txbxContent>
                              </wps:txbx>
                              <wps:bodyPr rot="0" vert="horz" wrap="square" lIns="0" tIns="0" rIns="0" bIns="0" anchor="ctr" anchorCtr="0" upright="1">
                                <a:noAutofit/>
                              </wps:bodyPr>
                            </wps:wsp>
                            <wps:wsp>
                              <wps:cNvPr id="246" name="Rectangle 55"/>
                              <wps:cNvSpPr>
                                <a:spLocks noChangeArrowheads="1"/>
                              </wps:cNvSpPr>
                              <wps:spPr bwMode="auto">
                                <a:xfrm>
                                  <a:off x="2095537" y="5866441"/>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烘干</w:t>
                                    </w:r>
                                  </w:p>
                                </w:txbxContent>
                              </wps:txbx>
                              <wps:bodyPr rot="0" vert="horz" wrap="square" lIns="0" tIns="0" rIns="0" bIns="0" anchor="ctr" anchorCtr="0" upright="1">
                                <a:noAutofit/>
                              </wps:bodyPr>
                            </wps:wsp>
                            <wps:wsp>
                              <wps:cNvPr id="247" name="Rectangle 55"/>
                              <wps:cNvSpPr>
                                <a:spLocks noChangeArrowheads="1"/>
                              </wps:cNvSpPr>
                              <wps:spPr bwMode="auto">
                                <a:xfrm>
                                  <a:off x="2095537" y="5352037"/>
                                  <a:ext cx="959417" cy="279402"/>
                                </a:xfrm>
                                <a:prstGeom prst="rect">
                                  <a:avLst/>
                                </a:prstGeom>
                                <a:solidFill>
                                  <a:srgbClr val="FFFFFF"/>
                                </a:solidFill>
                                <a:ln w="9525">
                                  <a:solidFill>
                                    <a:srgbClr val="000000"/>
                                  </a:solidFill>
                                  <a:miter lim="800000"/>
                                </a:ln>
                              </wps:spPr>
                              <wps:txbx>
                                <w:txbxContent>
                                  <w:p>
                                    <w:pPr>
                                      <w:jc w:val="center"/>
                                      <w:rPr>
                                        <w:kern w:val="0"/>
                                        <w:szCs w:val="21"/>
                                      </w:rPr>
                                    </w:pPr>
                                    <w:r>
                                      <w:rPr>
                                        <w:rFonts w:hint="eastAsia"/>
                                        <w:kern w:val="0"/>
                                        <w:szCs w:val="21"/>
                                      </w:rPr>
                                      <w:t>坯车</w:t>
                                    </w:r>
                                  </w:p>
                                </w:txbxContent>
                              </wps:txbx>
                              <wps:bodyPr rot="0" vert="horz" wrap="square" lIns="0" tIns="0" rIns="0" bIns="0" anchor="ctr" anchorCtr="0" upright="1">
                                <a:noAutofit/>
                              </wps:bodyPr>
                            </wps:wsp>
                            <wps:wsp>
                              <wps:cNvPr id="248" name="Rectangle 55"/>
                              <wps:cNvSpPr>
                                <a:spLocks noChangeArrowheads="1"/>
                              </wps:cNvSpPr>
                              <wps:spPr bwMode="auto">
                                <a:xfrm>
                                  <a:off x="2095537" y="4847234"/>
                                  <a:ext cx="959517" cy="279402"/>
                                </a:xfrm>
                                <a:prstGeom prst="rect">
                                  <a:avLst/>
                                </a:prstGeom>
                                <a:solidFill>
                                  <a:srgbClr val="FFFFFF"/>
                                </a:solidFill>
                                <a:ln w="9525">
                                  <a:solidFill>
                                    <a:srgbClr val="000000"/>
                                  </a:solidFill>
                                  <a:miter lim="800000"/>
                                </a:ln>
                              </wps:spPr>
                              <wps:txbx>
                                <w:txbxContent>
                                  <w:p>
                                    <w:pPr>
                                      <w:jc w:val="center"/>
                                      <w:rPr>
                                        <w:kern w:val="0"/>
                                        <w:sz w:val="24"/>
                                        <w:szCs w:val="24"/>
                                      </w:rPr>
                                    </w:pPr>
                                    <w:r>
                                      <w:rPr>
                                        <w:rFonts w:hint="eastAsia"/>
                                        <w:szCs w:val="21"/>
                                      </w:rPr>
                                      <w:t>切坯</w:t>
                                    </w:r>
                                  </w:p>
                                </w:txbxContent>
                              </wps:txbx>
                              <wps:bodyPr rot="0" vert="horz" wrap="square" lIns="0" tIns="0" rIns="0" bIns="0" anchor="ctr" anchorCtr="0" upright="1">
                                <a:noAutofit/>
                              </wps:bodyPr>
                            </wps:wsp>
                            <wps:wsp>
                              <wps:cNvPr id="249" name="AutoShape 59"/>
                              <wps:cNvCnPr>
                                <a:cxnSpLocks noChangeShapeType="1"/>
                              </wps:cNvCnPr>
                              <wps:spPr bwMode="auto">
                                <a:xfrm>
                                  <a:off x="2575345" y="4602732"/>
                                  <a:ext cx="0" cy="244502"/>
                                </a:xfrm>
                                <a:prstGeom prst="straightConnector1">
                                  <a:avLst/>
                                </a:prstGeom>
                                <a:noFill/>
                                <a:ln w="9525">
                                  <a:solidFill>
                                    <a:srgbClr val="000000"/>
                                  </a:solidFill>
                                  <a:round/>
                                  <a:tailEnd type="triangle" w="med" len="med"/>
                                </a:ln>
                              </wps:spPr>
                              <wps:bodyPr/>
                            </wps:wsp>
                            <wps:wsp>
                              <wps:cNvPr id="250" name="AutoShape 59"/>
                              <wps:cNvCnPr>
                                <a:cxnSpLocks noChangeShapeType="1"/>
                              </wps:cNvCnPr>
                              <wps:spPr bwMode="auto">
                                <a:xfrm flipH="1">
                                  <a:off x="2575245" y="5126636"/>
                                  <a:ext cx="100" cy="225402"/>
                                </a:xfrm>
                                <a:prstGeom prst="straightConnector1">
                                  <a:avLst/>
                                </a:prstGeom>
                                <a:noFill/>
                                <a:ln w="9525">
                                  <a:solidFill>
                                    <a:srgbClr val="000000"/>
                                  </a:solidFill>
                                  <a:round/>
                                  <a:tailEnd type="triangle" w="med" len="med"/>
                                </a:ln>
                              </wps:spPr>
                              <wps:bodyPr/>
                            </wps:wsp>
                            <wps:wsp>
                              <wps:cNvPr id="251" name="AutoShape 59"/>
                              <wps:cNvCnPr>
                                <a:cxnSpLocks noChangeShapeType="1"/>
                              </wps:cNvCnPr>
                              <wps:spPr bwMode="auto">
                                <a:xfrm>
                                  <a:off x="2575245" y="5631439"/>
                                  <a:ext cx="100" cy="235002"/>
                                </a:xfrm>
                                <a:prstGeom prst="straightConnector1">
                                  <a:avLst/>
                                </a:prstGeom>
                                <a:noFill/>
                                <a:ln w="9525">
                                  <a:solidFill>
                                    <a:srgbClr val="000000"/>
                                  </a:solidFill>
                                  <a:round/>
                                  <a:tailEnd type="triangle" w="med" len="med"/>
                                </a:ln>
                              </wps:spPr>
                              <wps:bodyPr/>
                            </wps:wsp>
                            <wps:wsp>
                              <wps:cNvPr id="252" name="AutoShape 59"/>
                              <wps:cNvCnPr>
                                <a:cxnSpLocks noChangeShapeType="1"/>
                              </wps:cNvCnPr>
                              <wps:spPr bwMode="auto">
                                <a:xfrm flipH="1">
                                  <a:off x="2575245" y="6145843"/>
                                  <a:ext cx="100" cy="244502"/>
                                </a:xfrm>
                                <a:prstGeom prst="straightConnector1">
                                  <a:avLst/>
                                </a:prstGeom>
                                <a:noFill/>
                                <a:ln w="9525">
                                  <a:solidFill>
                                    <a:srgbClr val="000000"/>
                                  </a:solidFill>
                                  <a:round/>
                                  <a:tailEnd type="triangle" w="med" len="med"/>
                                </a:ln>
                              </wps:spPr>
                              <wps:bodyPr/>
                            </wps:wsp>
                            <wps:wsp>
                              <wps:cNvPr id="253" name="AutoShape 59"/>
                              <wps:cNvCnPr>
                                <a:cxnSpLocks noChangeShapeType="1"/>
                              </wps:cNvCnPr>
                              <wps:spPr bwMode="auto">
                                <a:xfrm>
                                  <a:off x="2575245" y="6669746"/>
                                  <a:ext cx="0" cy="234902"/>
                                </a:xfrm>
                                <a:prstGeom prst="straightConnector1">
                                  <a:avLst/>
                                </a:prstGeom>
                                <a:noFill/>
                                <a:ln w="9525">
                                  <a:solidFill>
                                    <a:srgbClr val="000000"/>
                                  </a:solidFill>
                                  <a:round/>
                                  <a:tailEnd type="triangle" w="med" len="med"/>
                                </a:ln>
                              </wps:spPr>
                              <wps:bodyPr/>
                            </wps:wsp>
                            <wps:wsp>
                              <wps:cNvPr id="254" name="连接符: 肘形 206"/>
                              <wps:cNvCnPr>
                                <a:cxnSpLocks noChangeShapeType="1"/>
                              </wps:cNvCnPr>
                              <wps:spPr bwMode="auto">
                                <a:xfrm rot="5400000" flipH="1" flipV="1">
                                  <a:off x="1450927" y="5748235"/>
                                  <a:ext cx="386703" cy="902416"/>
                                </a:xfrm>
                                <a:prstGeom prst="bentConnector2">
                                  <a:avLst/>
                                </a:prstGeom>
                                <a:noFill/>
                                <a:ln w="9525">
                                  <a:solidFill>
                                    <a:srgbClr val="000000"/>
                                  </a:solidFill>
                                  <a:prstDash val="dash"/>
                                  <a:miter lim="800000"/>
                                  <a:tailEnd type="triangle" w="med" len="med"/>
                                </a:ln>
                              </wps:spPr>
                              <wps:bodyPr/>
                            </wps:wsp>
                            <wps:wsp>
                              <wps:cNvPr id="255" name="Rectangle 55"/>
                              <wps:cNvSpPr>
                                <a:spLocks noChangeArrowheads="1"/>
                              </wps:cNvSpPr>
                              <wps:spPr bwMode="auto">
                                <a:xfrm>
                                  <a:off x="3418560" y="589404"/>
                                  <a:ext cx="959417" cy="279402"/>
                                </a:xfrm>
                                <a:prstGeom prst="rect">
                                  <a:avLst/>
                                </a:prstGeom>
                                <a:solidFill>
                                  <a:srgbClr val="FFFFFF"/>
                                </a:solidFill>
                                <a:ln w="9525">
                                  <a:solidFill>
                                    <a:srgbClr val="000000"/>
                                  </a:solidFill>
                                  <a:prstDash val="dash"/>
                                  <a:miter lim="800000"/>
                                </a:ln>
                              </wps:spPr>
                              <wps:txbx>
                                <w:txbxContent>
                                  <w:p>
                                    <w:pPr>
                                      <w:jc w:val="center"/>
                                      <w:rPr>
                                        <w:kern w:val="0"/>
                                        <w:sz w:val="18"/>
                                        <w:szCs w:val="18"/>
                                      </w:rPr>
                                    </w:pPr>
                                    <w:r>
                                      <w:rPr>
                                        <w:rFonts w:hint="eastAsia"/>
                                        <w:sz w:val="18"/>
                                        <w:szCs w:val="18"/>
                                      </w:rPr>
                                      <w:t>粉尘、噪声</w:t>
                                    </w:r>
                                  </w:p>
                                </w:txbxContent>
                              </wps:txbx>
                              <wps:bodyPr rot="0" vert="horz" wrap="square" lIns="0" tIns="0" rIns="0" bIns="0" anchor="ctr" anchorCtr="0" upright="1">
                                <a:noAutofit/>
                              </wps:bodyPr>
                            </wps:wsp>
                            <wps:wsp>
                              <wps:cNvPr id="480" name="Rectangle 55"/>
                              <wps:cNvSpPr>
                                <a:spLocks noChangeArrowheads="1"/>
                              </wps:cNvSpPr>
                              <wps:spPr bwMode="auto">
                                <a:xfrm>
                                  <a:off x="3418560" y="1122908"/>
                                  <a:ext cx="959417" cy="2788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81" name="AutoShape 69"/>
                              <wps:cNvCnPr>
                                <a:cxnSpLocks noChangeShapeType="1"/>
                              </wps:cNvCnPr>
                              <wps:spPr bwMode="auto">
                                <a:xfrm flipV="1">
                                  <a:off x="3054953" y="1262309"/>
                                  <a:ext cx="363606" cy="300"/>
                                </a:xfrm>
                                <a:prstGeom prst="straightConnector1">
                                  <a:avLst/>
                                </a:prstGeom>
                                <a:noFill/>
                                <a:ln w="9525">
                                  <a:solidFill>
                                    <a:srgbClr val="000000"/>
                                  </a:solidFill>
                                  <a:prstDash val="dash"/>
                                  <a:round/>
                                  <a:tailEnd type="triangle" w="med" len="med"/>
                                </a:ln>
                              </wps:spPr>
                              <wps:bodyPr/>
                            </wps:wsp>
                            <wps:wsp>
                              <wps:cNvPr id="482" name="Rectangle 55"/>
                              <wps:cNvSpPr>
                                <a:spLocks noChangeArrowheads="1"/>
                              </wps:cNvSpPr>
                              <wps:spPr bwMode="auto">
                                <a:xfrm>
                                  <a:off x="3408960" y="2198215"/>
                                  <a:ext cx="959517" cy="2781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粉尘、噪声</w:t>
                                    </w:r>
                                  </w:p>
                                </w:txbxContent>
                              </wps:txbx>
                              <wps:bodyPr rot="0" vert="horz" wrap="square" lIns="0" tIns="0" rIns="0" bIns="0" anchor="ctr" anchorCtr="0" upright="1">
                                <a:noAutofit/>
                              </wps:bodyPr>
                            </wps:wsp>
                            <wps:wsp>
                              <wps:cNvPr id="483" name="AutoShape 69"/>
                              <wps:cNvCnPr>
                                <a:cxnSpLocks noChangeShapeType="1"/>
                              </wps:cNvCnPr>
                              <wps:spPr bwMode="auto">
                                <a:xfrm>
                                  <a:off x="3054953" y="2336616"/>
                                  <a:ext cx="354006" cy="600"/>
                                </a:xfrm>
                                <a:prstGeom prst="straightConnector1">
                                  <a:avLst/>
                                </a:prstGeom>
                                <a:noFill/>
                                <a:ln w="9525">
                                  <a:solidFill>
                                    <a:srgbClr val="000000"/>
                                  </a:solidFill>
                                  <a:prstDash val="dash"/>
                                  <a:round/>
                                  <a:tailEnd type="triangle" w="med" len="med"/>
                                </a:ln>
                              </wps:spPr>
                              <wps:bodyPr/>
                            </wps:wsp>
                            <wps:wsp>
                              <wps:cNvPr id="484" name="Rectangle 55"/>
                              <wps:cNvSpPr>
                                <a:spLocks noChangeArrowheads="1"/>
                              </wps:cNvSpPr>
                              <wps:spPr bwMode="auto">
                                <a:xfrm>
                                  <a:off x="3399459" y="2740619"/>
                                  <a:ext cx="959517" cy="2781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85" name="AutoShape 69"/>
                              <wps:cNvCnPr>
                                <a:cxnSpLocks noChangeShapeType="1"/>
                              </wps:cNvCnPr>
                              <wps:spPr bwMode="auto">
                                <a:xfrm flipV="1">
                                  <a:off x="3054953" y="2879720"/>
                                  <a:ext cx="344506" cy="600"/>
                                </a:xfrm>
                                <a:prstGeom prst="straightConnector1">
                                  <a:avLst/>
                                </a:prstGeom>
                                <a:noFill/>
                                <a:ln w="9525">
                                  <a:solidFill>
                                    <a:srgbClr val="000000"/>
                                  </a:solidFill>
                                  <a:prstDash val="dash"/>
                                  <a:round/>
                                  <a:tailEnd type="triangle" w="med" len="med"/>
                                </a:ln>
                              </wps:spPr>
                              <wps:bodyPr/>
                            </wps:wsp>
                            <wps:wsp>
                              <wps:cNvPr id="486" name="Rectangle 55"/>
                              <wps:cNvSpPr>
                                <a:spLocks noChangeArrowheads="1"/>
                              </wps:cNvSpPr>
                              <wps:spPr bwMode="auto">
                                <a:xfrm>
                                  <a:off x="3399459" y="3277623"/>
                                  <a:ext cx="959517" cy="2781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87" name="AutoShape 69"/>
                              <wps:cNvCnPr>
                                <a:cxnSpLocks noChangeShapeType="1"/>
                              </wps:cNvCnPr>
                              <wps:spPr bwMode="auto">
                                <a:xfrm>
                                  <a:off x="3055053" y="3415324"/>
                                  <a:ext cx="344406" cy="1400"/>
                                </a:xfrm>
                                <a:prstGeom prst="straightConnector1">
                                  <a:avLst/>
                                </a:prstGeom>
                                <a:noFill/>
                                <a:ln w="9525">
                                  <a:solidFill>
                                    <a:srgbClr val="000000"/>
                                  </a:solidFill>
                                  <a:prstDash val="dash"/>
                                  <a:round/>
                                  <a:tailEnd type="triangle" w="med" len="med"/>
                                </a:ln>
                              </wps:spPr>
                              <wps:bodyPr/>
                            </wps:wsp>
                            <wps:wsp>
                              <wps:cNvPr id="488" name="Rectangle 55"/>
                              <wps:cNvSpPr>
                                <a:spLocks noChangeArrowheads="1"/>
                              </wps:cNvSpPr>
                              <wps:spPr bwMode="auto">
                                <a:xfrm>
                                  <a:off x="3380459" y="4323330"/>
                                  <a:ext cx="959417" cy="2782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89" name="AutoShape 69"/>
                              <wps:cNvCnPr>
                                <a:cxnSpLocks noChangeShapeType="1"/>
                              </wps:cNvCnPr>
                              <wps:spPr bwMode="auto">
                                <a:xfrm flipV="1">
                                  <a:off x="3055053" y="4462431"/>
                                  <a:ext cx="325406" cy="600"/>
                                </a:xfrm>
                                <a:prstGeom prst="straightConnector1">
                                  <a:avLst/>
                                </a:prstGeom>
                                <a:noFill/>
                                <a:ln w="9525">
                                  <a:solidFill>
                                    <a:srgbClr val="000000"/>
                                  </a:solidFill>
                                  <a:prstDash val="dash"/>
                                  <a:round/>
                                  <a:tailEnd type="triangle" w="med" len="med"/>
                                </a:ln>
                              </wps:spPr>
                              <wps:bodyPr/>
                            </wps:wsp>
                            <wps:wsp>
                              <wps:cNvPr id="490" name="Rectangle 55"/>
                              <wps:cNvSpPr>
                                <a:spLocks noChangeArrowheads="1"/>
                              </wps:cNvSpPr>
                              <wps:spPr bwMode="auto">
                                <a:xfrm>
                                  <a:off x="3418560" y="5868341"/>
                                  <a:ext cx="959417" cy="2775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窑炉烟气</w:t>
                                    </w:r>
                                  </w:p>
                                </w:txbxContent>
                              </wps:txbx>
                              <wps:bodyPr rot="0" vert="horz" wrap="square" lIns="0" tIns="0" rIns="0" bIns="0" anchor="ctr" anchorCtr="0" upright="1">
                                <a:noAutofit/>
                              </wps:bodyPr>
                            </wps:wsp>
                            <wps:wsp>
                              <wps:cNvPr id="491" name="Rectangle 55"/>
                              <wps:cNvSpPr>
                                <a:spLocks noChangeArrowheads="1"/>
                              </wps:cNvSpPr>
                              <wps:spPr bwMode="auto">
                                <a:xfrm>
                                  <a:off x="3370859" y="4849034"/>
                                  <a:ext cx="959517" cy="2775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93" name="AutoShape 69"/>
                              <wps:cNvCnPr>
                                <a:cxnSpLocks noChangeShapeType="1"/>
                              </wps:cNvCnPr>
                              <wps:spPr bwMode="auto">
                                <a:xfrm>
                                  <a:off x="3055053" y="4986935"/>
                                  <a:ext cx="315806" cy="900"/>
                                </a:xfrm>
                                <a:prstGeom prst="straightConnector1">
                                  <a:avLst/>
                                </a:prstGeom>
                                <a:noFill/>
                                <a:ln w="9525">
                                  <a:solidFill>
                                    <a:srgbClr val="000000"/>
                                  </a:solidFill>
                                  <a:prstDash val="dash"/>
                                  <a:round/>
                                  <a:tailEnd type="triangle" w="med" len="med"/>
                                </a:ln>
                              </wps:spPr>
                              <wps:bodyPr/>
                            </wps:wsp>
                            <wps:wsp>
                              <wps:cNvPr id="494" name="AutoShape 69"/>
                              <wps:cNvCnPr>
                                <a:cxnSpLocks noChangeShapeType="1"/>
                              </wps:cNvCnPr>
                              <wps:spPr bwMode="auto">
                                <a:xfrm>
                                  <a:off x="3055053" y="6006042"/>
                                  <a:ext cx="363506" cy="900"/>
                                </a:xfrm>
                                <a:prstGeom prst="straightConnector1">
                                  <a:avLst/>
                                </a:prstGeom>
                                <a:noFill/>
                                <a:ln w="9525">
                                  <a:solidFill>
                                    <a:srgbClr val="000000"/>
                                  </a:solidFill>
                                  <a:prstDash val="dash"/>
                                  <a:round/>
                                  <a:tailEnd type="triangle" w="med" len="med"/>
                                </a:ln>
                              </wps:spPr>
                              <wps:bodyPr/>
                            </wps:wsp>
                            <wps:wsp>
                              <wps:cNvPr id="495" name="Rectangle 55"/>
                              <wps:cNvSpPr>
                                <a:spLocks noChangeArrowheads="1"/>
                              </wps:cNvSpPr>
                              <wps:spPr bwMode="auto">
                                <a:xfrm>
                                  <a:off x="713412" y="6392844"/>
                                  <a:ext cx="959417" cy="2769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热烟气</w:t>
                                    </w:r>
                                  </w:p>
                                </w:txbxContent>
                              </wps:txbx>
                              <wps:bodyPr rot="0" vert="horz" wrap="square" lIns="0" tIns="0" rIns="0" bIns="0" anchor="ctr" anchorCtr="0" upright="1">
                                <a:noAutofit/>
                              </wps:bodyPr>
                            </wps:wsp>
                            <wps:wsp>
                              <wps:cNvPr id="496" name="AutoShape 69"/>
                              <wps:cNvCnPr>
                                <a:cxnSpLocks noChangeShapeType="1"/>
                              </wps:cNvCnPr>
                              <wps:spPr bwMode="auto">
                                <a:xfrm flipH="1">
                                  <a:off x="1672829" y="6530045"/>
                                  <a:ext cx="422607" cy="1200"/>
                                </a:xfrm>
                                <a:prstGeom prst="straightConnector1">
                                  <a:avLst/>
                                </a:prstGeom>
                                <a:noFill/>
                                <a:ln w="9525">
                                  <a:solidFill>
                                    <a:srgbClr val="000000"/>
                                  </a:solidFill>
                                  <a:prstDash val="dash"/>
                                  <a:round/>
                                  <a:tailEnd type="triangle" w="med" len="med"/>
                                </a:ln>
                              </wps:spPr>
                              <wps:bodyPr/>
                            </wps:wsp>
                            <wps:wsp>
                              <wps:cNvPr id="497" name="Rectangle 55"/>
                              <wps:cNvSpPr>
                                <a:spLocks noChangeArrowheads="1"/>
                              </wps:cNvSpPr>
                              <wps:spPr bwMode="auto">
                                <a:xfrm>
                                  <a:off x="3380459" y="3799426"/>
                                  <a:ext cx="959417" cy="2775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噪声</w:t>
                                    </w:r>
                                  </w:p>
                                </w:txbxContent>
                              </wps:txbx>
                              <wps:bodyPr rot="0" vert="horz" wrap="square" lIns="0" tIns="0" rIns="0" bIns="0" anchor="ctr" anchorCtr="0" upright="1">
                                <a:noAutofit/>
                              </wps:bodyPr>
                            </wps:wsp>
                            <wps:wsp>
                              <wps:cNvPr id="498" name="AutoShape 69"/>
                              <wps:cNvCnPr>
                                <a:cxnSpLocks noChangeShapeType="1"/>
                              </wps:cNvCnPr>
                              <wps:spPr bwMode="auto">
                                <a:xfrm flipV="1">
                                  <a:off x="3055053" y="3938127"/>
                                  <a:ext cx="325406" cy="1100"/>
                                </a:xfrm>
                                <a:prstGeom prst="straightConnector1">
                                  <a:avLst/>
                                </a:prstGeom>
                                <a:noFill/>
                                <a:ln w="9525">
                                  <a:solidFill>
                                    <a:srgbClr val="000000"/>
                                  </a:solidFill>
                                  <a:prstDash val="dash"/>
                                  <a:round/>
                                  <a:tailEnd type="triangle" w="med" len="med"/>
                                </a:ln>
                              </wps:spPr>
                              <wps:bodyPr/>
                            </wps:wsp>
                            <wps:wsp>
                              <wps:cNvPr id="499" name="Rectangle 55"/>
                              <wps:cNvSpPr>
                                <a:spLocks noChangeArrowheads="1"/>
                              </wps:cNvSpPr>
                              <wps:spPr bwMode="auto">
                                <a:xfrm>
                                  <a:off x="618111" y="3799426"/>
                                  <a:ext cx="959517" cy="277502"/>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废坯</w:t>
                                    </w:r>
                                  </w:p>
                                </w:txbxContent>
                              </wps:txbx>
                              <wps:bodyPr rot="0" vert="horz" wrap="square" lIns="0" tIns="0" rIns="0" bIns="0" anchor="ctr" anchorCtr="0" upright="1">
                                <a:noAutofit/>
                              </wps:bodyPr>
                            </wps:wsp>
                            <wps:wsp>
                              <wps:cNvPr id="500" name="连接符: 肘形 203"/>
                              <wps:cNvCnPr>
                                <a:cxnSpLocks noChangeShapeType="1"/>
                              </wps:cNvCnPr>
                              <wps:spPr bwMode="auto">
                                <a:xfrm rot="10800000">
                                  <a:off x="1097819" y="4076828"/>
                                  <a:ext cx="997717" cy="910006"/>
                                </a:xfrm>
                                <a:prstGeom prst="bentConnector2">
                                  <a:avLst/>
                                </a:prstGeom>
                                <a:noFill/>
                                <a:ln w="9525">
                                  <a:solidFill>
                                    <a:srgbClr val="000000"/>
                                  </a:solidFill>
                                  <a:prstDash val="dash"/>
                                  <a:miter lim="800000"/>
                                  <a:tailEnd type="triangle" w="med" len="med"/>
                                </a:ln>
                              </wps:spPr>
                              <wps:bodyPr/>
                            </wps:wsp>
                            <wps:wsp>
                              <wps:cNvPr id="501" name="连接符: 肘形 220"/>
                              <wps:cNvCnPr>
                                <a:cxnSpLocks noChangeShapeType="1"/>
                              </wps:cNvCnPr>
                              <wps:spPr bwMode="auto">
                                <a:xfrm rot="5400000" flipH="1" flipV="1">
                                  <a:off x="1137125" y="2841014"/>
                                  <a:ext cx="919006" cy="997617"/>
                                </a:xfrm>
                                <a:prstGeom prst="bentConnector2">
                                  <a:avLst/>
                                </a:prstGeom>
                                <a:noFill/>
                                <a:ln w="9525">
                                  <a:solidFill>
                                    <a:srgbClr val="000000"/>
                                  </a:solidFill>
                                  <a:prstDash val="dash"/>
                                  <a:miter lim="800000"/>
                                  <a:tailEnd type="triangle" w="med" len="med"/>
                                </a:ln>
                              </wps:spPr>
                              <wps:bodyPr/>
                            </wps:wsp>
                            <wps:wsp>
                              <wps:cNvPr id="274" name="Rectangle 55"/>
                              <wps:cNvSpPr>
                                <a:spLocks noChangeArrowheads="1"/>
                              </wps:cNvSpPr>
                              <wps:spPr bwMode="auto">
                                <a:xfrm>
                                  <a:off x="3418559" y="6390344"/>
                                  <a:ext cx="958850" cy="277495"/>
                                </a:xfrm>
                                <a:prstGeom prst="rect">
                                  <a:avLst/>
                                </a:prstGeom>
                                <a:solidFill>
                                  <a:srgbClr val="FFFFFF"/>
                                </a:solidFill>
                                <a:ln w="9525">
                                  <a:solidFill>
                                    <a:srgbClr val="000000"/>
                                  </a:solidFill>
                                  <a:prstDash val="dash"/>
                                  <a:miter lim="800000"/>
                                </a:ln>
                              </wps:spPr>
                              <wps:txbx>
                                <w:txbxContent>
                                  <w:p>
                                    <w:pPr>
                                      <w:jc w:val="center"/>
                                      <w:rPr>
                                        <w:kern w:val="0"/>
                                        <w:sz w:val="24"/>
                                        <w:szCs w:val="24"/>
                                      </w:rPr>
                                    </w:pPr>
                                    <w:r>
                                      <w:rPr>
                                        <w:rFonts w:hint="eastAsia"/>
                                        <w:sz w:val="18"/>
                                        <w:szCs w:val="18"/>
                                      </w:rPr>
                                      <w:t>不合格产品</w:t>
                                    </w:r>
                                  </w:p>
                                </w:txbxContent>
                              </wps:txbx>
                              <wps:bodyPr rot="0" vert="horz" wrap="square" lIns="0" tIns="0" rIns="0" bIns="0" anchor="ctr" anchorCtr="0" upright="1">
                                <a:noAutofit/>
                              </wps:bodyPr>
                            </wps:wsp>
                            <wps:wsp>
                              <wps:cNvPr id="275" name="AutoShape 69"/>
                              <wps:cNvCnPr>
                                <a:cxnSpLocks noChangeShapeType="1"/>
                                <a:stCxn id="245" idx="3"/>
                                <a:endCxn id="274" idx="1"/>
                              </wps:cNvCnPr>
                              <wps:spPr bwMode="auto">
                                <a:xfrm flipV="1">
                                  <a:off x="3054954" y="6529092"/>
                                  <a:ext cx="363605" cy="953"/>
                                </a:xfrm>
                                <a:prstGeom prst="straightConnector1">
                                  <a:avLst/>
                                </a:prstGeom>
                                <a:noFill/>
                                <a:ln w="9525">
                                  <a:solidFill>
                                    <a:srgbClr val="000000"/>
                                  </a:solidFill>
                                  <a:prstDash val="dash"/>
                                  <a:round/>
                                  <a:tailEnd type="triangle" w="med" len="med"/>
                                </a:ln>
                              </wps:spPr>
                              <wps:bodyPr/>
                            </wps:wsp>
                          </wpc:wpc>
                        </a:graphicData>
                      </a:graphic>
                    </wp:inline>
                  </w:drawing>
                </mc:Choice>
                <mc:Fallback>
                  <w:pict>
                    <v:group id="画布 88" o:spid="_x0000_s1026" o:spt="203" style="height:568.5pt;width:405.7pt;" coordsize="5152390,7219950" editas="canvas" o:gfxdata="UEsDBAoAAAAAAIdO4kAAAAAAAAAAAAAAAAAEAAAAZHJzL1BLAwQUAAAACACHTuJAmTkEBtcAAAAG&#10;AQAADwAAAGRycy9kb3ducmV2LnhtbE2PQUvDQBCF74L/YRnBi9jdVdESs+mhIBYRSlPteZsdk2B2&#10;Ns1uk/rvHb3o5cHwHu99ky9OvhMjDrENZEDPFAikKriWagNv26frOYiYLDnbBUIDXxhhUZyf5TZz&#10;YaINjmWqBZdQzKyBJqU+kzJWDXobZ6FHYu8jDN4mPodausFOXO47eaPUvfS2JV5obI/LBqvP8ugN&#10;TNV63G1fn+X6arcKdFgdluX7izGXF1o9gkh4Sn9h+MFndCiYaR+O5KLoDPAj6VfZm2t9B2LPIX37&#10;oEAWufyPX3wDUEsDBBQAAAAIAIdO4kB0qtB41AkAAFqCAAAOAAAAZHJzL2Uyb0RvYy54bWztXctu&#10;49YZ3hfoOxDcd0yeG3mE0QSBnZkWSJugk3RPU5REVCJZkh55umz3XWXRVRcF2lUfoEAQ5GnS5DH6&#10;ncOraMlyOpWoWMcLm7Ioivz58b98/+W8/Oh+vbLeRXkRp8nUdl84thUlYTqLk8XU/vKL17/wbaso&#10;g2QWrNIkmtrvo8L+6NXPf/Zyk00iki7T1SzKLRwkKSabbGovyzKbXF0V4TJaB8WLNIsSvDlP83VQ&#10;4mW+uJrlwQZHX6+uiOOIq02az7I8DaOiwH9vqjft+oj5Uw6YzudxGN2k4d06SsrqqHm0CkpcUrGM&#10;s8J+pc92Po/C8rP5vIhKazW1caWl/o0vwfat+n316mUwWeRBtozD+hSCp5zC4JrWQZzgS9tD3QRl&#10;YN3l8YNDreMwT4t0Xr4I0/VVdSFaIrgK1xnI5k2e3mX6WhaTzSJrhY4bNZD6/3zY8DfvPs+teAYk&#10;uNy2kmCNW/79V19/9+8/W76vxLPJFhPs9SbP3maf5/U/FtUrdcX383yt/uJarHst2PetYKP70grx&#10;T+5yQiVkHuI9j7hS8lr04RL358HnwuUnBz551XzxlTq/9nQ2GUBZdJIqPkxSb5dBFukbUCgZ1JIi&#10;pJXUbwGwIFmsIovzSlh6RyUpJZMi+zQNf19YSXq9xG7Rx3mebpZRMMN5uWp/nH3vA+pFgY9at5tf&#10;pzPciOCuTDWsBkImjuScerYFcXJfeA5TBwsmjbwll9zF20rcxJPSIfrLGpkFkywvyjdRurbUxtTO&#10;cRn6e4J3nxalOq9uF30d6SqevY5XK/0iX9xer3LrXYBn6rX+qY9e9HdbJdZmaksOYT1+CEf/7DrE&#10;Oi6halbxemr7/Z1WSS05JSyF0GJS3t/ea2wWk9t09h4yzNPqYYeqw8Yyzf9oWxs86FO7+MNdkEe2&#10;tfpVgvugtEKzkTcbt81GkIT46NQOy9y2qhfXZaU/7rI8XixxbFdfYJJ+jLs1j7X41ClV51GfKUBZ&#10;negJ0Cma51idkIawxaWSbw2266RCZ3ifvB0AVO/9xfsM2NvCZ/WRx/FpzVdx9stGHLU6INzjhOF5&#10;ARKpR4VD1Yn0kOrUWoG41HWq79wL06LMAyXy6zRJgNg0ryS/B7RJqhCrv+3/gEWo4mSmD1YG8eqT&#10;ZGaVWkxlHmsFAHBN7XU0A6wi2FW1hb3xHO0Aa4UM9baS6CmhAZ1QqfgOGuIE0FB3vAYEdTh3ONWA&#10;8IgQjtabHSCooNwBgrXq4kBHJcVGAQ4U15iIUKdyExTLShHOsFVB+3kgBV5ghZSRTJzre4zRCie1&#10;r9BYN5c5lCkbrDDSKZXWJehs11HNmwJ1q2N2P+jGKnU+kxwZUH2fyXUJkY52bzvNA6eJ9ZwmZpym&#10;C3KaKNyQoWU8C6fJF7CRYttpalwmLughkI5pIJ+FIaRuA4yRDOGW3hJM+K72ko3e0uHMpQd7lDTw&#10;7Dz6U+itnkffD/HgmhHEcbvVFWPcqKuWxDsONaU85jHs2D48SCIQ2e/Gg+d4Bg/HxgNr8HAG5osS&#10;jwsyQMOAqzRu9yVxlfScmHTiMUe4mg4z3pXxrpA6oS2VfgbaE2kzIZGk0yR0w4UZ0uKCMz0qA3hG&#10;zh5hnqBg0LYA2nAVghmu4th5adqS9mcRDOKGOw4ZsBVum/DjXBj3/9ju/zmx7owSSkG0bukH4/5f&#10;sAFj50SuUhTKcDKg2g08Lxme50Gu0qZ+hqN0AnnvLf3Z+FeGXD1+ZRU7D3K1wQNzPF+SQRa7w8NB&#10;Js3kBp9aiLunDpSdA7nK6jpQIR0m2AANxnxdsvk6B3K1hSfqvykemC3jZeB5yfA8J3IVVfSCIRwx&#10;8DRl9LodBmRmQ66eAffPKScODP0QnqZg8VK7PODpjVug3a9LYz7zCDXG3TQhNS1yrCWeR01FtKEy&#10;Ug0eauW29GcXKpu6tGOnptDvOUqq8mBTGnfRhIQ8/xYyuiQV4YZGOTo22izAqLqiaVNEVb3L6KAM&#10;qEME2tNM2vLIaUs+EvF+UFsIl3EfNPAebWFI+OOT8Kp39IyKXtCeIz02sB+NZ0HZwdZ7Q8J/IAnP&#10;WxL+h2//9p+//OP7f/1zYv3wp79+983fLVJ1Th25711PGoCfoH7sToXord8N+uGhPxxJQC2oyQ0e&#10;8wkqYLeUCVXjHABx1dsK8DBXQ2t/b+stJqC0/fDksSEOba+q6kn/4NkM+7qfd85sCCY/4aZ5TPYY&#10;N9KmzPVRK1VP+5Bsx7SP58AD/ShEmX7rZoDS7twk89uAayT6so/aJ/Rb+/4hrzo/zyE1BrbN6K8f&#10;NYRqH2x3xIKnmFCy01hjVgmT9awS0ASEOoOoEMNKVHN2NYjCzCpRc5fgzJx4qg2cqNENtOPL2kCj&#10;S8MnO7o0evO4fNeounY+1sXO6WL+jkD2FKqu16rbV3CozRaiija67jeqwppawQmj4MZScG2IO5Yv&#10;R6VkGCugotZ9XZJGwZlBhNDq3ZhM5reBc8frn0LBHfTliO9JjwwaUVCc1g6eM6pOz9Acw5cbuyiM&#10;9lQd5hV4B+YVGF/ONIpPbea3xWKnVXXbvlw7WBPcC6dkUI8DBYf5BlWwijk9Wv3t55XHzEvso1Se&#10;w0AxhqnaI9PJ1HcaZ25fS2aPT/aJiVZNtMr8HQVdYzpzra5jTBCGKX3bWTRVt2Pi1mrk91jjppH8&#10;HlvVbWXOhA+7uI0TNKD0VJ13sA7Q5CCe/wB9JtscxGh0i+f4Nd2C0mrVOPUAtj26xcDWxCCIQeRZ&#10;8MmdXZa+kA+qW1zuN3ZZmhBkJD5ZtnzyWUSrYNuEwwbF+f11IAxSxqLjZEvhjmQKPRc+G/K7SDwI&#10;imEHOzqIew4ceuB/misd7WM8dlbTmdqnA7VPsiWRT6vfutrPHi/nCo/4pMqdCU4dcC/bzhwjRDjg&#10;D1XFp4uJaepdw8udvIpEthTuSKqO9ng5NYuK7ZhF1dN1xus3Xr/y+ls6eQRdN6xu7y/uRSX1XVS6&#10;7+XlXNVTZXRdrkRw2nXgmGzJ3JF0nXCxjAloFpi8farOEBymnmSrnkQtBlhnznZ1+uimvFN0+rhO&#10;vRhp38lzpOdjdLwCNMayCX84lk1Kz2sWF5NQfCBBHlV9pq3nyF3HHIuN7kdTVRx0CjQ9tW/MpZ6r&#10;1jwEwBAFY6nUISXsgiWpM14Am6jmcO+PIwzAjgww1Ek2ABvJyOoOnDqNAPJk1/g131eDGfRaq56H&#10;XofHlVJuOnCe//LRXkv5fXhAgRXQy+v7pB6ohQPHM6wG37TPJ7P2PfWs6Pd0frZZFf3Jq07viEMA&#10;ZhwT2lJwLPUpH7LLauXhqssWHT6P2uILLIXCHVhMNgusWQ4LssCq6cs4vAnKoP9ahy2TiKTLdDWL&#10;8lf/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QMAABbQ29udGVudF9UeXBlc10ueG1sUEsBAhQACgAAAAAAh07iQAAAAAAAAAAAAAAAAAYAAAAA&#10;AAAAAAAQAAAAJgsAAF9yZWxzL1BLAQIUABQAAAAIAIdO4kCKFGY80QAAAJQBAAALAAAAAAAAAAEA&#10;IAAAAEoLAABfcmVscy8ucmVsc1BLAQIUAAoAAAAAAIdO4kAAAAAAAAAAAAAAAAAEAAAAAAAAAAAA&#10;EAAAAAAAAABkcnMvUEsBAhQAFAAAAAgAh07iQJk5BAbXAAAABgEAAA8AAAAAAAAAAQAgAAAAIgAA&#10;AGRycy9kb3ducmV2LnhtbFBLAQIUABQAAAAIAIdO4kB0qtB41AkAAFqCAAAOAAAAAAAAAAEAIAAA&#10;ACYBAABkcnMvZTJvRG9jLnhtbFBLBQYAAAAABgAGAFkBAABsDQAAAAA=&#10;">
                      <o:lock v:ext="edit" aspectratio="f"/>
                      <v:shape id="画布 88" o:spid="_x0000_s1026" style="position:absolute;left:0;top:0;height:7219950;width:5152390;" filled="f" stroked="f" coordsize="21600,21600" o:gfxdata="UEsDBAoAAAAAAIdO4kAAAAAAAAAAAAAAAAAEAAAAZHJzL1BLAwQUAAAACACHTuJAmTkEBtcAAAAG&#10;AQAADwAAAGRycy9kb3ducmV2LnhtbE2PQUvDQBCF74L/YRnBi9jdVdESs+mhIBYRSlPteZsdk2B2&#10;Ns1uk/rvHb3o5cHwHu99ky9OvhMjDrENZEDPFAikKriWagNv26frOYiYLDnbBUIDXxhhUZyf5TZz&#10;YaINjmWqBZdQzKyBJqU+kzJWDXobZ6FHYu8jDN4mPodausFOXO47eaPUvfS2JV5obI/LBqvP8ugN&#10;TNV63G1fn+X6arcKdFgdluX7izGXF1o9gkh4Sn9h+MFndCiYaR+O5KLoDPAj6VfZm2t9B2LPIX37&#10;oEAWufyPX3wDUEsDBBQAAAAIAIdO4kAlWubirAkAANSBAAAOAAAAZHJzL2Uyb0RvYy54bWztXctu&#10;48gV3QfIPxDcp03Wiyyh1YOBnU4CTDKD9CR7mqIsIhSpkLTlzjIfkHVWswiQrPILQb4myXxGThUf&#10;otii5YFbIscqA9NDmXSpWDy8j3Mf9faLx3ViPUR5EWfp3HbfOLYVpWG2iNO7uf27b9//zLetogzS&#10;RZBkaTS3P0aF/cW7n/7k7XYzi0i2ypJFlFsYJC1m283cXpXlZnZ1VYSraB0Ub7JNlOLkMsvXQYmP&#10;+d3VIg+2GH2dXBHHEVfbLF9s8iyMigK/valO2vWI+XMGzJbLOIxusvB+HaVlNWoeJUGJWypW8aaw&#10;3+nZLpdRWH69XBZRaSVzG3da6n/xJTi+Vf9evXsbzO7yYLOKw3oKwXOm0LundRCn+NJ2qJugDKz7&#10;PP5kqHUc5lmRLcs3Yba+qm5ErwjuwnV6a3MdpA9BdTMh1rqZII4+47i3d2reafY+ThKsxhVGn6nf&#10;qf9v8bQjdTpJ9y+qfqOvra/ZbgCHYtMCo3jZFD+sgk2kH2MxC3/z8E1uxYu5TQi3rTRYA5a/xaMN&#10;0rsksjhXT1F9Py78sPkmV1MtNl9l4R8KK82uV7gs+jLPs+0qChaYl6uux9w7f6A+FPhT63b762yB&#10;4YP7MtMP9HGZr9WAeFTWI2bgSM6pZ1sf5zb3heewCkLRY2mFOC+55C5OhzhPPCkdor8smDXjbPKi&#10;/EWUrS11MLdz3Ib+nuDhq6JU8wpmzSX6PrIkXqhHoz/kd7fXSW49BEDze/1Tj150L0tSa6tmgsV6&#10;eghH/xwaYh2XeMmTeD23/e5FCgd65dRiVYtePt4+1ut/my0+Yg3zrHrNIGRwsMryP9nWFq/Y3C7+&#10;eB/kkW0lv0rxHNT72BzkzcFtcxCkIf50bodlblvVh+uyenPvN3l8t8LYrr7BNPsST2sZ6+VTT7Ka&#10;Rz1TgLKa6BnQKRp0qglpCFtcqvWtwXadVugMH9MPPYDqq7/9uAH29vBZ/cnT+LSWSbz5ZbMcDVK5&#10;xwnD+wIkUo8Kh6qJBLMWqQ7WX8PUpa5TfecgTIsyD9SSX2dpCsRmebXyA6BthYkSEy/GYp7dpws9&#10;9TKIk5+nC6vUy1TmsRYAANfcXkcLwCqCRlNHuBrv0QGwVshQp9WKnhMakAmV4NpBQ5wBGuqJ14Cg&#10;DucOpxoQHhHC0XJzBwgqKHeAYI0JDnRUqzgguMZEhBKQN0GxqgThAkcVtF8HUmB/jariXN9jjFY4&#10;qQ2kRma4zKFM6WCFkZ1Qwbs2gJLTqDcF6lbGHH7RjVba2UxyZEB1bSbXJUQ6fk8Vcck6RhMzRtMF&#10;GU0UZkhfM07CaPIFdKTYR2pjMnFBj4F0TAX5KhQhdRtgTMDXcwUTvqut5J3FBGfPyK1LdfYoaeC5&#10;s+jPIbc6Fj3puHgwzQj8uMPiijFuxNWJqSllMY+hx4bwIIkgbs/nb9SX53gGD6fGA2vwMAH1RYnH&#10;BemhocdVGrP7krhKOiUmnXjMEa6mw4x1pcniS6fSaUulT0B6ElcK6fboUmP8X3CkR0UAJ2TsEeYJ&#10;CgZNR0kasrYx9gQzXMWp49K0Je0n4QzigTsO6bEVbhvw41wY8//U5v+UWHdGCaUgWvfkgzH/L1iB&#10;sSmRqxSJMpz0qHYDz0uG5zTIVdrkz3CkTiDuvSc/G/vKkKunz6xi0yBXGzwwx/Ml6UWxd3g4yqSZ&#10;2OBzU2AH8kDZFMhVVueBCukwwXpoMOrrktXXFMjVFp5UImvr6TzloxLrNIlcL84NNXnKqhJisIBg&#10;SHpOiVxFFr1gcEf2bCsjPS9Zerbk6gS4f045caDo+/A0iT+XmvgDS2/cBO1uPi3zmUeoUe6mCKkp&#10;kWMt8TxqKKJ1lRFq8JArtyc/d66yyUs7dWiKY7HHCFUeLUrjLoqQEOffQ8YuSEX4UafE0CgvpFF4&#10;GwUYVVY0ZYrIqncZ7aUB7RCB8jQTtjxx2JKPRLwflRbCZdwHDTwgLQwJf3oSXtWOjqFJBjKcUZ4j&#10;PdbTH41lQdnR0nujPV6qPVoS/vt/f/ffv/z9f//8x8z6/s9//c+//maRqnLqxHXvutMA7AT1Y+9E&#10;iD76fa8eHvLDkQTUgurc4DGfIAN2T5hQ1c4BEFe1rQAPczW0hmtbb9F7pK2HJ081cWhrVT9LPfxQ&#10;9fNBLjSY/YiL5tHZY1xPmzLXR65U3e1DsgPdPl4DD/SDEGXqrZvWRYfZdea3DtdI9GUXtc+ot/b9&#10;Y1b1RIM/BrZN060f1FVqCLYHfMFzdCg5qKzRq4TJulcJaAJCnZ5XiGYlqji7akRhepWovkswZs7c&#10;1QZG1OgK2vFlraBRpeGTA1UanX5cvmtEXdsf62L7dDH/gCN7DlHXcWS7Ag652UJU3sau+o0qt6YW&#10;cMIIuLEEXOvijmXLUSkZ2goor3WoStIIOF0yaVo+NS2fmN86zjte/xwC7qgtR3xPeqRXiILktLbx&#10;nBF1uofmGLbc2ElhtCPq0K/AO9KvwNhyplB8bjO/TRY7r6jbt+XaxprgXjglvXwcCDj0N6icVfTp&#10;0eJvmFceMy4xRKm8hoZizB87cYtS32mMuaGSzA6f7BPjrRpvlfkHErrGNOZaWceYIAxd+vajaCpv&#10;x/itVcvvsdpNI/g9OjHXjZwJH3pxHyfI8O+IOu9oHqCJQbz+BvpMtjGI0egWz/FrugWp1apw6hPY&#10;dugWA1vjg8AHkZPgk3d6WfpCfpLd4nK/0cvSuCAj8cmy5ZMn4a2CbRMO6yXnd/eBMEgZi46TLYU7&#10;kir0XNhsiO8i8CAomh0cqCDuGHCogf9x7nQ0xHgczKYzuU9Hcp9kSyKfV77tcj87vJwrPOKTKnYm&#10;OHXAvewbc4wQ4YA/VBmfLjqmqbOGlzt7FolsKdyRRF2Xl1O9qNiBXlQdWWesfmP1K6u/pZNHkHX9&#10;7Pbu5l5UUt9FpvsgL+eqmioj63K1BOfdB47JlswdSdYJF9uYgGaByhsSdYbgMPkkiLvstl1VmwHW&#10;hRiHKn10Ud45Kn1cp96MtGvkOdLz0TpeARpt2YTfb8smpec1m4tJCD6QIE+KPlPWc+KKdI7NRofR&#10;VCUHnQNNz60bc6nnqj0PATB4wdgqtU8Ju2BJ6ogXwCaqPtzDfoQB2IkBhjzJBmAjKVldgVOHEUCe&#10;HGq/5vuqMYPea9XzUOvwtFDKp7lNtCFPPmMFDrboaWD7cocCO6CX149ptWu66mIbL7A7eVM+ny7a&#10;c+pd0ed0fFabw1D8z951+oAfAjBjTEhLwbHVp/yUXVY7D1dVtqjweVIXX2AqFJ5AOMN/mom6w67p&#10;qzi8Ccqg+1m7LbOIZKssWUT5u/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AwAAFtDb250ZW50X1R5cGVzXS54bWxQSwECFAAKAAAAAACHTuJA&#10;AAAAAAAAAAAAAAAABgAAAAAAAAAAABAAAAD+CgAAX3JlbHMvUEsBAhQAFAAAAAgAh07iQIoUZjzR&#10;AAAAlAEAAAsAAAAAAAAAAQAgAAAAIgsAAF9yZWxzLy5yZWxzUEsBAhQACgAAAAAAh07iQAAAAAAA&#10;AAAAAAAAAAQAAAAAAAAAAAAQAAAAAAAAAGRycy9QSwECFAAUAAAACACHTuJAmTkEBtcAAAAGAQAA&#10;DwAAAAAAAAABACAAAAAiAAAAZHJzL2Rvd25yZXYueG1sUEsBAhQAFAAAAAgAh07iQCVa5uKsCQAA&#10;1IEAAA4AAAAAAAAAAQAgAAAAJgEAAGRycy9lMm9Eb2MueG1sUEsFBgAAAAAGAAYAWQEAAEQNAAAA&#10;AA==&#10;">
                        <v:fill on="f" focussize="0,0"/>
                        <v:stroke on="f"/>
                        <v:imagedata o:title=""/>
                        <o:lock v:ext="edit" aspectratio="f"/>
                      </v:shape>
                      <v:rect id="Rectangle 55" o:spid="_x0000_s1026" o:spt="1" style="position:absolute;left:2095537;top:586704;height:2799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BGFjyGLwIAAHwEAAAOAAAAZHJzL2Uyb0RvYy54bWytVFFv0zAQ&#10;fkfiP1h+Z0kL2dZo6TS1GkIabGLwA1zHaSxsnzm7Tcev5+ykYwyE9oAfrLvc+fN9351zcXmwhu0V&#10;Bg2u4bOTkjPlJLTabRv+9cv1m3POQhSuFQacaviDCvxy+frVxeBrNYceTKuQEYgL9eAb3sfo66II&#10;sldWhBPwylGwA7QikovbokUxELo1xbwsT4sBsPUIUoVAX9djkE+I+BJA6Dot1RrkzioXR1RURkSi&#10;FHrtA1/martOyXjbdUFFZhpOTGPe6RKyN2kvlhei3qLwvZZTCeIlJTzjZIV2dOkj1FpEwXao/4Cy&#10;WiIE6OKJBFuMRLIixGJWPtPmvhdeZS4kdfCPoof/Bys/7e+Q6bbh83nFmROWWv6ZZBNuaxSrqqTQ&#10;4ENNiff+DhPH4G9AfgvMwaqnNHWFCEOvREt1zVJ+8duB5AQ6yjbDR2gJXuwiZLEOHdoESDKwA1VQ&#10;Lqrq7RlnDw2vzk/Pyndje9QhMknxRbWoZhSWFJ+fLRblPF8m6iOOxxDfK7AsGQ1HopHvEfubEFNd&#10;oj6mZB5gdHutjckObjcrg2wvaFKu85rQw9M049iQKiGx/g1R5vU3CKsjPSCjbcPPnyYZNymXxBpF&#10;j4fNYdJ/A+0DaYgwjjA9YDJ6wB+cDTS+DQ/fdwIVZ+aDoz6kWT8aeDQ2R0M4SUcbLiNyNjqrOL6K&#10;nUe97Ql7lgk6uKJudTrLlzo51jFVSkOZVZ0eUJr6p37O+vXTW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w3Z0NQAAAAGAQAADwAAAAAAAAABACAAAAAiAAAAZHJzL2Rvd25yZXYueG1sUEsBAhQA&#10;FAAAAAgAh07iQEYWPIYvAgAAfAQAAA4AAAAAAAAAAQAgAAAAIwEAAGRycy9lMm9Eb2MueG1sUEsF&#10;BgAAAAAGAAYAWQEAAMQFAAAAAA==&#10;">
                        <v:fill on="t" focussize="0,0"/>
                        <v:stroke color="#000000" miterlimit="8" joinstyle="miter"/>
                        <v:imagedata o:title=""/>
                        <o:lock v:ext="edit" aspectratio="f"/>
                        <v:textbox inset="0mm,0mm,0mm,0mm">
                          <w:txbxContent>
                            <w:p>
                              <w:pPr>
                                <w:jc w:val="center"/>
                              </w:pPr>
                              <w:r>
                                <w:rPr>
                                  <w:rFonts w:hint="eastAsia"/>
                                </w:rPr>
                                <w:t>破碎</w:t>
                              </w:r>
                            </w:p>
                          </w:txbxContent>
                        </v:textbox>
                      </v:rect>
                      <v:shape id="AutoShape 59" o:spid="_x0000_s1026" o:spt="32" type="#_x0000_t32" style="position:absolute;left:2575245;top:373603;flip:x;height:213101;width:900;" filled="f" stroked="t" coordsize="21600,21600" o:gfxdata="UEsDBAoAAAAAAIdO4kAAAAAAAAAAAAAAAAAEAAAAZHJzL1BLAwQUAAAACACHTuJAKiKn7tYAAAAG&#10;AQAADwAAAGRycy9kb3ducmV2LnhtbE2PzU7DMBCE70i8g7VIXFBrp/xFIU4PQOFUVaTl7sZLEjVe&#10;R7HbJm/PwgUuI61mNPNtvhxdJ044hNaThmSuQCBV3rZUa9htV7MURIiGrOk8oYYJAyyLy4vcZNaf&#10;6QNPZawFl1DIjIYmxj6TMlQNOhPmvkdi78sPzkQ+h1rawZy53HVyodSDdKYlXmhMj88NVofy6DS8&#10;lJv71efNblxM1fu6fEsPG5petb6+StQTiIhj/AvDDz6jQ8FMe38kG0SngR+Jv8pemiR3IPYcSm4f&#10;Fcgil//xi29QSwMEFAAAAAgAh07iQOzT3mYGAgAA+QMAAA4AAABkcnMvZTJvRG9jLnhtbK1TwXLb&#10;IBC9d6b/wHCvJcuV02gsZzp20x7S1jNJPwADkpgCywC27L/vgjxJmlxyiA4MaHffe/tYVjcno8lR&#10;+qDAtnQ+KymRloNQtm/pn4fbT18oCZFZwTRY2dKzDPRm/fHDanSNrGAALaQnCGJDM7qWDjG6pigC&#10;H6RhYQZOWgx24A2LePR9ITwbEd3ooirLZTGCF84DlyHg3+0UpBdE/xZA6DrF5Rb4wUgbJ1QvNYvY&#10;UhiUC3Sd1Xad5PF31wUZiW4pdhrziiS436e1WK9Y03vmBsUvEthbJLzoyTBlkfQRassiIwevXkEZ&#10;xT0E6OKMgymmRrIj2MW8fOHN/cCczL2g1cE9mh7eD5b/Ou48UaKlVbWkxDKDV/71ECFzk/o6OTS6&#10;0GDixu586pGf7L27A/43EAubgdle5uyHs8Pieaoo/itJh+CQZz/+BIE5DAmyXafOG9Jp5X6kwgSO&#10;lpATqqmv6upzTcm5pYurxbJcTFclT5FwjF+XeIMcg9V8MS8nTtYkuATifIjfJRiSNi0N0TPVD3ED&#10;1uJEgJ+o2PEuxCT2qSAVW7hVWufB0JaMyFVXddYWQCuRgikt+H6/0Z4cWRqt/OXOMfI8zcPBigwW&#10;mdLfrCAx2xS9QuO0pInBSEGJlvge026SpO3FxuTcdAd7EOedT+HkKE5E1n6Z3jRyz8856+nF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iKn7tYAAAAGAQAADwAAAAAAAAABACAAAAAiAAAAZHJz&#10;L2Rvd25yZXYueG1sUEsBAhQAFAAAAAgAh07iQOzT3mYGAgAA+QMAAA4AAAAAAAAAAQAgAAAAJQEA&#10;AGRycy9lMm9Eb2MueG1sUEsFBgAAAAAGAAYAWQEAAJ0FAAAAAA==&#10;">
                        <v:fill on="f" focussize="0,0"/>
                        <v:stroke color="#000000" joinstyle="round" endarrow="block"/>
                        <v:imagedata o:title=""/>
                        <o:lock v:ext="edit" aspectratio="f"/>
                      </v:shape>
                      <v:shape id="AutoShape 69" o:spid="_x0000_s1026" o:spt="32" type="#_x0000_t32" style="position:absolute;left:3055053;top:726605;height:2500;width:363506;" filled="f" stroked="t" coordsize="21600,21600" o:gfxdata="UEsDBAoAAAAAAIdO4kAAAAAAAAAAAAAAAAAEAAAAZHJzL1BLAwQUAAAACACHTuJA9t1DINMAAAAG&#10;AQAADwAAAGRycy9kb3ducmV2LnhtbE2PO0/EMBCEeyT+g7VIdJzt8DpCnCu4o6LioKDci5ck4Eew&#10;fQ/+PQvN0Yy0mtHMt83i4J3YUcpjDAb0TIGg0EU7ht7A68vjxRxELhgsuhjIwDdlWLSnJw3WNu7D&#10;M+3WpRdcEnKNBoZSplrK3A3kMc/iRIG995g8Fj5TL23CPZd7JyulbqTHMfDCgBM9DNR9rrfewF3n&#10;V1V5e3L4tfxYJl3UtaxWxpyfaXUPotChHMPwi8/o0DLTJm6DzcIZ4EfKn7I31/oKxIZD+vJWgWwb&#10;+R+//QFQSwMEFAAAAAgAh07iQHfIAaEMAgAACAQAAA4AAABkcnMvZTJvRG9jLnhtbK1TTW/bMAy9&#10;D9h/EHRf7DiwuxpxiiFZd+m2Au1+gCLJtjBJFCQlTv79KDn9WHfpYT4IlEk+8j1S65uT0eQofVBg&#10;O7pclJRIy0EoO3T01+Ptp8+UhMisYBqs7OhZBnqz+fhhPblWVjCCFtITBLGhnVxHxxhdWxSBj9Kw&#10;sAAnLTp78IZFvPqhEJ5NiG50UZVlU0zghfPAZQj4dzc76QXRvwcQ+l5xuQN+MNLGGdVLzSJSCqNy&#10;gW5yt30vefzZ90FGojuKTGM+sQja+3QWmzVrB8/cqPilBfaeFt5wMkxZLPoMtWORkYNX/0AZxT0E&#10;6OOCgylmIlkRZLEs32jzMDInMxeUOrhn0cP/g+U/jveeKNHRqrqixDKDI/9yiJBrk+Y6KTS50GLg&#10;1t77xJGf7IO7A/47EAvbkdlB5ujHs8PkZcoo/kpJl+Cwzn76DgJjGBbIcp16bxIkCkFOHV2VdV3W&#10;K0rOHb2qmqas5wHJUyQ8+ZtVXTaUcPRXdZnHV7D2CcX5EL9JMCQZHQ3RMzWMcQvW4iKAX+aa7HgX&#10;YuqRtU8JqQULt0rrvA/akqmj13VV54QAWonkTGHBD/ut9uTI0kblLxNGz+uwhLxjYZzjBFozEw8H&#10;K3KRyJT+agWJWbXoFeqoJU2VjRSUaInPM1lzq9peVE1CziPZgzjf++ROAuOCZE6XZU4b+Pqeo14e&#10;8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t1DINMAAAAGAQAADwAAAAAAAAABACAAAAAiAAAA&#10;ZHJzL2Rvd25yZXYueG1sUEsBAhQAFAAAAAgAh07iQHfIAaEMAgAACAQAAA4AAAAAAAAAAQAgAAAA&#10;IgEAAGRycy9lMm9Eb2MueG1sUEsFBgAAAAAGAAYAWQEAAKAFAAAAAA==&#10;">
                        <v:fill on="f" focussize="0,0"/>
                        <v:stroke color="#000000" joinstyle="round" dashstyle="dash" endarrow="block"/>
                        <v:imagedata o:title=""/>
                        <o:lock v:ext="edit" aspectratio="f"/>
                      </v:shape>
                      <v:rect id="Rectangle 55" o:spid="_x0000_s1026" o:spt="1" style="position:absolute;left:1874433;top:0;height:373603;width:1403425;v-text-anchor:middle;" fillcolor="#FFFFFF" filled="t" stroked="f" coordsize="21600,21600" o:gfxdata="UEsDBAoAAAAAAIdO4kAAAAAAAAAAAAAAAAAEAAAAZHJzL1BLAwQUAAAACACHTuJAUztNydQAAAAG&#10;AQAADwAAAGRycy9kb3ducmV2LnhtbE2PzU7DMBCE70i8g7VI3KhtQE0V4lSlUgGJEwXuTrzEEfE6&#10;it2/t2fhQi8jrWY08221PIZB7HFKfSQDeqZAILXR9dQZ+Hjf3CxApGzJ2SESGjhhgmV9eVHZ0sUD&#10;veF+mzvBJZRKa8DnPJZSptZjsGkWRyT2vuIUbOZz6qSb7IHLwyBvlZrLYHviBW9HXHtsv7e7YOBz&#10;tSlO7aMbC6/WT6vnhuavL2TM9ZVWDyAyHvN/GH7xGR1qZmrijlwSgwF+JP8pewut70E0HNJ3hQJZ&#10;V/Icv/4BUEsDBBQAAAAIAIdO4kAjlJd+FgIAAC8EAAAOAAAAZHJzL2Uyb0RvYy54bWytU8Fu2zAM&#10;vQ/YPwi6L07ipC2MOEWRIMOAbiva7QMUWbaFyaJGKbG7rx8lJ1nXXXqYDwYpko98T9TqdugMOyr0&#10;GmzJZ5MpZ8pKqLRtSv792+7DDWc+CFsJA1aV/Fl5frt+/27Vu0LNoQVTKWQEYn3Ru5K3Ibgiy7xs&#10;VSf8BJyyFKwBOxHIxSarUPSE3plsPp1eZT1g5RCk8p5Ot2OQnxDxLYBQ11qqLchDp2wYUVEZEYiS&#10;b7XzfJ2mrWslw9e69iowU3JiGtKfmpC9j/9svRJFg8K1Wp5GEG8Z4RWnTmhLTS9QWxEEO6D+B6rT&#10;EsFDHSYSumwkkhQhFrPpK22eWuFU4kJSe3cR3f8/WPnl+IBMVyWfz+nirejoyh9JNmEbo9hyGRXq&#10;nS8o8ck9YOTo3T3IH55Z2LSUpu4QoW+VqGiuWczP/iqIjqdStu8/Q0Xw4hAgiTXU2EVAkoENVHtz&#10;vVjkOWfPl5tRQ2AyhhbTfDFfciYpll/nV9M8NRLFGcOhDx8VdCwaJUeikHqI470PcSZRnFMSBzC6&#10;2mljkoPNfmOQHQVtyS59J3T/Ms3YmGwhlo2I8SSRjfxGncKwH06S7aF6JtoI49bRmyOjBfzFWU8b&#10;V3L/8yBQcWY+WZIurufZwLOxPxvCSiotuQzI2ehswrjIB4e6aQl7lhhbuCOBa51YR/HHOU6T0h4l&#10;MU47Hxf1pZ+y/rzz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O03J1AAAAAYBAAAPAAAAAAAA&#10;AAEAIAAAACIAAABkcnMvZG93bnJldi54bWxQSwECFAAUAAAACACHTuJAI5SXfhYCAAAvBAAADgAA&#10;AAAAAAABACAAAAAjAQAAZHJzL2Uyb0RvYy54bWxQSwUGAAAAAAYABgBZAQAAqwUAAAAA&#10;">
                        <v:fill on="t" focussize="0,0"/>
                        <v:stroke on="f"/>
                        <v:imagedata o:title=""/>
                        <o:lock v:ext="edit" aspectratio="f"/>
                        <v:textbox inset="0mm,0mm,0mm,0mm">
                          <w:txbxContent>
                            <w:p>
                              <w:pPr>
                                <w:jc w:val="center"/>
                                <w:rPr>
                                  <w:kern w:val="0"/>
                                  <w:sz w:val="24"/>
                                  <w:szCs w:val="24"/>
                                </w:rPr>
                              </w:pPr>
                              <w:r>
                                <w:rPr>
                                  <w:rFonts w:hint="eastAsia"/>
                                  <w:szCs w:val="21"/>
                                </w:rPr>
                                <w:t>页岩、煤渣、无烟煤</w:t>
                              </w:r>
                            </w:p>
                          </w:txbxContent>
                        </v:textbox>
                      </v:rect>
                      <v:rect id="Rectangle 55" o:spid="_x0000_s1026" o:spt="1" style="position:absolute;left:2095537;top:1122908;height:279402;width:9594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AQ0evGMgIAAH0EAAAOAAAAZHJzL2Uyb0RvYy54bWytVMFu2zAM&#10;vQ/YPwi6r3a8Zk2MOkXRosOAbi3W7QMUWY6FSaJGKXG6rx8lO13a7dDDfDBIi3p675Hy+cXeGrZT&#10;GDS4hs9OSs6Uk9Bqt2n492837xachShcKww41fBHFfjF6u2b88HXqoIeTKuQEYgL9eAb3sfo66II&#10;sldWhBPwytFiB2hFpBQ3RYtiIHRriqosPxQDYOsRpAqBvl6Pi3xCxNcAQtdpqa5Bbq1ycURFZUQk&#10;SaHXPvBVZtt1Ssa7rgsqMtNwUhrzmw6heJ3exepc1BsUvtdyoiBeQ+GFJiu0o0OfoK5FFGyL+i8o&#10;qyVCgC6eSLDFKCQ7Qipm5QtvHnrhVdZCVgf/ZHr4f7Dyy+4emW4bXlVLzpyw1PKvZJtwG6PYfJ4c&#10;GnyoqfDB32PSGPwtyB+BObjqqUxdIsLQK9ESr1mqL55tSEmgrWw9fIaW4MU2QjZr36FNgGQD2xOD&#10;cjmfvz/j7JFwZsSnXIz9UfvIJBUs58vTGa1LKqjOlqdllU8T9QHIY4gfFViWgoYj6cgHid1tiImY&#10;qA8lWQgY3d5oY3KCm/WVQbYTNCo3+ZnQw3GZcWxITKp5Rn62Fo4hyvz8C8LqSDfIaNvwxXGRcZN1&#10;ya3R9bhf76cGrKF9JBMRxhmmG0xBD/iLs4Hmt+Hh51ag4sx8ctSINOyHAA/B+hAIJ2lrw2VEzsbk&#10;Ko7XYutRb3rCnmWBDi6pXZ3O9qVWjjwmpjSV2dXpBqWxP85z1Z+/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w3Z0NQAAAAGAQAADwAAAAAAAAABACAAAAAiAAAAZHJzL2Rvd25yZXYueG1sUEsB&#10;AhQAFAAAAAgAh07iQBDR68YyAgAAfQQAAA4AAAAAAAAAAQAgAAAAIwEAAGRycy9lMm9Eb2MueG1s&#10;UEsFBgAAAAAGAAYAWQEAAMcFA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配料</w:t>
                              </w:r>
                              <w:r>
                                <w:rPr>
                                  <w:szCs w:val="21"/>
                                </w:rPr>
                                <w:t>搅拌</w:t>
                              </w:r>
                            </w:p>
                          </w:txbxContent>
                        </v:textbox>
                      </v:rect>
                      <v:shape id="AutoShape 59" o:spid="_x0000_s1026" o:spt="32" type="#_x0000_t32" style="position:absolute;left:2575245;top:866606;flip:x;height:256302;width:0;" filled="f" stroked="t" coordsize="21600,21600" o:gfxdata="UEsDBAoAAAAAAIdO4kAAAAAAAAAAAAAAAAAEAAAAZHJzL1BLAwQUAAAACACHTuJAKiKn7tYAAAAG&#10;AQAADwAAAGRycy9kb3ducmV2LnhtbE2PzU7DMBCE70i8g7VIXFBrp/xFIU4PQOFUVaTl7sZLEjVe&#10;R7HbJm/PwgUuI61mNPNtvhxdJ044hNaThmSuQCBV3rZUa9htV7MURIiGrOk8oYYJAyyLy4vcZNaf&#10;6QNPZawFl1DIjIYmxj6TMlQNOhPmvkdi78sPzkQ+h1rawZy53HVyodSDdKYlXmhMj88NVofy6DS8&#10;lJv71efNblxM1fu6fEsPG5petb6+StQTiIhj/AvDDz6jQ8FMe38kG0SngR+Jv8pemiR3IPYcSm4f&#10;Fcgil//xi29QSwMEFAAAAAgAh07iQORph9YDAgAA9wMAAA4AAABkcnMvZTJvRG9jLnhtbK1TwXLb&#10;IBC9d6b/wHCvJSuVmmgsZzp20x7S1jNJPwADkpgCywC27L/vgjxJk15yqA4MaHffe/tYVrcno8lR&#10;+qDAdnS5KCmRloNQdujor8e7D9eUhMisYBqs7OhZBnq7fv9uNblWVjCCFtITBLGhnVxHxxhdWxSB&#10;j9KwsAAnLQZ78IZFPPqhEJ5NiG50UZVlU0zghfPAZQj4dzsH6QXRvwUQ+l5xuQV+MNLGGdVLzSK2&#10;FEblAl1ntX0vefzZ90FGojuKnca8Ignu92kt1ivWDp65UfGLBPYWCa96MkxZJH2C2rLIyMGrf6CM&#10;4h4C9HHBwRRzI9kR7GJZvvLmYWRO5l7Q6uCeTA//D5b/OO48UaKj1RV6YpnBK/98iJC5SX2THJpc&#10;aDFxY3c+9chP9sHdA/8diIXNyOwgc/bj2WHxMlUUL0rSITjk2U/fQWAOQ4Js16n3hvRauW+pMIGj&#10;JeSEaupPdfWxpuTc0eumacpmvip5ioRjHLVyDFV1c1VWmZG1CSxBOB/iVwmGpE1HQ/RMDWPcgLU4&#10;D+BnIna8DzFJfS5IxRbulNZ5LLQlU0dv6qrOygJoJVIwpQU/7DfakyNLg5W/i4oXaR4OVmSwyJT+&#10;YgWJ2aToFdqmJU0MRgpKtMTXmHazJG0vJibf5hvYgzjvfAonP3EesvbL7KaB+/ucs57f6/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iKn7tYAAAAGAQAADwAAAAAAAAABACAAAAAiAAAAZHJzL2Rv&#10;d25yZXYueG1sUEsBAhQAFAAAAAgAh07iQORph9YDAgAA9wMAAA4AAAAAAAAAAQAgAAAAJQEAAGRy&#10;cy9lMm9Eb2MueG1sUEsFBgAAAAAGAAYAWQEAAJoFAAAAAA==&#10;">
                        <v:fill on="f" focussize="0,0"/>
                        <v:stroke color="#000000" joinstyle="round" endarrow="block"/>
                        <v:imagedata o:title=""/>
                        <o:lock v:ext="edit" aspectratio="f"/>
                      </v:shape>
                      <v:rect id="Rectangle 55" o:spid="_x0000_s1026" o:spt="1" style="position:absolute;left:2095537;top:1646811;height:279402;width:9594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A+EFjUNAIAAH0EAAAOAAAAZHJzL2Uyb0RvYy54bWytVMFO3DAQ&#10;vVfqP1i+lyQLC2xEFiEQVSVaUGk/wOs4G6u2xx17N0u/vmMnSxfaA4fmEM3Ez8/z3oxzcbmzhm0V&#10;Bg2u4dVRyZlyElrt1g3//u32wzlnIQrXCgNONfxJBX65fP/uYvC1mkEPplXIiMSFevAN72P0dVEE&#10;2SsrwhF45WixA7QiUorrokUxELs1xawsT4sBsPUIUoVAX2/GRT4x4lsIoeu0VDcgN1a5OLKiMiKS&#10;pNBrH/gyV9t1Ssb7rgsqMtNwUhrzmw6heJXexfJC1GsUvtdyKkG8pYRXmqzQjg59proRUbAN6r+o&#10;rJYIAbp4JMEWo5DsCKmoylfePPbCq6yFrA7+2fTw/2jll+0DMt02fHZcceaEpZZ/JduEWxvF5vPk&#10;0OBDTcBH/4BJY/B3IH8E5uC6J5i6QoShV6KluqqEL15sSEmgrWw1fIaW6MUmQjZr16FNhGQD21EF&#10;5WI+Pz7j7Il4Tk9Oz6vMJmq1i0wSYDFfnFS0LgkwO1uclLN8mqj3RB5D/KjAshQ0HElHPkhs70JM&#10;hYl6D8lCwOj2VhuTE1yvrg2yraBRuc3PxB4OYcaxIVUym2fmF2vhkKLMz78orI50g4y2DT8/BBk3&#10;WZfcGl2Pu9VuasAK2icyEWGcYbrBFPSAvzgbaH4bHn5uBCrOzCdHjUjDvg9wH6z2gXCStjZcRuRs&#10;TK7jeC02HvW6J+4qC3RwRe3qdLYvtXKsY6qUpjK7Ot2gNPaHeUb9+W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PhBY1D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陈化堆放</w:t>
                              </w:r>
                            </w:p>
                          </w:txbxContent>
                        </v:textbox>
                      </v:rect>
                      <v:shape id="AutoShape 59" o:spid="_x0000_s1026" o:spt="32" type="#_x0000_t32" style="position:absolute;left:2575245;top:1402310;height:2445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BIxvVM/QEAAO4DAAAOAAAAZHJzL2Uyb0RvYy54bWytU8Fy&#10;2yAQvXem/8BwryUrVttoLGc6dtNL2ngm6QdgQBJTYBnAlvz3XbCSNuklh+rAgHb3vbePZX0zGU1O&#10;0gcFtqXLRUmJtByEsn1Lfz7efvhMSYjMCqbBypaeZaA3m/fv1qNrZAUDaCE9QRAbmtG1dIjRNUUR&#10;+CANCwtw0mKwA29YxKPvC+HZiOhGF1VZfixG8MJ54DIE/Lu7BOmM6N8CCF2nuNwBPxpp4wXVS80i&#10;thQG5QLdZLVdJ3m877ogI9EtxU5jXpEE94e0Fps1a3rP3KD4LIG9RcKrngxTFkmfoXYsMnL06h8o&#10;o7iHAF1ccDDFpZHsCHaxLF958zAwJ3MvaHVwz6aH/wfLf5z2nijR0uqqosQyg1f+5Rghc5P6Ojk0&#10;utBg4tbufeqRT/bB3QH/FYiF7cBsL3P249lh8TJVFC9K0iE45DmM30FgDkOCbNfUeZMg0QgyoYb6&#10;U12takrOiLMqq6vlfENyioRjAl4bx1i1WtVllYlY84ThfIjfJBiSNi0N0TPVD3EL1uIYgF9mRna6&#10;CzEpZM1TQRJg4VZpnadBWzK29Lqu6lwQQCuRgikt+P6w1Z6cWJqn/M0qXqR5OFqRwSJT+qsVJGZv&#10;olfolpY0MRgpKNESH2HaXSRpO3uX7LoYfwBx3vsUTjbiGGTt88imOfv7nLP+PNP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o6AMjXAAAABgEAAA8AAAAAAAAAAQAgAAAAIgAAAGRycy9kb3ducmV2&#10;LnhtbFBLAQIUABQAAAAIAIdO4kBIxvVM/QEAAO4DAAAOAAAAAAAAAAEAIAAAACYBAABkcnMvZTJv&#10;RG9jLnhtbFBLBQYAAAAABgAGAFkBAACVBQAAAAA=&#10;">
                        <v:fill on="f" focussize="0,0"/>
                        <v:stroke color="#000000" joinstyle="round" endarrow="block"/>
                        <v:imagedata o:title=""/>
                        <o:lock v:ext="edit" aspectratio="f"/>
                      </v:shape>
                      <v:shape id="AutoShape 59" o:spid="_x0000_s1026" o:spt="32" type="#_x0000_t32" style="position:absolute;left:2575245;top:1926213;height:2707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Dz19R3/wEAAO4DAAAOAAAAZHJzL2Uyb0RvYy54bWytU8GO&#10;2yAQvVfqPyDujR2n3jRWnFWVdHvZtpF2+wEEsI0KDAISJ3/fAWe33e1lD/UBgWfmvTePYX17Npqc&#10;pA8KbEvns5ISaTkIZfuW/ny8+/CJkhCZFUyDlS29yEBvN+/frUfXyAoG0EJ6giA2NKNr6RCja4oi&#10;8EEaFmbgpMVgB96wiEffF8KzEdGNLqqyvClG8MJ54DIE/LubgvSK6N8CCF2nuNwBPxpp44TqpWYR&#10;WwqDcoFustqukzz+6LogI9EtxU5jXpEE94e0Fps1a3rP3KD4VQJ7i4RXPRmmLJI+Q+1YZOTo1T9Q&#10;RnEPAbo442CKqZHsCHYxL1958zAwJ3MvaHVwz6aH/wfLv5/2nijR0mqxoMQyg1f++Rghc5N6lRwa&#10;XWgwcWv3PvXIz/bB3QP/FYiF7cBsL3P248Vh8TxVFC9K0iE45DmM30BgDkOCbNe58yZBohHkjBrq&#10;ZV19rCm5IM6quqnmi+mG5DkSjgl4bRxj1bJcllUmYs0ThvMhfpVgSNq0NETPVD/ELViLYwB+nhnZ&#10;6T7EpJA1TwVJgIU7pXWeBm3J2NJVXdW5IIBWIgVTWvD9Yas9ObE0T/m7qniR5uFoRQaLTOkvVpCY&#10;vYleoVta0sRgpKBES3yEaTdJ0vbqXbJrMv4A4rL3KZxsxDHI2q8jm+bs73PO+vNM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oAyNcAAAAGAQAADwAAAAAAAAABACAAAAAiAAAAZHJzL2Rvd25y&#10;ZXYueG1sUEsBAhQAFAAAAAgAh07iQPPX1Hf/AQAA7gMAAA4AAAAAAAAAAQAgAAAAJgEAAGRycy9l&#10;Mm9Eb2MueG1sUEsFBgAAAAAGAAYAWQEAAJcFAAAAAA==&#10;">
                        <v:fill on="f" focussize="0,0"/>
                        <v:stroke color="#000000" joinstyle="round" endarrow="block"/>
                        <v:imagedata o:title=""/>
                        <o:lock v:ext="edit" aspectratio="f"/>
                      </v:shape>
                      <v:rect id="Rectangle 55" o:spid="_x0000_s1026" o:spt="1" style="position:absolute;left:2095537;top:3275623;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CuVm1mNAIAAH0EAAAOAAAAZHJzL2Uyb0RvYy54bWytVMtu2zAQ&#10;vBfoPxC8N5LlKI4Fy0FgI0WBtAma9gNoirKI8tUlbdn9+i4pOXXSHnKoDsKuOBzuzC61uDloRfYC&#10;vLSmppOLnBJhuG2k2db0+7e7D9eU+MBMw5Q1oqZH4enN8v27Re8qUdjOqkYAQRLjq97VtAvBVVnm&#10;eSc08xfWCYOLrQXNAqawzRpgPbJrlRV5fpX1FhoHlgvv8et6WKQjI7yF0Lat5GJt+U4LEwZWEIoF&#10;lOQ76TxdpmrbVvDw0LZeBKJqikpDeuMhGG/iO1suWLUF5jrJxxLYW0p4pUkzafDQZ6o1C4zsQP5F&#10;pSUH620bLrjV2SAkOYIqJvkrb5465kTSglZ792y6/3+0/Mv+EYhsalpMLykxTGPLv6JtzGyVIGUZ&#10;HeqdrxD45B4havTu3vIfnhi76hAmbgFs3wnWYF2TiM9ebIiJx61k03+2DdKzXbDJrEMLOhKiDeSA&#10;FeTzspzOKDnWdFrMyqtiOvRHHALhCJiX83KC6xwBxWx+mRfpNFadiBz48FFYTWJQU0Ad6SC2v/ch&#10;FsaqEyQJsUo2d1KplMB2s1JA9gxH5S49I7s/hylD+lhJUSbmF2v+nCJPz78otAx4g5TUNb0+Bykz&#10;WhfdGlwPh81hbMDGNkc0Eewww3iDMegs/KKkx/mtqf+5YyAoUZ8MNiIO+ymAU7A5Bcxw3FpTHoCS&#10;IVmF4VrsHMhth9yTJNDYW2xXK5N9sZVDHWOlOJXJ1fEGxbE/zxPqz19j+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rlZtZj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制坯</w:t>
                              </w:r>
                            </w:p>
                          </w:txbxContent>
                        </v:textbox>
                      </v:rect>
                      <v:rect id="Rectangle 55" o:spid="_x0000_s1026" o:spt="1" style="position:absolute;left:2095537;top:2740619;height:279402;width:9594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BCD+3YMQIAAH0EAAAOAAAAZHJzL2Uyb0RvYy54bWytVMFO3DAQ&#10;vVfqP1i+l2QXAmxEFiEQVSVaUGk/wOs4G6u2xx17N0u/vmMnSxfaA4fmEM3Ez8/z3oxzcbmzhm0V&#10;Bg2u4bOjkjPlJLTarRv+/dvth3POQhSuFQacaviTCvxy+f7dxeBrNYceTKuQEYkL9eAb3sfo66II&#10;sldWhCPwytFiB2hFpBTXRYtiIHZrinlZnhYDYOsRpAqBvt6Mi3xixLcQQtdpqW5AbqxycWRFZUQk&#10;SaHXPvBlrrbrlIz3XRdUZKbhpDTmNx1C8Sq9i+WFqNcofK/lVIJ4SwmvNFmhHR36THUjomAb1H9R&#10;WS0RAnTxSIItRiHZEVIxK19589gLr7IWsjr4Z9PD/6OVX7YPyHTb8PlxxZkTllr+lWwTbm0Uq6rk&#10;0OBDTcBH/4BJY/B3IH8E5uC6J5i6QoShV6KlumYJX7zYkJJAW9lq+Awt0YtNhGzWrkObCMkGtqMK&#10;ykVVHZ9x9kTx2Ul5OluM/VG7yCQBFtXiZEbrMgMWJ+U8nybqPZHHED8qsCwFDUfSkQ8S27sQU2Gi&#10;3kOyEDC6vdXG5ATXq2uDbCtoVG7zM7GHQ5hxbEiVzKvM/GItHFKU+fkXhdWRbpDRtuHnhyDjJuuS&#10;W6PrcbfaTQ1YQftEJiKMM0w3mIIe8BdnA81vw8PPjUDFmfnkqBFp2PcB7oPVPhBO0taGy4icjcl1&#10;HK/FxqNe98Q9ywIdXFG7Op3tS60c65gqpanMrk43KI39YZ5Rf/4a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vDdnQ1AAAAAYBAAAPAAAAAAAAAAEAIAAAACIAAABkcnMvZG93bnJldi54bWxQSwEC&#10;FAAUAAAACACHTuJAQg/t2DECAAB9BAAADgAAAAAAAAABACAAAAAjAQAAZHJzL2Uyb0RvYy54bWxQ&#10;SwUGAAAAAAYABgBZAQAAxg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强力搅拌</w:t>
                              </w:r>
                            </w:p>
                          </w:txbxContent>
                        </v:textbox>
                      </v:rect>
                      <v:rect id="Rectangle 55" o:spid="_x0000_s1026" o:spt="1" style="position:absolute;left:2095537;top:2196915;height:279402;width:9594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AJtT6FMwIAAH0EAAAOAAAAZHJzL2Uyb0RvYy54bWytVMFu2zAM&#10;vQ/YPwi6r7bTpm2MOkXRosOAbi3W7QMUWY6FSaJGKXG6rx8lO13a7dDDdBBIi3rke6R8cbmzhm0V&#10;Bg2u4dVRyZlyElrt1g3//u32wzlnIQrXCgNONfxJBX65fP/uYvC1mkEPplXICMSFevAN72P0dVEE&#10;2SsrwhF45eiwA7QikovrokUxELo1xawsT4sBsPUIUoVAX2/GQz4h4lsAoeu0VDcgN1a5OKKiMiIS&#10;pdBrH/gyV9t1Ssb7rgsqMtNwYhrzTknIXqW9WF6Ieo3C91pOJYi3lPCKkxXaUdJnqBsRBdug/gvK&#10;aokQoItHEmwxEsmKEIuqfKXNYy+8ylxI6uCfRQ//D1Z+2T4g023DZ8ennDlhqeVfSTbh1kax+Twp&#10;NPhQU+Cjf8DEMfg7kD8Cc3DdU5i6QoShV6KluqoUX7y4kJxAV9lq+AwtwYtNhCzWrkObAEkGtqMK&#10;ysV8fnzG2RPZ1eJ0UeXsola7yCQFLOaLk4rOZQo4W5yUs5xN1HsgjyF+VGBZMhqOxCMnEtu7EFNh&#10;ot6HZCJgdHurjckOrlfXBtlW0Kjc5jWhh8Mw49iQKpnNM/KLs3AIUeb1LwirI70go23Dzw+DjJuk&#10;S2qNqsfdajc1YAXtE4mIMM4wvWAyesBfnA00vw0PPzcCFWfmk6NGpGHfG7g3VntDOElXGy4jcjY6&#10;13F8FhuPet0TdpUJOriidnU6y5daOdYxVUpTmVWdXlAa+0M/R/35a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8N2dDUAAAABgEAAA8AAAAAAAAAAQAgAAAAIgAAAGRycy9kb3ducmV2LnhtbFBL&#10;AQIUABQAAAAIAIdO4kAJtT6FMwIAAH0EAAAOAAAAAAAAAAEAIAAAACMBAABkcnMvZTJvRG9jLnht&#10;bFBLBQYAAAAABgAGAFkBAADIBQAAAAA=&#10;">
                        <v:fill on="t" focussize="0,0"/>
                        <v:stroke color="#000000" miterlimit="8" joinstyle="miter"/>
                        <v:imagedata o:title=""/>
                        <o:lock v:ext="edit" aspectratio="f"/>
                        <v:textbox inset="0mm,0mm,0mm,0mm">
                          <w:txbxContent>
                            <w:p>
                              <w:pPr>
                                <w:jc w:val="center"/>
                                <w:rPr>
                                  <w:kern w:val="0"/>
                                  <w:szCs w:val="21"/>
                                </w:rPr>
                              </w:pPr>
                              <w:r>
                                <w:rPr>
                                  <w:rFonts w:hint="eastAsia"/>
                                  <w:kern w:val="0"/>
                                  <w:szCs w:val="21"/>
                                </w:rPr>
                                <w:t>棍式细碎</w:t>
                              </w:r>
                            </w:p>
                          </w:txbxContent>
                        </v:textbox>
                      </v:rect>
                      <v:shape id="AutoShape 59" o:spid="_x0000_s1026" o:spt="32" type="#_x0000_t32" style="position:absolute;left:2575245;top:2476317;height:2643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AXLTdw/gEAAO4DAAAOAAAAZHJzL2Uyb0RvYy54bWytU8Fy&#10;2yAQvXem/8Bwr2XLlt1oLGc6dtNL2ngm6QdgQBJTYBnAlv33XZCTNuklh+rAgHb3vbePZX17Npqc&#10;pA8KbENnkykl0nIQynYN/fl09+kzJSEyK5gGKxt6kYHebj5+WA+uliX0oIX0BEFsqAfX0D5GVxdF&#10;4L00LEzASYvBFrxhEY++K4RnA6IbXZTT6bIYwAvngcsQ8O9uDNIron8PILSt4nIH/GikjSOql5pF&#10;bCn0ygW6yWrbVvL40LZBRqIbip3GvCIJ7g9pLTZrVneeuV7xqwT2HglvejJMWSR9gdqxyMjRq3+g&#10;jOIeArRxwsEUYyPZEexiNn3jzWPPnMy9oNXBvZge/h8s/3Hae6JEQ8v5ihLLDF75l2OEzE2qm+TQ&#10;4EKNiVu796lHfraP7h74r0AsbHtmO5mzny4Oi2eponhVkg7BIc9h+A4CcxgSZLvOrTcJEo0gZ9RQ&#10;rapyUVFywf1itZzPVuMNyXMkHBPw2niKLRfzaZmJWP2M4XyI3yQYkjYNDdEz1fVxC9biGICfZUZ2&#10;ug8xKWT1c0ESYOFOaZ2nQVsyNPSmKqtcEEArkYIpLfjusNWenFiap/xdVbxK83C0IoNFpvRXK0jM&#10;3kSv0C0taWIwUlCiJT7CtBslaXv1Ltk1Gn8Acdn7FE424hhk7deRTXP29zln/Xmm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OgDI1wAAAAYBAAAPAAAAAAAAAAEAIAAAACIAAABkcnMvZG93bnJl&#10;di54bWxQSwECFAAUAAAACACHTuJAFy03cP4BAADuAwAADgAAAAAAAAABACAAAAAmAQAAZHJzL2Uy&#10;b0RvYy54bWxQSwUGAAAAAAYABgBZAQAAlgUAAAAA&#10;">
                        <v:fill on="f" focussize="0,0"/>
                        <v:stroke color="#000000" joinstyle="round" endarrow="block"/>
                        <v:imagedata o:title=""/>
                        <o:lock v:ext="edit" aspectratio="f"/>
                      </v:shape>
                      <v:shape id="AutoShape 59" o:spid="_x0000_s1026" o:spt="32" type="#_x0000_t32" style="position:absolute;left:2575245;top:3020021;height:255602;width:10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DpIEOpAAIAAPADAAAOAAAAZHJzL2Uyb0RvYy54bWytU8Fy&#10;2yAQvXem/8BwbyQrVdpoLGc6dtNL2ngm6QesAVlMgWUAW/bfd8FO2qSXHKoDA9rd994+lvnNwRq2&#10;VyFqdD2fXdScKSdQarft+c/H2w+fOYsJnASDTvX8qCK/Wbx/N598pxoc0UgVGIG42E2+52NKvquq&#10;KEZlIV6gV46CAwYLiY5hW8kAE6FbUzV1fVVNGKQPKFSM9Hd1CvIzYngLIA6DFmqFYmeVSyfUoAwk&#10;aimO2ke+KGqHQYl0PwxRJWZ6Tp2mshIJ7Td5rRZz6LYB/KjFWQK8RcKrnixoR6TPUCtIwHZB/wNl&#10;tQgYcUgXAm11aqQ4Ql3M6lfePIzgVemFrI7+2fT4/2DFj/06MC173lzSxTuwdOVfdgkLN2uvs0OT&#10;jx0lLt065B7FwT34OxS/InO4HMFtVcl+PHoqnuWK6kVJPkRPPJvpO0rKASIodh2GYDMkGcEOpKH9&#10;1DYfW86OPb+saVqaggadOiQmKGFW08UJijZte1U3hQq6JxQfYvqm0LK86XlMAfR2TEt0jgYBw6xw&#10;wv4upqwRuqeCLMHhrTamzINxbOr5ddu0pSCi0TIHc1oM283SBLaHPFHlO6t4kRZw52QBS6DNVydZ&#10;Ku6koMkvo3hmsEpyZhQ9w7w7STLu7F427GT9BuVxHXI4G0mDULSfhzZP2t/nkvXno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6AMjXAAAABgEAAA8AAAAAAAAAAQAgAAAAIgAAAGRycy9kb3du&#10;cmV2LnhtbFBLAQIUABQAAAAIAIdO4kDpIEOpAAIAAPADAAAOAAAAAAAAAAEAIAAAACYBAABkcnMv&#10;ZTJvRG9jLnhtbFBLBQYAAAAABgAGAFkBAACYBQAAAAA=&#10;">
                        <v:fill on="f" focussize="0,0"/>
                        <v:stroke color="#000000" joinstyle="round" endarrow="block"/>
                        <v:imagedata o:title=""/>
                        <o:lock v:ext="edit" aspectratio="f"/>
                      </v:shape>
                      <v:rect id="Rectangle 55" o:spid="_x0000_s1026" o:spt="1" style="position:absolute;left:2095537;top:4323330;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CIu7BqMwIAAH0EAAAOAAAAZHJzL2Uyb0RvYy54bWytVMtu2zAQ&#10;vBfoPxC815LlqIkFy0Fgw0WBtA2a9gNoirKI8tUlbdn9+i4pOXXSHnKoDsKuOBzuzC61uD1qRQ4C&#10;vLSmptNJTokw3DbS7Gr6/dvm3Q0lPjDTMGWNqOlJeHq7fPtm0btKFLazqhFAkMT4qnc17UJwVZZ5&#10;3gnN/MQ6YXCxtaBZwBR2WQOsR3atsiLP32e9hcaB5cJ7/LoeFunICK8htG0ruVhbvtfChIEVhGIB&#10;JflOOk+Xqdq2FTx8aVsvAlE1RaUhvfEQjLfxnS0XrNoBc53kYwnsNSW80KSZNHjoE9WaBUb2IP+i&#10;0pKD9bYNE251NghJjqCKaf7Cm8eOOZG0oNXePZnu/x8t/3x4ACKbmhazOSWGaWz5V7SNmZ0SpCyj&#10;Q73zFQIf3QNEjd7dW/7DE2NXHcLEHYDtO8EarGsa8dmzDTHxuJVs+0+2QXq2DzaZdWxBR0K0gRyx&#10;gnxelrNrSk41vZoVs9ls7I84BsIRMC/n5RTXOQKK6/lVXqTTWHUmcuDDB2E1iUFNAXWkg9jh3odY&#10;GKvOkCTEKtlspFIpgd12pYAcGI7KJj0ju7+EKUP6WElRJuZna/6SIk/Pvyi0DHiDlNQ1vbkEKTNa&#10;F90aXA/H7XFswNY2JzQR7DDDeIMx6Cz8oqTH+a2p/7lnIChRHw02Ig77OYBzsD0HzHDcWlMegJIh&#10;WYXhWuwdyF2H3NMk0Ng7bFcrk32xlUMdY6U4lcnV8QbFsb/ME+rPX2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8N2dDUAAAABgEAAA8AAAAAAAAAAQAgAAAAIgAAAGRycy9kb3ducmV2LnhtbFBL&#10;AQIUABQAAAAIAIdO4kCIu7BqMwIAAH0EAAAOAAAAAAAAAAEAIAAAACMBAABkcnMvZTJvRG9jLnht&#10;bFBLBQYAAAAABgAGAFkBAADIBQ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切条</w:t>
                              </w:r>
                            </w:p>
                          </w:txbxContent>
                        </v:textbox>
                      </v:rect>
                      <v:rect id="Rectangle 55" o:spid="_x0000_s1026" o:spt="1" style="position:absolute;left:2095537;top:3799526;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CnBLCWNAIAAH0EAAAOAAAAZHJzL2Uyb0RvYy54bWytVMtu2zAQ&#10;vBfoPxC815KVKIkFy0Fgw0WBtAma9gNoirKI8tUlbdn9+i4pOXXSHnKoDsKuOBzuzC41vz1oRfYC&#10;vLSmptNJTokw3DbSbGv6/dv6ww0lPjDTMGWNqOlReHq7eP9u3rtKFLazqhFAkMT4qnc17UJwVZZ5&#10;3gnN/MQ6YXCxtaBZwBS2WQOsR3atsiLPr7LeQuPAcuE9fl0Ni3RkhLcQ2raVXKws32lhwsAKQrGA&#10;knwnnaeLVG3bCh4e2taLQFRNUWlIbzwE4018Z4s5q7bAXCf5WAJ7SwmvNGkmDR76TLVigZEdyL+o&#10;tORgvW3DhFudDUKSI6himr/y5qljTiQtaLV3z6b7/0fLv+wfgcimpsXllBLDNLb8K9rGzFYJUpbR&#10;od75CoFP7hGiRu/uLf/hibHLDmHiDsD2nWAN1jWN+OzFhph43Eo2/WfbID3bBZvMOrSgIyHaQA5Y&#10;QT4ry4trSo41vbiezcriauiPOATCETArZ+UU1zkCiuvZZV6k01h1InLgw0dhNYlBTQF1pIPY/t6H&#10;WBirTpAkxCrZrKVSKYHtZqmA7BmOyjo9I7s/hylD+lhJUSbmF2v+nCJPz78otAx4g5TUNb05Bykz&#10;WhfdGlwPh81hbMDGNkc0Eewww3iDMegs/KKkx/mtqf+5YyAoUZ8MNiIO+ymAU7A5Bcxw3FpTHoCS&#10;IVmG4VrsHMhth9zTJNDYO2xXK5N9sZVDHWOlOJXJ1fEGxbE/zxPqz19j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pwSwlj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挤出</w:t>
                              </w:r>
                            </w:p>
                          </w:txbxContent>
                        </v:textbox>
                      </v:rect>
                      <v:shape id="AutoShape 59" o:spid="_x0000_s1026" o:spt="32" type="#_x0000_t32" style="position:absolute;left:2575345;top:3555025;height:2445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DAYrf8/QEAAO4DAAAOAAAAZHJzL2Uyb0RvYy54bWytU8Fu&#10;2zAMvQ/YPwi6L07ceFuNOMWQrLt0a4B2H6DIsi1MEgVKiZO/HyWn3dpdepgPgmhS7z0+UaubkzXs&#10;qDBocA1fzOacKSeh1a5v+M/H2w+fOQtRuFYYcKrhZxX4zfr9u9Xoa1XCAKZVyAjEhXr0DR9i9HVR&#10;BDkoK8IMvHKU7ACtiBRiX7QoRkK3pijn84/FCNh6BKlCoL/bKckviPgWQOg6LdUW5MEqFydUVEZE&#10;aikM2ge+zmq7Tsl433VBRWYaTp3GvBIJ7fdpLdYrUfco/KDlRYJ4i4RXPVmhHZE+Q21FFOyA+h8o&#10;qyVCgC7OJNhiaiQ7Ql0s5q+8eRiEV7kXsjr4Z9PD/4OVP447ZLpteLksOXPC0pV/OUTI3Ky6Tg6N&#10;PtRUuHE7TD3Kk3vwdyB/BeZgMwjXq1z9ePZ0eJFOFC+OpCB44tmP36GlGkEE2a5ThzZBkhHsRBqq&#10;T9XVsuLs3PCrqqrmZTXdkDpFJqmArk1SrlwuKZeJRP2E4THEbwosS5uGh4hC90PcgHM0BoCLzCiO&#10;dyEmhaJ+OpAEOLjVxuRpMI6NDb+uiDtlAhjdpmQOsN9vDLKjSPOUv4uKF2UIB9dmsCi0+epaFrM3&#10;ETW5ZRRPDFa1nBlFjzDtJknGXbxLdk3G76E97zClk400Bln7ZWTTnP0d56o/z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o6AMjXAAAABgEAAA8AAAAAAAAAAQAgAAAAIgAAAGRycy9kb3ducmV2&#10;LnhtbFBLAQIUABQAAAAIAIdO4kDAYrf8/QEAAO4DAAAOAAAAAAAAAAEAIAAAACYBAABkcnMvZTJv&#10;RG9jLnhtbFBLBQYAAAAABgAGAFkBAACVBQAAAAA=&#10;">
                        <v:fill on="f" focussize="0,0"/>
                        <v:stroke color="#000000" joinstyle="round" endarrow="block"/>
                        <v:imagedata o:title=""/>
                        <o:lock v:ext="edit" aspectratio="f"/>
                      </v:shape>
                      <v:shape id="AutoShape 59" o:spid="_x0000_s1026" o:spt="32" type="#_x0000_t32" style="position:absolute;left:2575345;top:4078928;height:2444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C/4VL4AAIAAO4DAAAOAAAAZHJzL2Uyb0RvYy54bWytU8Fy&#10;2yAQvXem/8BwryUrcuNoLGc6dtNL2ngm6QdgQBJTYBnAlv33XZCTNuklh+rAgHb3vbePZXV7Mpoc&#10;pQ8KbEvns5ISaTkIZfuW/ny6+7SkJERmBdNgZUvPMtDb9ccPq9E1soIBtJCeIIgNzehaOsTomqII&#10;fJCGhRk4aTHYgTcs4tH3hfBsRHSji6osPxcjeOE8cBkC/t1OQXpB9O8BhK5TXG6BH4y0cUL1UrOI&#10;LYVBuUDXWW3XSR4fui7ISHRLsdOYVyTB/T6txXrFmt4zNyh+kcDeI+FNT4Ypi6QvUFsWGTl49Q+U&#10;UdxDgC7OOJhiaiQ7gl3MyzfePA7MydwLWh3ci+nh/8HyH8edJ0q0tKqvKLHM4JV/OUTI3GRxkxwa&#10;XWgwcWN3PvXIT/bR3QP/FYiFzcBsL3P209lh8TxVFK9K0iE45NmP30FgDkOCbNep8yZBohHkhBoW&#10;14urekHJuaV1eb28qZbTDclTJBwT8No4xqq6rssqE7HmGcP5EL9JMCRtWhqiZ6of4gasxTEAP8+M&#10;7HgfYlLImueCJMDCndI6T4O2ZGzpzaJa5IIAWokUTGnB9/uN9uTI0jzl76LiVZqHgxUZLDKlv1pB&#10;YvYmeoVuaUkTg5GCEi3xEabdJEnbi3fJrsn4PYjzzqdwshHHIGu/jGyas7/POevPM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6AMjXAAAABgEAAA8AAAAAAAAAAQAgAAAAIgAAAGRycy9kb3du&#10;cmV2LnhtbFBLAQIUABQAAAAIAIdO4kC/4VL4AAIAAO4DAAAOAAAAAAAAAAEAIAAAACYBAABkcnMv&#10;ZTJvRG9jLnhtbFBLBQYAAAAABgAGAFkBAACYBQAAAAA=&#10;">
                        <v:fill on="f" focussize="0,0"/>
                        <v:stroke color="#000000" joinstyle="round" endarrow="block"/>
                        <v:imagedata o:title=""/>
                        <o:lock v:ext="edit" aspectratio="f"/>
                      </v:shape>
                      <v:rect id="Rectangle 55" o:spid="_x0000_s1026" o:spt="1" style="position:absolute;left:2095437;top:6904648;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BXY8YUNAIAAH0EAAAOAAAAZHJzL2Uyb0RvYy54bWytVMFu2zAM&#10;vQ/YPwi6r3aypG2MOkWRoMOAbivW7QMUWY6FSaJGKXG6rx8lO13a7dDDfDBI6+mJ75Hy1fXBGrZX&#10;GDS4mk/OSs6Uk9Bot63592+37y45C1G4RhhwquaPKvDr5ds3V72v1BQ6MI1CRiQuVL2veRejr4oi&#10;yE5ZEc7AK0eLLaAVkVLcFg2KntitKaZleV70gI1HkCoE+roeFvnIiK8hhLbVUq1B7qxycWBFZUQk&#10;SaHTPvBlrrZtlYxf2jaoyEzNSWnMbzqE4k16F8srUW1R+E7LsQTxmhJeaLJCOzr0iWotomA71H9R&#10;WS0RArTxTIItBiHZEVIxKV9489AJr7IWsjr4J9PD/6OVn/f3yHRT8+lsxpkTllr+lWwTbmsUm8+T&#10;Q70PFQEf/D0mjcHfgfwRmINVRzB1gwh9p0RDdU0Svni2ISWBtrJN/wkaohe7CNmsQ4s2EZIN7EAV&#10;lIv57P0FZ481P1+Us/PZ5dAfdYhMEmAxX8wntC4JML1YzMppPk1URyKPIX5QYFkKao6kIx8k9nch&#10;psJEdYRkIWB0c6uNyQluNyuDbC9oVG7zM7KHU5hxrE+VTOeZ+dlaOKUo8/MvCqsj3SCjbc0vT0HG&#10;jdYltwbX42FzGBuwgeaRTEQYZphuMAUd4C/OeprfmoefO4GKM/PRUSPSsB8DPAabYyCcpK01lxE5&#10;G5JVHK7FzqPedsQ9yQId3FC7Wp3tS60c6hgrpanMro43KI39aZ5Rf/4a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V2PGFD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成品入库</w:t>
                              </w:r>
                            </w:p>
                          </w:txbxContent>
                        </v:textbox>
                      </v:rect>
                      <v:rect id="Rectangle 55" o:spid="_x0000_s1026" o:spt="1" style="position:absolute;left:2095437;top:6390344;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Br7nLWNAIAAH0EAAAOAAAAZHJzL2Uyb0RvYy54bWytVMFu2zAM&#10;vQ/YPwi6r3bSuGuMOkXRosOAbivW7QMUWY6FSaJGKXG6rx8lO13a7dDDfDBI6+mJ75HyxeXeGrZT&#10;GDS4hs9OSs6Uk9Bqt2n492+37845C1G4VhhwquGPKvDL1ds3F4Ov1Rx6MK1CRiQu1INveB+jr4si&#10;yF5ZEU7AK0eLHaAVkVLcFC2KgditKeZleVYMgK1HkCoE+nozLvKJEV9DCF2npboBubXKxZEVlRGR&#10;JIVe+8BXudquUzJ+6bqgIjMNJ6Uxv+kQitfpXawuRL1B4XstpxLEa0p4ockK7ejQJ6obEQXbov6L&#10;ymqJEKCLJxJsMQrJjpCKWfnCm4deeJW1kNXBP5ke/h+t/Ly7R6bbhs8XFWdOWGr5V7JNuI1RrKqS&#10;Q4MPNQEf/D0mjcHfgfwRmIPrnmDqChGGXomW6polfPFsQ0oCbWXr4RO0RC+2EbJZ+w5tIiQb2J4q&#10;KJfV4vQ9Z48NPztdlqeLxdgftY9MEmBZLasZrUsCzN8vF+U8nybqA5HHED8osCwFDUfSkQ8Su7sQ&#10;U2GiPkCyEDC6vdXG5AQ362uDbCdoVG7zM7GHY5hxbEiVzKvM/GwtHFOU+fkXhdWRbpDRtuHnxyDj&#10;JuuSW6Prcb/eTw1YQ/tIJiKMM0w3mIIe8BdnA81vw8PPrUDFmfnoqBFp2A8BHoL1IRBO0taGy4ic&#10;jcl1HK/F1qPe9MQ9ywIdXFG7Op3tS60c65gqpanMrk43KI39cZ5Rf/4a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a+5y1j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焙烧</w:t>
                              </w:r>
                            </w:p>
                          </w:txbxContent>
                        </v:textbox>
                      </v:rect>
                      <v:rect id="Rectangle 55" o:spid="_x0000_s1026" o:spt="1" style="position:absolute;left:2095537;top:5866441;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DcoTKUNAIAAH0EAAAOAAAAZHJzL2Uyb0RvYy54bWytVE2P0zAQ&#10;vSPxHyzfadLSdNuo6WrVqghpgRULP8B1nMbCX4zdpuXXM3bSpbtw2AM5RDPx8/O8N+Msb09akaMA&#10;L62p6HiUUyIMt7U0+4p+/7Z9N6fEB2ZqpqwRFT0LT29Xb98sO1eKiW2tqgUQJDG+7FxF2xBcmWWe&#10;t0IzP7JOGFxsLGgWMIV9VgPrkF2rbJLns6yzUDuwXHiPXzf9Ih0Y4TWEtmkkFxvLD1qY0LOCUCyg&#10;JN9K5+kqVds0gocvTeNFIKqiqDSkNx6C8S6+s9WSlXtgrpV8KIG9poQXmjSTBg99otqwwMgB5F9U&#10;WnKw3jZhxK3OeiHJEVQxzl9489gyJ5IWtNq7J9P9/6Pln48PQGRd0cl0RolhGlv+FW1jZq8EKYro&#10;UOd8icBH9wBRo3f3lv/wxNh1izBxB2C7VrAa6xpHfPZsQ0w8biW77pOtkZ4dgk1mnRrQkRBtICes&#10;IF8UxfsbSs4VLeaz2XSa2FgpToFwBCyKRTHGdY6Ayc1imk/Saay8EDnw4YOwmsSgooA60kHseO9D&#10;LIyVF0gSYpWst1KplMB+t1ZAjgxHZZuegd1fw5QhXaxkUiTmZ2v+miJPz78otAx4g5TUFZ1fg5QZ&#10;rItu9a6H0+40NGBn6zOaCLafYbzBGLQWflHS4fxW1P88MBCUqI8GGxGH/RLAJdhdAmY4bq0oD0BJ&#10;n6xDfy0ODuS+Re5xEmjsHbarkcm+2Mq+jqFSnMrk6nCD4thf5wn156+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3KEylD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烘干</w:t>
                              </w:r>
                            </w:p>
                          </w:txbxContent>
                        </v:textbox>
                      </v:rect>
                      <v:rect id="Rectangle 55" o:spid="_x0000_s1026" o:spt="1" style="position:absolute;left:2095537;top:5352037;height:279402;width:9594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CBoNYzMwIAAH0EAAAOAAAAZHJzL2Uyb0RvYy54bWytVMtu2zAQ&#10;vBfoPxC815IVq4kFy0Fgw0WBtA2a9gNoirKI8tUlbdn9+i4pOXXSHnKoDsKuuBzOzC61uD1qRQ4C&#10;vLSmptNJTokw3DbS7Gr6/dvm3Q0lPjDTMGWNqOlJeHq7fPtm0btKFLazqhFAEMT4qnc17UJwVZZ5&#10;3gnN/MQ6YXCxtaBZwBR2WQOsR3StsiLP32e9hcaB5cJ7/LoeFumICK8BtG0ruVhbvtfChAEVhGIB&#10;JflOOk+XiW3bCh6+tK0XgaiaotKQ3ngIxtv4zpYLVu2AuU7ykQJ7DYUXmjSTBg99glqzwMge5F9Q&#10;WnKw3rZhwq3OBiHJEVQxzV9489gxJ5IWtNq7J9P9/4Plnw8PQGRT02J2TYlhGlv+FW1jZqcEKcvo&#10;UO98hYWP7gGiRu/uLf/hibGrDsvEHYDtO8Ea5DWN9dmzDTHxuJVs+0+2QXi2DzaZdWxBR0C0gRyR&#10;QT4vyytkcappeVUWOcapP+IYCMeCeTmfTXGdY0FxPZ/lRTqNVWcgBz58EFaTGNQUUEc6iB3ufYjE&#10;WHUuSUKsks1GKpUS2G1XCsiB4ahs0jOi+8syZUgfmRRlQn625i8h8vT8C0LLgDdISV3Tm8siZUbr&#10;oluD6+G4PY4N2NrmhCaCHWYYbzAGnYVflPQ4vzX1P/cMBCXqo8FGxGE/B3AOtueAGY5ba8oDUDIk&#10;qzBci70DuesQe5oEGnuH7Wplsi+2cuAxMsWpTK6ONyiO/WWeqv78N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8N2dDUAAAABgEAAA8AAAAAAAAAAQAgAAAAIgAAAGRycy9kb3ducmV2LnhtbFBL&#10;AQIUABQAAAAIAIdO4kCBoNYzMwIAAH0EAAAOAAAAAAAAAAEAIAAAACMBAABkcnMvZTJvRG9jLnht&#10;bFBLBQYAAAAABgAGAFkBAADIBQAAAAA=&#10;">
                        <v:fill on="t" focussize="0,0"/>
                        <v:stroke color="#000000" miterlimit="8" joinstyle="miter"/>
                        <v:imagedata o:title=""/>
                        <o:lock v:ext="edit" aspectratio="f"/>
                        <v:textbox inset="0mm,0mm,0mm,0mm">
                          <w:txbxContent>
                            <w:p>
                              <w:pPr>
                                <w:jc w:val="center"/>
                                <w:rPr>
                                  <w:kern w:val="0"/>
                                  <w:szCs w:val="21"/>
                                </w:rPr>
                              </w:pPr>
                              <w:r>
                                <w:rPr>
                                  <w:rFonts w:hint="eastAsia"/>
                                  <w:kern w:val="0"/>
                                  <w:szCs w:val="21"/>
                                </w:rPr>
                                <w:t>坯车</w:t>
                              </w:r>
                            </w:p>
                          </w:txbxContent>
                        </v:textbox>
                      </v:rect>
                      <v:rect id="Rectangle 55" o:spid="_x0000_s1026" o:spt="1" style="position:absolute;left:2095537;top:4847234;height:279402;width:959517;v-text-anchor:middle;" fillcolor="#FFFFFF" filled="t" stroked="t" coordsize="21600,21600" o:gfxdata="UEsDBAoAAAAAAIdO4kAAAAAAAAAAAAAAAAAEAAAAZHJzL1BLAwQUAAAACACHTuJALw3Z0NQAAAAG&#10;AQAADwAAAGRycy9kb3ducmV2LnhtbE2PzU7DMBCE70i8g7VI3Khtfqs0Tg8VHIALLahnNzZOhL2O&#10;bKcJb8/ChV5GWs1o5tt6PQfPjjblPqICuRDALLbR9OgUfLw/XS2B5aLRaB/RKvi2GdbN+VmtKxMn&#10;3NrjrjhGJZgrraArZag4z21ng86LOFgk7zOmoAudyXGT9ETlwfNrIe550D3SQqcHu+ls+7UbgwI3&#10;76ftmF7uHp9bF7TY+Df+KpW6vJBiBazYufyH4Ref0KEhpkMc0WTmFdAj5U/JW0p5C+xAIXnzIIA3&#10;NT/Fb34AUEsDBBQAAAAIAIdO4kDY1RGpNAIAAH0EAAAOAAAAZHJzL2Uyb0RvYy54bWytVMtu2zAQ&#10;vBfoPxC815IVq46FyEFgw0WBtA2a9gNoirKI8tUlbdn9+i4pOXXSHnKoDsKuOBzuzC51c3vUihwE&#10;eGlNTaeTnBJhuG2k2dX0+7fNu2tKfGCmYcoaUdOT8PR2+fbNTe8qUdjOqkYAQRLjq97VtAvBVVnm&#10;eSc08xPrhMHF1oJmAVPYZQ2wHtm1yoo8f5/1FhoHlgvv8et6WKQjI7yG0Lat5GJt+V4LEwZWEIoF&#10;lOQ76TxdpmrbVvDwpW29CETVFJWG9MZDMN7Gd7a8YdUOmOskH0tgrynhhSbNpMFDn6jWLDCyB/kX&#10;lZYcrLdtmHCrs0FIcgRVTPMX3jx2zImkBa327sl0//9o+efDAxDZ1LSYYeMN09jyr2gbMzslSFlG&#10;h3rnKwQ+ugeIGr27t/yHJ8auOoSJOwDbd4I1WNc04rNnG2LicSvZ9p9sg/RsH2wy69iCjoRoAzli&#10;BfmiLK/mlJxqOruezYur2dAfcQyEI2BRLsoprnMEFPPFLC/Saaw6Eznw4YOwmsSgpoA60kHscO9D&#10;LIxVZ0gSYpVsNlKplMBuu1JADgxHZZOekd1fwpQhfaykKBPzszV/SZGn518UWga8QUrqml5fgpQZ&#10;rYtuDa6H4/Y4NmBrmxOaCHaYYbzBGHQWflHS4/zW1P/cMxCUqI8GGxGH/RzAOdieA2Y4bq0pD0DJ&#10;kKzCcC32DuSuQ+5pEmjsHbarlcm+2MqhjrFSnMrk6niD4thf5gn156+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DdnQ1AAAAAYBAAAPAAAAAAAAAAEAIAAAACIAAABkcnMvZG93bnJldi54bWxQ&#10;SwECFAAUAAAACACHTuJA2NURqTQCAAB9BAAADgAAAAAAAAABACAAAAAjAQAAZHJzL2Uyb0RvYy54&#10;bWxQSwUGAAAAAAYABgBZAQAAyQUAAAAA&#10;">
                        <v:fill on="t" focussize="0,0"/>
                        <v:stroke color="#000000" miterlimit="8" joinstyle="miter"/>
                        <v:imagedata o:title=""/>
                        <o:lock v:ext="edit" aspectratio="f"/>
                        <v:textbox inset="0mm,0mm,0mm,0mm">
                          <w:txbxContent>
                            <w:p>
                              <w:pPr>
                                <w:jc w:val="center"/>
                                <w:rPr>
                                  <w:kern w:val="0"/>
                                  <w:sz w:val="24"/>
                                  <w:szCs w:val="24"/>
                                </w:rPr>
                              </w:pPr>
                              <w:r>
                                <w:rPr>
                                  <w:rFonts w:hint="eastAsia"/>
                                  <w:szCs w:val="21"/>
                                </w:rPr>
                                <w:t>切坯</w:t>
                              </w:r>
                            </w:p>
                          </w:txbxContent>
                        </v:textbox>
                      </v:rect>
                      <v:shape id="AutoShape 59" o:spid="_x0000_s1026" o:spt="32" type="#_x0000_t32" style="position:absolute;left:2575345;top:4602732;height:2445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A+k5XtAAIAAO4DAAAOAAAAZHJzL2Uyb0RvYy54bWytU8Fy&#10;2yAQvXem/8BwryUrVlJrLGc6dtNL2ngm6QdgQBJTYBnAlv33XZCTpuklh+rAgHb37XuPZXV7Mpoc&#10;pQ8KbEvns5ISaTkIZfuW/ny6+/SZkhCZFUyDlS09y0Bv1x8/rEbXyAoG0EJ6giA2NKNr6RCja4oi&#10;8EEaFmbgpMVgB96wiEffF8KzEdGNLqqyvC5G8MJ54DIE/LudgvSC6N8DCF2nuNwCPxhp44TqpWYR&#10;JYVBuUDXmW3XSR4fui7ISHRLUWnMKzbB/T6txXrFmt4zNyh+ocDeQ+GNJsOUxaYvUFsWGTl49Q+U&#10;UdxDgC7OOJhiEpIdQRXz8o03jwNzMmtBq4N7MT38P1j+47jzRImWVoslJZYZvPIvhwi5N6mXyaHR&#10;hQYTN3bnk0Z+so/uHvivQCxsBmZ7mbOfzg6L56mi+KskHYLDPvvxOwjMYdgg23XqvEmQaAQ5IYf6&#10;pr5a1JScW7q4Lqubq2q6IXmKhGMCXhvHWLVY1GUOFax5xnA+xG8SDEmblobomeqHuAFrcQzAz3NH&#10;drwPMTFkzXNBImDhTmmdp0FbMrZ0WVd1LgiglUjBlBZ8v99oT44szVP+slyMvE7zcLAig0Wm9Fcr&#10;SMzeRK/QLS1p6mCkoERLfIRpN1HS9uJdsmsyfg/ivPMpnGzEMcjcLyOb5uz1OWf9eab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6AMjXAAAABgEAAA8AAAAAAAAAAQAgAAAAIgAAAGRycy9kb3du&#10;cmV2LnhtbFBLAQIUABQAAAAIAIdO4kA+k5XtAAIAAO4DAAAOAAAAAAAAAAEAIAAAACYBAABkcnMv&#10;ZTJvRG9jLnhtbFBLBQYAAAAABgAGAFkBAACYBQAAAAA=&#10;">
                        <v:fill on="f" focussize="0,0"/>
                        <v:stroke color="#000000" joinstyle="round" endarrow="block"/>
                        <v:imagedata o:title=""/>
                        <o:lock v:ext="edit" aspectratio="f"/>
                      </v:shape>
                      <v:shape id="AutoShape 59" o:spid="_x0000_s1026" o:spt="32" type="#_x0000_t32" style="position:absolute;left:2575245;top:5126636;flip:x;height:225402;width:100;" filled="f" stroked="t" coordsize="21600,21600" o:gfxdata="UEsDBAoAAAAAAIdO4kAAAAAAAAAAAAAAAAAEAAAAZHJzL1BLAwQUAAAACACHTuJAKiKn7tYAAAAG&#10;AQAADwAAAGRycy9kb3ducmV2LnhtbE2PzU7DMBCE70i8g7VIXFBrp/xFIU4PQOFUVaTl7sZLEjVe&#10;R7HbJm/PwgUuI61mNPNtvhxdJ044hNaThmSuQCBV3rZUa9htV7MURIiGrOk8oYYJAyyLy4vcZNaf&#10;6QNPZawFl1DIjIYmxj6TMlQNOhPmvkdi78sPzkQ+h1rawZy53HVyodSDdKYlXmhMj88NVofy6DS8&#10;lJv71efNblxM1fu6fEsPG5petb6+StQTiIhj/AvDDz6jQ8FMe38kG0SngR+Jv8pemiR3IPYcSm4f&#10;Fcgil//xi29QSwMEFAAAAAgAh07iQDGmsfEFAgAA+gMAAA4AAABkcnMvZTJvRG9jLnhtbK1TwXLb&#10;IBC9d6b/wHCvJauR22gsZzp20x7S1DNJPwADkpgCywC27L/vgjRJk15yqA4MaHffe/tY1jdno8lJ&#10;+qDAtnS5KCmRloNQtm/pr8fbD58pCZFZwTRY2dKLDPRm8/7denSNrGAALaQnCGJDM7qWDjG6pigC&#10;H6RhYQFOWgx24A2LePR9ITwbEd3ooirLVTGCF84DlyHg390UpDOifwsgdJ3icgf8aKSNE6qXmkVs&#10;KQzKBbrJartO8viz64KMRLcUO415RRLcH9JabNas6T1zg+KzBPYWCa96MkxZJH2C2rHIyNGrf6CM&#10;4h4CdHHBwRRTI9kR7GJZvvLmYWBO5l7Q6uCeTA//D5bfn/aeKNHSqkZPLDN45V+OETI3qa+TQ6ML&#10;DSZu7d6nHvnZPrg74L8DsbAdmO1lzn68OCxeporiRUk6BIc8h/EHCMxhSJDtOnfekE4r9z0VJnC0&#10;hJyTmk91dVVTcmlpvaxWq4+r6a7kORKOCcsS5XKMVlV9VVaZlDUJL6E4H+I3CYakTUtD9Ez1Q9yC&#10;tTgS4CcudroLMal9LkjFFm6V1nkytCVjS6/rqs7iAmglUjClBd8fttqTE0uzlb9ZxYs0D0crMlhk&#10;Sn+1gsTsU/QKndOSJgYjBSVa4oNMu0mStrOPybrpEg4gLnufwslSHImsfR7fNHN/n3PW85Pd/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Iqfu1gAAAAYBAAAPAAAAAAAAAAEAIAAAACIAAABkcnMv&#10;ZG93bnJldi54bWxQSwECFAAUAAAACACHTuJAMaax8QUCAAD6AwAADgAAAAAAAAABACAAAAAlAQAA&#10;ZHJzL2Uyb0RvYy54bWxQSwUGAAAAAAYABgBZAQAAnAUAAAAA&#10;">
                        <v:fill on="f" focussize="0,0"/>
                        <v:stroke color="#000000" joinstyle="round" endarrow="block"/>
                        <v:imagedata o:title=""/>
                        <o:lock v:ext="edit" aspectratio="f"/>
                      </v:shape>
                      <v:shape id="AutoShape 59" o:spid="_x0000_s1026" o:spt="32" type="#_x0000_t32" style="position:absolute;left:2575245;top:5631439;height:235002;width:10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CFocYMAAIAAPADAAAOAAAAZHJzL2Uyb0RvYy54bWytU01z&#10;2yAQvXem/4HhXuvDUdpoLGc6dtNL2nom6Q/AgCSmwDKALfvfd8FK2qSXHKoDA9rd994+ltXtyWhy&#10;lD4osB2tFiUl0nIQyg4d/fl49+ETJSEyK5gGKzt6loHert+/W02ulTWMoIX0BEFsaCfX0TFG1xZF&#10;4KM0LCzASYvBHrxhEY9+KIRnE6IbXdRleV1M4IXzwGUI+Hd7CdIZ0b8FEPpecbkFfjDSxguql5pF&#10;bCmMygW6zmr7XvL4o++DjER3FDuNeUUS3O/TWqxXrB08c6PiswT2FgmvejJMWSR9htqyyMjBq3+g&#10;jOIeAvRxwcEUl0ayI9hFVb7y5mFkTuZe0Orgnk0P/w+Wfz/uPFGio3VTUWKZwSv/fIiQuUlzkxya&#10;XGgxcWN3PvXIT/bB3QP/FYiFzcjsIHP249lhcZUqihcl6RAc8uynbyAwhyFBtuvUe5Mg0QhySho+&#10;NvVVQ8m5o831srpaZn7WylMkHBOqEi+OY7ReNmVZZyrWPqE4H+JXCYakTUdD9EwNY9yAtTgI4KvM&#10;yY73ISaNrH0qSBIs3Cmt8zxoS6aO3jR1kwsCaCVSMKUFP+w32pMjSxOVv1nFizQPBysyWGRKf7GC&#10;xOxO9Ar90pImBiMFJVriM0y7iyRtZ/eSYRfr9yDOO5/CyUgchKx9Hto0aX+fc9afh7r+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6AMjXAAAABgEAAA8AAAAAAAAAAQAgAAAAIgAAAGRycy9kb3du&#10;cmV2LnhtbFBLAQIUABQAAAAIAIdO4kCFocYMAAIAAPADAAAOAAAAAAAAAAEAIAAAACYBAABkcnMv&#10;ZTJvRG9jLnhtbFBLBQYAAAAABgAGAFkBAACYBQAAAAA=&#10;">
                        <v:fill on="f" focussize="0,0"/>
                        <v:stroke color="#000000" joinstyle="round" endarrow="block"/>
                        <v:imagedata o:title=""/>
                        <o:lock v:ext="edit" aspectratio="f"/>
                      </v:shape>
                      <v:shape id="AutoShape 59" o:spid="_x0000_s1026" o:spt="32" type="#_x0000_t32" style="position:absolute;left:2575245;top:6145843;flip:x;height:244502;width:100;" filled="f" stroked="t" coordsize="21600,21600" o:gfxdata="UEsDBAoAAAAAAIdO4kAAAAAAAAAAAAAAAAAEAAAAZHJzL1BLAwQUAAAACACHTuJAKiKn7tYAAAAG&#10;AQAADwAAAGRycy9kb3ducmV2LnhtbE2PzU7DMBCE70i8g7VIXFBrp/xFIU4PQOFUVaTl7sZLEjVe&#10;R7HbJm/PwgUuI61mNPNtvhxdJ044hNaThmSuQCBV3rZUa9htV7MURIiGrOk8oYYJAyyLy4vcZNaf&#10;6QNPZawFl1DIjIYmxj6TMlQNOhPmvkdi78sPzkQ+h1rawZy53HVyodSDdKYlXmhMj88NVofy6DS8&#10;lJv71efNblxM1fu6fEsPG5petb6+StQTiIhj/AvDDz6jQ8FMe38kG0SngR+Jv8pemiR3IPYcSm4f&#10;Fcgil//xi29QSwMEFAAAAAgAh07iQNMM8EEGAgAA+gMAAA4AAABkcnMvZTJvRG9jLnhtbK1TTW8b&#10;IRC9V+p/QNzr/ag3TVZeR5XdtIe0tZT0B2Bgd1GBQYC99r/vwFpJk15y6B4Q7My89+YxrG5PRpOj&#10;9EGB7Wi1KCmRloNQdujor8e7D9eUhMisYBqs7OhZBnq7fv9uNblW1jCCFtITBLGhnVxHxxhdWxSB&#10;j9KwsAAnLQZ78IZFPPqhEJ5NiG50UZflVTGBF84DlyHg3+0cpBdE/xZA6HvF5Rb4wUgbZ1QvNYvY&#10;UhiVC3Sd1fa95PFn3wcZie4odhrziiS436e1WK9YO3jmRsUvEthbJLzqyTBlkfQJassiIwev/oEy&#10;insI0McFB1PMjWRHsIuqfOXNw8iczL2g1cE9mR7+Hyz/cdx5okRH66amxDKDV/75ECFzk+YmOTS5&#10;0GLixu586pGf7IO7B/47EAubkdlB5uzHs8PiKlUUL0rSITjk2U/fQWAOQ4Js16n3hvRauW+pMIGj&#10;JeSU1Hxq6mVDybmjV9WyuV5+nO9KniLhmFCVeIUco/Vy2ZR1JmVtwksozof4VYIhadPRED1Twxg3&#10;YC2OBPiZix3vQ0xqnwtSsYU7pXWeDG3J1NGbpm6yuABaiRRMacEP+4325MjSbOXvouJFmoeDFRks&#10;MqW/WEFi9il6hc5pSRODkYISLfFBpt0sSduLj8m6+RL2IM47n8LJUhyJrP0yvmnm/j7nrOcnu/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iKn7tYAAAAGAQAADwAAAAAAAAABACAAAAAiAAAAZHJz&#10;L2Rvd25yZXYueG1sUEsBAhQAFAAAAAgAh07iQNMM8EEGAgAA+gMAAA4AAAAAAAAAAQAgAAAAJQEA&#10;AGRycy9lMm9Eb2MueG1sUEsFBgAAAAAGAAYAWQEAAJ0FAAAAAA==&#10;">
                        <v:fill on="f" focussize="0,0"/>
                        <v:stroke color="#000000" joinstyle="round" endarrow="block"/>
                        <v:imagedata o:title=""/>
                        <o:lock v:ext="edit" aspectratio="f"/>
                      </v:shape>
                      <v:shape id="AutoShape 59" o:spid="_x0000_s1026" o:spt="32" type="#_x0000_t32" style="position:absolute;left:2575245;top:6669746;height:234902;width:0;" filled="f" stroked="t" coordsize="21600,21600" o:gfxdata="UEsDBAoAAAAAAIdO4kAAAAAAAAAAAAAAAAAEAAAAZHJzL1BLAwQUAAAACACHTuJAGjoAyNcAAAAG&#10;AQAADwAAAGRycy9kb3ducmV2LnhtbE2PT0sDMRDF74LfIYzgzSZRWdt1swUt4l4s2ErxmG7GTXCT&#10;LJv0n5/e0YteHgzv8d5vqvnR92yPY3IxKJATAQxDG40LnYK39dPVFFjKOhjdx4AKTphgXp+fVbo0&#10;8RBecb/KHaOSkEqtwOY8lJyn1qLXaRIHDOR9xNHrTOfYcTPqA5X7nl8LUXCvXaAFqwd8tNh+rnZe&#10;QV68n2yxaR9mbrl+fincV9M0C6UuL6S4B5bxmP/C8INP6FAT0zbugkmsV0CP5F8lbyrlLbAtheTN&#10;nQBeV/w/fv0NUEsDBBQAAAAIAIdO4kDrD65s/wEAAO4DAAAOAAAAZHJzL2Uyb0RvYy54bWytU8Fy&#10;2yAQvXem/8Bwr2UrllNrLGc6dtNL2ngmyQdgQBJTYBnAlv33XZCTNuklh+jAgHb3vbePZXVzMpoc&#10;pQ8KbENnkykl0nIQynYNfXq8/fKVkhCZFUyDlQ09y0Bv1p8/rQZXyxJ60EJ6giA21INraB+jq4si&#10;8F4aFibgpMVgC96wiEffFcKzAdGNLsrpdFEM4IXzwGUI+Hc7BukF0b8HENpWcbkFfjDSxhHVS80i&#10;thR65QJdZ7VtK3m8b9sgI9ENxU5jXpEE9/u0FusVqzvPXK/4RQJ7j4Q3PRmmLJK+QG1ZZOTg1X9Q&#10;RnEPAdo44WCKsZHsCHYxm77x5qFnTuZe0OrgXkwPHwfLfx13nijR0LK6osQyg1f+7RAhc5NqmRwa&#10;XKgxcWN3PvXIT/bB3QH/HYiFTc9sJ3P249lh8SxVFK9K0iE45NkPP0FgDkOCbNep9SZBohHklDRc&#10;V+W8ouTc0MVisbyeL8YbkqdIOCbgtXGMlVfz5bTMRKx+xnA+xB8SDEmbhobomer6uAFrcQzAzzIj&#10;O96FmBSy+rkgCbBwq7TO06AtGRq6rMoqFwTQSqRgSgu+22+0J0eW5il/FxWv0jwcrMhgkSn93QoS&#10;szfRK3RLS5oYjBSUaImPMO1GSdpevEt2jcbvQZx3PoWTjTgGWftlZNOc/XvOWX+f6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oAyNcAAAAGAQAADwAAAAAAAAABACAAAAAiAAAAZHJzL2Rvd25y&#10;ZXYueG1sUEsBAhQAFAAAAAgAh07iQOsPrmz/AQAA7gMAAA4AAAAAAAAAAQAgAAAAJgEAAGRycy9l&#10;Mm9Eb2MueG1sUEsFBgAAAAAGAAYAWQEAAJcFAAAAAA==&#10;">
                        <v:fill on="f" focussize="0,0"/>
                        <v:stroke color="#000000" joinstyle="round" endarrow="block"/>
                        <v:imagedata o:title=""/>
                        <o:lock v:ext="edit" aspectratio="f"/>
                      </v:shape>
                      <v:shape id="连接符: 肘形 206" o:spid="_x0000_s1026" o:spt="33" type="#_x0000_t33" style="position:absolute;left:1450927;top:5748235;flip:x y;height:902416;width:386703;rotation:5898240f;" filled="f" stroked="t" coordsize="21600,21600" o:gfxdata="UEsDBAoAAAAAAIdO4kAAAAAAAAAAAAAAAAAEAAAAZHJzL1BLAwQUAAAACACHTuJA2V2eodUAAAAG&#10;AQAADwAAAGRycy9kb3ducmV2LnhtbE2PzU7DMBCE70i8g7VI3KidUkEU4lSoEuLEoYULNyfe/Ih4&#10;HWy3Sd++Cxe4jLSa0cy35XZxozhhiIMnDdlKgUBqvB2o0/Dx/nKXg4jJkDWjJ9Rwxgjb6vqqNIX1&#10;M+3xdEid4BKKhdHQpzQVUsamR2fiyk9I7LU+OJP4DJ20wcxc7ka5VupBOjMQL/Rmwl2Pzdfh6DTM&#10;32+h3dXLunXz5/lVdvnztM+1vr3J1BOIhEv6C8MPPqNDxUy1P5KNYtTAj6RfZS/Psg2ImkPZ/aMC&#10;WZXyP351AVBLAwQUAAAACACHTuJAd1FWZUMCAAA/BAAADgAAAGRycy9lMm9Eb2MueG1srVO9bhQx&#10;EO6ReAfLPdm9zf1ldXsp7ggUAU5KoPd5vbcWtseyndu7lgegpkqBBBWvgHgaII/B2HtKSGhSsIU1&#10;Xs98M983M7PTnVZkK5yXYCo6OMopEYZDLc2mom8vz55NKfGBmZopMKKie+Hp6fzpk1lnS1FAC6oW&#10;jiCI8WVnK9qGYMss87wVmvkjsMLgYwNOs4BXt8lqxzpE1yor8nycdeBq64AL7/Hvsn+kB0T3GEBo&#10;GsnFEviVFib0qE4oFpCSb6X1dJ6qbRrBw5um8SIQVVFkGtKJSdBexzObz1i5ccy2kh9KYI8p4QEn&#10;zaTBpLdQSxYYuXLyHygtuQMPTTjioLOeSFIEWQzyB9pctMyKxAWl9vZWdP//YPnr7coRWVe0GA0p&#10;MUxjy29+XP/6+OX3t68lufnw6ef3z6TIx1GqzvoSIxZm5SJZvjMX9hz4e08MLFpmNiKVfLm3iDKI&#10;Edm9kHjxFhOuu1dQow+7CpB02zVOEwfYn9Ewjx8ljZL2ZYRJ1rtoxaSoGdnhZTjKT4oJJXsMmQyn&#10;xfGob6bYBcLR4Xg6nuTHlHB0OMmL4SAxyFgZU0Ug63x4IUCTaFR0jaO0AGNwZMAVKRXbnvsQSdw5&#10;x0ADZ1KpNDnKkA7hR8UoBXhQso6P0c27zXqhHNmyOHs9qR7snlvMvmS+7f1qtHoeWgbcMyV1Rae3&#10;wawMTKrnpiYhaRycRNWVoLEMLWpKlMCtjlafSplDD6LsfQPXUO9XLj7HduBcJYKHHYiD+/c9ed3t&#10;/f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V2eodUAAAAGAQAADwAAAAAAAAABACAAAAAiAAAA&#10;ZHJzL2Rvd25yZXYueG1sUEsBAhQAFAAAAAgAh07iQHdRVmVDAgAAPwQAAA4AAAAAAAAAAQAgAAAA&#10;JAEAAGRycy9lMm9Eb2MueG1sUEsFBgAAAAAGAAYAWQEAANkFAAAAAA==&#10;">
                        <v:fill on="f" focussize="0,0"/>
                        <v:stroke color="#000000" miterlimit="8" joinstyle="miter" dashstyle="dash" endarrow="block"/>
                        <v:imagedata o:title=""/>
                        <o:lock v:ext="edit" aspectratio="f"/>
                      </v:shape>
                      <v:rect id="Rectangle 55" o:spid="_x0000_s1026" o:spt="1" style="position:absolute;left:3418560;top:589404;height:2794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DAXWb4PgIAAJQEAAAOAAAAZHJzL2Uyb0RvYy54bWytVMFu&#10;2zAMvQ/YPwi6r06ypE2MOEWRoMOAbivW7QMUWY6FSaJGKXG6rx8lO13a7dDDfDBIk3rkexS9vD5a&#10;ww4KgwZX8fHFiDPlJNTa7Sr+/dvtuzlnIQpXCwNOVfxRBX69evtm2flSTaAFUytkBOJC2fmKtzH6&#10;siiCbJUV4QK8chRsAK2I5OKuqFF0hG5NMRmNLosOsPYIUoVAXzd9kA+I+BpAaBot1Qbk3ioXe1RU&#10;RkSiFFrtA1/lbptGyfilaYKKzFScmMb8piJkb9O7WC1FuUPhWy2HFsRrWnjByQrtqOgT1EZEwfao&#10;/4KyWiIEaOKFBFv0RLIixGI8eqHNQyu8ylxI6uCfRA//D1Z+Ptwj03XFJ7MZZ05YGvlXkk24nVGM&#10;vpFCnQ8lJT74e0wcg78D+SMwB+uW0tQNInStEjX1NU75xbMDyQl0lG27T1ATvNhHyGIdG7QJkGRg&#10;x4q/n47ns0uazGPFZ/PFdDTtx6OOkUmKL2aL6fiKM0nxyRXFJ7mYKE84HkP8oMCyZFQciUauIw53&#10;Iaa+RHlKyTzA6PpWG5Md3G3XBtlB0E25zc+AHs7TjGNd6mQyy8jPYuEcYpSff0GkFjYitH2pmqye&#10;ptWRFstoW/H5+WHjBkWTiP0w4nF7HOayhfqRtEXorzYtNhkt4C/OOrrWFQ8/9wIVZ+ajo/mkHTgZ&#10;eDK2J0M4SUcrLiNy1jvr2G/L3qPetYQ9zsQd3NAUG51lTRPu+xg6pcua1R4WK23DuZ+z/vxM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DyVNdcAAAAGAQAADwAAAAAAAAABACAAAAAiAAAAZHJz&#10;L2Rvd25yZXYueG1sUEsBAhQAFAAAAAgAh07iQMBdZvg+AgAAlAQAAA4AAAAAAAAAAQAgAAAAJgEA&#10;AGRycy9lMm9Eb2MueG1sUEsFBgAAAAAGAAYAWQEAANYFAAAAAA==&#10;">
                        <v:fill on="t" focussize="0,0"/>
                        <v:stroke color="#000000" miterlimit="8" joinstyle="miter" dashstyle="dash"/>
                        <v:imagedata o:title=""/>
                        <o:lock v:ext="edit" aspectratio="f"/>
                        <v:textbox inset="0mm,0mm,0mm,0mm">
                          <w:txbxContent>
                            <w:p>
                              <w:pPr>
                                <w:jc w:val="center"/>
                                <w:rPr>
                                  <w:kern w:val="0"/>
                                  <w:sz w:val="18"/>
                                  <w:szCs w:val="18"/>
                                </w:rPr>
                              </w:pPr>
                              <w:r>
                                <w:rPr>
                                  <w:rFonts w:hint="eastAsia"/>
                                  <w:sz w:val="18"/>
                                  <w:szCs w:val="18"/>
                                </w:rPr>
                                <w:t>粉尘、噪声</w:t>
                              </w:r>
                            </w:p>
                          </w:txbxContent>
                        </v:textbox>
                      </v:rect>
                      <v:rect id="Rectangle 55" o:spid="_x0000_s1026" o:spt="1" style="position:absolute;left:3418560;top:1122908;height:2788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CcC6nkPgIAAJUEAAAOAAAAZHJzL2Uyb0RvYy54bWytVMtu&#10;2zAQvBfoPxC813rUThQhchDYcFEgbYOm/QCaoiyifHVJW06/vktKTp20hxyqg7AUl7Mzs1xd3xy1&#10;IgcBXlrT0GKWUyIMt600u4Z+/7Z5V1HiAzMtU9aIhj4KT2+Wb99cD64Wpe2tagUQBDG+HlxD+xBc&#10;nWWe90IzP7NOGNzsLGgWcAm7rAU2ILpWWZnnF9lgoXVgufAev67HTTohwmsAbddJLtaW77UwYUQF&#10;oVhASb6XztNlYtt1gocvXedFIKqhqDSkNxbBeBvf2fKa1Ttgrpd8osBeQ+GFJs2kwaJPUGsWGNmD&#10;/AtKSw7W2y7MuNXZKCQ5giqK/IU3Dz1zImlBq717Mt3/P1j++XAPRLYNnVfoiWEaW/4VbWNmpwRZ&#10;LKJDg/M1Jj64e4gavbuz/Icnxq56TBO3AHboBWuRVxHzs2cH4sLjUbIdPtkW4dk+2GTWsQMdAdEG&#10;cmzo+3lRLS6QxSPiFGV5lVdjf8QxEI4JV4ureXFJCceE8rKq8jJVY/UJyIEPH4TVJAYNBdSRCrHD&#10;nQ+RGKtPKUmIVbLdSKXSAnbblQJyYHhVNumZ0P15mjJkiEzKRUJ+tufPIfL0/AsiUlgz34+lWoxG&#10;mVoGnCwldUOr88PKTJZGF8duhOP2ODVma9tHNBfseLdxsjHoLfyiZMB73VD/c89AUKI+GmxQHIJT&#10;AKdgewqY4Xi0oTwAJeNiFcZx2TuQux6xiyTc2FtsYyeTrbHFI4+JKd7W5PY0WXEcztcp68/fZ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DyVNdcAAAAGAQAADwAAAAAAAAABACAAAAAiAAAAZHJz&#10;L2Rvd25yZXYueG1sUEsBAhQAFAAAAAgAh07iQJwLqeQ+AgAAlQQAAA4AAAAAAAAAAQAgAAAAJgEA&#10;AGRycy9lMm9Eb2MueG1sUEsFBgAAAAAGAAYAWQEAANYFA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4953;top:1262309;flip:y;height:300;width:363606;"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3LZnwxICAAASBAAADgAAAGRycy9lMm9Eb2MueG1srVPBjtsgEL1X&#10;6j8g7o2dZGNtrDirKun2sm0j7bZ3AthGBQYBiZ2/74Cj3e32sof6gMDz5s28x7C5G40mZ+mDAtvQ&#10;+aykRFoOQtmuoT+f7j/dUhIis4JpsLKhFxno3fbjh83garmAHrSQniCJDfXgGtrH6OqiCLyXhoUZ&#10;OGkx2II3LOLRd4XwbEB2o4tFWVbFAF44D1yGgH/3U5BeGf17CKFtFZd74CcjbZxYvdQsoqTQKxfo&#10;NnfbtpLHH20bZCS6oag05hWL4P6Y1mK7YXXnmesVv7bA3tPCG02GKYtFn6n2LDJy8uofKqO4hwBt&#10;nHEwxSQkO4Iq5uUbbx575mTWglYH92x6+H+0/Pv54IkSDb25nVNimcEr/3yKkGuTap0cGlyoEbiz&#10;B5808tE+ugfgvwOxsOuZ7WRGP10cJs9TRvFXSjoEh3WOwzcQiGFYINs1tt6QViv3KyUmcrSEjA1d&#10;lqub9WpJyQUDi2qxLHMnrJZjJDwBqmVVVpRwBCzLfJEFqxNfYnE+xK8SDEmbhobomer6uANrcSTA&#10;T7XY+SHE1O1LQkq2cK+0zpOhLRkaul4tVrm5AFqJFEyw4LvjTntyZmm28pelY+Q1LHWwZ6GfcAJ3&#10;09B5OFmRi0Sm9BcrSMz+Ra/QUS1pqmykoERLfKhpN7Wq7dXfZOl0OUcQl4NP4WQ1jkrWdB3rNIuv&#10;zxn18pS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SA00gAAAAYBAAAPAAAAAAAAAAEAIAAA&#10;ACIAAABkcnMvZG93bnJldi54bWxQSwECFAAUAAAACACHTuJA3LZnwxICAAASBAAADgAAAAAAAAAB&#10;ACAAAAAhAQAAZHJzL2Uyb0RvYy54bWxQSwUGAAAAAAYABgBZAQAApQUAAAAA&#10;">
                        <v:fill on="f" focussize="0,0"/>
                        <v:stroke color="#000000" joinstyle="round" dashstyle="dash" endarrow="block"/>
                        <v:imagedata o:title=""/>
                        <o:lock v:ext="edit" aspectratio="f"/>
                      </v:shape>
                      <v:rect id="Rectangle 55" o:spid="_x0000_s1026" o:spt="1" style="position:absolute;left:3408960;top:2198215;height:278102;width:9595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4A5VqQAIAAJUEAAAOAAAAZHJzL2Uyb0RvYy54bWytVE1v&#10;2zAMvQ/YfxB0X/2xpk2MOEXRoMOAbivW7QcwshwLkyWNUuJ0v36U7HRpt0MP00EgLeqR71H08urQ&#10;a7aX6JU1NS/Ocs6kEbZRZlvz799u38058wFMA9oaWfNH6fnV6u2b5eAqWdrO6kYiIxDjq8HVvAvB&#10;VVnmRSd78GfWSUOHrcUeArm4zRqEgdB7nZV5fpENFhuHVkjv6et6POQTIr4G0LatEnJtxa6XJoyo&#10;KDUEouQ75TxfpWrbVorwpW29DEzXnJiGtFMSsjdxz1ZLqLYIrlNiKgFeU8ILTj0oQ0mfoNYQgO1Q&#10;/QXVK4HW2zacCdtnI5GkCLEo8hfaPHTgZOJCUnv3JLr/f7Di8/4emWpqfj4vOTPQU8u/kmxgtlqy&#10;2SwqNDhfUeCDu8fI0bs7K354ZuxNR2HyGtEOnYSG6ipifPbsQnQ8XWWb4ZNtCB52wSaxDi32EZBk&#10;YIeavz/P54sL6sxjzctiMS+LlB0qeQhMUMBitpgVl5yJGHA5L/IyZYPqCOTQhw/S9iwaNUfikRLB&#10;/s6HWBhUx5BExGrV3Cqtk4PbzY1Gtgd6KrdpTej+NEwbNsRKyllCfnbmTyHytP4FEUtYg+/GVA1Z&#10;MQqqXgWaLK36ms9PL2szSRpVHLsRDpvD1JiNbR5JXLTj26bJJqOz+Iuzgd51zf3PHaDkTH801KA4&#10;BEcDj8bmaIARdLXmIiBno3MTxnHZOVTbjrCLRNzYa2pjq5KsscVjHVOl9FqT2tNkxXE49VPUn7/J&#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PJU11wAAAAYBAAAPAAAAAAAAAAEAIAAAACIAAABk&#10;cnMvZG93bnJldi54bWxQSwECFAAUAAAACACHTuJAOAOVakACAACVBAAADgAAAAAAAAABACAAAAAm&#10;AQAAZHJzL2Uyb0RvYy54bWxQSwUGAAAAAAYABgBZAQAA2AU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粉尘、噪声</w:t>
                              </w:r>
                            </w:p>
                          </w:txbxContent>
                        </v:textbox>
                      </v:rect>
                      <v:shape id="AutoShape 69" o:spid="_x0000_s1026" o:spt="32" type="#_x0000_t32" style="position:absolute;left:3054953;top:2336616;height:600;width:354006;" filled="f" stroked="t" coordsize="21600,21600" o:gfxdata="UEsDBAoAAAAAAIdO4kAAAAAAAAAAAAAAAAAEAAAAZHJzL1BLAwQUAAAACACHTuJA9t1DINMAAAAG&#10;AQAADwAAAGRycy9kb3ducmV2LnhtbE2PO0/EMBCEeyT+g7VIdJzt8DpCnCu4o6LioKDci5ck4Eew&#10;fQ/+PQvN0Yy0mtHMt83i4J3YUcpjDAb0TIGg0EU7ht7A68vjxRxELhgsuhjIwDdlWLSnJw3WNu7D&#10;M+3WpRdcEnKNBoZSplrK3A3kMc/iRIG995g8Fj5TL23CPZd7JyulbqTHMfDCgBM9DNR9rrfewF3n&#10;V1V5e3L4tfxYJl3UtaxWxpyfaXUPotChHMPwi8/o0DLTJm6DzcIZ4EfKn7I31/oKxIZD+vJWgWwb&#10;+R+//QFQSwMEFAAAAAgAh07iQBhgw8sMAgAACAQAAA4AAABkcnMvZTJvRG9jLnhtbK1TTXPbIBC9&#10;d6b/geEeS/7SxBrLmYzd9JK2nkn6AzAgiSmwDGDL/vddkJOm6SWH6sCA9u3bfY9lfXc2mpykDwps&#10;Q6eTkhJpOQhlu4b+fH64uaUkRGYF02BlQy8y0LvN50/rwdVyBj1oIT1BEhvqwTW0j9HVRRF4Lw0L&#10;E3DSYrAFb1jEo+8K4dmA7EYXs7KsigG8cB64DAH/7sYgvTL6jxBC2youd8CPRto4snqpWURJoVcu&#10;0E3utm0ljz/aNshIdENRacwrFsH9Ia3FZs3qzjPXK35tgX2khXeaDFMWi75S7Vhk5OjVP1RGcQ8B&#10;2jjhYIpRSHYEVUzLd9489czJrAWtDu7V9PD/aPn3094TJRq6uJ1TYpnBK78/Rsi1SbVKDg0u1Ajc&#10;2r1PGvnZPrlH4L8CsbDtme1kRj9fHCZPU0bxV0o6BId1DsM3EIhhWCDbdW69SZRoBDk3dF4uF6sl&#10;9nFp6Gw+r6ppNd6QPEfCE2C5wBGihCOgKvP1Fax+YXE+xK8SDEmbhobomer6uAVrcRDAT3NNdnoM&#10;MfXI6peE1IKFB6V1ngdtydDQ1XK2zAkBtBIpmGDBd4et9uTE0kTlLwvGyFtYYt6x0I84gbtRiIej&#10;FblIZEp/sYLE7Fr0Cn3UkqbKRgpKtMTnmXZjq9peXU1GjldyAHHZ+xROBuOAZE3XYU4T+PacUX8e&#10;8O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t1DINMAAAAGAQAADwAAAAAAAAABACAAAAAiAAAA&#10;ZHJzL2Rvd25yZXYueG1sUEsBAhQAFAAAAAgAh07iQBhgw8sMAgAACAQAAA4AAAAAAAAAAQAgAAAA&#10;IgEAAGRycy9lMm9Eb2MueG1sUEsFBgAAAAAGAAYAWQEAAKAFAAAAAA==&#10;">
                        <v:fill on="f" focussize="0,0"/>
                        <v:stroke color="#000000" joinstyle="round" dashstyle="dash" endarrow="block"/>
                        <v:imagedata o:title=""/>
                        <o:lock v:ext="edit" aspectratio="f"/>
                      </v:shape>
                      <v:rect id="Rectangle 55" o:spid="_x0000_s1026" o:spt="1" style="position:absolute;left:3399459;top:2740619;height:278102;width:9595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12uwHPwIAAJUEAAAOAAAAZHJzL2Uyb0RvYy54bWytVE1v&#10;2zAMvQ/YfxB0X2ynSZsYcYoiQYYB3Vqs2w9QZDkWpq9RSpzs14+SnS7tduhhOgikRT3yPYpe3B61&#10;IgcBXlpT0WKUUyIMt7U0u4p+/7b5MKPEB2ZqpqwRFT0JT2+X798tOleKsW2tqgUQBDG+7FxF2xBc&#10;mWWet0IzP7JOGDxsLGgW0IVdVgPrEF2rbJzn11lnoXZgufAev677QzogwlsAbdNILtaW77UwoUcF&#10;oVhASr6VztNlqrZpBA8PTeNFIKqiyDSkHZOgvY17tlywcgfMtZIPJbC3lPCKk2bSYNJnqDULjOxB&#10;/gWlJQfrbRNG3OqsJ5IUQRZF/kqbp5Y5kbig1N49i+7/Hyz/cngEIuuKTmYTSgzT2PKvKBszOyXI&#10;dBoV6pwvMfDJPULk6N295T88MXbVYpi4A7BdK1iNdRUxPntxIToer5Jt99nWCM/2wSaxjg3oCIgy&#10;kGNFr67m88l0TsmpouObSX5dzPv+iGMgHAPm0/m0uKGEp4BZkY9TNlaegRz48FFYTaJRUUAeKRE7&#10;3PsQC2PlOSQRsUrWG6lUcmC3XSkgB4ZPZZPWgO4vw5QhXaxkPE3IL878JUSe1r8gYglr5ts+VY1W&#10;T1PLgJOlpK7o7PKyMoOkUcW+G+G4PQ6N2dr6hOKC7d82TjYarYVflHT4rivqf+4ZCErUJ4MNikNw&#10;NuBsbM8GMxyvVpQHoKR3VqEfl70DuWsRu0jEjb3DNjYyyRpb3NcxVIqvNak9TFYch0s/Rf35m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8lTXXAAAABgEAAA8AAAAAAAAAAQAgAAAAIgAAAGRy&#10;cy9kb3ducmV2LnhtbFBLAQIUABQAAAAIAIdO4kA12uwHPwIAAJUEAAAOAAAAAAAAAAEAIAAAACYB&#10;AABkcnMvZTJvRG9jLnhtbFBLBQYAAAAABgAGAFkBAADXBQ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4953;top:2879720;flip:y;height:600;width:344506;"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xHedKBICAAASBAAADgAAAGRycy9lMm9Eb2MueG1srVPBjtsgEL1X&#10;6j8g7o2dbJxNrDirKun2sm0j7bZ3AthGBQYBiZO/74Cj3e32sof6gMDz5s28x7C+OxtNTtIHBbah&#10;00lJibQchLJdQ38+3X9aUhIis4JpsLKhFxno3ebjh/XgajmDHrSQniCJDfXgGtrH6OqiCLyXhoUJ&#10;OGkx2II3LOLRd4XwbEB2o4tZWS6KAbxwHrgMAf/uxiC9Mvr3EELbKi53wI9G2jiyeqlZREmhVy7Q&#10;Te62bSWPP9o2yEh0Q1FpzCsWwf0hrcVmzerOM9crfm2BvaeFN5oMUxaLPlPtWGTk6NU/VEZxDwHa&#10;OOFgilFIdgRVTMs33jz2zMmsBa0O7tn08P9o+ffT3hMlGjpfVpRYZvDKPx8j5NpksUoODS7UCNza&#10;vU8a+dk+ugfgvwOxsO2Z7WRGP10cJk9TRvFXSjoEh3UOwzcQiGFYINt1br0hrVbuV0pM5GgJOTf0&#10;pqzmq+qGkktDZ8vb1e3selfyHAlPgPm8KheUcAQsyhwsWJ34EovzIX6VYEjaNDREz1TXxy1YiyMB&#10;fqzFTg8hpm5fElKyhXuldZ4MbcnQ0FU1q3JzAbQSKZhgwXeHrfbkxNJs5S9Lx8hrWOpgx0I/4gTu&#10;xqHzcLQiF4lM6S9WkJj9i16ho1rSVNlIQYmW+FDTbmxV26u/ydLxcg4gLnufwslqHJWs6TrWaRZf&#10;nzPq5Sl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SA00gAAAAYBAAAPAAAAAAAAAAEAIAAA&#10;ACIAAABkcnMvZG93bnJldi54bWxQSwECFAAUAAAACACHTuJAxHedKBICAAASBAAADgAAAAAAAAAB&#10;ACAAAAAhAQAAZHJzL2Uyb0RvYy54bWxQSwUGAAAAAAYABgBZAQAApQUAAAAA&#10;">
                        <v:fill on="f" focussize="0,0"/>
                        <v:stroke color="#000000" joinstyle="round" dashstyle="dash" endarrow="block"/>
                        <v:imagedata o:title=""/>
                        <o:lock v:ext="edit" aspectratio="f"/>
                      </v:shape>
                      <v:rect id="Rectangle 55" o:spid="_x0000_s1026" o:spt="1" style="position:absolute;left:3399459;top:3277623;height:278102;width:9595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wo0zyQAIAAJUEAAAOAAAAZHJzL2Uyb0RvYy54bWytVE1v&#10;2zAMvQ/YfxB0X524TZMYdYqiQYcB+yjW7QcoshwLk0SNUuJ0v36U7HRpt0MP00EgLeqR71H01fXB&#10;GrZXGDS4mk/PJpwpJ6HRblvz79/u3i04C1G4RhhwquaPKvDr1ds3V72vVAkdmEYhIxAXqt7XvIvR&#10;V0URZKesCGfglaPDFtCKSC5uiwZFT+jWFOVkcln0gI1HkCoE+roeDvmIiK8BhLbVUq1B7qxycUBF&#10;ZUQkSqHTPvBVrrZtlYxf2jaoyEzNiWnMOyUhe5P2YnUlqi0K32k5liBeU8ILTlZoR0mfoNYiCrZD&#10;/ReU1RIhQBvPJNhiIJIVIRbTyQttHjrhVeZCUgf/JHr4f7Dy8/4emW5qfrG45MwJSy3/SrIJtzWK&#10;zWZJod6HigIf/D0mjsF/BPkjMAe3HYWpG0ToOyUaqmua4otnF5IT6Crb9J+gIXixi5DFOrRoEyDJ&#10;wA41Pz9fLi9mS84eyS7n88vyfOiPOkQmKWA5W86mc84kBZTzxXRS5myiOgJ5DPG9AsuSUXMkHjmR&#10;2H8MMRUmqmNIJgJGN3famOzgdnNrkO0FPZW7vEb0cBpmHOtTJeUsIz87C6cQk7z+BZFKWIvQDaka&#10;sgaaVkeaLKNtzRenl40bJU0qDt2Ih81hbMwGmkcSF2F42zTZZHSAvzjr6V3XPPzcCVScmQ+OGpSG&#10;4Gjg0dgcDeEkXa25jMjZ4NzGYVx2HvW2I+xpJu7ghtrY6ixravFQx1gpvdas9jhZaRxO/Rz152+y&#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PJU11wAAAAYBAAAPAAAAAAAAAAEAIAAAACIAAABk&#10;cnMvZG93bnJldi54bWxQSwECFAAUAAAACACHTuJAMKNM8kACAACVBAAADgAAAAAAAAABACAAAAAm&#10;AQAAZHJzL2Uyb0RvYy54bWxQSwUGAAAAAAYABgBZAQAA2AU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5053;top:3415324;height:1400;width:344406;" filled="f" stroked="t" coordsize="21600,21600" o:gfxdata="UEsDBAoAAAAAAIdO4kAAAAAAAAAAAAAAAAAEAAAAZHJzL1BLAwQUAAAACACHTuJA9t1DINMAAAAG&#10;AQAADwAAAGRycy9kb3ducmV2LnhtbE2PO0/EMBCEeyT+g7VIdJzt8DpCnCu4o6LioKDci5ck4Eew&#10;fQ/+PQvN0Yy0mtHMt83i4J3YUcpjDAb0TIGg0EU7ht7A68vjxRxELhgsuhjIwDdlWLSnJw3WNu7D&#10;M+3WpRdcEnKNBoZSplrK3A3kMc/iRIG995g8Fj5TL23CPZd7JyulbqTHMfDCgBM9DNR9rrfewF3n&#10;V1V5e3L4tfxYJl3UtaxWxpyfaXUPotChHMPwi8/o0DLTJm6DzcIZ4EfKn7I31/oKxIZD+vJWgWwb&#10;+R+//QFQSwMEFAAAAAgAh07iQDt+bTUNAgAACQQAAA4AAABkcnMvZTJvRG9jLnhtbK1TwW7bMAy9&#10;D9g/CLovdhK7a404xZCsu3RrgHYfoEiyLUwSBUmJk78fJadd1116mA8GZT4+8j3Rq9uT0eQofVBg&#10;WzqflZRIy0Eo27f059Pdp2tKQmRWMA1WtvQsA71df/ywGl0jFzCAFtITJLGhGV1LhxhdUxSBD9Kw&#10;MAMnLSY78IZFPPq+EJ6NyG50sSjLq2IEL5wHLkPAr9spSS+M/j2E0HWKyy3wg5E2TqxeahZRUhiU&#10;C3Sdp+06yeND1wUZiW4pKo35jU0w3qd3sV6xpvfMDYpfRmDvGeGNJsOUxaYvVFsWGTl49Q+VUdxD&#10;gC7OOJhiEpIdQRXz8o03jwNzMmtBq4N7MT38P1r+47jzRImWVtefKbHM4JV/OUTIvcnVTXJodKFB&#10;4MbufNLIT/bR3QP/FYiFzcBsLzP66eyweJ4qir9K0iE47LMfv4NADMMG2a5T502iRCPIqaXLsq7L&#10;eknJGeNqXi8X1XRD8hQJT4CqqsorSjgC5lWZ769gzTON8yF+k2BICloaomeqH+IGrMVNAD/PTdnx&#10;PsQ0JGueC9IMFu6U1nkhtCVjS2/qRZ0LAmglUjLBgu/3G+3JkaWVyk9WjJnXsMS8ZWGYcAKjSYmH&#10;gxW5SWRKf7WCxGxb9AqN1JKmzkYKSrTE/zNF06jaXmxNTk53sgdx3vmUTg7jhmRNl21OK/j6nFF/&#10;/uD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dQyDTAAAABgEAAA8AAAAAAAAAAQAgAAAAIgAA&#10;AGRycy9kb3ducmV2LnhtbFBLAQIUABQAAAAIAIdO4kA7fm01DQIAAAkEAAAOAAAAAAAAAAEAIAAA&#10;ACIBAABkcnMvZTJvRG9jLnhtbFBLBQYAAAAABgAGAFkBAAChBQAAAAA=&#10;">
                        <v:fill on="f" focussize="0,0"/>
                        <v:stroke color="#000000" joinstyle="round" dashstyle="dash" endarrow="block"/>
                        <v:imagedata o:title=""/>
                        <o:lock v:ext="edit" aspectratio="f"/>
                      </v:shape>
                      <v:rect id="Rectangle 55" o:spid="_x0000_s1026" o:spt="1" style="position:absolute;left:3380459;top:4323330;height:2782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DX5CLKPwIAAJUEAAAOAAAAZHJzL2Uyb0RvYy54bWytVE2P&#10;0zAQvSPxHyzfadK0Zduo6WrVqghpgRULP8B1nMbCX4zdpuXXM3bSpbtw2AM5RON4/Oa9N54sb09a&#10;kaMAL62p6HiUUyIMt7U0+4p+/7Z9N6fEB2ZqpqwRFT0LT29Xb98sO1eKwrZW1QIIghhfdq6ibQiu&#10;zDLPW6GZH1knDG42FjQLuIR9VgPrEF2rrMjz91lnoXZgufAev276TTogwmsAbdNILjaWH7QwoUcF&#10;oVhASb6VztNVYts0gocvTeNFIKqiqDSkNxbBeBff2WrJyj0w10o+UGCvofBCk2bSYNEnqA0LjBxA&#10;/gWlJQfrbRNG3OqsF5IcQRXj/IU3jy1zImlBq717Mt3/P1j++fgARNYVnc6x8YZpbPlXtI2ZvRJk&#10;NosOdc6XmPjoHiBq9O7e8h+eGLtuMU3cAdiuFaxGXuOYnz07EBcej5Jd98nWCM8OwSazTg3oCIg2&#10;kFNFJ5N5Pp0tKDkjm0kxmUyG/ohTIBwTFrPFdHxDCceE4mZe5EWqxsoLkAMfPgirSQwqCqgjFWLH&#10;ex8iMVZeUpIQq2S9lUqlBex3awXkyPCqbNMzoPvrNGVIF5kUs4T8bM9fQ+Tp+RdEpLBhvu1L1RjF&#10;LFZqGXCylNQVnV8fVmawNLrYdyOcdqehMTtbn9FcsP3dxsnGoLXwi5IO73VF/c8DA0GJ+miwQXEI&#10;LgFcgt0lYIbj0YryAJT0i3Xox+XgQO5bxB4n4cbeYRsbmWyNLe55DEzxtia3h8mK43C9Tll//ia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8lTXXAAAABgEAAA8AAAAAAAAAAQAgAAAAIgAAAGRy&#10;cy9kb3ducmV2LnhtbFBLAQIUABQAAAAIAIdO4kDX5CLKPwIAAJUEAAAOAAAAAAAAAAEAIAAAACYB&#10;AABkcnMvZTJvRG9jLnhtbFBLBQYAAAAABgAGAFkBAADXBQ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5053;top:4462431;flip:y;height:600;width:325406;"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4mAbLRICAAASBAAADgAAAGRycy9lMm9Eb2MueG1srVNNbxshEL1X&#10;6n9A3Otdf6wVr7yOIrvpJW0tJc0dA7uLCgwC7LX/fQfWStL0kkP3gGDnzZt5j2F9ezaanKQPCmxD&#10;p5OSEmk5CGW7hv56uv9yQ0mIzAqmwcqGXmSgt5vPn9aDq+UMetBCeoIkNtSDa2gfo6uLIvBeGhYm&#10;4KTFYAvesIhH3xXCswHZjS5mZbksBvDCeeAyBPy7G4P0yug/Qghtq7jcAT8aaePI6qVmESWFXrlA&#10;N7nbtpU8/mzbICPRDUWlMa9YBPeHtBabNas7z1yv+LUF9pEW3mkyTFks+kK1Y5GRo1f/UBnFPQRo&#10;44SDKUYh2RFUMS3fefPYMyezFrQ6uBfTw/+j5T9Oe0+UaOjiZkWJZQav/O4YIdcmy1VyaHChRuDW&#10;7n3SyM/20T0A/x2IhW3PbCcz+uniMHmaMoq/UtIhOKxzGL6DQAzDAtmuc+sNabVyzykxkaMl5NzQ&#10;eVlVZTWn5IKdLZazxTzzslqeI+EJMKsW5ZISjoBlmS+yYHXiSyzOh/hNgiFp09AQPVNdH7dgLY4E&#10;+LEWOz2EmLp9TUjJFu6V1nkytCVDQ1fVrMrNBdBKpGCCBd8dttqTE0uzlb8sHSNvYamDHQv9iBO4&#10;G4fOw9GKXCQypb9aQWL2L3qFjmpJU2UjBSVa4kNNu7FVba/+JkvHyzmAuOx9CiercVSyputYp1l8&#10;e86o16e8+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SA00gAAAAYBAAAPAAAAAAAAAAEAIAAA&#10;ACIAAABkcnMvZG93bnJldi54bWxQSwECFAAUAAAACACHTuJA4mAbLRICAAASBAAADgAAAAAAAAAB&#10;ACAAAAAhAQAAZHJzL2Uyb0RvYy54bWxQSwUGAAAAAAYABgBZAQAApQUAAAAA&#10;">
                        <v:fill on="f" focussize="0,0"/>
                        <v:stroke color="#000000" joinstyle="round" dashstyle="dash" endarrow="block"/>
                        <v:imagedata o:title=""/>
                        <o:lock v:ext="edit" aspectratio="f"/>
                      </v:shape>
                      <v:rect id="Rectangle 55" o:spid="_x0000_s1026" o:spt="1" style="position:absolute;left:3418560;top:5868341;height:2775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v+O9XPgIAAJUEAAAOAAAAZHJzL2Uyb0RvYy54bWytVMFu&#10;2zAMvQ/YPwi6r06yuE2NOkWRoMOAbivW7QMUWY6FSaJGKXG6rx8lO13a7dDDfDBIi3p671H01fXB&#10;GrZXGDS4mk/PJpwpJ6HRblvz799u3y04C1G4RhhwquaPKvDr5ds3V72v1Aw6MI1CRiAuVL2veRej&#10;r4oiyE5ZEc7AK0eLLaAVkVLcFg2KntCtKWaTyXnRAzYeQaoQ6Ot6WOQjIr4GENpWS7UGubPKxQEV&#10;lRGRJIVO+8CXmW3bKhm/tG1QkZmak9KY33QIxZv0LpZXotqi8J2WIwXxGgovNFmhHR36BLUWUbAd&#10;6r+grJYIAdp4JsEWg5DsCKmYTl5489AJr7IWsjr4J9PD/4OVn/f3yHRT8/kleeKEpZZ/JduE2xrF&#10;yjI51PtQUeGDv8ekMfg7kD8Cc7DqqEzdIELfKdEQr2mqL55tSEmgrWzTf4KG4MUuQjbr0KJNgGQD&#10;O9T8/Xy6KM+JxWPNy8X5gvKhP+oQmaSCy/JyPr3gTFLB7OKinMzyaaI6AnkM8YMCy1JQcyQd+SCx&#10;vwsxERPVsSQLAaObW21MTnC7WRlke0FX5TY/I3o4LTOO9YnJrMzIz9bCKcQkP/+CSBTWInTDUQ1F&#10;g0yrI02W0bbmi9PNxo2WJheHbsTD5jA2ZgPNI5mLMNxtmmwKOsBfnPV0r2sefu4EKs7MR0cNSkNw&#10;DPAYbI6BcJK21lxG5GxIVnEYl51Hve0Ie5qFO7ihNrY625paPPAYmdJtzW6Pk5XG4TTPVX/+J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DyVNdcAAAAGAQAADwAAAAAAAAABACAAAAAiAAAAZHJz&#10;L2Rvd25yZXYueG1sUEsBAhQAFAAAAAgAh07iQC/471c+AgAAlQQAAA4AAAAAAAAAAQAgAAAAJgEA&#10;AGRycy9lMm9Eb2MueG1sUEsFBgAAAAAGAAYAWQEAANYFA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窑炉烟气</w:t>
                              </w:r>
                            </w:p>
                          </w:txbxContent>
                        </v:textbox>
                      </v:rect>
                      <v:rect id="Rectangle 55" o:spid="_x0000_s1026" o:spt="1" style="position:absolute;left:3370859;top:4849034;height:277502;width:9595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MS/BVPwIAAJUEAAAOAAAAZHJzL2Uyb0RvYy54bWytVNuO&#10;0zAQfUfiHyy/06SX0DZqulq1KkJaYMXCB7iO01j4xthtunw9YyddugsP+0AeonE8PnPOGU9WN2et&#10;yEmAl9ZUdDzKKRGG21qaQ0W/f9u9W1DiAzM1U9aIij4KT2/Wb9+sOleKiW2tqgUQBDG+7FxF2xBc&#10;mWWet0IzP7JOGNxsLGgWcAmHrAbWIbpW2STP32edhdqB5cJ7/LrtN+mACK8BtE0judhaftTChB4V&#10;hGIBJflWOk/XiW3TCB6+NI0XgaiKotKQ3lgE4318Z+sVKw/AXCv5QIG9hsILTZpJg0WfoLYsMHIE&#10;+ReUlhyst00YcauzXkhyBFWM8xfePLTMiaQFrfbuyXT//2D559M9EFlXdLYcU2KYxpZ/RduYOShB&#10;iiI61DlfYuKDu4eo0bs7y394YuymxTRxC2C7VrAaeY1jfvbsQFx4PEr23SdbIzw7BpvMOjegIyDa&#10;QM4VnU7n+aJYUvKIbBazZT6d9f0R50A4JiyLZTGeU8IxYTKfF/kkVWPlBciBDx+E1SQGFQXUkQqx&#10;050PkRgrLylJiFWy3kml0gIO+40CcmJ4VXbpGdD9dZoypItMJkVCfrbnryHy9PwLIlLYMt/2pWqM&#10;eplaBpwsJXVFF9eHlRksjS723Qjn/XlozN7Wj2gu2P5u42Rj0Fr4RUmH97qi/ueRgaBEfTTYoDgE&#10;lwAuwf4SMMPxaEV5AEr6xSb043J0IA8tYo+TcGNvsY2NTLbGFvc8BqZ4W5Pbw2TFcbhep6w/f5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8lTXXAAAABgEAAA8AAAAAAAAAAQAgAAAAIgAAAGRy&#10;cy9kb3ducmV2LnhtbFBLAQIUABQAAAAIAIdO4kAMS/BVPwIAAJUEAAAOAAAAAAAAAAEAIAAAACYB&#10;AABkcnMvZTJvRG9jLnhtbFBLBQYAAAAABgAGAFkBAADXBQ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5053;top:4986935;height:900;width:315806;" filled="f" stroked="t" coordsize="21600,21600" o:gfxdata="UEsDBAoAAAAAAIdO4kAAAAAAAAAAAAAAAAAEAAAAZHJzL1BLAwQUAAAACACHTuJA9t1DINMAAAAG&#10;AQAADwAAAGRycy9kb3ducmV2LnhtbE2PO0/EMBCEeyT+g7VIdJzt8DpCnCu4o6LioKDci5ck4Eew&#10;fQ/+PQvN0Yy0mtHMt83i4J3YUcpjDAb0TIGg0EU7ht7A68vjxRxELhgsuhjIwDdlWLSnJw3WNu7D&#10;M+3WpRdcEnKNBoZSplrK3A3kMc/iRIG995g8Fj5TL23CPZd7JyulbqTHMfDCgBM9DNR9rrfewF3n&#10;V1V5e3L4tfxYJl3UtaxWxpyfaXUPotChHMPwi8/o0DLTJm6DzcIZ4EfKn7I31/oKxIZD+vJWgWwb&#10;+R+//QFQSwMEFAAAAAgAh07iQA7YDK8KAgAACAQAAA4AAABkcnMvZTJvRG9jLnhtbK1TTY/bIBC9&#10;V+p/QNwbO0kdJVacVZV0e9m2kXb3BxDANiowCEic/PsOOPvR7WUP6wMCz5s38x7D+uZsNDlJHxTY&#10;hk4nJSXSchDKdg19fLj9sqQkRGYF02BlQy8y0JvN50/rwdVyBj1oIT1BEhvqwTW0j9HVRRF4Lw0L&#10;E3DSYrAFb1jEo+8K4dmA7EYXs7JcFAN44TxwGQL+3Y1BemX07yGEtlVc7oAfjbRxZPVSs4iSQq9c&#10;oJvcbdtKHn+3bZCR6Iai0phXLIL7Q1qLzZrVnWeuV/zaAntPC280GaYsFn2m2rHIyNGr/6iM4h4C&#10;tHHCwRSjkOwIqpiWb7y575mTWQtaHdyz6eHjaPmv094TJRr6dTWnxDKDV/7tGCHXJotVcmhwoUbg&#10;1u590sjP9t7dAf8TiIVtz2wnM/rh4jB5mjKKf1LSITiscxh+gkAMwwLZrnPrTaJEI8i5ofOyqsoK&#10;+7ikfpaL1bwab0ieI+EJMK2W5YISjoBVma+vYPUTi/Mh/pBgSNo0NETPVNfHLViLgwB+mmuy012I&#10;qUdWPyWkFizcKq3zPGhLBuSvZlVOCKCVSMEEC747bLUnJ5YmKn9ZMEZewxLzjoV+xAncjUI8HK3I&#10;RSJT+rsVJGbXolfoo5Y0VTZSUKIlPs+0G1vV9upqMnK8kgOIy96ncDIYByRrug5zmsDX54x6ecCb&#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bdQyDTAAAABgEAAA8AAAAAAAAAAQAgAAAAIgAAAGRy&#10;cy9kb3ducmV2LnhtbFBLAQIUABQAAAAIAIdO4kAO2AyvCgIAAAgEAAAOAAAAAAAAAAEAIAAAACIB&#10;AABkcnMvZTJvRG9jLnhtbFBLBQYAAAAABgAGAFkBAACeBQAAAAA=&#10;">
                        <v:fill on="f" focussize="0,0"/>
                        <v:stroke color="#000000" joinstyle="round" dashstyle="dash" endarrow="block"/>
                        <v:imagedata o:title=""/>
                        <o:lock v:ext="edit" aspectratio="f"/>
                      </v:shape>
                      <v:shape id="AutoShape 69" o:spid="_x0000_s1026" o:spt="32" type="#_x0000_t32" style="position:absolute;left:3055053;top:6006042;height:900;width:363506;" filled="f" stroked="t" coordsize="21600,21600" o:gfxdata="UEsDBAoAAAAAAIdO4kAAAAAAAAAAAAAAAAAEAAAAZHJzL1BLAwQUAAAACACHTuJA9t1DINMAAAAG&#10;AQAADwAAAGRycy9kb3ducmV2LnhtbE2PO0/EMBCEeyT+g7VIdJzt8DpCnCu4o6LioKDci5ck4Eew&#10;fQ/+PQvN0Yy0mtHMt83i4J3YUcpjDAb0TIGg0EU7ht7A68vjxRxELhgsuhjIwDdlWLSnJw3WNu7D&#10;M+3WpRdcEnKNBoZSplrK3A3kMc/iRIG995g8Fj5TL23CPZd7JyulbqTHMfDCgBM9DNR9rrfewF3n&#10;V1V5e3L4tfxYJl3UtaxWxpyfaXUPotChHMPwi8/o0DLTJm6DzcIZ4EfKn7I31/oKxIZD+vJWgWwb&#10;+R+//QFQSwMEFAAAAAgAh07iQBCl4rULAgAACAQAAA4AAABkcnMvZTJvRG9jLnhtbK1TTY/bIBC9&#10;V+p/QNwbOx+OGivOqkq6vWzbSLv7AwhgGxUYBCRO/n0HnP3o9rKH9QGB582beY9hfXM2mpykDwps&#10;Q6eTkhJpOQhlu4Y+Ptx++UpJiMwKpsHKhl5koDebz5/Wg6vlDHrQQnqCJDbUg2toH6OriyLwXhoW&#10;JuCkxWAL3rCIR98VwrMB2Y0uZmW5LAbwwnngMgT8uxuD9Mro30MIbau43AE/GmnjyOqlZhElhV65&#10;QDe527aVPP5u2yAj0Q1FpTGvWAT3h7QWmzWrO89cr/i1BfaeFt5oMkxZLPpMtWORkaNX/1EZxT0E&#10;aOOEgylGIdkRVDEt33hz3zMnsxa0Orhn08PH0fJfp70nSjR0sVpQYpnBK/92jJBrk+UqOTS4UCNw&#10;a/c+aeRne+/ugP8JxMK2Z7aTGf1wcZg8TRnFPynpEBzWOQw/QSCGYYFs17n1JlGiEeTc0HlZVWU1&#10;p+TS0CXOSrmYjTckz5HwBFjOq3JJCUfAqszXV7D6icX5EH9IMCRtGhqiZ6rr4xasxUEAP8012eku&#10;xNQjq58SUgsWbpXWeR60JQPyV7MqJwTQSqRgggXfHbbakxNLE5W/LBgjr2GJecdCP+IE7kYhHo5W&#10;5CKRKf3dChKza9Er9FFLmiobKSjREp9n2o2tant1NRk5XskBxGXvUzgZjAOSNV2HOU3g63NGvTzg&#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3UMg0wAAAAYBAAAPAAAAAAAAAAEAIAAAACIAAABk&#10;cnMvZG93bnJldi54bWxQSwECFAAUAAAACACHTuJAEKXitQsCAAAIBAAADgAAAAAAAAABACAAAAAi&#10;AQAAZHJzL2Uyb0RvYy54bWxQSwUGAAAAAAYABgBZAQAAnwUAAAAA&#10;">
                        <v:fill on="f" focussize="0,0"/>
                        <v:stroke color="#000000" joinstyle="round" dashstyle="dash" endarrow="block"/>
                        <v:imagedata o:title=""/>
                        <o:lock v:ext="edit" aspectratio="f"/>
                      </v:shape>
                      <v:rect id="Rectangle 55" o:spid="_x0000_s1026" o:spt="1" style="position:absolute;left:713412;top:6392844;height:2769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CC+j28QAIAAJQEAAAOAAAAZHJzL2Uyb0RvYy54bWytVE1v&#10;2zAMvQ/YfxB0Xxy7SZoYcYoiQYYB3Vqs2w9QZDkWpq9RSpzu14+SnS7tduhhOgikRT3yPYpe3py0&#10;IkcBXlpT0Xw0pkQYbmtp9hX9/m37YU6JD8zUTFkjKvokPL1ZvX+37FwpCttaVQsgCGJ82bmKtiG4&#10;Mss8b4VmfmSdMHjYWNAsoAv7rAbWIbpWWTEez7LOQu3AcuE9ft30h3RAhLcA2qaRXGwsP2hhQo8K&#10;QrGAlHwrnaerVG3TCB7um8aLQFRFkWlIOyZBexf3bLVk5R6YayUfSmBvKeEVJ82kwaTPUBsWGDmA&#10;/AtKSw7W2yaMuNVZTyQpgizy8SttHlvmROKCUnv3LLr/f7D8y/EBiKwrOllMKTFMY8u/omzM7JUg&#10;02lUqHO+xMBH9wCRo3d3lv/wxNh1i2HiFsB2rWA11pXH+OzFheh4vEp23WdbIzw7BJvEOjWgIyDK&#10;QE4Vvc6vJnlByVNFZ1eLYj6Z9O0Rp0A4ni+mi0l+TQnHgOJ6thgXKRkrzzgOfPgorCbRqCggjZSH&#10;He98iHWx8hySeFgl661UKjmw360VkCPDl7JNa0D3l2HKkC5WUkwT8oszfwkxTutfELGEDfNtn6pG&#10;q6epZcDBUlJXdH55WZlB0Shi34xw2p2Gvuxs/YTagu2fNg42Gq2FX5R0+Kwr6n8eGAhK1CeD/Ykz&#10;cDbgbOzOBjMcr1aUB6Ckd9ahn5aDA7lvETtPxI29xS42MskaO9zXMVSKjzWpPQxWnIZLP0X9+Zm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PJU11wAAAAYBAAAPAAAAAAAAAAEAIAAAACIAAABk&#10;cnMvZG93bnJldi54bWxQSwECFAAUAAAACACHTuJAgvo9vEACAACUBAAADgAAAAAAAAABACAAAAAm&#10;AQAAZHJzL2Uyb0RvYy54bWxQSwUGAAAAAAYABgBZAQAA2AU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热烟气</w:t>
                              </w:r>
                            </w:p>
                          </w:txbxContent>
                        </v:textbox>
                      </v:rect>
                      <v:shape id="AutoShape 69" o:spid="_x0000_s1026" o:spt="32" type="#_x0000_t32" style="position:absolute;left:1672829;top:6530045;flip:x;height:1200;width:422607;"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PEUw8RICAAATBAAADgAAAGRycy9lMm9Eb2MueG1srVPRbtsgFH2f&#10;tH9AvK92vMRtrDjVlKzbQ9dFavcBBLCNBlwEJE7+fhcctWv30of5wQJz7jn3HK5XtyejyVH6oMC2&#10;dHZVUiItB6Fs39JfT3efbigJkVnBNFjZ0rMM9Hb98cNqdI2sYAAtpCdIYkMzupYOMbqmKAIfpGHh&#10;Cpy0eNiBNyzi1veF8GxEdqOLqizrYgQvnAcuQ8Cv2+mQXhj9ewih6xSXW+AHI22cWL3ULKKlMCgX&#10;6Dp323WSx59dF2QkuqXoNOY3iuB6n97FesWa3jM3KH5pgb2nhTeeDFMWRZ+ptiwycvDqHyqjuIcA&#10;XbziYIrJSE4EXczKN9k8DszJ7AWjDu459PD/aPnDceeJEi2dL2tKLDN45V8OEbI2qZcpodGFBoEb&#10;u/PJIz/ZR3cP/HcgFjYDs73M6Kezw+JZqihelaRNcKizH3+AQAxDgRzXqfOGdFq576kwkWMk5ISb&#10;+rq6qZaUnFtaLz6X5Xwx3ZU8RcIRMK+qurymhCNghnOVVVmTCBON8yF+k2BIWrQ0RM9UP8QNWIsz&#10;AX4SY8f7EFO7LwWp2MKd0jqPhrZkbOlyUS1ydwG0EukwwYLv9xvtyZGl4crPpYtXsNTBloVhwglc&#10;TU48HKzIIpEp/dUKEnOA0SuMVEualI0UlGiJf2paTa1qewk4ZTrdzh7EeefTccoaZyV7usx1Gsa/&#10;9xn18i+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SA00gAAAAYBAAAPAAAAAAAAAAEAIAAA&#10;ACIAAABkcnMvZG93bnJldi54bWxQSwECFAAUAAAACACHTuJAPEUw8RICAAATBAAADgAAAAAAAAAB&#10;ACAAAAAhAQAAZHJzL2Uyb0RvYy54bWxQSwUGAAAAAAYABgBZAQAApQUAAAAA&#10;">
                        <v:fill on="f" focussize="0,0"/>
                        <v:stroke color="#000000" joinstyle="round" dashstyle="dash" endarrow="block"/>
                        <v:imagedata o:title=""/>
                        <o:lock v:ext="edit" aspectratio="f"/>
                      </v:shape>
                      <v:rect id="Rectangle 55" o:spid="_x0000_s1026" o:spt="1" style="position:absolute;left:3380459;top:3799426;height:277502;width:9594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oBAUSQAIAAJUEAAAOAAAAZHJzL2Uyb0RvYy54bWytVMtu&#10;2zAQvBfoPxC8N5IdO46FyEEQI0WBPoKm/QCaoiyiJJdd0pbTr++SklMn7SGH6iAsxeXszCxXV9cH&#10;a9heYdDgaj45KzlTTkKj3bbm37/dvbvkLEThGmHAqZo/qsCvV2/fXPW+UlPowDQKGYG4UPW+5l2M&#10;viqKIDtlRTgDrxxttoBWRFritmhQ9IRuTTEty4uiB2w8glQh0Nf1sMlHRHwNILStlmoNcmeViwMq&#10;KiMiSQqd9oGvMtu2VTJ+adugIjM1J6Uxv6kIxZv0LlZXotqi8J2WIwXxGgovNFmhHRV9glqLKNgO&#10;9V9QVkuEAG08k2CLQUh2hFRMyhfePHTCq6yFrA7+yfTw/2Dl5/09Mt3UfLZccOaEpZZ/JduE2xrF&#10;5vPkUO9DRYkP/h6TxuA/gvwRmIPbjtLUDSL0nRIN8Zqk/OLZgbQIdJRt+k/QELzYRchmHVq0CZBs&#10;YIean59flrP5krNHihfL5Wx6MfRHHSKTlLCcL2cTYikpYbpYzMtpriaqI5DHEN8rsCwFNUfSkQuJ&#10;/ccQEzFRHVOyEDC6udPG5AVuN7cG2V7QVbnLz4geTtOMY31iMp1n5Gd74RSizM+/IBKFtQjdUKqh&#10;aJBpdaTJMtrW/PL0sHGjpcnFoRvxsDmMjdlA80jmIgx3myabgg7wF2c93euah587gYoz88FRg9IQ&#10;HAM8BptjIJykozWXETkbFrdxGJedR73tCHuShTu4oTa2OtuaWjzwGJnSbc1uj5OVxuF0nbP+/E1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PJU11wAAAAYBAAAPAAAAAAAAAAEAIAAAACIAAABk&#10;cnMvZG93bnJldi54bWxQSwECFAAUAAAACACHTuJAKAQFEkACAACVBAAADgAAAAAAAAABACAAAAAm&#10;AQAAZHJzL2Uyb0RvYy54bWxQSwUGAAAAAAYABgBZAQAA2AU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噪声</w:t>
                              </w:r>
                            </w:p>
                          </w:txbxContent>
                        </v:textbox>
                      </v:rect>
                      <v:shape id="AutoShape 69" o:spid="_x0000_s1026" o:spt="32" type="#_x0000_t32" style="position:absolute;left:3055053;top:3938127;flip:y;height:1100;width:325406;"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ND3NPBICAAATBAAADgAAAGRycy9lMm9Eb2MueG1srVPBbtswDL0P&#10;2D8Iui+2k7prjDjFkKy7dGuAdrsrkmwLk0RBUuLk70fJQdt1lx7mg0CZ5CPfI7W6PRlNjtIHBbal&#10;1aykRFoOQtm+pT+f7j7dUBIis4JpsLKlZxno7frjh9XoGjmHAbSQniCIDc3oWjrE6JqiCHyQhoUZ&#10;OGnR2YE3LOLV94XwbER0o4t5WV4XI3jhPHAZAv7dTk56QfTvAYSuU1xugR+MtHFC9VKziJTCoFyg&#10;69xt10keH7ouyEh0S5FpzCcWQXufzmK9Yk3vmRsUv7TA3tPCG06GKYtFn6G2LDJy8OofKKO4hwBd&#10;nHEwxUQkK4IsqvKNNo8DczJzQamDexY9/D9Y/uO480SJll4tcfCWGRz5l0OEXJtcL5NCowsNBm7s&#10;zieO/GQf3T3w34FY2AzM9jJHP50dJlcpo/grJV2Cwzr78TsIjGFYIMt16rwhnVbuV0pM4CgJObV0&#10;UdZ1WS8oOaO9XNxU88/TrOQpEp4C5vVVeU0Jx4CqKvMkC9YkwATjfIjfJBiSjJaG6Jnqh7gBa3En&#10;wE/F2PE+xNTuS0JKtnCntM6roS0ZW7qs53XuLoBWIjlTWPD9fqM9ObK0XPnL3NHzOix1sGVhmOIE&#10;WhMTDwcrcpHIlP5qBYlZwOgVSqolTZWNFJRoiS81WVOr2l4ETppO09mDOO98cietcVcyp8tep2V8&#10;fc9RL295/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SA00gAAAAYBAAAPAAAAAAAAAAEAIAAA&#10;ACIAAABkcnMvZG93bnJldi54bWxQSwECFAAUAAAACACHTuJAND3NPBICAAATBAAADgAAAAAAAAAB&#10;ACAAAAAhAQAAZHJzL2Uyb0RvYy54bWxQSwUGAAAAAAYABgBZAQAApQUAAAAA&#10;">
                        <v:fill on="f" focussize="0,0"/>
                        <v:stroke color="#000000" joinstyle="round" dashstyle="dash" endarrow="block"/>
                        <v:imagedata o:title=""/>
                        <o:lock v:ext="edit" aspectratio="f"/>
                      </v:shape>
                      <v:rect id="Rectangle 55" o:spid="_x0000_s1026" o:spt="1" style="position:absolute;left:618111;top:3799426;height:277502;width:959517;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Bo+yILPwIAAJQEAAAOAAAAZHJzL2Uyb0RvYy54bWytVMFu&#10;2zAMvQ/YPwi6r46zpkmMOkXRoMOAbivW7QMUWY6FSaJGKXG6rx8lO13a7dDDdBBIi3rkexR9eXWw&#10;hu0VBg2u5uXZhDPlJDTabWv+/dvtuwVnIQrXCANO1fxRBX61evvmsveVmkIHplHICMSFqvc172L0&#10;VVEE2Skrwhl45eiwBbQikovbokHRE7o1xXQyuSh6wMYjSBUCfV0Ph3xExNcAQttqqdYgd1a5OKCi&#10;MiISpdBpH/gqV9u2SsYvbRtUZKbmxDTmnZKQvUl7sboU1RaF77QcSxCvKeEFJyu0o6RPUGsRBduh&#10;/gvKaokQoI1nEmwxEMmKEIty8kKbh054lbmQ1ME/iR7+H6z8vL9Hppuany+XnDlhqeVfSTbhtkax&#10;2Swp1PtQUeCDv8fEMfg7kD8Cc3DTUZi6RoS+U6KhusoUXzy7kJxAV9mm/wQNwYtdhCzWoUWbAEkG&#10;dqj5Rbkoy5Kzx5q/ny+X59OLoT3qEJmk8+VsOSvnnEkKmM7ns8k0JxPVEcdjiB8UWJaMmiPRyHnE&#10;/i7EVJeojiGZBxjd3GpjsoPbzY1Bthf0Um7zGtHDaZhxrE+VTGcZ+dlZOIWY5PUviFTCWoRuSNWQ&#10;NdC0OtJgGW1rvji9bNyoaBJxaEY8bA5jXzbQPJK2CMPTpsEmowP8xVlPz7rm4edOoOLMfHTUnzQD&#10;RwOPxuZoCCfpas1lRM4G5yYO07LzqLcdYZeZuINr6mKrs6ypw0MdY6X0WLPa42ClaTj1c9Sfn8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8lTXXAAAABgEAAA8AAAAAAAAAAQAgAAAAIgAAAGRy&#10;cy9kb3ducmV2LnhtbFBLAQIUABQAAAAIAIdO4kBo+yILPwIAAJQEAAAOAAAAAAAAAAEAIAAAACYB&#10;AABkcnMvZTJvRG9jLnhtbFBLBQYAAAAABgAGAFkBAADXBQ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废坯</w:t>
                              </w:r>
                            </w:p>
                          </w:txbxContent>
                        </v:textbox>
                      </v:rect>
                      <v:shape id="连接符: 肘形 203" o:spid="_x0000_s1026" o:spt="33" type="#_x0000_t33" style="position:absolute;left:1097819;top:4076828;height:910006;width:997717;rotation:11796480f;" filled="f" stroked="t" coordsize="21600,21600" o:gfxdata="UEsDBAoAAAAAAIdO4kAAAAAAAAAAAAAAAAAEAAAAZHJzL1BLAwQUAAAACACHTuJAt8z+X9UAAAAG&#10;AQAADwAAAGRycy9kb3ducmV2LnhtbE2OPU/DMBRFdyT+g/WQWCpqGxCkIU6HAhILA6VLNzd+JFH9&#10;EWynCf+eBwssT7q6R/edaj07y04YUx+8ArkUwNA3wfS+VbB7f74qgKWsvdE2eFTwhQnW9flZpUsT&#10;Jv+Gp21uGY34VGoFXc5DyXlqOnQ6LcOAnrqPEJ3OFGPLTdQTjTvLr4W44073nj50esBNh81xOzoF&#10;YnhZ5eNj0TyN86vdT7vFJn4ulLq8kOIBWMY5/8Hwo0/qUJPTIYzeJGZpg7jfS10h5S2wA0Hy5l4A&#10;ryv+X7/+BlBLAwQUAAAACACHTuJA1vMFTjYCAAAsBAAADgAAAGRycy9lMm9Eb2MueG1srVNLjhMx&#10;EN0jcQfLe9Ldgfxa6cwiYdgMEGmGAzhud9rCdlm2k062HIA1KxZIw4orIE4DzDEou6MZZtjMAi8s&#10;f6pevfdcnp8dtCJ74bwEU9FikFMiDIdamm1F312dP5tS4gMzNVNgREWPwtOzxdMn886WYggtqFo4&#10;giDGl52taBuCLbPM81Zo5gdghcHLBpxmAbdum9WOdYiuVTbM83HWgautAy68x9NVf0lPiO4xgNA0&#10;kosV8J0WJvSoTigWUJJvpfV0kdg2jeDhbdN4EYiqKCoNacYiuN7EOVvMWbl1zLaSnyiwx1B4oEkz&#10;abDoLdSKBUZ2Tv4DpSV34KEJAw4664UkR1BFkT/w5rJlViQtaLW3t6b7/wfL3+zXjsi6oqMcPTFM&#10;45Pf/Pj86+P1729fS3Lz4dPP71/IMH8ereqsLzFjadYuiuUHc2kvgL/3xMCyZWYrEuWro0WUImZk&#10;91LixlssuOleQ40xbBcg+XZonCYO8H2KfJrHkY7RIHKIZ7PJtJhRcqzoi3wyng6n/cuJQyAcA2az&#10;yaSYUMIxYFZg9jgVZ2XEjVSt8+GVAE3ioqIb7JslGIP9AW6YSrH9hQ+R8V1wTDRwLpVKbaIM6RB+&#10;NBylBA9K1vEyhnm33SyVI3sWGy2NE4N7YbH6ivm2j6tx1evQMuCnUlJX9KQ+VQxMqpemJiEZGpxE&#10;i5WgkYYWNSVK4BeOq563MifDo8f9a22gPq5dvI7eYxMlgaeGj1369z5F3X3y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zP5f1QAAAAYBAAAPAAAAAAAAAAEAIAAAACIAAABkcnMvZG93bnJldi54&#10;bWxQSwECFAAUAAAACACHTuJA1vMFTjYCAAAsBAAADgAAAAAAAAABACAAAAAkAQAAZHJzL2Uyb0Rv&#10;Yy54bWxQSwUGAAAAAAYABgBZAQAAzAUAAAAA&#10;">
                        <v:fill on="f" focussize="0,0"/>
                        <v:stroke color="#000000" miterlimit="8" joinstyle="miter" dashstyle="dash" endarrow="block"/>
                        <v:imagedata o:title=""/>
                        <o:lock v:ext="edit" aspectratio="f"/>
                      </v:shape>
                      <v:shape id="连接符: 肘形 220" o:spid="_x0000_s1026" o:spt="33" type="#_x0000_t33" style="position:absolute;left:1137125;top:2841014;flip:x y;height:997617;width:919006;rotation:5898240f;" filled="f" stroked="t" coordsize="21600,21600" o:gfxdata="UEsDBAoAAAAAAIdO4kAAAAAAAAAAAAAAAAAEAAAAZHJzL1BLAwQUAAAACACHTuJA2V2eodUAAAAG&#10;AQAADwAAAGRycy9kb3ducmV2LnhtbE2PzU7DMBCE70i8g7VI3KidUkEU4lSoEuLEoYULNyfe/Ih4&#10;HWy3Sd++Cxe4jLSa0cy35XZxozhhiIMnDdlKgUBqvB2o0/Dx/nKXg4jJkDWjJ9Rwxgjb6vqqNIX1&#10;M+3xdEid4BKKhdHQpzQVUsamR2fiyk9I7LU+OJP4DJ20wcxc7ka5VupBOjMQL/Rmwl2Pzdfh6DTM&#10;32+h3dXLunXz5/lVdvnztM+1vr3J1BOIhEv6C8MPPqNDxUy1P5KNYtTAj6RfZS/Psg2ImkPZ/aMC&#10;WZXyP351AVBLAwQUAAAACACHTuJAMOiIU0ICAAA/BAAADgAAAGRycy9lMm9Eb2MueG1srVPNbhMx&#10;EL4j8Q6W73R/aNpklU0PCYVDgUgt3B2vN2theyzbzSZXHoAzJw5IcOIVEE8D9DEYe6OUlksP7MGa&#10;2Rl/M9/nmenZViuyEc5LMDUtjnJKhOHQSLOu6Zur8ydjSnxgpmEKjKjpTnh6Nnv8aNrbSpTQgWqE&#10;IwhifNXbmnYh2CrLPO+EZv4IrDAYbMFpFtB166xxrEd0rbIyz0+yHlxjHXDhPf5dDEG6R3QPAYS2&#10;lVwsgF9rYcKA6oRiASn5TlpPZ6nbthU8vG5bLwJRNUWmIZ1YBO1VPLPZlFVrx2wn+b4F9pAW7nHS&#10;TBoseoBasMDItZP/QGnJHXhowxEHnQ1EkiLIosjvaXPZMSsSF5Ta24Po/v/B8lebpSOyqekoLygx&#10;TOOT3/z49OvDl9/fvlbk5v3Hn98/k7JMUvXWV3hjbpYukuVbc2kvgL/zxMC8Y2YtUstXO4soRRQ3&#10;u3MlOt5iwVX/EhrMYdcBkm7b1mniAN9ndJzHj5JWSfsiwiTrbbRiUdSMbNEpnp4W5YiSXU3L8XGR&#10;F8fDY4ptIBwTJsUEp40SjgmTyelJcZr6YVUsFYGs8+G5AE2iUdMVjtIcjMGRAVemUmxz4UMkcZsc&#10;Lxo4l0qlyVGG9Ag/wkZixIOSTQwmx61Xc+XIhsXZG0gNYHfSYvUF892Q16A18NAy4J4pqWs6Plxm&#10;VWBSPTMNCUnj4CSqrgSNbWjRUKIEbnW0hlLK7N8gyh63wlcraHZLF8PRw7lKBPc7EAf3bz9l3e79&#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XZ6h1QAAAAYBAAAPAAAAAAAAAAEAIAAAACIAAABk&#10;cnMvZG93bnJldi54bWxQSwECFAAUAAAACACHTuJAMOiIU0ICAAA/BAAADgAAAAAAAAABACAAAAAk&#10;AQAAZHJzL2Uyb0RvYy54bWxQSwUGAAAAAAYABgBZAQAA2AUAAAAA&#10;">
                        <v:fill on="f" focussize="0,0"/>
                        <v:stroke color="#000000" miterlimit="8" joinstyle="miter" dashstyle="dash" endarrow="block"/>
                        <v:imagedata o:title=""/>
                        <o:lock v:ext="edit" aspectratio="f"/>
                      </v:shape>
                      <v:rect id="Rectangle 55" o:spid="_x0000_s1026" o:spt="1" style="position:absolute;left:3418559;top:6390344;height:277495;width:958850;v-text-anchor:middle;" fillcolor="#FFFFFF" filled="t" stroked="t" coordsize="21600,21600" o:gfxdata="UEsDBAoAAAAAAIdO4kAAAAAAAAAAAAAAAAAEAAAAZHJzL1BLAwQUAAAACACHTuJAmDyVNdcAAAAG&#10;AQAADwAAAGRycy9kb3ducmV2LnhtbE2PwU7DMBBE70j8g7VI3KhtWkGVxqlEJU4cSFIkOLqxG0eN&#10;11Hstilfz8KFXkZazWjmbb6efM9OdoxdQAVyJoBZbILpsFXwsX19WAKLSaPRfUCr4GIjrIvbm1xn&#10;Jpyxsqc6tYxKMGZagUtpyDiPjbNex1kYLJK3D6PXic6x5WbUZyr3PX8U4ol73SEtOD3YjbPNoT56&#10;BeVLLavpez9sLvO3bVmVX+79c6HU/Z0UK2DJTuk/DL/4hA4FMe3CEU1kvQJ6JP0peUspF8B2FJLz&#10;ZwG8yPk1fvEDUEsDBBQAAAAIAIdO4kA+iD5nQQIAAJUEAAAOAAAAZHJzL2Uyb0RvYy54bWytVMFu&#10;2zAMvQ/YPwi6r07SuE2MOEXRoMOAbi3W7QMUWY6FSaJGKXG6rx8lJ13a7dDDfDBIi3p671H04mpv&#10;DdspDBpczcdnI86Uk9Bot6n592+3H2achShcIww4VfMnFfjV8v27Re8rNYEOTKOQEYgLVe9r3sXo&#10;q6IIslNWhDPwytFiC2hFpBQ3RYOiJ3RrislodFH0gI1HkCoE+roaFvkBEd8CCG2rpVqB3Frl4oCK&#10;yohIkkKnfeDLzLZtlYz3bRtUZKbmpDTmNx1C8Tq9i+VCVBsUvtPyQEG8hcIrTVZoR4c+Q61EFGyL&#10;+i8oqyVCgDaeSbDFICQ7QirGo1fePHbCq6yFrA7+2fTw/2Dll90DMt3UfHI55cwJSy3/SrYJtzGK&#10;lWVyqPehosJH/4BJY/B3IH8E5uCmozJ1jQh9p0RDvMapvnixISWBtrJ1/xkaghfbCNmsfYs2AZIN&#10;bF/z8+l4VpZzzp5qfnE+H51Pp0N/1D4ySQXzcjYrqXOSCiaXl9N5ZleI6gjkMcSPCixLQc2RdOSD&#10;xO4uxERMVMeSLASMbm61MTnBzfrGINsJuiq3+claSO9pmXGsT0wmZUZ+sRZOIUb5+RdEorASoRuO&#10;aigaZFodabKMtjWfnW427mBpcnHoRtyv94fGrKF5InMRhrtNk01BB/iLs57udc3Dz61AxZn55KhB&#10;aQiOAR6D9TEQTtLWmsuInA3JTRzGZetRbzrCHmfhDq6pja3OtqYWDzwOTOm2ZrcPk5XG4TTPVX/+&#10;J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DyVNdcAAAAGAQAADwAAAAAAAAABACAAAAAiAAAA&#10;ZHJzL2Rvd25yZXYueG1sUEsBAhQAFAAAAAgAh07iQD6IPmdBAgAAlQQAAA4AAAAAAAAAAQAgAAAA&#10;JgEAAGRycy9lMm9Eb2MueG1sUEsFBgAAAAAGAAYAWQEAANkFAAAAAA==&#10;">
                        <v:fill on="t" focussize="0,0"/>
                        <v:stroke color="#000000" miterlimit="8" joinstyle="miter" dashstyle="dash"/>
                        <v:imagedata o:title=""/>
                        <o:lock v:ext="edit" aspectratio="f"/>
                        <v:textbox inset="0mm,0mm,0mm,0mm">
                          <w:txbxContent>
                            <w:p>
                              <w:pPr>
                                <w:jc w:val="center"/>
                                <w:rPr>
                                  <w:kern w:val="0"/>
                                  <w:sz w:val="24"/>
                                  <w:szCs w:val="24"/>
                                </w:rPr>
                              </w:pPr>
                              <w:r>
                                <w:rPr>
                                  <w:rFonts w:hint="eastAsia"/>
                                  <w:sz w:val="18"/>
                                  <w:szCs w:val="18"/>
                                </w:rPr>
                                <w:t>不合格产品</w:t>
                              </w:r>
                            </w:p>
                          </w:txbxContent>
                        </v:textbox>
                      </v:rect>
                      <v:shape id="AutoShape 69" o:spid="_x0000_s1026" o:spt="32" type="#_x0000_t32" style="position:absolute;left:3054954;top:6529092;flip:y;height:953;width:363605;" filled="f" stroked="t" coordsize="21600,21600" o:gfxdata="UEsDBAoAAAAAAIdO4kAAAAAAAAAAAAAAAAAEAAAAZHJzL1BLAwQUAAAACACHTuJAL9EgNNIAAAAG&#10;AQAADwAAAGRycy9kb3ducmV2LnhtbE2PwU7DMBBE70j8g7VI3KhtQG2VxukBiQNHknyAE2/jiHgd&#10;xW5T+HoWLnAZaTWjmbfl8RomccEljZEM6I0CgdRHN9JgoG1eH/YgUrbk7BQJDXxigmN1e1PawsWV&#10;3vFS50FwCaXCGvA5z4WUqfcYbNrEGYm9U1yCzXwug3SLXbk8TPJRqa0MdiRe8HbGF4/9R30OBmTn&#10;afk6Ne12VW9zu9Zu1wRnzP2dVgcQGa/5Lww/+IwOFTN18UwuickAP5J/lb291s8gOg7pp50CWZXy&#10;P371DVBLAwQUAAAACACHTuJA8JMcYycCAABJBAAADgAAAGRycy9lMm9Eb2MueG1srVTBjtsgEL1X&#10;6j8g7o0db5xtrDirKun2sm0j7bZ3AthGxQwCEjt/3wFn0+72sof6YIFn5r03j8Hru7HX5CSdV2Bq&#10;Op/llEjDQSjT1vTH0/2Hj5T4wIxgGoys6Vl6erd5/2492EoW0IEW0hEEMb4abE27EGyVZZ53smd+&#10;BlYaDDbgehZw69pMODYgeq+zIs+X2QBOWAdceo9fd1OQXhDdWwChaRSXO+DHXpowoTqpWcCWfKes&#10;p5uktmkkD9+bxstAdE2x05DeSILrQ3xnmzWrWsdsp/hFAnuLhFc99UwZJL1C7Vhg5OjUP1C94g48&#10;NGHGoc+mRpIj2MU8f+XNY8esTL2g1d5eTff/D5Z/O+0dUaKmxW1JiWE9HvmnY4DETZar6NBgfYWJ&#10;W7N3sUc+mkf7APyXJwa2HTOtTNlPZ4vF88lTH7ajmYAXCKzEWNObKSSNuMZuF5dYKsteMMWNtyjv&#10;MHwFgdAMdSWXx8b1pNHK/ox8URM6SSJDXi5WJWKea7osi1W+Ki6cYyA8Jixvljnq4ZiwKpOgjFUR&#10;L6JY58MXCT2Ji5r64Jhqu7AFY3CSwE1c7PTgA9qChc8FsdjAvdI6DZQ2ZIj4RZnEedBKxGBM8649&#10;bLUjJxZHMj1RIoK9SIvIO+a7KU/gamrEwdGIRBKY0p+NICHZHpzCg9CSRuZeCkq0xPsdVxO6Nkjy&#10;bOl0pgcQ572L4fgdJyzJuNyGOMJ/71PWnz/A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0SA0&#10;0gAAAAYBAAAPAAAAAAAAAAEAIAAAACIAAABkcnMvZG93bnJldi54bWxQSwECFAAUAAAACACHTuJA&#10;8JMcYycCAABJBAAADgAAAAAAAAABACAAAAAhAQAAZHJzL2Uyb0RvYy54bWxQSwUGAAAAAAYABgBZ&#10;AQAAugUAAAAA&#10;">
                        <v:fill on="f" focussize="0,0"/>
                        <v:stroke color="#000000" joinstyle="round" dashstyle="dash" endarrow="block"/>
                        <v:imagedata o:title=""/>
                        <o:lock v:ext="edit" aspectratio="f"/>
                      </v:shape>
                      <w10:wrap type="none"/>
                      <w10:anchorlock/>
                    </v:group>
                  </w:pict>
                </mc:Fallback>
              </mc:AlternateContent>
            </w:r>
          </w:p>
          <w:p>
            <w:pPr>
              <w:spacing w:line="360" w:lineRule="auto"/>
              <w:jc w:val="center"/>
              <w:rPr>
                <w:rFonts w:ascii="Times New Roman" w:hAnsi="Times New Roman" w:cs="宋体"/>
                <w:b/>
                <w:bCs/>
                <w:color w:val="000000" w:themeColor="text1"/>
                <w:kern w:val="24"/>
                <w:sz w:val="24"/>
                <w:szCs w:val="20"/>
                <w:u w:val="single"/>
                <w14:textFill>
                  <w14:solidFill>
                    <w14:schemeClr w14:val="tx1"/>
                  </w14:solidFill>
                </w14:textFill>
              </w:rPr>
            </w:pPr>
            <w:r>
              <w:rPr>
                <w:rFonts w:hint="eastAsia" w:ascii="Times New Roman" w:hAnsi="Times New Roman" w:cs="宋体"/>
                <w:b/>
                <w:bCs/>
                <w:color w:val="000000" w:themeColor="text1"/>
                <w:kern w:val="24"/>
                <w:sz w:val="24"/>
                <w:szCs w:val="20"/>
                <w:u w:val="single"/>
                <w14:textFill>
                  <w14:solidFill>
                    <w14:schemeClr w14:val="tx1"/>
                  </w14:solidFill>
                </w14:textFill>
              </w:rPr>
              <w:t>图4-</w:t>
            </w:r>
            <w:r>
              <w:rPr>
                <w:rFonts w:ascii="Times New Roman" w:hAnsi="Times New Roman" w:cs="宋体"/>
                <w:b/>
                <w:bCs/>
                <w:color w:val="000000" w:themeColor="text1"/>
                <w:kern w:val="24"/>
                <w:sz w:val="24"/>
                <w:szCs w:val="20"/>
                <w:u w:val="single"/>
                <w14:textFill>
                  <w14:solidFill>
                    <w14:schemeClr w14:val="tx1"/>
                  </w14:solidFill>
                </w14:textFill>
              </w:rPr>
              <w:t xml:space="preserve">4  </w:t>
            </w:r>
            <w:r>
              <w:rPr>
                <w:rFonts w:hint="eastAsia" w:ascii="Times New Roman" w:hAnsi="Times New Roman" w:cs="宋体"/>
                <w:b/>
                <w:bCs/>
                <w:color w:val="000000" w:themeColor="text1"/>
                <w:kern w:val="0"/>
                <w:sz w:val="24"/>
                <w:szCs w:val="20"/>
                <w:u w:val="single"/>
                <w14:textFill>
                  <w14:solidFill>
                    <w14:schemeClr w14:val="tx1"/>
                  </w14:solidFill>
                </w14:textFill>
              </w:rPr>
              <w:t>页岩砖</w:t>
            </w:r>
            <w:r>
              <w:rPr>
                <w:rFonts w:hint="eastAsia" w:ascii="Times New Roman" w:hAnsi="Times New Roman" w:cs="宋体"/>
                <w:b/>
                <w:bCs/>
                <w:color w:val="000000" w:themeColor="text1"/>
                <w:kern w:val="24"/>
                <w:sz w:val="24"/>
                <w:szCs w:val="20"/>
                <w:u w:val="single"/>
                <w14:textFill>
                  <w14:solidFill>
                    <w14:schemeClr w14:val="tx1"/>
                  </w14:solidFill>
                </w14:textFill>
              </w:rPr>
              <w:t>生产工艺及产污节点图</w:t>
            </w:r>
          </w:p>
          <w:p>
            <w:pPr>
              <w:spacing w:line="360" w:lineRule="auto"/>
              <w:ind w:firstLine="482" w:firstLineChars="200"/>
              <w:rPr>
                <w:rFonts w:ascii="Times New Roman" w:hAnsi="Times New Roman" w:cs="宋体"/>
                <w:b/>
                <w:color w:val="000000" w:themeColor="text1"/>
                <w:kern w:val="0"/>
                <w:sz w:val="24"/>
                <w:szCs w:val="20"/>
                <w:u w:val="single"/>
                <w14:textFill>
                  <w14:solidFill>
                    <w14:schemeClr w14:val="tx1"/>
                  </w14:solidFill>
                </w14:textFill>
              </w:rPr>
            </w:pPr>
            <w:r>
              <w:rPr>
                <w:rFonts w:hint="eastAsia" w:ascii="Times New Roman" w:hAnsi="Times New Roman" w:cs="宋体"/>
                <w:b/>
                <w:color w:val="000000" w:themeColor="text1"/>
                <w:kern w:val="0"/>
                <w:sz w:val="24"/>
                <w:szCs w:val="20"/>
                <w:u w:val="single"/>
                <w14:textFill>
                  <w14:solidFill>
                    <w14:schemeClr w14:val="tx1"/>
                  </w14:solidFill>
                </w14:textFill>
              </w:rPr>
              <w:t>页岩砖生产工艺过程简述：</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w:t>
            </w:r>
            <w:r>
              <w:rPr>
                <w:rFonts w:ascii="Times New Roman" w:hAnsi="Times New Roman"/>
                <w:color w:val="000000" w:themeColor="text1"/>
                <w:sz w:val="24"/>
                <w:szCs w:val="20"/>
                <w:u w:val="single"/>
                <w14:textFill>
                  <w14:solidFill>
                    <w14:schemeClr w14:val="tx1"/>
                  </w14:solidFill>
                </w14:textFill>
              </w:rPr>
              <w:t>1</w:t>
            </w:r>
            <w:r>
              <w:rPr>
                <w:rFonts w:hint="eastAsia" w:ascii="Times New Roman" w:hAnsi="Times New Roman" w:cs="宋体"/>
                <w:color w:val="000000" w:themeColor="text1"/>
                <w:sz w:val="24"/>
                <w:szCs w:val="20"/>
                <w:u w:val="single"/>
                <w14:textFill>
                  <w14:solidFill>
                    <w14:schemeClr w14:val="tx1"/>
                  </w14:solidFill>
                </w14:textFill>
              </w:rPr>
              <w:t>）原料运输及存放</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本项目原辅材料主要为页岩、煤渣和无烟煤等，项目所用的页岩取自项目北侧矿山，煤渣及无烟煤全部外购。</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w:t>
            </w:r>
            <w:r>
              <w:rPr>
                <w:rFonts w:ascii="Times New Roman" w:hAnsi="Times New Roman"/>
                <w:color w:val="000000" w:themeColor="text1"/>
                <w:sz w:val="24"/>
                <w:szCs w:val="20"/>
                <w:u w:val="single"/>
                <w14:textFill>
                  <w14:solidFill>
                    <w14:schemeClr w14:val="tx1"/>
                  </w14:solidFill>
                </w14:textFill>
              </w:rPr>
              <w:t>2</w:t>
            </w:r>
            <w:r>
              <w:rPr>
                <w:rFonts w:hint="eastAsia" w:ascii="Times New Roman" w:hAnsi="Times New Roman" w:cs="宋体"/>
                <w:color w:val="000000" w:themeColor="text1"/>
                <w:sz w:val="24"/>
                <w:szCs w:val="20"/>
                <w:u w:val="single"/>
                <w14:textFill>
                  <w14:solidFill>
                    <w14:schemeClr w14:val="tx1"/>
                  </w14:solidFill>
                </w14:textFill>
              </w:rPr>
              <w:t>）砖坯制备</w:t>
            </w:r>
          </w:p>
          <w:p>
            <w:pPr>
              <w:snapToGrid w:val="0"/>
              <w:spacing w:line="360" w:lineRule="auto"/>
              <w:ind w:firstLine="480" w:firstLineChars="200"/>
              <w:rPr>
                <w:color w:val="000000" w:themeColor="text1"/>
                <w:u w:val="single"/>
                <w14:textFill>
                  <w14:solidFill>
                    <w14:schemeClr w14:val="tx1"/>
                  </w14:solidFill>
                </w14:textFill>
              </w:rPr>
            </w:pPr>
            <w:r>
              <w:rPr>
                <w:rFonts w:ascii="Times New Roman" w:hAnsi="Times New Roman"/>
                <w:color w:val="000000" w:themeColor="text1"/>
                <w:sz w:val="24"/>
                <w:szCs w:val="20"/>
                <w:u w:val="single"/>
                <w14:textFill>
                  <w14:solidFill>
                    <w14:schemeClr w14:val="tx1"/>
                  </w14:solidFill>
                </w14:textFill>
              </w:rPr>
              <w:t>①</w:t>
            </w:r>
            <w:r>
              <w:rPr>
                <w:rFonts w:hint="eastAsia" w:ascii="Times New Roman" w:hAnsi="Times New Roman" w:cs="宋体"/>
                <w:color w:val="000000" w:themeColor="text1"/>
                <w:sz w:val="24"/>
                <w:szCs w:val="20"/>
                <w:u w:val="single"/>
                <w14:textFill>
                  <w14:solidFill>
                    <w14:schemeClr w14:val="tx1"/>
                  </w14:solidFill>
                </w14:textFill>
              </w:rPr>
              <w:t>原料输送、破碎筛分</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原料的处理对于制作高强度、高质量砖非常重要，因此需对原料进行严格的处理，以便得到充分均化、混合、破碎。</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本项目原料制备为破碎后的石料、煤渣和无烟煤按比例掺混后，混合料直接由给料机均匀地送至破碎机进行破碎，破碎分为粗破碎和细破碎，破碎机破碎后，通过输送带送入振动筛进行筛选，较大颗粒</w:t>
            </w:r>
            <w:r>
              <w:rPr>
                <w:rFonts w:hint="eastAsia" w:ascii="Times New Roman" w:hAnsi="Times New Roman" w:cs="宋体"/>
                <w:bCs/>
                <w:color w:val="000000" w:themeColor="text1"/>
                <w:sz w:val="24"/>
                <w:szCs w:val="24"/>
                <w:u w:val="single"/>
                <w14:textFill>
                  <w14:solidFill>
                    <w14:schemeClr w14:val="tx1"/>
                  </w14:solidFill>
                </w14:textFill>
              </w:rPr>
              <w:t>（粒径＞</w:t>
            </w:r>
            <w:r>
              <w:rPr>
                <w:rFonts w:ascii="Times New Roman" w:hAnsi="Times New Roman"/>
                <w:bCs/>
                <w:color w:val="000000" w:themeColor="text1"/>
                <w:sz w:val="24"/>
                <w:szCs w:val="24"/>
                <w:u w:val="single"/>
                <w14:textFill>
                  <w14:solidFill>
                    <w14:schemeClr w14:val="tx1"/>
                  </w14:solidFill>
                </w14:textFill>
              </w:rPr>
              <w:t>5mm</w:t>
            </w:r>
            <w:r>
              <w:rPr>
                <w:rFonts w:hint="eastAsia" w:ascii="Times New Roman" w:hAnsi="Times New Roman" w:cs="宋体"/>
                <w:bCs/>
                <w:color w:val="000000" w:themeColor="text1"/>
                <w:sz w:val="24"/>
                <w:szCs w:val="24"/>
                <w:u w:val="single"/>
                <w14:textFill>
                  <w14:solidFill>
                    <w14:schemeClr w14:val="tx1"/>
                  </w14:solidFill>
                </w14:textFill>
              </w:rPr>
              <w:t>）</w:t>
            </w:r>
            <w:r>
              <w:rPr>
                <w:rFonts w:hint="eastAsia" w:ascii="Times New Roman" w:hAnsi="Times New Roman" w:cs="宋体"/>
                <w:color w:val="000000" w:themeColor="text1"/>
                <w:sz w:val="24"/>
                <w:szCs w:val="20"/>
                <w:u w:val="single"/>
                <w14:textFill>
                  <w14:solidFill>
                    <w14:schemeClr w14:val="tx1"/>
                  </w14:solidFill>
                </w14:textFill>
              </w:rPr>
              <w:t>返回到上级工序重新进行破碎，将合格的小颗粒（粒径约</w:t>
            </w:r>
            <w:r>
              <w:rPr>
                <w:rFonts w:ascii="Times New Roman" w:hAnsi="Times New Roman"/>
                <w:color w:val="000000" w:themeColor="text1"/>
                <w:sz w:val="24"/>
                <w:szCs w:val="20"/>
                <w:u w:val="single"/>
                <w14:textFill>
                  <w14:solidFill>
                    <w14:schemeClr w14:val="tx1"/>
                  </w14:solidFill>
                </w14:textFill>
              </w:rPr>
              <w:t>2.5</w:t>
            </w:r>
            <w:r>
              <w:rPr>
                <w:rFonts w:hint="eastAsia" w:ascii="Times New Roman" w:hAnsi="Times New Roman" w:cs="宋体"/>
                <w:color w:val="000000" w:themeColor="text1"/>
                <w:sz w:val="24"/>
                <w:szCs w:val="20"/>
                <w:u w:val="single"/>
                <w14:textFill>
                  <w14:solidFill>
                    <w14:schemeClr w14:val="tx1"/>
                  </w14:solidFill>
                </w14:textFill>
              </w:rPr>
              <w:t>~</w:t>
            </w:r>
            <w:r>
              <w:rPr>
                <w:rFonts w:ascii="Times New Roman" w:hAnsi="Times New Roman"/>
                <w:color w:val="000000" w:themeColor="text1"/>
                <w:sz w:val="24"/>
                <w:szCs w:val="20"/>
                <w:u w:val="single"/>
                <w14:textFill>
                  <w14:solidFill>
                    <w14:schemeClr w14:val="tx1"/>
                  </w14:solidFill>
                </w14:textFill>
              </w:rPr>
              <w:t>5mm</w:t>
            </w:r>
            <w:r>
              <w:rPr>
                <w:rFonts w:hint="eastAsia" w:ascii="Times New Roman" w:hAnsi="Times New Roman" w:cs="宋体"/>
                <w:color w:val="000000" w:themeColor="text1"/>
                <w:sz w:val="24"/>
                <w:szCs w:val="20"/>
                <w:u w:val="single"/>
                <w14:textFill>
                  <w14:solidFill>
                    <w14:schemeClr w14:val="tx1"/>
                  </w14:solidFill>
                </w14:textFill>
              </w:rPr>
              <w:t>）与水进行混合搅拌。</w:t>
            </w:r>
          </w:p>
          <w:p>
            <w:pPr>
              <w:snapToGrid w:val="0"/>
              <w:spacing w:line="360" w:lineRule="auto"/>
              <w:ind w:firstLine="480" w:firstLineChars="200"/>
              <w:rPr>
                <w:color w:val="000000" w:themeColor="text1"/>
                <w:u w:val="single"/>
                <w14:textFill>
                  <w14:solidFill>
                    <w14:schemeClr w14:val="tx1"/>
                  </w14:solidFill>
                </w14:textFill>
              </w:rPr>
            </w:pPr>
            <w:r>
              <w:rPr>
                <w:rFonts w:ascii="Times New Roman" w:hAnsi="Times New Roman"/>
                <w:color w:val="000000" w:themeColor="text1"/>
                <w:sz w:val="24"/>
                <w:szCs w:val="20"/>
                <w:u w:val="single"/>
                <w14:textFill>
                  <w14:solidFill>
                    <w14:schemeClr w14:val="tx1"/>
                  </w14:solidFill>
                </w14:textFill>
              </w:rPr>
              <w:t>②</w:t>
            </w:r>
            <w:r>
              <w:rPr>
                <w:rFonts w:hint="eastAsia" w:ascii="Times New Roman" w:hAnsi="Times New Roman" w:cs="宋体"/>
                <w:color w:val="000000" w:themeColor="text1"/>
                <w:sz w:val="24"/>
                <w:szCs w:val="20"/>
                <w:u w:val="single"/>
                <w14:textFill>
                  <w14:solidFill>
                    <w14:schemeClr w14:val="tx1"/>
                  </w14:solidFill>
                </w14:textFill>
              </w:rPr>
              <w:t>强力搅拌、布料、陈化</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破碎后的石料、煤渣和无烟煤一起进入搅拌机加水混合搅拌，按要求把混合料挤压布料后，堆放在陈化库中进行陈化处理，使原料中的水分有足够的时间充分迁移，湿润粉料每一个颗粒，并且进一步提高原料的均匀性，从而改善泥料的物理性能，保证成型、干燥和焙烧等工序的技术要求，提高产品的质量。</w:t>
            </w:r>
          </w:p>
          <w:p>
            <w:pPr>
              <w:snapToGrid w:val="0"/>
              <w:spacing w:line="360" w:lineRule="auto"/>
              <w:ind w:firstLine="480" w:firstLineChars="200"/>
              <w:rPr>
                <w:color w:val="000000" w:themeColor="text1"/>
                <w:u w:val="single"/>
                <w14:textFill>
                  <w14:solidFill>
                    <w14:schemeClr w14:val="tx1"/>
                  </w14:solidFill>
                </w14:textFill>
              </w:rPr>
            </w:pPr>
            <w:r>
              <w:rPr>
                <w:rFonts w:ascii="Times New Roman" w:hAnsi="Times New Roman"/>
                <w:color w:val="000000" w:themeColor="text1"/>
                <w:sz w:val="24"/>
                <w:szCs w:val="20"/>
                <w:u w:val="single"/>
                <w14:textFill>
                  <w14:solidFill>
                    <w14:schemeClr w14:val="tx1"/>
                  </w14:solidFill>
                </w14:textFill>
              </w:rPr>
              <w:t>③</w:t>
            </w:r>
            <w:r>
              <w:rPr>
                <w:rFonts w:hint="eastAsia" w:ascii="Times New Roman" w:hAnsi="Times New Roman" w:cs="宋体"/>
                <w:color w:val="000000" w:themeColor="text1"/>
                <w:sz w:val="24"/>
                <w:szCs w:val="20"/>
                <w:u w:val="single"/>
                <w14:textFill>
                  <w14:solidFill>
                    <w14:schemeClr w14:val="tx1"/>
                  </w14:solidFill>
                </w14:textFill>
              </w:rPr>
              <w:t>搅拌、挤出成型与切条切坯</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经过二次加水搅拌后的原料送入双级分体式真空挤砖机挤出成型，成型后的泥条直接经自动切条机、自动切坯机切割成所要求尺寸的砖坯，产生的废泥坯直接返回双轴搅拌机进行二次搅拌。</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w:t>
            </w:r>
            <w:r>
              <w:rPr>
                <w:rFonts w:ascii="Times New Roman" w:hAnsi="Times New Roman"/>
                <w:color w:val="000000" w:themeColor="text1"/>
                <w:sz w:val="24"/>
                <w:szCs w:val="20"/>
                <w:u w:val="single"/>
                <w14:textFill>
                  <w14:solidFill>
                    <w14:schemeClr w14:val="tx1"/>
                  </w14:solidFill>
                </w14:textFill>
              </w:rPr>
              <w:t>3</w:t>
            </w:r>
            <w:r>
              <w:rPr>
                <w:rFonts w:hint="eastAsia" w:ascii="Times New Roman" w:hAnsi="Times New Roman" w:cs="宋体"/>
                <w:color w:val="000000" w:themeColor="text1"/>
                <w:sz w:val="24"/>
                <w:szCs w:val="20"/>
                <w:u w:val="single"/>
                <w14:textFill>
                  <w14:solidFill>
                    <w14:schemeClr w14:val="tx1"/>
                  </w14:solidFill>
                </w14:textFill>
              </w:rPr>
              <w:t>）焙烧</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u w:val="single"/>
                <w14:textFill>
                  <w14:solidFill>
                    <w14:schemeClr w14:val="tx1"/>
                  </w14:solidFill>
                </w14:textFill>
              </w:rPr>
              <w:t>合格砖坯通过坯车一次性送入高效、节能、环保的隧道窑，由机器臂码坯，一次性码坯后，砖坯不动，由隧道窑移动焙烧。具体如下：</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干燥带：砖坯烧结前需进行干燥，在干燥室中进行，利用隧道窑烧结烟气作为热源，干燥周期为</w:t>
            </w:r>
            <w:r>
              <w:rPr>
                <w:rFonts w:ascii="Times New Roman" w:hAnsi="Times New Roman"/>
                <w:color w:val="000000" w:themeColor="text1"/>
                <w:sz w:val="24"/>
                <w:szCs w:val="20"/>
                <w:u w:val="single"/>
                <w14:textFill>
                  <w14:solidFill>
                    <w14:schemeClr w14:val="tx1"/>
                  </w14:solidFill>
                </w14:textFill>
              </w:rPr>
              <w:t>24h</w:t>
            </w:r>
            <w:r>
              <w:rPr>
                <w:rFonts w:hint="eastAsia" w:ascii="Times New Roman" w:hAnsi="Times New Roman" w:cs="宋体"/>
                <w:color w:val="000000" w:themeColor="text1"/>
                <w:sz w:val="24"/>
                <w:szCs w:val="20"/>
                <w:u w:val="single"/>
                <w14:textFill>
                  <w14:solidFill>
                    <w14:schemeClr w14:val="tx1"/>
                  </w14:solidFill>
                </w14:textFill>
              </w:rPr>
              <w:t>；一般旋转隧道窑焙烧炉温分三段：预热带、烧成带、冷却带。</w:t>
            </w:r>
          </w:p>
          <w:p>
            <w:pPr>
              <w:snapToGrid w:val="0"/>
              <w:spacing w:line="360" w:lineRule="auto"/>
              <w:ind w:firstLine="480" w:firstLineChars="200"/>
              <w:rPr>
                <w:color w:val="000000" w:themeColor="text1"/>
                <w:szCs w:val="24"/>
                <w:u w:val="single"/>
                <w14:textFill>
                  <w14:solidFill>
                    <w14:schemeClr w14:val="tx1"/>
                  </w14:solidFill>
                </w14:textFill>
              </w:rPr>
            </w:pPr>
            <w:r>
              <w:rPr>
                <w:rFonts w:hint="eastAsia" w:ascii="Times New Roman" w:hAnsi="Times New Roman" w:cs="宋体"/>
                <w:color w:val="000000" w:themeColor="text1"/>
                <w:sz w:val="24"/>
                <w:szCs w:val="24"/>
                <w:u w:val="single"/>
                <w14:textFill>
                  <w14:solidFill>
                    <w14:schemeClr w14:val="tx1"/>
                  </w14:solidFill>
                </w14:textFill>
              </w:rPr>
              <w:t>预热带：</w:t>
            </w:r>
            <w:r>
              <w:rPr>
                <w:rFonts w:ascii="Times New Roman" w:hAnsi="Times New Roman"/>
                <w:color w:val="000000" w:themeColor="text1"/>
                <w:sz w:val="24"/>
                <w:szCs w:val="24"/>
                <w:u w:val="single"/>
                <w14:textFill>
                  <w14:solidFill>
                    <w14:schemeClr w14:val="tx1"/>
                  </w14:solidFill>
                </w14:textFill>
              </w:rPr>
              <w:t>300</w:t>
            </w:r>
            <w:r>
              <w:rPr>
                <w:rFonts w:hint="eastAsia" w:ascii="Times New Roman" w:hAnsi="Times New Roman" w:cs="宋体"/>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600℃</w:t>
            </w:r>
            <w:r>
              <w:rPr>
                <w:rFonts w:hint="eastAsia" w:ascii="Times New Roman" w:hAnsi="Times New Roman" w:cs="宋体"/>
                <w:color w:val="000000" w:themeColor="text1"/>
                <w:sz w:val="24"/>
                <w:szCs w:val="24"/>
                <w:u w:val="single"/>
                <w14:textFill>
                  <w14:solidFill>
                    <w14:schemeClr w14:val="tx1"/>
                  </w14:solidFill>
                </w14:textFill>
              </w:rPr>
              <w:t>，隧道窑焙烧窑内燃烧产生的高温烟气在隧道窑顶引风机的作用下，沿着隧道向干燥窑方向流动，同时逐步地预热进入窑内的制品，这一段构成了隧道窑的预热带。主要污染物为烧成带砖坯燃烧产生的高温烟气中所含的</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2</w:t>
            </w:r>
            <w:r>
              <w:rPr>
                <w:rFonts w:hint="eastAsia" w:ascii="Times New Roman" w:hAnsi="Times New Roman" w:cs="宋体"/>
                <w:color w:val="000000" w:themeColor="text1"/>
                <w:sz w:val="24"/>
                <w:szCs w:val="24"/>
                <w:u w:val="single"/>
                <w14:textFill>
                  <w14:solidFill>
                    <w14:schemeClr w14:val="tx1"/>
                  </w14:solidFill>
                </w14:textFill>
              </w:rPr>
              <w:t>、氟化物、氮氧化物和烟尘等。</w:t>
            </w:r>
          </w:p>
          <w:p>
            <w:pPr>
              <w:snapToGrid w:val="0"/>
              <w:spacing w:line="360" w:lineRule="auto"/>
              <w:ind w:firstLine="480" w:firstLineChars="200"/>
              <w:rPr>
                <w:color w:val="000000" w:themeColor="text1"/>
                <w:szCs w:val="24"/>
                <w:u w:val="single"/>
                <w14:textFill>
                  <w14:solidFill>
                    <w14:schemeClr w14:val="tx1"/>
                  </w14:solidFill>
                </w14:textFill>
              </w:rPr>
            </w:pPr>
            <w:r>
              <w:rPr>
                <w:rFonts w:hint="eastAsia" w:ascii="Times New Roman" w:hAnsi="Times New Roman" w:cs="宋体"/>
                <w:color w:val="000000" w:themeColor="text1"/>
                <w:sz w:val="24"/>
                <w:szCs w:val="24"/>
                <w:u w:val="single"/>
                <w14:textFill>
                  <w14:solidFill>
                    <w14:schemeClr w14:val="tx1"/>
                  </w14:solidFill>
                </w14:textFill>
              </w:rPr>
              <w:t>烧成带：</w:t>
            </w:r>
            <w:r>
              <w:rPr>
                <w:rFonts w:ascii="Times New Roman" w:hAnsi="Times New Roman"/>
                <w:color w:val="000000" w:themeColor="text1"/>
                <w:sz w:val="24"/>
                <w:szCs w:val="24"/>
                <w:u w:val="single"/>
                <w14:textFill>
                  <w14:solidFill>
                    <w14:schemeClr w14:val="tx1"/>
                  </w14:solidFill>
                </w14:textFill>
              </w:rPr>
              <w:t>900</w:t>
            </w:r>
            <w:r>
              <w:rPr>
                <w:rFonts w:hint="eastAsia" w:ascii="Times New Roman" w:hAnsi="Times New Roman" w:cs="宋体"/>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1100℃</w:t>
            </w:r>
            <w:r>
              <w:rPr>
                <w:rFonts w:hint="eastAsia" w:ascii="Times New Roman" w:hAnsi="Times New Roman" w:cs="宋体"/>
                <w:color w:val="000000" w:themeColor="text1"/>
                <w:sz w:val="24"/>
                <w:szCs w:val="24"/>
                <w:u w:val="single"/>
                <w14:textFill>
                  <w14:solidFill>
                    <w14:schemeClr w14:val="tx1"/>
                  </w14:solidFill>
                </w14:textFill>
              </w:rPr>
              <w:t>，燃烧设备设在旋转隧道窑内的固定位置，构成了窑体内固定的高温带</w:t>
            </w:r>
            <w:r>
              <w:rPr>
                <w:rFonts w:ascii="Times New Roman" w:hAnsi="Times New Roman"/>
                <w:color w:val="000000" w:themeColor="text1"/>
                <w:sz w:val="24"/>
                <w:szCs w:val="24"/>
                <w:u w:val="single"/>
                <w14:textFill>
                  <w14:solidFill>
                    <w14:schemeClr w14:val="tx1"/>
                  </w14:solidFill>
                </w14:textFill>
              </w:rPr>
              <w:t>--</w:t>
            </w:r>
            <w:r>
              <w:rPr>
                <w:rFonts w:hint="eastAsia" w:ascii="Times New Roman" w:hAnsi="Times New Roman" w:cs="宋体"/>
                <w:color w:val="000000" w:themeColor="text1"/>
                <w:sz w:val="24"/>
                <w:szCs w:val="24"/>
                <w:u w:val="single"/>
                <w14:textFill>
                  <w14:solidFill>
                    <w14:schemeClr w14:val="tx1"/>
                  </w14:solidFill>
                </w14:textFill>
              </w:rPr>
              <w:t>烧成带，随窑体的移动而移动。当</w:t>
            </w:r>
            <w:r>
              <w:rPr>
                <w:rFonts w:hint="eastAsia" w:ascii="Times New Roman" w:hAnsi="Times New Roman" w:cs="宋体"/>
                <w:color w:val="000000" w:themeColor="text1"/>
                <w:sz w:val="24"/>
                <w:szCs w:val="20"/>
                <w:u w:val="single"/>
                <w14:textFill>
                  <w14:solidFill>
                    <w14:schemeClr w14:val="tx1"/>
                  </w14:solidFill>
                </w14:textFill>
              </w:rPr>
              <w:t>窑体的燃烧带沿轨道</w:t>
            </w:r>
            <w:r>
              <w:rPr>
                <w:rFonts w:hint="eastAsia" w:ascii="Times New Roman" w:hAnsi="Times New Roman" w:cs="宋体"/>
                <w:color w:val="000000" w:themeColor="text1"/>
                <w:sz w:val="24"/>
                <w:szCs w:val="24"/>
                <w:u w:val="single"/>
                <w14:textFill>
                  <w14:solidFill>
                    <w14:schemeClr w14:val="tx1"/>
                  </w14:solidFill>
                </w14:textFill>
              </w:rPr>
              <w:t>经过砖坯时，对砖坯进行烧结。该工序产生主要污染物为</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2</w:t>
            </w:r>
            <w:r>
              <w:rPr>
                <w:rFonts w:hint="eastAsia" w:ascii="Times New Roman" w:hAnsi="Times New Roman" w:cs="宋体"/>
                <w:color w:val="000000" w:themeColor="text1"/>
                <w:sz w:val="24"/>
                <w:szCs w:val="24"/>
                <w:u w:val="single"/>
                <w14:textFill>
                  <w14:solidFill>
                    <w14:schemeClr w14:val="tx1"/>
                  </w14:solidFill>
                </w14:textFill>
              </w:rPr>
              <w:t>、氟化物、氮氧化物和烟尘等。</w:t>
            </w:r>
          </w:p>
          <w:p>
            <w:pPr>
              <w:snapToGrid w:val="0"/>
              <w:spacing w:line="360" w:lineRule="auto"/>
              <w:ind w:firstLine="480" w:firstLineChars="200"/>
              <w:rPr>
                <w:color w:val="000000" w:themeColor="text1"/>
                <w:szCs w:val="24"/>
                <w:u w:val="single"/>
                <w14:textFill>
                  <w14:solidFill>
                    <w14:schemeClr w14:val="tx1"/>
                  </w14:solidFill>
                </w14:textFill>
              </w:rPr>
            </w:pPr>
            <w:r>
              <w:rPr>
                <w:rFonts w:hint="eastAsia" w:ascii="Times New Roman" w:hAnsi="Times New Roman" w:cs="宋体"/>
                <w:color w:val="000000" w:themeColor="text1"/>
                <w:sz w:val="24"/>
                <w:szCs w:val="24"/>
                <w:u w:val="single"/>
                <w14:textFill>
                  <w14:solidFill>
                    <w14:schemeClr w14:val="tx1"/>
                  </w14:solidFill>
                </w14:textFill>
              </w:rPr>
              <w:t>冷却带：</w:t>
            </w:r>
            <w:r>
              <w:rPr>
                <w:rFonts w:ascii="Times New Roman" w:hAnsi="Times New Roman"/>
                <w:color w:val="000000" w:themeColor="text1"/>
                <w:sz w:val="24"/>
                <w:szCs w:val="24"/>
                <w:u w:val="single"/>
                <w14:textFill>
                  <w14:solidFill>
                    <w14:schemeClr w14:val="tx1"/>
                  </w14:solidFill>
                </w14:textFill>
              </w:rPr>
              <w:t>600℃</w:t>
            </w:r>
            <w:r>
              <w:rPr>
                <w:rFonts w:hint="eastAsia" w:ascii="Times New Roman" w:hAnsi="Times New Roman" w:cs="宋体"/>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800℃</w:t>
            </w:r>
            <w:r>
              <w:rPr>
                <w:rFonts w:hint="eastAsia" w:ascii="Times New Roman" w:hAnsi="Times New Roman" w:cs="宋体"/>
                <w:color w:val="000000" w:themeColor="text1"/>
                <w:sz w:val="24"/>
                <w:szCs w:val="24"/>
                <w:u w:val="single"/>
                <w14:textFill>
                  <w14:solidFill>
                    <w14:schemeClr w14:val="tx1"/>
                  </w14:solidFill>
                </w14:textFill>
              </w:rPr>
              <w:t>，在隧道窑的窑尾鼓入冷风，冷却隧道窑内后一段的制品，鼓入的冷风流经制品而被加热后，再抽出送入干燥窑作为干燥生坯的热源，这一段便构成了隧道窑的冷却带。冷却带主要污染物为</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2</w:t>
            </w:r>
            <w:r>
              <w:rPr>
                <w:rFonts w:hint="eastAsia" w:ascii="Times New Roman" w:hAnsi="Times New Roman" w:cs="宋体"/>
                <w:color w:val="000000" w:themeColor="text1"/>
                <w:sz w:val="24"/>
                <w:szCs w:val="24"/>
                <w:u w:val="single"/>
                <w14:textFill>
                  <w14:solidFill>
                    <w14:schemeClr w14:val="tx1"/>
                  </w14:solidFill>
                </w14:textFill>
              </w:rPr>
              <w:t>、氟化物、氮氧化物和烟尘等。</w:t>
            </w:r>
          </w:p>
          <w:p>
            <w:pPr>
              <w:snapToGrid w:val="0"/>
              <w:spacing w:line="360" w:lineRule="auto"/>
              <w:ind w:firstLine="480" w:firstLineChars="200"/>
              <w:rPr>
                <w:color w:val="000000" w:themeColor="text1"/>
                <w:u w:val="single"/>
                <w14:textFill>
                  <w14:solidFill>
                    <w14:schemeClr w14:val="tx1"/>
                  </w14:solidFill>
                </w14:textFill>
              </w:rPr>
            </w:pPr>
            <w:r>
              <w:rPr>
                <w:rFonts w:hint="eastAsia" w:ascii="Times New Roman" w:hAnsi="Times New Roman" w:cs="宋体"/>
                <w:color w:val="000000" w:themeColor="text1"/>
                <w:sz w:val="24"/>
                <w:szCs w:val="20"/>
                <w:u w:val="single"/>
                <w14:textFill>
                  <w14:solidFill>
                    <w14:schemeClr w14:val="tx1"/>
                  </w14:solidFill>
                </w14:textFill>
              </w:rPr>
              <w:t>（</w:t>
            </w:r>
            <w:r>
              <w:rPr>
                <w:rFonts w:ascii="Times New Roman" w:hAnsi="Times New Roman"/>
                <w:color w:val="000000" w:themeColor="text1"/>
                <w:sz w:val="24"/>
                <w:szCs w:val="20"/>
                <w:u w:val="single"/>
                <w14:textFill>
                  <w14:solidFill>
                    <w14:schemeClr w14:val="tx1"/>
                  </w14:solidFill>
                </w14:textFill>
              </w:rPr>
              <w:t>4</w:t>
            </w:r>
            <w:r>
              <w:rPr>
                <w:rFonts w:hint="eastAsia" w:ascii="Times New Roman" w:hAnsi="Times New Roman" w:cs="宋体"/>
                <w:color w:val="000000" w:themeColor="text1"/>
                <w:sz w:val="24"/>
                <w:szCs w:val="20"/>
                <w:u w:val="single"/>
                <w14:textFill>
                  <w14:solidFill>
                    <w14:schemeClr w14:val="tx1"/>
                  </w14:solidFill>
                </w14:textFill>
              </w:rPr>
              <w:t>）成品</w:t>
            </w:r>
          </w:p>
          <w:p>
            <w:pPr>
              <w:spacing w:line="360" w:lineRule="auto"/>
              <w:ind w:firstLine="480" w:firstLineChars="200"/>
              <w:rPr>
                <w:sz w:val="24"/>
                <w:szCs w:val="24"/>
                <w:u w:val="single"/>
              </w:rPr>
            </w:pPr>
            <w:r>
              <w:rPr>
                <w:rFonts w:hint="eastAsia" w:ascii="Times New Roman" w:hAnsi="Times New Roman" w:cs="宋体"/>
                <w:color w:val="000000" w:themeColor="text1"/>
                <w:sz w:val="24"/>
                <w:szCs w:val="20"/>
                <w:u w:val="single"/>
                <w14:textFill>
                  <w14:solidFill>
                    <w14:schemeClr w14:val="tx1"/>
                  </w14:solidFill>
                </w14:textFill>
              </w:rPr>
              <w:t>经检验合格的成品，作为产品对外销售，不合格产品运至碎石区。产品质量</w:t>
            </w:r>
            <w:r>
              <w:rPr>
                <w:rFonts w:hint="eastAsia" w:ascii="Times New Roman" w:hAnsi="Times New Roman" w:cs="宋体"/>
                <w:color w:val="000000" w:themeColor="text1"/>
                <w:sz w:val="24"/>
                <w:szCs w:val="24"/>
                <w:u w:val="single"/>
                <w14:textFill>
                  <w14:solidFill>
                    <w14:schemeClr w14:val="tx1"/>
                  </w14:solidFill>
                </w14:textFill>
              </w:rPr>
              <w:t>由质检部门按规范定期检测和不定期抽查。</w:t>
            </w:r>
          </w:p>
          <w:p>
            <w:pPr>
              <w:kinsoku w:val="0"/>
              <w:overflowPunct w:val="0"/>
              <w:spacing w:line="360" w:lineRule="auto"/>
              <w:jc w:val="left"/>
              <w:textAlignment w:val="baseline"/>
              <w:outlineLvl w:val="1"/>
              <w:rPr>
                <w:rFonts w:ascii="Times New Roman" w:hAnsi="Times New Roman"/>
                <w:b/>
                <w:spacing w:val="8"/>
                <w:sz w:val="28"/>
                <w:szCs w:val="28"/>
              </w:rPr>
            </w:pPr>
            <w:r>
              <w:rPr>
                <w:rFonts w:hint="eastAsia" w:ascii="Times New Roman" w:hAnsi="Times New Roman"/>
                <w:b/>
                <w:spacing w:val="8"/>
                <w:sz w:val="28"/>
                <w:szCs w:val="28"/>
              </w:rPr>
              <w:t>（二）主要污染源分析</w:t>
            </w:r>
            <w:bookmarkEnd w:id="30"/>
            <w:bookmarkEnd w:id="31"/>
            <w:bookmarkEnd w:id="32"/>
            <w:bookmarkEnd w:id="33"/>
          </w:p>
          <w:p>
            <w:pPr>
              <w:spacing w:line="360" w:lineRule="auto"/>
              <w:textAlignment w:val="baseline"/>
              <w:rPr>
                <w:rFonts w:ascii="Times New Roman" w:hAnsi="Times New Roman"/>
                <w:b/>
                <w:spacing w:val="8"/>
                <w:sz w:val="24"/>
                <w:szCs w:val="24"/>
                <w:u w:val="single"/>
              </w:rPr>
            </w:pPr>
            <w:r>
              <w:rPr>
                <w:rFonts w:ascii="Times New Roman" w:hAnsi="Times New Roman"/>
                <w:b/>
                <w:spacing w:val="8"/>
                <w:sz w:val="24"/>
                <w:szCs w:val="24"/>
                <w:u w:val="single"/>
              </w:rPr>
              <w:t>1 施工期污染源分析</w:t>
            </w:r>
          </w:p>
          <w:p>
            <w:pPr>
              <w:spacing w:line="360" w:lineRule="auto"/>
              <w:ind w:firstLine="480" w:firstLineChars="200"/>
              <w:rPr>
                <w:sz w:val="24"/>
                <w:szCs w:val="24"/>
              </w:rPr>
            </w:pPr>
            <w:r>
              <w:rPr>
                <w:rFonts w:hint="eastAsia"/>
                <w:sz w:val="24"/>
                <w:szCs w:val="24"/>
              </w:rPr>
              <w:t>本项目施工期产生的主要环境污染来自土地平整、土建工程等，产生的污染物包括：施工过程中产生的扬尘、废水、噪声、建筑垃圾及其它固体废弃物等。</w:t>
            </w:r>
          </w:p>
          <w:p>
            <w:pPr>
              <w:spacing w:line="360" w:lineRule="auto"/>
              <w:rPr>
                <w:rFonts w:ascii="Times New Roman" w:hAnsi="Times New Roman"/>
                <w:b/>
                <w:spacing w:val="8"/>
                <w:sz w:val="24"/>
                <w:szCs w:val="24"/>
                <w:u w:val="single"/>
              </w:rPr>
            </w:pPr>
            <w:r>
              <w:rPr>
                <w:rFonts w:ascii="Times New Roman" w:hAnsi="Times New Roman"/>
                <w:b/>
                <w:spacing w:val="8"/>
                <w:sz w:val="24"/>
                <w:szCs w:val="24"/>
                <w:u w:val="single"/>
              </w:rPr>
              <w:t xml:space="preserve">1.1 </w:t>
            </w:r>
            <w:r>
              <w:rPr>
                <w:rFonts w:hint="eastAsia" w:ascii="Times New Roman" w:hAnsi="Times New Roman"/>
                <w:b/>
                <w:spacing w:val="8"/>
                <w:sz w:val="24"/>
                <w:szCs w:val="24"/>
                <w:u w:val="single"/>
              </w:rPr>
              <w:t>大气污染源</w:t>
            </w:r>
          </w:p>
          <w:p>
            <w:pPr>
              <w:spacing w:line="360" w:lineRule="auto"/>
              <w:ind w:firstLine="480" w:firstLineChars="200"/>
              <w:rPr>
                <w:rFonts w:ascii="Times New Roman" w:hAnsi="Times New Roman"/>
                <w:sz w:val="24"/>
              </w:rPr>
            </w:pPr>
            <w:r>
              <w:rPr>
                <w:rFonts w:ascii="Times New Roman"/>
                <w:sz w:val="24"/>
              </w:rPr>
              <w:t>本项目施工期对所在地大气环境造成影响的因素，主要是土建施工阶段中建材的装卸、搅拌和道路建设等过程中因外力作用而产生的扬尘污染，其中道路建设及建筑材料装卸造成的扬尘最为严重。</w:t>
            </w:r>
          </w:p>
          <w:p>
            <w:pPr>
              <w:spacing w:line="360" w:lineRule="auto"/>
              <w:ind w:firstLine="480" w:firstLineChars="200"/>
              <w:rPr>
                <w:rFonts w:ascii="Times New Roman" w:hAnsi="Times New Roman"/>
                <w:sz w:val="24"/>
                <w:szCs w:val="24"/>
              </w:rPr>
            </w:pPr>
            <w:r>
              <w:rPr>
                <w:rFonts w:ascii="Times New Roman"/>
                <w:sz w:val="24"/>
              </w:rPr>
              <w:t>项目施工过程中，产生的主要气型污染物为扬尘。粉尘起尘特征总体分为两类：一类是静态起尘，主要指水泥等建筑材料及土方、建筑垃圾堆放过程中风蚀尘及施工场地的风蚀尘；另一类是动态起尘，主要指起尘及运输车辆往来造成的地面扬尘。建筑堆场产生的扬尘和车辆行驶产生的道路扬尘在各个项目施工阶段都存在，且持续时间较长。</w:t>
            </w:r>
          </w:p>
          <w:p>
            <w:pPr>
              <w:spacing w:line="360" w:lineRule="auto"/>
              <w:rPr>
                <w:rFonts w:ascii="Times New Roman" w:hAnsi="Times New Roman"/>
                <w:b/>
                <w:spacing w:val="8"/>
                <w:sz w:val="24"/>
                <w:szCs w:val="24"/>
                <w:u w:val="single"/>
              </w:rPr>
            </w:pPr>
            <w:r>
              <w:rPr>
                <w:rFonts w:ascii="Times New Roman" w:hAnsi="Times New Roman"/>
                <w:b/>
                <w:spacing w:val="8"/>
                <w:sz w:val="24"/>
                <w:szCs w:val="24"/>
                <w:u w:val="single"/>
              </w:rPr>
              <w:t xml:space="preserve">1.2 </w:t>
            </w:r>
            <w:r>
              <w:rPr>
                <w:rFonts w:ascii="Times New Roman"/>
                <w:b/>
                <w:spacing w:val="8"/>
                <w:sz w:val="24"/>
                <w:u w:val="single"/>
              </w:rPr>
              <w:t>水污染源</w:t>
            </w:r>
          </w:p>
          <w:p>
            <w:pPr>
              <w:spacing w:line="360" w:lineRule="auto"/>
              <w:ind w:firstLine="480" w:firstLineChars="200"/>
              <w:rPr>
                <w:rFonts w:ascii="Times New Roman" w:hAnsi="Times New Roman"/>
                <w:bCs/>
                <w:sz w:val="24"/>
              </w:rPr>
            </w:pPr>
            <w:r>
              <w:rPr>
                <w:rFonts w:ascii="Times New Roman"/>
                <w:bCs/>
                <w:sz w:val="24"/>
              </w:rPr>
              <w:t>项目施工期产生的废水包括施工人员的生活污水和施工本身产生的废水。</w:t>
            </w:r>
          </w:p>
          <w:p>
            <w:pPr>
              <w:spacing w:line="360" w:lineRule="auto"/>
              <w:ind w:firstLine="480" w:firstLineChars="200"/>
              <w:rPr>
                <w:rFonts w:ascii="Times New Roman" w:hAnsi="Times New Roman"/>
                <w:bCs/>
                <w:sz w:val="24"/>
              </w:rPr>
            </w:pPr>
            <w:r>
              <w:rPr>
                <w:rFonts w:ascii="Times New Roman"/>
                <w:bCs/>
                <w:sz w:val="24"/>
              </w:rPr>
              <w:t>（</w:t>
            </w:r>
            <w:r>
              <w:rPr>
                <w:rFonts w:ascii="Times New Roman" w:hAnsi="Times New Roman"/>
                <w:bCs/>
                <w:sz w:val="24"/>
              </w:rPr>
              <w:t>1</w:t>
            </w:r>
            <w:r>
              <w:rPr>
                <w:rFonts w:ascii="Times New Roman"/>
                <w:bCs/>
                <w:sz w:val="24"/>
              </w:rPr>
              <w:t>）施工废水</w:t>
            </w:r>
          </w:p>
          <w:p>
            <w:pPr>
              <w:spacing w:line="360" w:lineRule="auto"/>
              <w:ind w:firstLine="480" w:firstLineChars="200"/>
              <w:rPr>
                <w:rFonts w:ascii="Times New Roman" w:hAnsi="Times New Roman"/>
                <w:bCs/>
                <w:sz w:val="24"/>
              </w:rPr>
            </w:pPr>
            <w:r>
              <w:rPr>
                <w:rFonts w:ascii="Times New Roman"/>
                <w:bCs/>
                <w:sz w:val="24"/>
              </w:rPr>
              <w:t>施工废水污染源主要包括：</w:t>
            </w:r>
          </w:p>
          <w:p>
            <w:pPr>
              <w:spacing w:line="360" w:lineRule="auto"/>
              <w:ind w:firstLine="480" w:firstLineChars="200"/>
              <w:rPr>
                <w:rFonts w:ascii="Times New Roman" w:hAnsi="Times New Roman"/>
                <w:bCs/>
                <w:sz w:val="24"/>
              </w:rPr>
            </w:pPr>
            <w:r>
              <w:rPr>
                <w:rFonts w:ascii="Times New Roman" w:hAnsi="宋体"/>
                <w:bCs/>
                <w:sz w:val="24"/>
              </w:rPr>
              <w:t>①</w:t>
            </w:r>
            <w:r>
              <w:rPr>
                <w:rFonts w:ascii="Times New Roman"/>
                <w:bCs/>
                <w:sz w:val="24"/>
              </w:rPr>
              <w:t>基础施工产生的泥浆废水、各种车辆冲洗废水，其主要污染物是</w:t>
            </w:r>
            <w:r>
              <w:rPr>
                <w:rFonts w:ascii="Times New Roman" w:hAnsi="Times New Roman"/>
                <w:bCs/>
                <w:sz w:val="24"/>
              </w:rPr>
              <w:t>SS</w:t>
            </w:r>
            <w:r>
              <w:rPr>
                <w:rFonts w:ascii="Times New Roman"/>
                <w:bCs/>
                <w:sz w:val="24"/>
              </w:rPr>
              <w:t>，浓度为</w:t>
            </w:r>
            <w:r>
              <w:rPr>
                <w:rFonts w:ascii="Times New Roman" w:hAnsi="Times New Roman"/>
                <w:bCs/>
                <w:sz w:val="24"/>
              </w:rPr>
              <w:t>1000~3000mg/L</w:t>
            </w:r>
            <w:r>
              <w:rPr>
                <w:rFonts w:ascii="Times New Roman"/>
                <w:bCs/>
                <w:sz w:val="24"/>
              </w:rPr>
              <w:t>之间。</w:t>
            </w:r>
          </w:p>
          <w:p>
            <w:pPr>
              <w:spacing w:line="360" w:lineRule="auto"/>
              <w:ind w:firstLine="480" w:firstLineChars="200"/>
              <w:rPr>
                <w:rFonts w:ascii="Times New Roman" w:hAnsi="Times New Roman"/>
                <w:bCs/>
                <w:sz w:val="24"/>
              </w:rPr>
            </w:pPr>
            <w:r>
              <w:rPr>
                <w:rFonts w:ascii="Times New Roman" w:hAnsi="宋体"/>
                <w:bCs/>
                <w:sz w:val="24"/>
              </w:rPr>
              <w:t>②</w:t>
            </w:r>
            <w:r>
              <w:rPr>
                <w:rFonts w:ascii="Times New Roman"/>
                <w:bCs/>
                <w:sz w:val="24"/>
              </w:rPr>
              <w:t>灰土拌合，砖块和水泥预制淋水等多现场消耗，基本无废水排放。</w:t>
            </w:r>
          </w:p>
          <w:p>
            <w:pPr>
              <w:spacing w:line="360" w:lineRule="auto"/>
              <w:ind w:firstLine="480" w:firstLineChars="200"/>
              <w:rPr>
                <w:rFonts w:ascii="Times New Roman" w:hAnsi="Times New Roman"/>
                <w:bCs/>
                <w:sz w:val="24"/>
              </w:rPr>
            </w:pPr>
            <w:r>
              <w:rPr>
                <w:rFonts w:ascii="Times New Roman" w:hAnsi="宋体"/>
                <w:bCs/>
                <w:sz w:val="24"/>
              </w:rPr>
              <w:t>③</w:t>
            </w:r>
            <w:r>
              <w:rPr>
                <w:rFonts w:ascii="Times New Roman"/>
                <w:bCs/>
                <w:sz w:val="24"/>
              </w:rPr>
              <w:t>建筑材料堆放、渣土堆放被雨水冲刷产生的污水对周围水体的污染。</w:t>
            </w:r>
          </w:p>
          <w:p>
            <w:pPr>
              <w:spacing w:line="360" w:lineRule="auto"/>
              <w:ind w:firstLine="480" w:firstLineChars="200"/>
              <w:rPr>
                <w:rFonts w:ascii="Times New Roman" w:hAnsi="Times New Roman"/>
                <w:bCs/>
                <w:sz w:val="24"/>
              </w:rPr>
            </w:pPr>
            <w:r>
              <w:rPr>
                <w:rFonts w:ascii="Times New Roman" w:hAnsi="宋体"/>
                <w:bCs/>
                <w:sz w:val="24"/>
              </w:rPr>
              <w:t>④</w:t>
            </w:r>
            <w:r>
              <w:rPr>
                <w:rFonts w:ascii="Times New Roman"/>
                <w:bCs/>
                <w:sz w:val="24"/>
              </w:rPr>
              <w:t>施工机械跑、冒、滴、漏的油污及维修产生的含油污水。本项目均为低层建筑、砖混结构、施工机械使用少，含油污水产生量很少。</w:t>
            </w:r>
          </w:p>
          <w:p>
            <w:pPr>
              <w:spacing w:line="360" w:lineRule="auto"/>
              <w:ind w:firstLine="480" w:firstLineChars="200"/>
              <w:rPr>
                <w:rFonts w:ascii="Times New Roman" w:hAnsi="Times New Roman"/>
                <w:bCs/>
                <w:sz w:val="24"/>
              </w:rPr>
            </w:pPr>
            <w:r>
              <w:rPr>
                <w:rFonts w:ascii="Times New Roman"/>
                <w:bCs/>
                <w:sz w:val="24"/>
              </w:rPr>
              <w:t>（</w:t>
            </w:r>
            <w:r>
              <w:rPr>
                <w:rFonts w:ascii="Times New Roman" w:hAnsi="Times New Roman"/>
                <w:bCs/>
                <w:sz w:val="24"/>
              </w:rPr>
              <w:t>2</w:t>
            </w:r>
            <w:r>
              <w:rPr>
                <w:rFonts w:ascii="Times New Roman"/>
                <w:bCs/>
                <w:sz w:val="24"/>
              </w:rPr>
              <w:t>）生活污水</w:t>
            </w:r>
          </w:p>
          <w:p>
            <w:pPr>
              <w:spacing w:line="360" w:lineRule="auto"/>
              <w:ind w:firstLine="480" w:firstLineChars="200"/>
              <w:rPr>
                <w:rFonts w:ascii="Times New Roman" w:hAnsi="Times New Roman"/>
                <w:sz w:val="24"/>
                <w:szCs w:val="24"/>
              </w:rPr>
            </w:pPr>
            <w:r>
              <w:rPr>
                <w:rFonts w:ascii="Times New Roman"/>
                <w:bCs/>
                <w:sz w:val="24"/>
              </w:rPr>
              <w:t>施工人员日常生活产生的生活污水主要是临时食堂污水、粪便污水、浴室污水等，施工人员每天生活污水量按</w:t>
            </w:r>
            <w:r>
              <w:rPr>
                <w:rFonts w:hint="eastAsia" w:ascii="Times New Roman" w:hAnsi="Times New Roman"/>
                <w:bCs/>
                <w:sz w:val="24"/>
              </w:rPr>
              <w:t>5</w:t>
            </w:r>
            <w:r>
              <w:rPr>
                <w:rFonts w:ascii="Times New Roman" w:hAnsi="Times New Roman"/>
                <w:bCs/>
                <w:sz w:val="24"/>
              </w:rPr>
              <w:t>0L/d</w:t>
            </w:r>
            <w:r>
              <w:rPr>
                <w:rFonts w:ascii="Times New Roman"/>
                <w:bCs/>
                <w:sz w:val="24"/>
              </w:rPr>
              <w:t>计算，平均每天产生</w:t>
            </w:r>
            <w:r>
              <w:rPr>
                <w:rFonts w:ascii="Times New Roman" w:hAnsi="Times New Roman"/>
                <w:bCs/>
                <w:sz w:val="24"/>
              </w:rPr>
              <w:t>BOD</w:t>
            </w:r>
            <w:r>
              <w:rPr>
                <w:rFonts w:ascii="Times New Roman" w:hAnsi="Times New Roman"/>
                <w:bCs/>
                <w:sz w:val="24"/>
                <w:vertAlign w:val="subscript"/>
              </w:rPr>
              <w:t>5</w:t>
            </w:r>
            <w:r>
              <w:rPr>
                <w:rFonts w:hint="eastAsia" w:ascii="Times New Roman" w:hAnsi="Times New Roman"/>
                <w:bCs/>
                <w:sz w:val="24"/>
              </w:rPr>
              <w:t>：</w:t>
            </w:r>
            <w:r>
              <w:rPr>
                <w:rFonts w:ascii="Times New Roman" w:hAnsi="Times New Roman"/>
                <w:bCs/>
                <w:sz w:val="24"/>
              </w:rPr>
              <w:t>25g</w:t>
            </w:r>
            <w:r>
              <w:rPr>
                <w:rFonts w:ascii="Times New Roman"/>
                <w:bCs/>
                <w:sz w:val="24"/>
              </w:rPr>
              <w:t>、</w:t>
            </w:r>
            <w:r>
              <w:rPr>
                <w:rFonts w:ascii="Times New Roman" w:hAnsi="Times New Roman"/>
                <w:bCs/>
                <w:sz w:val="24"/>
              </w:rPr>
              <w:t>COD</w:t>
            </w:r>
            <w:r>
              <w:rPr>
                <w:rFonts w:ascii="Times New Roman" w:hAnsi="Times New Roman"/>
                <w:bCs/>
                <w:sz w:val="24"/>
                <w:vertAlign w:val="subscript"/>
              </w:rPr>
              <w:t>Cr</w:t>
            </w:r>
            <w:r>
              <w:rPr>
                <w:rFonts w:hint="eastAsia" w:ascii="Times New Roman" w:hAnsi="Times New Roman"/>
                <w:bCs/>
                <w:sz w:val="24"/>
              </w:rPr>
              <w:t>：</w:t>
            </w:r>
            <w:r>
              <w:rPr>
                <w:rFonts w:ascii="Times New Roman" w:hAnsi="Times New Roman"/>
                <w:bCs/>
                <w:sz w:val="24"/>
              </w:rPr>
              <w:t>40g</w:t>
            </w:r>
            <w:r>
              <w:rPr>
                <w:rFonts w:ascii="Times New Roman"/>
                <w:bCs/>
                <w:sz w:val="24"/>
              </w:rPr>
              <w:t>、</w:t>
            </w:r>
            <w:r>
              <w:rPr>
                <w:rFonts w:ascii="Times New Roman" w:hAnsi="Times New Roman"/>
                <w:bCs/>
                <w:sz w:val="24"/>
              </w:rPr>
              <w:t>NH</w:t>
            </w:r>
            <w:r>
              <w:rPr>
                <w:rFonts w:ascii="Times New Roman" w:hAnsi="Times New Roman"/>
                <w:bCs/>
                <w:sz w:val="24"/>
                <w:vertAlign w:val="subscript"/>
              </w:rPr>
              <w:t>3</w:t>
            </w:r>
            <w:r>
              <w:rPr>
                <w:rFonts w:ascii="Times New Roman" w:hAnsi="Times New Roman"/>
                <w:bCs/>
                <w:sz w:val="24"/>
              </w:rPr>
              <w:t>-N</w:t>
            </w:r>
            <w:r>
              <w:rPr>
                <w:rFonts w:hint="eastAsia" w:ascii="Times New Roman" w:hAnsi="Times New Roman"/>
                <w:bCs/>
                <w:sz w:val="24"/>
              </w:rPr>
              <w:t>：</w:t>
            </w:r>
            <w:r>
              <w:rPr>
                <w:rFonts w:ascii="Times New Roman" w:hAnsi="Times New Roman"/>
                <w:bCs/>
                <w:sz w:val="24"/>
              </w:rPr>
              <w:t>9g</w:t>
            </w:r>
            <w:r>
              <w:rPr>
                <w:rFonts w:ascii="Times New Roman"/>
                <w:bCs/>
                <w:sz w:val="24"/>
              </w:rPr>
              <w:t>，施工高峰期人员按</w:t>
            </w:r>
            <w:r>
              <w:rPr>
                <w:rFonts w:ascii="Times New Roman" w:hAnsi="Times New Roman"/>
                <w:bCs/>
                <w:sz w:val="24"/>
              </w:rPr>
              <w:t>20</w:t>
            </w:r>
            <w:r>
              <w:rPr>
                <w:rFonts w:ascii="Times New Roman"/>
                <w:bCs/>
                <w:sz w:val="24"/>
              </w:rPr>
              <w:t>人计，则排放生活污水</w:t>
            </w:r>
            <w:r>
              <w:rPr>
                <w:rFonts w:ascii="Times New Roman" w:hAnsi="Times New Roman"/>
                <w:bCs/>
                <w:sz w:val="24"/>
              </w:rPr>
              <w:t>1t/d</w:t>
            </w:r>
            <w:r>
              <w:rPr>
                <w:rFonts w:ascii="Times New Roman"/>
                <w:bCs/>
                <w:sz w:val="24"/>
              </w:rPr>
              <w:t>，其中</w:t>
            </w:r>
            <w:r>
              <w:rPr>
                <w:rFonts w:ascii="Times New Roman" w:hAnsi="Times New Roman"/>
                <w:bCs/>
                <w:sz w:val="24"/>
              </w:rPr>
              <w:t>BOD</w:t>
            </w:r>
            <w:r>
              <w:rPr>
                <w:rFonts w:ascii="Times New Roman" w:hAnsi="Times New Roman"/>
                <w:bCs/>
                <w:sz w:val="24"/>
                <w:vertAlign w:val="subscript"/>
              </w:rPr>
              <w:t>5</w:t>
            </w:r>
            <w:r>
              <w:rPr>
                <w:rFonts w:hint="eastAsia" w:ascii="Times New Roman" w:hAnsi="Times New Roman"/>
                <w:bCs/>
                <w:sz w:val="24"/>
              </w:rPr>
              <w:t>为</w:t>
            </w:r>
            <w:r>
              <w:rPr>
                <w:rFonts w:ascii="Times New Roman" w:hAnsi="Times New Roman"/>
                <w:bCs/>
                <w:sz w:val="24"/>
              </w:rPr>
              <w:t>0</w:t>
            </w:r>
            <w:r>
              <w:rPr>
                <w:rFonts w:hint="eastAsia" w:ascii="Times New Roman" w:hAnsi="Times New Roman"/>
                <w:bCs/>
                <w:sz w:val="24"/>
              </w:rPr>
              <w:t>.</w:t>
            </w:r>
            <w:r>
              <w:rPr>
                <w:rFonts w:ascii="Times New Roman" w:hAnsi="Times New Roman"/>
                <w:bCs/>
                <w:sz w:val="24"/>
              </w:rPr>
              <w:t>5kg/d</w:t>
            </w:r>
            <w:r>
              <w:rPr>
                <w:rFonts w:ascii="Times New Roman"/>
                <w:bCs/>
                <w:sz w:val="24"/>
              </w:rPr>
              <w:t>、</w:t>
            </w:r>
            <w:r>
              <w:rPr>
                <w:rFonts w:ascii="Times New Roman" w:hAnsi="Times New Roman"/>
                <w:bCs/>
                <w:sz w:val="24"/>
              </w:rPr>
              <w:t>COD</w:t>
            </w:r>
            <w:r>
              <w:rPr>
                <w:rFonts w:ascii="Times New Roman" w:hAnsi="Times New Roman"/>
                <w:bCs/>
                <w:sz w:val="24"/>
                <w:vertAlign w:val="subscript"/>
              </w:rPr>
              <w:t>Cr</w:t>
            </w:r>
            <w:r>
              <w:rPr>
                <w:rFonts w:hint="eastAsia" w:ascii="Times New Roman" w:hAnsi="Times New Roman"/>
                <w:bCs/>
                <w:sz w:val="24"/>
              </w:rPr>
              <w:t>为</w:t>
            </w:r>
            <w:r>
              <w:rPr>
                <w:rFonts w:ascii="Times New Roman" w:hAnsi="Times New Roman"/>
                <w:bCs/>
                <w:sz w:val="24"/>
              </w:rPr>
              <w:t>0</w:t>
            </w:r>
            <w:r>
              <w:rPr>
                <w:rFonts w:hint="eastAsia" w:ascii="Times New Roman" w:hAnsi="Times New Roman"/>
                <w:bCs/>
                <w:sz w:val="24"/>
              </w:rPr>
              <w:t>.</w:t>
            </w:r>
            <w:r>
              <w:rPr>
                <w:rFonts w:ascii="Times New Roman" w:hAnsi="Times New Roman"/>
                <w:bCs/>
                <w:sz w:val="24"/>
              </w:rPr>
              <w:t>8kg/d</w:t>
            </w:r>
            <w:r>
              <w:rPr>
                <w:rFonts w:ascii="Times New Roman"/>
                <w:bCs/>
                <w:sz w:val="24"/>
              </w:rPr>
              <w:t>、</w:t>
            </w:r>
            <w:r>
              <w:rPr>
                <w:rFonts w:ascii="Times New Roman" w:hAnsi="Times New Roman"/>
                <w:bCs/>
                <w:sz w:val="24"/>
              </w:rPr>
              <w:t>NH</w:t>
            </w:r>
            <w:r>
              <w:rPr>
                <w:rFonts w:ascii="Times New Roman" w:hAnsi="Times New Roman"/>
                <w:bCs/>
                <w:sz w:val="24"/>
                <w:vertAlign w:val="subscript"/>
              </w:rPr>
              <w:t>3</w:t>
            </w:r>
            <w:r>
              <w:rPr>
                <w:rFonts w:ascii="Times New Roman" w:hAnsi="Times New Roman"/>
                <w:bCs/>
                <w:sz w:val="24"/>
              </w:rPr>
              <w:t>-N</w:t>
            </w:r>
            <w:r>
              <w:rPr>
                <w:rFonts w:hint="eastAsia" w:ascii="Times New Roman" w:hAnsi="Times New Roman"/>
                <w:bCs/>
                <w:sz w:val="24"/>
              </w:rPr>
              <w:t>为</w:t>
            </w:r>
            <w:r>
              <w:rPr>
                <w:rFonts w:ascii="Times New Roman" w:hAnsi="Times New Roman"/>
                <w:bCs/>
                <w:sz w:val="24"/>
              </w:rPr>
              <w:t>0</w:t>
            </w:r>
            <w:r>
              <w:rPr>
                <w:rFonts w:hint="eastAsia" w:ascii="Times New Roman" w:hAnsi="Times New Roman"/>
                <w:bCs/>
                <w:sz w:val="24"/>
              </w:rPr>
              <w:t>.</w:t>
            </w:r>
            <w:r>
              <w:rPr>
                <w:rFonts w:ascii="Times New Roman" w:hAnsi="Times New Roman"/>
                <w:bCs/>
                <w:sz w:val="24"/>
              </w:rPr>
              <w:t>18kg/d</w:t>
            </w:r>
            <w:r>
              <w:rPr>
                <w:rFonts w:ascii="Times New Roman"/>
                <w:bCs/>
                <w:sz w:val="24"/>
              </w:rPr>
              <w:t>，这部分生活污水会对环境造成局部影响。</w:t>
            </w:r>
          </w:p>
          <w:p>
            <w:pPr>
              <w:kinsoku w:val="0"/>
              <w:overflowPunct w:val="0"/>
              <w:spacing w:line="360" w:lineRule="auto"/>
              <w:textAlignment w:val="baseline"/>
              <w:rPr>
                <w:rFonts w:ascii="Times New Roman" w:hAnsi="Times New Roman"/>
                <w:b/>
                <w:spacing w:val="8"/>
                <w:sz w:val="24"/>
                <w:szCs w:val="24"/>
                <w:u w:val="single"/>
              </w:rPr>
            </w:pPr>
            <w:r>
              <w:rPr>
                <w:rFonts w:ascii="Times New Roman" w:hAnsi="Times New Roman"/>
                <w:b/>
                <w:spacing w:val="8"/>
                <w:sz w:val="24"/>
                <w:szCs w:val="24"/>
                <w:u w:val="single"/>
              </w:rPr>
              <w:t xml:space="preserve">1.3 </w:t>
            </w:r>
            <w:r>
              <w:rPr>
                <w:rFonts w:ascii="Times New Roman"/>
                <w:b/>
                <w:spacing w:val="8"/>
                <w:sz w:val="24"/>
                <w:u w:val="single"/>
              </w:rPr>
              <w:t>噪声污染源</w:t>
            </w:r>
          </w:p>
          <w:p>
            <w:pPr>
              <w:spacing w:line="360" w:lineRule="auto"/>
              <w:ind w:firstLine="480" w:firstLineChars="200"/>
              <w:rPr>
                <w:rFonts w:ascii="Times New Roman" w:hAnsi="Times New Roman"/>
                <w:bCs/>
                <w:sz w:val="24"/>
              </w:rPr>
            </w:pPr>
            <w:r>
              <w:rPr>
                <w:rFonts w:ascii="Times New Roman"/>
                <w:bCs/>
                <w:sz w:val="24"/>
              </w:rPr>
              <w:t>本项目施工期间，需要使用较多的施工机械和运输车辆，其中施工机械主要有打桩机、装载机、搅拌机等；运输车辆包括各种卡车、自卸车等。这些机械设备运行时会</w:t>
            </w:r>
            <w:r>
              <w:rPr>
                <w:rFonts w:ascii="Times New Roman"/>
                <w:bCs/>
                <w:sz w:val="24"/>
                <w:szCs w:val="24"/>
              </w:rPr>
              <w:t>产生较强的噪声，对附近声环境敏感点的声环境产生不利影响。施工机械设备单机运行噪声见</w:t>
            </w:r>
            <w:r>
              <w:rPr>
                <w:rFonts w:hint="eastAsia"/>
                <w:sz w:val="24"/>
                <w:szCs w:val="24"/>
              </w:rPr>
              <w:t>表</w:t>
            </w:r>
            <w:r>
              <w:rPr>
                <w:rFonts w:ascii="Times New Roman" w:hAnsi="Times New Roman"/>
                <w:bCs/>
                <w:sz w:val="24"/>
                <w:szCs w:val="24"/>
              </w:rPr>
              <w:t>4-1</w:t>
            </w:r>
            <w:r>
              <w:rPr>
                <w:rFonts w:ascii="Times New Roman"/>
                <w:bCs/>
                <w:sz w:val="24"/>
                <w:szCs w:val="24"/>
              </w:rPr>
              <w:t>。</w:t>
            </w:r>
          </w:p>
          <w:p>
            <w:pPr>
              <w:spacing w:line="360" w:lineRule="auto"/>
              <w:jc w:val="center"/>
              <w:rPr>
                <w:rFonts w:ascii="Times New Roman" w:hAnsi="Times New Roman"/>
                <w:b/>
                <w:sz w:val="24"/>
              </w:rPr>
            </w:pPr>
            <w:bookmarkStart w:id="34" w:name="_Ref301947276"/>
            <w:r>
              <w:rPr>
                <w:rFonts w:ascii="Times New Roman"/>
                <w:b/>
                <w:sz w:val="24"/>
              </w:rPr>
              <w:t>表</w:t>
            </w:r>
            <w:bookmarkEnd w:id="34"/>
            <w:r>
              <w:rPr>
                <w:rFonts w:ascii="Times New Roman" w:hAnsi="Times New Roman"/>
                <w:b/>
                <w:sz w:val="24"/>
              </w:rPr>
              <w:t xml:space="preserve">4-1  </w:t>
            </w:r>
            <w:r>
              <w:rPr>
                <w:rFonts w:ascii="Times New Roman"/>
                <w:b/>
                <w:sz w:val="24"/>
              </w:rPr>
              <w:t>主要施工机械和车辆噪声</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4"/>
              <w:gridCol w:w="1538"/>
              <w:gridCol w:w="1653"/>
              <w:gridCol w:w="3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
                      <w:bCs/>
                      <w:szCs w:val="21"/>
                    </w:rPr>
                  </w:pPr>
                  <w:r>
                    <w:rPr>
                      <w:rFonts w:ascii="Times New Roman" w:hAnsi="Times New Roman"/>
                      <w:b/>
                      <w:bCs/>
                      <w:szCs w:val="21"/>
                    </w:rPr>
                    <w:t>机械设备</w:t>
                  </w:r>
                </w:p>
              </w:tc>
              <w:tc>
                <w:tcPr>
                  <w:tcW w:w="1538" w:type="dxa"/>
                  <w:vAlign w:val="center"/>
                </w:tcPr>
                <w:p>
                  <w:pPr>
                    <w:pStyle w:val="11"/>
                    <w:spacing w:after="0" w:line="240" w:lineRule="auto"/>
                    <w:ind w:left="0" w:leftChars="0"/>
                    <w:jc w:val="center"/>
                    <w:textAlignment w:val="baseline"/>
                    <w:rPr>
                      <w:rFonts w:ascii="Times New Roman" w:hAnsi="Times New Roman"/>
                      <w:b/>
                      <w:bCs/>
                      <w:szCs w:val="21"/>
                    </w:rPr>
                  </w:pPr>
                  <w:r>
                    <w:rPr>
                      <w:rFonts w:ascii="Times New Roman" w:hAnsi="Times New Roman"/>
                      <w:b/>
                      <w:bCs/>
                      <w:szCs w:val="21"/>
                    </w:rPr>
                    <w:t>测距（m）</w:t>
                  </w:r>
                </w:p>
              </w:tc>
              <w:tc>
                <w:tcPr>
                  <w:tcW w:w="1653" w:type="dxa"/>
                  <w:vAlign w:val="center"/>
                </w:tcPr>
                <w:p>
                  <w:pPr>
                    <w:pStyle w:val="11"/>
                    <w:spacing w:after="0" w:line="240" w:lineRule="auto"/>
                    <w:ind w:left="0" w:leftChars="0"/>
                    <w:jc w:val="center"/>
                    <w:textAlignment w:val="baseline"/>
                    <w:rPr>
                      <w:rFonts w:ascii="Times New Roman" w:hAnsi="Times New Roman"/>
                      <w:b/>
                      <w:bCs/>
                      <w:szCs w:val="21"/>
                    </w:rPr>
                  </w:pPr>
                  <w:r>
                    <w:rPr>
                      <w:rFonts w:ascii="Times New Roman" w:hAnsi="Times New Roman"/>
                      <w:b/>
                      <w:bCs/>
                      <w:szCs w:val="21"/>
                    </w:rPr>
                    <w:t>声级（dB）</w:t>
                  </w:r>
                </w:p>
              </w:tc>
              <w:tc>
                <w:tcPr>
                  <w:tcW w:w="3831" w:type="dxa"/>
                  <w:vAlign w:val="center"/>
                </w:tcPr>
                <w:p>
                  <w:pPr>
                    <w:pStyle w:val="11"/>
                    <w:spacing w:after="0" w:line="240" w:lineRule="auto"/>
                    <w:ind w:left="0" w:leftChars="0"/>
                    <w:jc w:val="center"/>
                    <w:textAlignment w:val="baseline"/>
                    <w:rPr>
                      <w:rFonts w:ascii="Times New Roman" w:hAnsi="Times New Roman"/>
                      <w:b/>
                      <w:bCs/>
                      <w:szCs w:val="21"/>
                    </w:rPr>
                  </w:pPr>
                  <w:r>
                    <w:rPr>
                      <w:rFonts w:ascii="Times New Roman" w:hAnsi="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装载机</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5</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90</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轮式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搅拌机</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2</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90</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卡车</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5</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90</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载重越大噪声越高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振捣机</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5</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84</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自卸车</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22</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70</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04"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自动式吊车</w:t>
                  </w:r>
                </w:p>
              </w:tc>
              <w:tc>
                <w:tcPr>
                  <w:tcW w:w="1538"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5</w:t>
                  </w:r>
                </w:p>
              </w:tc>
              <w:tc>
                <w:tcPr>
                  <w:tcW w:w="1653"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90</w:t>
                  </w:r>
                </w:p>
              </w:tc>
              <w:tc>
                <w:tcPr>
                  <w:tcW w:w="3831" w:type="dxa"/>
                  <w:vAlign w:val="center"/>
                </w:tcPr>
                <w:p>
                  <w:pPr>
                    <w:pStyle w:val="11"/>
                    <w:spacing w:after="0" w:line="240" w:lineRule="auto"/>
                    <w:ind w:left="0" w:leftChars="0"/>
                    <w:jc w:val="center"/>
                    <w:textAlignment w:val="baseline"/>
                    <w:rPr>
                      <w:rFonts w:ascii="Times New Roman" w:hAnsi="Times New Roman"/>
                      <w:bCs/>
                      <w:szCs w:val="21"/>
                    </w:rPr>
                  </w:pPr>
                  <w:r>
                    <w:rPr>
                      <w:rFonts w:ascii="Times New Roman" w:hAnsi="Times New Roman"/>
                      <w:bCs/>
                      <w:szCs w:val="21"/>
                    </w:rPr>
                    <w:t>/</w:t>
                  </w:r>
                </w:p>
              </w:tc>
            </w:tr>
          </w:tbl>
          <w:p>
            <w:pPr>
              <w:kinsoku w:val="0"/>
              <w:overflowPunct w:val="0"/>
              <w:spacing w:line="360" w:lineRule="auto"/>
              <w:textAlignment w:val="baseline"/>
              <w:rPr>
                <w:rFonts w:ascii="Times New Roman" w:hAnsi="宋体"/>
                <w:b/>
                <w:color w:val="000000"/>
                <w:spacing w:val="8"/>
                <w:sz w:val="24"/>
                <w:szCs w:val="28"/>
                <w:u w:val="single"/>
              </w:rPr>
            </w:pPr>
            <w:r>
              <w:rPr>
                <w:rFonts w:ascii="Times New Roman" w:hAnsi="宋体"/>
                <w:b/>
                <w:color w:val="000000"/>
                <w:spacing w:val="8"/>
                <w:sz w:val="24"/>
                <w:szCs w:val="28"/>
                <w:u w:val="single"/>
              </w:rPr>
              <w:t xml:space="preserve">1.4 </w:t>
            </w:r>
            <w:r>
              <w:rPr>
                <w:rFonts w:hint="eastAsia" w:ascii="Times New Roman" w:hAnsi="宋体"/>
                <w:b/>
                <w:color w:val="000000"/>
                <w:spacing w:val="8"/>
                <w:sz w:val="24"/>
                <w:szCs w:val="28"/>
                <w:u w:val="single"/>
              </w:rPr>
              <w:t>固体废物</w:t>
            </w:r>
          </w:p>
          <w:p>
            <w:pPr>
              <w:spacing w:line="360" w:lineRule="auto"/>
              <w:ind w:firstLine="480" w:firstLineChars="200"/>
              <w:rPr>
                <w:rFonts w:ascii="Times New Roman" w:hAnsi="Times New Roman"/>
                <w:bCs/>
                <w:sz w:val="24"/>
              </w:rPr>
            </w:pPr>
            <w:r>
              <w:rPr>
                <w:rFonts w:ascii="Times New Roman"/>
                <w:bCs/>
                <w:sz w:val="24"/>
              </w:rPr>
              <w:t>本项目施工期产生的固体废物主要为施工建筑垃圾、废弃包装材料和施工人员产生的生活垃圾等。</w:t>
            </w:r>
          </w:p>
          <w:p>
            <w:pPr>
              <w:spacing w:line="360" w:lineRule="auto"/>
              <w:ind w:firstLine="480" w:firstLineChars="200"/>
              <w:rPr>
                <w:rFonts w:ascii="Times New Roman" w:hAnsi="Times New Roman"/>
                <w:bCs/>
                <w:sz w:val="24"/>
              </w:rPr>
            </w:pPr>
            <w:r>
              <w:rPr>
                <w:rFonts w:ascii="Times New Roman"/>
                <w:bCs/>
                <w:sz w:val="24"/>
              </w:rPr>
              <w:t>（</w:t>
            </w:r>
            <w:r>
              <w:rPr>
                <w:rFonts w:ascii="Times New Roman" w:hAnsi="Times New Roman"/>
                <w:bCs/>
                <w:sz w:val="24"/>
              </w:rPr>
              <w:t>1</w:t>
            </w:r>
            <w:r>
              <w:rPr>
                <w:rFonts w:ascii="Times New Roman"/>
                <w:bCs/>
                <w:sz w:val="24"/>
              </w:rPr>
              <w:t>）施工建筑垃圾</w:t>
            </w:r>
          </w:p>
          <w:p>
            <w:pPr>
              <w:spacing w:line="360" w:lineRule="auto"/>
              <w:ind w:firstLine="480" w:firstLineChars="200"/>
              <w:rPr>
                <w:rFonts w:ascii="Times New Roman" w:hAnsi="Times New Roman"/>
                <w:bCs/>
                <w:sz w:val="24"/>
              </w:rPr>
            </w:pPr>
            <w:r>
              <w:rPr>
                <w:rFonts w:ascii="Times New Roman"/>
                <w:bCs/>
                <w:sz w:val="24"/>
              </w:rPr>
              <w:t>本项目在建设过程中产生的建筑垃圾主要有开挖土地产生的土方、建材损耗产生的垃圾、装修产生的建筑垃圾等，包括砂土、石块、水泥、碎木料、据木屑、废金属、钢筋、铁丝等杂物。根据《建筑垃圾的产生与循环利用管理》（陈军等，环境卫生工程，</w:t>
            </w:r>
            <w:r>
              <w:rPr>
                <w:rFonts w:ascii="Times New Roman" w:hAnsi="Times New Roman"/>
                <w:bCs/>
                <w:sz w:val="24"/>
              </w:rPr>
              <w:t>2006</w:t>
            </w:r>
            <w:r>
              <w:rPr>
                <w:rFonts w:hint="eastAsia" w:ascii="Times New Roman" w:hAnsi="Times New Roman"/>
                <w:bCs/>
                <w:sz w:val="24"/>
              </w:rPr>
              <w:t>年</w:t>
            </w:r>
            <w:r>
              <w:rPr>
                <w:rFonts w:ascii="Times New Roman"/>
                <w:bCs/>
                <w:sz w:val="24"/>
              </w:rPr>
              <w:t>），在建筑物的建造过程中，单位建筑面积的建筑垃圾产生量为</w:t>
            </w:r>
            <w:r>
              <w:rPr>
                <w:rFonts w:ascii="Times New Roman" w:hAnsi="Times New Roman"/>
                <w:bCs/>
                <w:sz w:val="24"/>
              </w:rPr>
              <w:t>20~50kg/m</w:t>
            </w:r>
            <w:r>
              <w:rPr>
                <w:rFonts w:ascii="Times New Roman" w:hAnsi="Times New Roman"/>
                <w:bCs/>
                <w:sz w:val="24"/>
                <w:vertAlign w:val="superscript"/>
              </w:rPr>
              <w:t>2</w:t>
            </w:r>
            <w:r>
              <w:rPr>
                <w:rFonts w:ascii="Times New Roman"/>
                <w:bCs/>
                <w:sz w:val="24"/>
              </w:rPr>
              <w:t>，本项目厂房为钢架结构，其他为砖混结构物，总建筑面积按</w:t>
            </w:r>
            <w:r>
              <w:rPr>
                <w:rFonts w:hint="eastAsia" w:ascii="Times New Roman" w:hAnsi="Times New Roman"/>
                <w:bCs/>
                <w:sz w:val="24"/>
              </w:rPr>
              <w:t>2</w:t>
            </w:r>
            <w:r>
              <w:rPr>
                <w:rFonts w:ascii="Times New Roman" w:hAnsi="Times New Roman"/>
                <w:bCs/>
                <w:sz w:val="24"/>
              </w:rPr>
              <w:t>1</w:t>
            </w:r>
            <w:r>
              <w:rPr>
                <w:rFonts w:hint="eastAsia" w:ascii="Times New Roman" w:hAnsi="Times New Roman"/>
                <w:bCs/>
                <w:sz w:val="24"/>
              </w:rPr>
              <w:t>00</w:t>
            </w:r>
            <w:r>
              <w:rPr>
                <w:rFonts w:ascii="Times New Roman" w:hAnsi="Times New Roman"/>
                <w:bCs/>
                <w:sz w:val="24"/>
              </w:rPr>
              <w:t>m</w:t>
            </w:r>
            <w:r>
              <w:rPr>
                <w:rFonts w:ascii="Times New Roman" w:hAnsi="Times New Roman"/>
                <w:bCs/>
                <w:sz w:val="24"/>
                <w:vertAlign w:val="superscript"/>
              </w:rPr>
              <w:t>2</w:t>
            </w:r>
            <w:r>
              <w:rPr>
                <w:rFonts w:ascii="Times New Roman"/>
                <w:bCs/>
                <w:sz w:val="24"/>
              </w:rPr>
              <w:t>进行计算，建筑垃圾产生量取平均值</w:t>
            </w:r>
            <w:r>
              <w:rPr>
                <w:rFonts w:ascii="Times New Roman" w:hAnsi="Times New Roman"/>
                <w:bCs/>
                <w:sz w:val="24"/>
              </w:rPr>
              <w:t>35kg/m</w:t>
            </w:r>
            <w:r>
              <w:rPr>
                <w:rFonts w:ascii="Times New Roman" w:hAnsi="Times New Roman"/>
                <w:bCs/>
                <w:sz w:val="24"/>
                <w:vertAlign w:val="superscript"/>
              </w:rPr>
              <w:t>2</w:t>
            </w:r>
            <w:r>
              <w:rPr>
                <w:rFonts w:ascii="Times New Roman"/>
                <w:bCs/>
                <w:sz w:val="24"/>
              </w:rPr>
              <w:t>，则本项目建筑垃圾的产生量约</w:t>
            </w:r>
            <w:r>
              <w:rPr>
                <w:rFonts w:hint="eastAsia" w:ascii="Times New Roman" w:hAnsi="Times New Roman"/>
                <w:bCs/>
                <w:sz w:val="24"/>
              </w:rPr>
              <w:t>7</w:t>
            </w:r>
            <w:r>
              <w:rPr>
                <w:rFonts w:ascii="Times New Roman" w:hAnsi="Times New Roman"/>
                <w:bCs/>
                <w:sz w:val="24"/>
              </w:rPr>
              <w:t>3</w:t>
            </w:r>
            <w:r>
              <w:rPr>
                <w:rFonts w:hint="eastAsia" w:ascii="Times New Roman" w:hAnsi="Times New Roman"/>
                <w:bCs/>
                <w:sz w:val="24"/>
              </w:rPr>
              <w:t>.</w:t>
            </w:r>
            <w:r>
              <w:rPr>
                <w:rFonts w:ascii="Times New Roman" w:hAnsi="Times New Roman"/>
                <w:bCs/>
                <w:sz w:val="24"/>
              </w:rPr>
              <w:t>5t</w:t>
            </w:r>
            <w:r>
              <w:rPr>
                <w:rFonts w:ascii="Times New Roman"/>
                <w:bCs/>
                <w:sz w:val="24"/>
              </w:rPr>
              <w:t>，运往政府指定的建筑垃圾填埋点进行安全填埋。</w:t>
            </w:r>
          </w:p>
          <w:p>
            <w:pPr>
              <w:spacing w:line="360" w:lineRule="auto"/>
              <w:ind w:firstLine="480" w:firstLineChars="200"/>
              <w:rPr>
                <w:rFonts w:ascii="Times New Roman" w:hAnsi="Times New Roman"/>
                <w:bCs/>
                <w:sz w:val="24"/>
              </w:rPr>
            </w:pPr>
            <w:r>
              <w:rPr>
                <w:rFonts w:ascii="Times New Roman"/>
                <w:bCs/>
                <w:sz w:val="24"/>
              </w:rPr>
              <w:t>（</w:t>
            </w:r>
            <w:r>
              <w:rPr>
                <w:rFonts w:ascii="Times New Roman" w:hAnsi="Times New Roman"/>
                <w:bCs/>
                <w:sz w:val="24"/>
              </w:rPr>
              <w:t>2</w:t>
            </w:r>
            <w:r>
              <w:rPr>
                <w:rFonts w:ascii="Times New Roman"/>
                <w:bCs/>
                <w:sz w:val="24"/>
              </w:rPr>
              <w:t>）废弃包装材料</w:t>
            </w:r>
          </w:p>
          <w:p>
            <w:pPr>
              <w:spacing w:line="360" w:lineRule="auto"/>
              <w:ind w:firstLine="480" w:firstLineChars="200"/>
              <w:rPr>
                <w:rFonts w:ascii="Times New Roman" w:hAnsi="Times New Roman"/>
                <w:bCs/>
                <w:sz w:val="24"/>
              </w:rPr>
            </w:pPr>
            <w:r>
              <w:rPr>
                <w:rFonts w:ascii="Times New Roman"/>
                <w:bCs/>
                <w:sz w:val="24"/>
              </w:rPr>
              <w:t>根据同类工程调查，建筑施工过程中废弃包装材料产生量约为每</w:t>
            </w:r>
            <w:r>
              <w:rPr>
                <w:rFonts w:ascii="Times New Roman" w:hAnsi="Times New Roman"/>
                <w:bCs/>
                <w:sz w:val="24"/>
              </w:rPr>
              <w:t>0.01kg/m</w:t>
            </w:r>
            <w:r>
              <w:rPr>
                <w:rFonts w:ascii="Times New Roman" w:hAnsi="Times New Roman"/>
                <w:bCs/>
                <w:sz w:val="24"/>
                <w:vertAlign w:val="superscript"/>
              </w:rPr>
              <w:t>2</w:t>
            </w:r>
            <w:r>
              <w:rPr>
                <w:rFonts w:ascii="Times New Roman"/>
                <w:bCs/>
                <w:sz w:val="24"/>
              </w:rPr>
              <w:t>，按此估算，本建设项目施工期产生的废弃包装材料约为</w:t>
            </w:r>
            <w:r>
              <w:rPr>
                <w:rFonts w:ascii="Times New Roman" w:hAnsi="Times New Roman"/>
                <w:bCs/>
                <w:sz w:val="24"/>
              </w:rPr>
              <w:t>0.065t</w:t>
            </w:r>
            <w:r>
              <w:rPr>
                <w:rFonts w:ascii="Times New Roman"/>
                <w:bCs/>
                <w:sz w:val="24"/>
              </w:rPr>
              <w:t>。可用回收单位回收利用或处置。</w:t>
            </w:r>
          </w:p>
          <w:p>
            <w:pPr>
              <w:spacing w:line="360" w:lineRule="auto"/>
              <w:ind w:firstLine="480" w:firstLineChars="200"/>
              <w:rPr>
                <w:rFonts w:ascii="Times New Roman" w:hAnsi="Times New Roman"/>
                <w:bCs/>
                <w:sz w:val="24"/>
              </w:rPr>
            </w:pPr>
            <w:r>
              <w:rPr>
                <w:rFonts w:ascii="Times New Roman"/>
                <w:bCs/>
                <w:sz w:val="24"/>
              </w:rPr>
              <w:t>（</w:t>
            </w:r>
            <w:r>
              <w:rPr>
                <w:rFonts w:ascii="Times New Roman" w:hAnsi="Times New Roman"/>
                <w:bCs/>
                <w:sz w:val="24"/>
              </w:rPr>
              <w:t>3</w:t>
            </w:r>
            <w:r>
              <w:rPr>
                <w:rFonts w:ascii="Times New Roman"/>
                <w:bCs/>
                <w:sz w:val="24"/>
              </w:rPr>
              <w:t>）施工人员生活垃圾</w:t>
            </w:r>
          </w:p>
          <w:p>
            <w:pPr>
              <w:spacing w:line="360" w:lineRule="auto"/>
              <w:ind w:firstLine="480" w:firstLineChars="200"/>
              <w:rPr>
                <w:rFonts w:ascii="Times New Roman" w:hAnsi="Times New Roman"/>
                <w:sz w:val="24"/>
              </w:rPr>
            </w:pPr>
            <w:r>
              <w:rPr>
                <w:rFonts w:ascii="Times New Roman"/>
                <w:bCs/>
                <w:sz w:val="24"/>
              </w:rPr>
              <w:t>项目施工人员产生的生活垃圾产生量按每人</w:t>
            </w:r>
            <w:r>
              <w:rPr>
                <w:rFonts w:ascii="Times New Roman" w:hAnsi="Times New Roman"/>
                <w:bCs/>
                <w:sz w:val="24"/>
              </w:rPr>
              <w:t>0.5kg/d</w:t>
            </w:r>
            <w:r>
              <w:rPr>
                <w:rFonts w:ascii="Times New Roman"/>
                <w:bCs/>
                <w:sz w:val="24"/>
              </w:rPr>
              <w:t>计，施工人数按平均</w:t>
            </w:r>
            <w:r>
              <w:rPr>
                <w:rFonts w:ascii="Times New Roman" w:hAnsi="Times New Roman"/>
                <w:bCs/>
                <w:sz w:val="24"/>
              </w:rPr>
              <w:t>20</w:t>
            </w:r>
            <w:r>
              <w:rPr>
                <w:rFonts w:ascii="Times New Roman"/>
                <w:bCs/>
                <w:sz w:val="24"/>
              </w:rPr>
              <w:t>人考虑，则生活垃圾产生量为</w:t>
            </w:r>
            <w:r>
              <w:rPr>
                <w:rFonts w:ascii="Times New Roman" w:hAnsi="Times New Roman"/>
                <w:bCs/>
                <w:sz w:val="24"/>
              </w:rPr>
              <w:t>0.01t/d</w:t>
            </w:r>
            <w:r>
              <w:rPr>
                <w:rFonts w:ascii="Times New Roman"/>
                <w:bCs/>
                <w:sz w:val="24"/>
              </w:rPr>
              <w:t>。项目施工过程中产生的生活垃圾经建设单位集中收集，由环卫部门统一运送至生活垃圾焚烧场焚烧处理。</w:t>
            </w:r>
          </w:p>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2</w:t>
            </w:r>
            <w:r>
              <w:rPr>
                <w:rFonts w:ascii="Times New Roman" w:hAnsi="Times New Roman"/>
                <w:b/>
                <w:spacing w:val="8"/>
                <w:sz w:val="24"/>
                <w:szCs w:val="24"/>
              </w:rPr>
              <w:t xml:space="preserve"> </w:t>
            </w:r>
            <w:r>
              <w:rPr>
                <w:rFonts w:hint="eastAsia" w:ascii="Times New Roman" w:hAnsi="Times New Roman"/>
                <w:b/>
                <w:spacing w:val="8"/>
                <w:sz w:val="24"/>
                <w:szCs w:val="24"/>
              </w:rPr>
              <w:t>营运</w:t>
            </w:r>
            <w:r>
              <w:rPr>
                <w:rFonts w:ascii="Times New Roman" w:hAnsi="Times New Roman"/>
                <w:b/>
                <w:spacing w:val="8"/>
                <w:sz w:val="24"/>
                <w:szCs w:val="24"/>
              </w:rPr>
              <w:t>期工程污染</w:t>
            </w:r>
            <w:r>
              <w:rPr>
                <w:rFonts w:hint="eastAsia" w:ascii="Times New Roman" w:hAnsi="Times New Roman"/>
                <w:b/>
                <w:spacing w:val="8"/>
                <w:sz w:val="24"/>
                <w:szCs w:val="24"/>
              </w:rPr>
              <w:t>分析</w:t>
            </w:r>
          </w:p>
          <w:p>
            <w:pPr>
              <w:kinsoku w:val="0"/>
              <w:overflowPunct w:val="0"/>
              <w:spacing w:line="360" w:lineRule="auto"/>
              <w:rPr>
                <w:rFonts w:ascii="Times New Roman" w:hAnsi="Times New Roman"/>
                <w:b/>
                <w:spacing w:val="8"/>
                <w:sz w:val="24"/>
              </w:rPr>
            </w:pPr>
            <w:r>
              <w:rPr>
                <w:rFonts w:hint="eastAsia" w:ascii="Times New Roman" w:hAnsi="Times New Roman"/>
                <w:b/>
                <w:spacing w:val="8"/>
                <w:sz w:val="24"/>
              </w:rPr>
              <w:t>2</w:t>
            </w:r>
            <w:r>
              <w:rPr>
                <w:rFonts w:ascii="Times New Roman" w:hAnsi="Times New Roman"/>
                <w:b/>
                <w:spacing w:val="8"/>
                <w:sz w:val="24"/>
              </w:rPr>
              <w:t>.1 大气污染源</w:t>
            </w:r>
          </w:p>
          <w:p>
            <w:pPr>
              <w:spacing w:line="360" w:lineRule="auto"/>
              <w:ind w:firstLine="480" w:firstLineChars="200"/>
              <w:rPr>
                <w:rFonts w:ascii="Times New Roman" w:hAnsi="Times New Roman"/>
                <w:kern w:val="10"/>
                <w:sz w:val="24"/>
              </w:rPr>
            </w:pPr>
            <w:r>
              <w:rPr>
                <w:rFonts w:hint="eastAsia" w:ascii="Times New Roman" w:hAnsi="Times New Roman"/>
                <w:kern w:val="10"/>
                <w:sz w:val="24"/>
              </w:rPr>
              <w:t>本项目建成后，其废气主要来源于采装粉尘、装卸及堆放扬尘、运输车辆扬尘、碎石生产破碎筛分粉尘、页岩砖生产破碎搅拌粉尘、窑炉烟气以及食堂油烟废气。</w:t>
            </w:r>
          </w:p>
          <w:p>
            <w:pPr>
              <w:spacing w:line="360" w:lineRule="auto"/>
              <w:ind w:firstLine="480" w:firstLineChars="200"/>
              <w:rPr>
                <w:rFonts w:ascii="Times New Roman" w:hAnsi="Times New Roman"/>
                <w:kern w:val="10"/>
                <w:sz w:val="24"/>
                <w:u w:val="single"/>
              </w:rPr>
            </w:pPr>
            <w:r>
              <w:rPr>
                <w:rFonts w:hint="eastAsia" w:ascii="Times New Roman" w:hAnsi="Times New Roman"/>
                <w:kern w:val="10"/>
                <w:sz w:val="24"/>
                <w:u w:val="single"/>
              </w:rPr>
              <w:t>（</w:t>
            </w:r>
            <w:r>
              <w:rPr>
                <w:rFonts w:ascii="Times New Roman" w:hAnsi="Times New Roman"/>
                <w:kern w:val="10"/>
                <w:sz w:val="24"/>
                <w:u w:val="single"/>
              </w:rPr>
              <w:t>1</w:t>
            </w:r>
            <w:r>
              <w:rPr>
                <w:rFonts w:hint="eastAsia" w:ascii="Times New Roman" w:hAnsi="Times New Roman"/>
                <w:kern w:val="10"/>
                <w:sz w:val="24"/>
                <w:u w:val="single"/>
              </w:rPr>
              <w:t>）采装粉尘</w:t>
            </w:r>
          </w:p>
          <w:p>
            <w:pPr>
              <w:pBdr>
                <w:top w:val="none" w:color="000000" w:sz="0" w:space="0"/>
                <w:left w:val="none" w:color="000000" w:sz="0" w:space="4"/>
                <w:bottom w:val="none" w:color="000000" w:sz="0" w:space="1"/>
                <w:right w:val="none" w:color="000000" w:sz="0" w:space="4"/>
              </w:pBdr>
              <w:shd w:val="clear" w:color="FFFFFF" w:fill="FFFFFF"/>
              <w:spacing w:line="360" w:lineRule="auto"/>
              <w:ind w:firstLine="480" w:firstLineChars="200"/>
              <w:rPr>
                <w:rFonts w:ascii="Times New Roman" w:hAnsi="Times New Roman"/>
                <w:sz w:val="24"/>
              </w:rPr>
            </w:pPr>
            <w:r>
              <w:rPr>
                <w:rFonts w:ascii="Times New Roman" w:hAnsi="Times New Roman"/>
                <w:color w:val="000000" w:themeColor="text1"/>
                <w:sz w:val="24"/>
                <w:szCs w:val="24"/>
                <w14:textFill>
                  <w14:solidFill>
                    <w14:schemeClr w14:val="tx1"/>
                  </w14:solidFill>
                </w14:textFill>
              </w:rPr>
              <w:t>在剥采作业、铲装过程中均会产生粉尘。起尘量按交通部水运研究所武汉水运学院提出的经验公式估算，公式为：</w:t>
            </w:r>
          </w:p>
          <w:p>
            <w:pPr>
              <w:spacing w:line="360" w:lineRule="auto"/>
              <w:jc w:val="center"/>
              <w:rPr>
                <w:rFonts w:ascii="Times New Roman" w:hAnsi="Times New Roman"/>
                <w:b/>
                <w:sz w:val="24"/>
              </w:rPr>
            </w:pPr>
            <w:r>
              <w:rPr>
                <w:rFonts w:ascii="Times New Roman" w:hAnsi="Times New Roman"/>
                <w:color w:val="000000" w:themeColor="text1"/>
                <w:sz w:val="24"/>
                <w:szCs w:val="24"/>
                <w14:textFill>
                  <w14:solidFill>
                    <w14:schemeClr w14:val="tx1"/>
                  </w14:solidFill>
                </w14:textFill>
              </w:rPr>
              <w:drawing>
                <wp:inline distT="0" distB="0" distL="114300" distR="114300">
                  <wp:extent cx="1528445" cy="231775"/>
                  <wp:effectExtent l="0" t="0" r="14605" b="16510"/>
                  <wp:docPr id="19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图片 7"/>
                          <pic:cNvPicPr>
                            <a:picLocks noChangeAspect="1"/>
                          </pic:cNvPicPr>
                        </pic:nvPicPr>
                        <pic:blipFill>
                          <a:blip r:embed="rId16" cstate="print"/>
                          <a:stretch>
                            <a:fillRect/>
                          </a:stretch>
                        </pic:blipFill>
                        <pic:spPr>
                          <a:xfrm>
                            <a:off x="0" y="0"/>
                            <a:ext cx="1528445" cy="231775"/>
                          </a:xfrm>
                          <a:prstGeom prst="rect">
                            <a:avLst/>
                          </a:prstGeom>
                          <a:noFill/>
                          <a:ln w="9525">
                            <a:noFill/>
                          </a:ln>
                        </pic:spPr>
                      </pic:pic>
                    </a:graphicData>
                  </a:graphic>
                </wp:inline>
              </w:drawing>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——起尘量(kg/t)</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U——平均风速，取1.8m/s</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H——物料落差，取0.6m</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W——物料含水率，取7%</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根据估算，采场机械剥采、铲装矿石粉尘产生量约为0.04kg/t，本工程平均铲装量为18万t/a，则采装粉尘产生量为7.2t/a。通过洒水抑尘，可减少约80%的粉尘排放，最终无组织粉尘排放量为1.44t/a，主要污染物为TSP。</w:t>
            </w:r>
          </w:p>
          <w:p>
            <w:pPr>
              <w:spacing w:line="360" w:lineRule="auto"/>
              <w:ind w:firstLine="480" w:firstLineChars="200"/>
              <w:rPr>
                <w:rFonts w:ascii="Times New Roman" w:hAnsi="Times New Roman"/>
                <w:color w:val="000000" w:themeColor="text1"/>
                <w:kern w:val="24"/>
                <w:sz w:val="24"/>
                <w:szCs w:val="24"/>
                <w14:textFill>
                  <w14:solidFill>
                    <w14:schemeClr w14:val="tx1"/>
                  </w14:solidFill>
                </w14:textFill>
              </w:rPr>
            </w:pPr>
            <w:r>
              <w:rPr>
                <w:rFonts w:hint="eastAsia" w:ascii="Times New Roman" w:hAnsi="Times New Roman"/>
                <w:color w:val="000000" w:themeColor="text1"/>
                <w:kern w:val="24"/>
                <w:sz w:val="24"/>
                <w:szCs w:val="24"/>
                <w14:textFill>
                  <w14:solidFill>
                    <w14:schemeClr w14:val="tx1"/>
                  </w14:solidFill>
                </w14:textFill>
              </w:rPr>
              <w:t>（2）</w:t>
            </w:r>
            <w:r>
              <w:rPr>
                <w:rFonts w:hint="eastAsia" w:ascii="Times New Roman" w:hAnsi="Times New Roman"/>
                <w:kern w:val="24"/>
                <w:sz w:val="24"/>
              </w:rPr>
              <w:t>装卸及堆放扬尘</w:t>
            </w:r>
          </w:p>
          <w:p>
            <w:pPr>
              <w:spacing w:line="360" w:lineRule="auto"/>
              <w:ind w:firstLine="480" w:firstLineChars="200"/>
              <w:rPr>
                <w:rFonts w:ascii="Times New Roman" w:hAnsi="Times New Roman"/>
                <w:color w:val="000000" w:themeColor="text1"/>
                <w:kern w:val="24"/>
                <w:sz w:val="24"/>
                <w:szCs w:val="24"/>
                <w14:textFill>
                  <w14:solidFill>
                    <w14:schemeClr w14:val="tx1"/>
                  </w14:solidFill>
                </w14:textFill>
              </w:rPr>
            </w:pPr>
            <w:r>
              <w:rPr>
                <w:rFonts w:hint="eastAsia" w:ascii="Times New Roman" w:hAnsi="Times New Roman"/>
                <w:color w:val="000000" w:themeColor="text1"/>
                <w:kern w:val="24"/>
                <w:sz w:val="24"/>
                <w:szCs w:val="24"/>
                <w14:textFill>
                  <w14:solidFill>
                    <w14:schemeClr w14:val="tx1"/>
                  </w14:solidFill>
                </w14:textFill>
              </w:rPr>
              <w:t>本工程原料在装卸及堆存过程中会产生无组织排放扬尘。评价要求页岩、煤在原料堆场放置时应分区存放，原料堆场应设置为半封式，且应采取防风、防雨、防流失措施。为减少无组织粉尘的排放，要求建设方设置喷雾洒水装置，在装卸过程中对各原料进行喷雾、洒水；同时在干燥天气应采用定期洒水，减少装卸过程和堆存过程中无组织粉尘的产生量，加强管理。类比同类规模项目，本项目</w:t>
            </w:r>
            <w:r>
              <w:rPr>
                <w:rFonts w:hint="eastAsia" w:ascii="Times New Roman" w:hAnsi="Times New Roman"/>
                <w:kern w:val="24"/>
                <w:sz w:val="24"/>
              </w:rPr>
              <w:t>装卸及堆放扬尘</w:t>
            </w:r>
            <w:r>
              <w:rPr>
                <w:rFonts w:hint="eastAsia" w:ascii="Times New Roman" w:hAnsi="Times New Roman"/>
                <w:color w:val="000000" w:themeColor="text1"/>
                <w:kern w:val="24"/>
                <w:sz w:val="24"/>
                <w:szCs w:val="24"/>
                <w14:textFill>
                  <w14:solidFill>
                    <w14:schemeClr w14:val="tx1"/>
                  </w14:solidFill>
                </w14:textFill>
              </w:rPr>
              <w:t>无组织产生量约3.65t/a；通过上述治理措施，扬尘可减少8</w:t>
            </w:r>
            <w:r>
              <w:rPr>
                <w:rFonts w:ascii="Times New Roman" w:hAnsi="Times New Roman"/>
                <w:color w:val="000000" w:themeColor="text1"/>
                <w:kern w:val="24"/>
                <w:sz w:val="24"/>
                <w:szCs w:val="24"/>
                <w14:textFill>
                  <w14:solidFill>
                    <w14:schemeClr w14:val="tx1"/>
                  </w14:solidFill>
                </w14:textFill>
              </w:rPr>
              <w:t>0</w:t>
            </w:r>
            <w:r>
              <w:rPr>
                <w:rFonts w:hint="eastAsia" w:ascii="Times New Roman" w:hAnsi="Times New Roman"/>
                <w:color w:val="000000" w:themeColor="text1"/>
                <w:kern w:val="24"/>
                <w:sz w:val="24"/>
                <w:szCs w:val="24"/>
                <w14:textFill>
                  <w14:solidFill>
                    <w14:schemeClr w14:val="tx1"/>
                  </w14:solidFill>
                </w14:textFill>
              </w:rPr>
              <w:t>%以上，则无组织粉尘排放量为</w:t>
            </w:r>
            <w:r>
              <w:rPr>
                <w:rFonts w:ascii="Times New Roman" w:hAnsi="Times New Roman"/>
                <w:color w:val="000000" w:themeColor="text1"/>
                <w:kern w:val="24"/>
                <w:sz w:val="24"/>
                <w:szCs w:val="24"/>
                <w14:textFill>
                  <w14:solidFill>
                    <w14:schemeClr w14:val="tx1"/>
                  </w14:solidFill>
                </w14:textFill>
              </w:rPr>
              <w:t>0.73</w:t>
            </w:r>
            <w:r>
              <w:rPr>
                <w:rFonts w:hint="eastAsia" w:ascii="Times New Roman" w:hAnsi="Times New Roman"/>
                <w:color w:val="000000" w:themeColor="text1"/>
                <w:kern w:val="24"/>
                <w:sz w:val="24"/>
                <w:szCs w:val="24"/>
                <w14:textFill>
                  <w14:solidFill>
                    <w14:schemeClr w14:val="tx1"/>
                  </w14:solidFill>
                </w14:textFill>
              </w:rPr>
              <w:t>t/a。</w:t>
            </w:r>
          </w:p>
          <w:p>
            <w:pPr>
              <w:spacing w:line="360" w:lineRule="auto"/>
              <w:ind w:firstLine="480" w:firstLineChars="200"/>
              <w:rPr>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（3）</w:t>
            </w:r>
            <w:r>
              <w:rPr>
                <w:rFonts w:hint="eastAsia" w:ascii="Times New Roman" w:hAnsi="Times New Roman"/>
                <w:kern w:val="10"/>
                <w:sz w:val="24"/>
                <w:u w:val="single"/>
              </w:rPr>
              <w:t>运输车辆扬尘</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运输车辆及采装设备在运行过程中还将产生各类尾气及扬尘。其中尾气主要含有SO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、NO</w:t>
            </w:r>
            <w:r>
              <w:rPr>
                <w:rFonts w:ascii="Times New Roman" w:hAnsi="Times New Roman"/>
                <w:color w:val="000000" w:themeColor="text1"/>
                <w:sz w:val="24"/>
                <w:szCs w:val="24"/>
                <w:vertAlign w:val="subscript"/>
                <w14:textFill>
                  <w14:solidFill>
                    <w14:schemeClr w14:val="tx1"/>
                  </w14:solidFill>
                </w14:textFill>
              </w:rPr>
              <w:t>X</w:t>
            </w:r>
            <w:r>
              <w:rPr>
                <w:rFonts w:ascii="Times New Roman" w:hAnsi="Times New Roman"/>
                <w:color w:val="000000" w:themeColor="text1"/>
                <w:sz w:val="24"/>
                <w:szCs w:val="24"/>
                <w14:textFill>
                  <w14:solidFill>
                    <w14:schemeClr w14:val="tx1"/>
                  </w14:solidFill>
                </w14:textFill>
              </w:rPr>
              <w:t>等污染物，该类废气产生量较少，因此运输废气主要的污染因子为扬尘。</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运输扬尘按经验下列公式估算：</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114300" distR="114300">
                  <wp:extent cx="1838325" cy="565150"/>
                  <wp:effectExtent l="0" t="0" r="0"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cstate="print"/>
                          <a:stretch>
                            <a:fillRect/>
                          </a:stretch>
                        </pic:blipFill>
                        <pic:spPr>
                          <a:xfrm>
                            <a:off x="0" y="0"/>
                            <a:ext cx="1842837" cy="566937"/>
                          </a:xfrm>
                          <a:prstGeom prst="rect">
                            <a:avLst/>
                          </a:prstGeom>
                          <a:noFill/>
                          <a:ln w="9525">
                            <a:noFill/>
                          </a:ln>
                        </pic:spPr>
                      </pic:pic>
                    </a:graphicData>
                  </a:graphic>
                </wp:inline>
              </w:drawing>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式中：Qi—每辆汽车行驶扬尘量(kg/km辆)；</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Q—汽车运输总扬尘量；</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V—汽车速度(km/h)；</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W—汽车重量(T)；</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P—道路表面粉尘量(kg/m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地面粉尘覆盖率按0.02kg/m</w:t>
            </w:r>
            <w:r>
              <w:rPr>
                <w:rFonts w:hint="eastAsia"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计，平均每天发空、重载车分别各3辆，空车重约10.0t，重载车重约20t，行驶速度按5km/h计，本项目车辆在厂区行驶距离按100m计，全年运输6.6万吨</w:t>
            </w:r>
            <w:r>
              <w:rPr>
                <w:rFonts w:hint="eastAsia" w:ascii="Times New Roman" w:hAnsi="Times New Roman"/>
                <w:color w:val="000000" w:themeColor="text1"/>
                <w:sz w:val="24"/>
                <w:szCs w:val="24"/>
                <w14:textFill>
                  <w14:solidFill>
                    <w14:schemeClr w14:val="tx1"/>
                  </w14:solidFill>
                </w14:textFill>
              </w:rPr>
              <w:t>页岩</w:t>
            </w:r>
            <w:r>
              <w:rPr>
                <w:rFonts w:ascii="Times New Roman" w:hAnsi="Times New Roman"/>
                <w:color w:val="000000" w:themeColor="text1"/>
                <w:sz w:val="24"/>
                <w:szCs w:val="24"/>
                <w14:textFill>
                  <w14:solidFill>
                    <w14:schemeClr w14:val="tx1"/>
                  </w14:solidFill>
                </w14:textFill>
              </w:rPr>
              <w:t>矿</w:t>
            </w:r>
            <w:r>
              <w:rPr>
                <w:rFonts w:hint="eastAsia" w:ascii="Times New Roman" w:hAnsi="Times New Roman"/>
                <w:color w:val="000000" w:themeColor="text1"/>
                <w:sz w:val="24"/>
                <w:szCs w:val="24"/>
                <w14:textFill>
                  <w14:solidFill>
                    <w14:schemeClr w14:val="tx1"/>
                  </w14:solidFill>
                </w14:textFill>
              </w:rPr>
              <w:t>，以及年产</w:t>
            </w:r>
            <w:r>
              <w:rPr>
                <w:rFonts w:ascii="Times New Roman" w:hAnsi="Times New Roman"/>
                <w:color w:val="000000" w:themeColor="text1"/>
                <w:sz w:val="24"/>
                <w:szCs w:val="24"/>
                <w14:textFill>
                  <w14:solidFill>
                    <w14:schemeClr w14:val="tx1"/>
                  </w14:solidFill>
                </w14:textFill>
              </w:rPr>
              <w:t>10</w:t>
            </w:r>
            <w:r>
              <w:rPr>
                <w:rFonts w:hint="eastAsia" w:ascii="Times New Roman" w:hAnsi="Times New Roman"/>
                <w:color w:val="000000" w:themeColor="text1"/>
                <w:sz w:val="24"/>
                <w:szCs w:val="24"/>
                <w14:textFill>
                  <w14:solidFill>
                    <w14:schemeClr w14:val="tx1"/>
                  </w14:solidFill>
                </w14:textFill>
              </w:rPr>
              <w:t>万吨碎石生产线</w:t>
            </w:r>
            <w:r>
              <w:rPr>
                <w:rFonts w:ascii="Times New Roman" w:hAnsi="Times New Roman"/>
                <w:color w:val="000000" w:themeColor="text1"/>
                <w:sz w:val="24"/>
                <w:szCs w:val="24"/>
                <w14:textFill>
                  <w14:solidFill>
                    <w14:schemeClr w14:val="tx1"/>
                  </w14:solidFill>
                </w14:textFill>
              </w:rPr>
              <w:t>，经计算车辆在道路完全干燥的情况行驶时的动力起尘量为0.3t/a。通过及时对厂区道路清扫，减少道路表面粉尘量，路面定时洒水，粉尘量可减少80%，道路运输扬尘产生量为0.06t/a。</w:t>
            </w:r>
          </w:p>
          <w:p>
            <w:pPr>
              <w:spacing w:line="360" w:lineRule="auto"/>
              <w:ind w:firstLine="480" w:firstLineChars="200"/>
              <w:rPr>
                <w:rFonts w:ascii="Times New Roman" w:hAnsi="Times New Roman"/>
                <w:kern w:val="10"/>
                <w:sz w:val="24"/>
              </w:rPr>
            </w:pP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kern w:val="10"/>
                <w:sz w:val="24"/>
              </w:rPr>
              <w:t>碎石生产破碎筛分粉尘</w:t>
            </w:r>
          </w:p>
          <w:p>
            <w:pPr>
              <w:spacing w:line="360" w:lineRule="auto"/>
              <w:ind w:firstLine="480" w:firstLineChars="200"/>
              <w:rPr>
                <w:rFonts w:ascii="Times New Roman" w:hAnsi="Times New Roman"/>
                <w:color w:val="000000" w:themeColor="text1"/>
                <w:kern w:val="10"/>
                <w:sz w:val="24"/>
                <w:szCs w:val="24"/>
                <w14:textFill>
                  <w14:solidFill>
                    <w14:schemeClr w14:val="tx1"/>
                  </w14:solidFill>
                </w14:textFill>
              </w:rPr>
            </w:pPr>
            <w:r>
              <w:rPr>
                <w:rFonts w:ascii="Times New Roman" w:hAnsi="Times New Roman"/>
                <w:sz w:val="24"/>
                <w:szCs w:val="24"/>
              </w:rPr>
              <w:t>本项目</w:t>
            </w:r>
            <w:r>
              <w:rPr>
                <w:rFonts w:hint="eastAsia" w:ascii="Times New Roman" w:hAnsi="Times New Roman"/>
                <w:sz w:val="24"/>
                <w:szCs w:val="24"/>
              </w:rPr>
              <w:t>碎石</w:t>
            </w:r>
            <w:r>
              <w:rPr>
                <w:rFonts w:ascii="Times New Roman" w:hAnsi="Times New Roman"/>
                <w:sz w:val="24"/>
                <w:szCs w:val="24"/>
              </w:rPr>
              <w:t>破碎筛分系统主要产尘点出现在破碎机及其破碎落料口处、振动筛以及传送带输送过程中也会产生少量粉尘逸散。由于本项目碎石进一步破碎筛分过程为</w:t>
            </w:r>
            <w:r>
              <w:rPr>
                <w:rFonts w:hint="eastAsia" w:ascii="Times New Roman" w:hAnsi="Times New Roman"/>
                <w:sz w:val="24"/>
                <w:szCs w:val="24"/>
              </w:rPr>
              <w:t>湿法破碎</w:t>
            </w:r>
            <w:r>
              <w:rPr>
                <w:rFonts w:ascii="Times New Roman"/>
                <w:sz w:val="24"/>
                <w:szCs w:val="24"/>
              </w:rPr>
              <w:t>，因此</w:t>
            </w:r>
            <w:r>
              <w:rPr>
                <w:rFonts w:ascii="Times New Roman" w:hAnsi="Times New Roman"/>
                <w:sz w:val="24"/>
                <w:szCs w:val="24"/>
              </w:rPr>
              <w:t>碎石破碎筛分</w:t>
            </w:r>
            <w:r>
              <w:rPr>
                <w:rFonts w:ascii="Times New Roman"/>
                <w:sz w:val="24"/>
                <w:szCs w:val="24"/>
              </w:rPr>
              <w:t>工序粉尘产生较少。同时，为进一步减少生产过程粉尘产生，本项目所有生产设备采取室内作业，这样既可减少生产过程无组织粉尘排放量。</w:t>
            </w:r>
            <w:r>
              <w:rPr>
                <w:rFonts w:ascii="Times New Roman" w:hAnsi="Times New Roman"/>
                <w:sz w:val="24"/>
                <w:szCs w:val="24"/>
              </w:rPr>
              <w:t>根据经验数据，破碎筛分加工过程粉尘产生量约占</w:t>
            </w:r>
            <w:r>
              <w:rPr>
                <w:rFonts w:hint="eastAsia" w:ascii="Times New Roman" w:hAnsi="Times New Roman"/>
                <w:sz w:val="24"/>
                <w:szCs w:val="24"/>
              </w:rPr>
              <w:t>原料总</w:t>
            </w:r>
            <w:r>
              <w:rPr>
                <w:rFonts w:ascii="Times New Roman" w:hAnsi="Times New Roman"/>
                <w:sz w:val="24"/>
                <w:szCs w:val="24"/>
              </w:rPr>
              <w:t>量的0.006%左右，本项目</w:t>
            </w:r>
            <w:r>
              <w:rPr>
                <w:rFonts w:hint="eastAsia" w:ascii="Times New Roman" w:hAnsi="Times New Roman"/>
                <w:sz w:val="24"/>
                <w:szCs w:val="24"/>
              </w:rPr>
              <w:t>原料</w:t>
            </w:r>
            <w:r>
              <w:rPr>
                <w:rFonts w:ascii="Times New Roman" w:hAnsi="Times New Roman"/>
                <w:sz w:val="24"/>
                <w:szCs w:val="24"/>
              </w:rPr>
              <w:t>用量10</w:t>
            </w:r>
            <w:r>
              <w:rPr>
                <w:rFonts w:hint="eastAsia" w:ascii="Times New Roman" w:hAnsi="Times New Roman"/>
                <w:sz w:val="24"/>
                <w:szCs w:val="24"/>
              </w:rPr>
              <w:t>万</w:t>
            </w:r>
            <w:r>
              <w:rPr>
                <w:rFonts w:ascii="Times New Roman" w:hAnsi="Times New Roman"/>
                <w:sz w:val="24"/>
                <w:szCs w:val="24"/>
              </w:rPr>
              <w:t>吨，因此粉尘的产生量为6</w:t>
            </w:r>
            <w:r>
              <w:rPr>
                <w:rFonts w:hint="eastAsia" w:ascii="Times New Roman" w:hAnsi="Times New Roman"/>
                <w:sz w:val="24"/>
                <w:szCs w:val="24"/>
              </w:rPr>
              <w:t>t</w:t>
            </w:r>
            <w:r>
              <w:rPr>
                <w:rFonts w:ascii="Times New Roman" w:hAnsi="Times New Roman"/>
                <w:sz w:val="24"/>
                <w:szCs w:val="24"/>
              </w:rPr>
              <w:t>/a。</w:t>
            </w:r>
          </w:p>
          <w:p>
            <w:pPr>
              <w:spacing w:line="360" w:lineRule="auto"/>
              <w:ind w:firstLine="480" w:firstLineChars="200"/>
              <w:rPr>
                <w:rFonts w:ascii="Times New Roman" w:hAnsi="Times New Roman"/>
                <w:sz w:val="24"/>
                <w:u w:val="single"/>
              </w:rPr>
            </w:pPr>
            <w:r>
              <w:rPr>
                <w:rFonts w:ascii="Times New Roman" w:hAnsi="Times New Roman"/>
                <w:sz w:val="24"/>
                <w:u w:val="single"/>
              </w:rPr>
              <w:t>破碎、筛分粉尘采用</w:t>
            </w:r>
            <w:r>
              <w:rPr>
                <w:rFonts w:hint="eastAsia" w:ascii="Times New Roman" w:hAnsi="Times New Roman"/>
                <w:sz w:val="24"/>
                <w:u w:val="single"/>
              </w:rPr>
              <w:t>水雾喷淋装置降尘对</w:t>
            </w:r>
            <w:r>
              <w:rPr>
                <w:rFonts w:ascii="Times New Roman" w:hAnsi="Times New Roman"/>
                <w:sz w:val="24"/>
                <w:u w:val="single"/>
              </w:rPr>
              <w:t>粉尘</w:t>
            </w:r>
            <w:r>
              <w:rPr>
                <w:rFonts w:hint="eastAsia" w:ascii="Times New Roman" w:hAnsi="Times New Roman"/>
                <w:sz w:val="24"/>
                <w:u w:val="single"/>
              </w:rPr>
              <w:t>进行</w:t>
            </w:r>
            <w:r>
              <w:rPr>
                <w:rFonts w:ascii="Times New Roman" w:hAnsi="Times New Roman"/>
                <w:sz w:val="24"/>
                <w:u w:val="single"/>
              </w:rPr>
              <w:t>控制</w:t>
            </w:r>
            <w:r>
              <w:rPr>
                <w:rFonts w:hint="eastAsia" w:ascii="Times New Roman" w:hAnsi="Times New Roman"/>
                <w:sz w:val="24"/>
                <w:u w:val="single"/>
              </w:rPr>
              <w:t>，</w:t>
            </w:r>
            <w:r>
              <w:rPr>
                <w:rFonts w:ascii="Times New Roman" w:hAnsi="Times New Roman"/>
                <w:bCs/>
                <w:sz w:val="24"/>
                <w:u w:val="single"/>
              </w:rPr>
              <w:t>经</w:t>
            </w:r>
            <w:r>
              <w:rPr>
                <w:rFonts w:hint="eastAsia" w:ascii="Times New Roman" w:hAnsi="Times New Roman"/>
                <w:sz w:val="24"/>
                <w:u w:val="single"/>
              </w:rPr>
              <w:t>水雾喷淋装置降尘</w:t>
            </w:r>
            <w:r>
              <w:rPr>
                <w:rFonts w:ascii="Times New Roman" w:hAnsi="Times New Roman"/>
                <w:sz w:val="24"/>
                <w:u w:val="single"/>
              </w:rPr>
              <w:t>处理后，除尘效率为9</w:t>
            </w:r>
            <w:r>
              <w:rPr>
                <w:rFonts w:hint="eastAsia" w:ascii="Times New Roman" w:hAnsi="Times New Roman"/>
                <w:sz w:val="24"/>
                <w:u w:val="single"/>
              </w:rPr>
              <w:t>0</w:t>
            </w:r>
            <w:r>
              <w:rPr>
                <w:rFonts w:ascii="Times New Roman" w:hAnsi="Times New Roman"/>
                <w:sz w:val="24"/>
                <w:u w:val="single"/>
              </w:rPr>
              <w:t>%，废气</w:t>
            </w:r>
            <w:r>
              <w:rPr>
                <w:rFonts w:hint="eastAsia" w:ascii="Times New Roman" w:hAnsi="Times New Roman"/>
                <w:sz w:val="24"/>
                <w:u w:val="single"/>
              </w:rPr>
              <w:t>无组织</w:t>
            </w:r>
            <w:r>
              <w:rPr>
                <w:rFonts w:ascii="Times New Roman" w:hAnsi="Times New Roman"/>
                <w:sz w:val="24"/>
                <w:u w:val="single"/>
              </w:rPr>
              <w:t>外排，则</w:t>
            </w:r>
            <w:r>
              <w:rPr>
                <w:rFonts w:hint="eastAsia" w:ascii="Times New Roman" w:hAnsi="Times New Roman"/>
                <w:kern w:val="10"/>
                <w:sz w:val="24"/>
                <w:u w:val="single"/>
              </w:rPr>
              <w:t>碎石生产破碎筛分粉尘</w:t>
            </w:r>
            <w:r>
              <w:rPr>
                <w:rFonts w:hint="eastAsia" w:ascii="Times New Roman" w:hAnsi="Times New Roman"/>
                <w:sz w:val="24"/>
                <w:u w:val="single"/>
              </w:rPr>
              <w:t>无</w:t>
            </w:r>
            <w:r>
              <w:rPr>
                <w:rFonts w:ascii="Times New Roman" w:hAnsi="Times New Roman"/>
                <w:sz w:val="24"/>
                <w:u w:val="single"/>
              </w:rPr>
              <w:t>组织排放量为0.6t/a。</w:t>
            </w:r>
          </w:p>
          <w:p>
            <w:pPr>
              <w:spacing w:line="360" w:lineRule="auto"/>
              <w:ind w:firstLine="480" w:firstLineChars="200"/>
              <w:rPr>
                <w:rFonts w:ascii="Times New Roman" w:hAnsi="Times New Roman"/>
                <w:kern w:val="10"/>
                <w:sz w:val="24"/>
              </w:rPr>
            </w:pPr>
            <w:r>
              <w:rPr>
                <w:rFonts w:hint="eastAsia" w:ascii="Times New Roman" w:hAnsi="Times New Roman"/>
                <w:color w:val="000000" w:themeColor="text1"/>
                <w:kern w:val="10"/>
                <w:sz w:val="24"/>
                <w:szCs w:val="24"/>
                <w14:textFill>
                  <w14:solidFill>
                    <w14:schemeClr w14:val="tx1"/>
                  </w14:solidFill>
                </w14:textFill>
              </w:rPr>
              <w:t>（5）</w:t>
            </w:r>
            <w:r>
              <w:rPr>
                <w:rFonts w:hint="eastAsia" w:ascii="Times New Roman" w:hAnsi="Times New Roman"/>
                <w:kern w:val="10"/>
                <w:sz w:val="24"/>
              </w:rPr>
              <w:t>页岩砖生产破碎搅拌粉尘</w:t>
            </w:r>
          </w:p>
          <w:p>
            <w:pPr>
              <w:spacing w:line="360" w:lineRule="auto"/>
              <w:ind w:firstLine="480" w:firstLineChars="200"/>
              <w:rPr>
                <w:rFonts w:ascii="Times New Roman" w:hAnsi="Times New Roman"/>
                <w:color w:val="000000" w:themeColor="text1"/>
                <w:kern w:val="10"/>
                <w:sz w:val="24"/>
                <w:szCs w:val="24"/>
                <w14:textFill>
                  <w14:solidFill>
                    <w14:schemeClr w14:val="tx1"/>
                  </w14:solidFill>
                </w14:textFill>
              </w:rPr>
            </w:pPr>
            <w:r>
              <w:rPr>
                <w:rFonts w:hint="eastAsia" w:ascii="Times New Roman" w:hAnsi="Times New Roman"/>
                <w:color w:val="000000" w:themeColor="text1"/>
                <w:kern w:val="10"/>
                <w:sz w:val="24"/>
                <w:szCs w:val="24"/>
                <w14:textFill>
                  <w14:solidFill>
                    <w14:schemeClr w14:val="tx1"/>
                  </w14:solidFill>
                </w14:textFill>
              </w:rPr>
              <w:t>本项目使用的原料为煤渣、页岩和无烟煤，在破碎、搅拌工序中将产生一定量的工业粉尘，根据《第一次全国污染源普查工业污染源产排污系数手册（第七分册：31非金属矿物制品业）》可知：粉尘和工业废气量（工艺）是在原料破碎过程中产生的，需要进行原料破碎的生产企业，其产排污系数，对于中型、小型的隧道窑及轮窑的生产企业，参照隧道窑企业的相关系数值。具体产污系数见表4</w:t>
            </w:r>
            <w:r>
              <w:rPr>
                <w:rFonts w:ascii="Times New Roman" w:hAnsi="Times New Roman"/>
                <w:color w:val="000000" w:themeColor="text1"/>
                <w:kern w:val="10"/>
                <w:sz w:val="24"/>
                <w:szCs w:val="24"/>
                <w14:textFill>
                  <w14:solidFill>
                    <w14:schemeClr w14:val="tx1"/>
                  </w14:solidFill>
                </w14:textFill>
              </w:rPr>
              <w:t>-2</w:t>
            </w:r>
            <w:r>
              <w:rPr>
                <w:rFonts w:hint="eastAsia" w:ascii="Times New Roman" w:hAnsi="Times New Roman"/>
                <w:color w:val="000000" w:themeColor="text1"/>
                <w:kern w:val="10"/>
                <w:sz w:val="24"/>
                <w:szCs w:val="24"/>
                <w14:textFill>
                  <w14:solidFill>
                    <w14:schemeClr w14:val="tx1"/>
                  </w14:solidFill>
                </w14:textFill>
              </w:rPr>
              <w:t>。</w:t>
            </w:r>
          </w:p>
          <w:p>
            <w:pPr>
              <w:spacing w:line="360" w:lineRule="auto"/>
              <w:jc w:val="center"/>
              <w:rPr>
                <w:rFonts w:ascii="Times New Roman" w:hAnsi="Times New Roman"/>
                <w:b/>
                <w:bCs/>
                <w:color w:val="000000" w:themeColor="text1"/>
                <w:kern w:val="10"/>
                <w:sz w:val="24"/>
                <w:szCs w:val="24"/>
                <w14:textFill>
                  <w14:solidFill>
                    <w14:schemeClr w14:val="tx1"/>
                  </w14:solidFill>
                </w14:textFill>
              </w:rPr>
            </w:pPr>
            <w:r>
              <w:rPr>
                <w:rFonts w:hint="eastAsia" w:ascii="Times New Roman" w:hAnsi="Times New Roman"/>
                <w:b/>
                <w:bCs/>
                <w:color w:val="000000" w:themeColor="text1"/>
                <w:kern w:val="10"/>
                <w:sz w:val="24"/>
                <w:szCs w:val="24"/>
                <w14:textFill>
                  <w14:solidFill>
                    <w14:schemeClr w14:val="tx1"/>
                  </w14:solidFill>
                </w14:textFill>
              </w:rPr>
              <w:t>表4</w:t>
            </w:r>
            <w:r>
              <w:rPr>
                <w:rFonts w:ascii="Times New Roman" w:hAnsi="Times New Roman"/>
                <w:b/>
                <w:bCs/>
                <w:color w:val="000000" w:themeColor="text1"/>
                <w:kern w:val="10"/>
                <w:sz w:val="24"/>
                <w:szCs w:val="24"/>
                <w14:textFill>
                  <w14:solidFill>
                    <w14:schemeClr w14:val="tx1"/>
                  </w14:solidFill>
                </w14:textFill>
              </w:rPr>
              <w:t xml:space="preserve">-2  </w:t>
            </w:r>
            <w:r>
              <w:rPr>
                <w:rFonts w:hint="eastAsia" w:ascii="Times New Roman" w:hAnsi="Times New Roman"/>
                <w:b/>
                <w:bCs/>
                <w:color w:val="000000" w:themeColor="text1"/>
                <w:kern w:val="10"/>
                <w:sz w:val="24"/>
                <w:szCs w:val="24"/>
                <w14:textFill>
                  <w14:solidFill>
                    <w14:schemeClr w14:val="tx1"/>
                  </w14:solidFill>
                </w14:textFill>
              </w:rPr>
              <w:t>烧结类砖瓦及建筑砌块行业产排污系数表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95"/>
              <w:gridCol w:w="1168"/>
              <w:gridCol w:w="1168"/>
              <w:gridCol w:w="2246"/>
              <w:gridCol w:w="2126"/>
              <w:gridCol w:w="10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产品名称</w:t>
                  </w:r>
                </w:p>
              </w:tc>
              <w:tc>
                <w:tcPr>
                  <w:tcW w:w="1168"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原料名称</w:t>
                  </w:r>
                </w:p>
              </w:tc>
              <w:tc>
                <w:tcPr>
                  <w:tcW w:w="1168"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工艺名称</w:t>
                  </w:r>
                </w:p>
              </w:tc>
              <w:tc>
                <w:tcPr>
                  <w:tcW w:w="2246"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污染物指标</w:t>
                  </w:r>
                </w:p>
              </w:tc>
              <w:tc>
                <w:tcPr>
                  <w:tcW w:w="2126"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单位</w:t>
                  </w:r>
                </w:p>
              </w:tc>
              <w:tc>
                <w:tcPr>
                  <w:tcW w:w="1023" w:type="dxa"/>
                  <w:vAlign w:val="center"/>
                </w:tcPr>
                <w:p>
                  <w:pPr>
                    <w:pStyle w:val="72"/>
                    <w:adjustRightInd/>
                    <w:snapToGrid/>
                    <w:spacing w:beforeLines="0" w:line="240" w:lineRule="auto"/>
                    <w:ind w:firstLine="0" w:firstLineChars="0"/>
                    <w:rPr>
                      <w:rFonts w:ascii="Times New Roman"/>
                      <w:b/>
                      <w:bCs/>
                      <w:color w:val="000000" w:themeColor="text1"/>
                      <w:kern w:val="21"/>
                      <w:sz w:val="21"/>
                      <w:szCs w:val="21"/>
                      <w14:textFill>
                        <w14:solidFill>
                          <w14:schemeClr w14:val="tx1"/>
                        </w14:solidFill>
                      </w14:textFill>
                    </w:rPr>
                  </w:pPr>
                  <w:r>
                    <w:rPr>
                      <w:rFonts w:ascii="Times New Roman"/>
                      <w:b/>
                      <w:bCs/>
                      <w:color w:val="000000" w:themeColor="text1"/>
                      <w:kern w:val="21"/>
                      <w:sz w:val="21"/>
                      <w:szCs w:val="21"/>
                      <w14:textFill>
                        <w14:solidFill>
                          <w14:schemeClr w14:val="tx1"/>
                        </w14:solidFill>
                      </w14:textFill>
                    </w:rPr>
                    <w:t>产污系数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Merge w:val="restart"/>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烧结类砖瓦及建筑砌块</w:t>
                  </w:r>
                </w:p>
              </w:tc>
              <w:tc>
                <w:tcPr>
                  <w:tcW w:w="1168" w:type="dxa"/>
                  <w:vMerge w:val="restart"/>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粘土、页岩、粉煤类</w:t>
                  </w:r>
                </w:p>
              </w:tc>
              <w:tc>
                <w:tcPr>
                  <w:tcW w:w="1168" w:type="dxa"/>
                  <w:vMerge w:val="restart"/>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砖瓦窑（隧道窑）</w:t>
                  </w:r>
                </w:p>
              </w:tc>
              <w:tc>
                <w:tcPr>
                  <w:tcW w:w="224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工业废气量（工艺）</w:t>
                  </w:r>
                </w:p>
              </w:tc>
              <w:tc>
                <w:tcPr>
                  <w:tcW w:w="212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万标立方米/万块标</w:t>
                  </w:r>
                </w:p>
              </w:tc>
              <w:tc>
                <w:tcPr>
                  <w:tcW w:w="1023"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0.827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224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工业废气量（燃烧）</w:t>
                  </w:r>
                </w:p>
              </w:tc>
              <w:tc>
                <w:tcPr>
                  <w:tcW w:w="212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万标立方米/万块标瓦</w:t>
                  </w:r>
                </w:p>
              </w:tc>
              <w:tc>
                <w:tcPr>
                  <w:tcW w:w="1023"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4.298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224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烟尘</w:t>
                  </w:r>
                </w:p>
              </w:tc>
              <w:tc>
                <w:tcPr>
                  <w:tcW w:w="212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千克/万块标瓦</w:t>
                  </w:r>
                </w:p>
              </w:tc>
              <w:tc>
                <w:tcPr>
                  <w:tcW w:w="1023"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4.728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224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工业粉尘</w:t>
                  </w:r>
                </w:p>
              </w:tc>
              <w:tc>
                <w:tcPr>
                  <w:tcW w:w="212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千克/万块标瓦</w:t>
                  </w:r>
                </w:p>
              </w:tc>
              <w:tc>
                <w:tcPr>
                  <w:tcW w:w="1023"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1.232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095"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1168" w:type="dxa"/>
                  <w:vMerge w:val="continue"/>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p>
              </w:tc>
              <w:tc>
                <w:tcPr>
                  <w:tcW w:w="224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氮氧化物</w:t>
                  </w:r>
                </w:p>
              </w:tc>
              <w:tc>
                <w:tcPr>
                  <w:tcW w:w="2126"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千克/万块标砖</w:t>
                  </w:r>
                </w:p>
              </w:tc>
              <w:tc>
                <w:tcPr>
                  <w:tcW w:w="1023" w:type="dxa"/>
                  <w:vAlign w:val="center"/>
                </w:tcPr>
                <w:p>
                  <w:pPr>
                    <w:pStyle w:val="72"/>
                    <w:adjustRightInd/>
                    <w:snapToGrid/>
                    <w:spacing w:beforeLines="0" w:line="240" w:lineRule="auto"/>
                    <w:ind w:firstLine="0" w:firstLineChars="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1.657</w:t>
                  </w:r>
                </w:p>
              </w:tc>
            </w:tr>
          </w:tbl>
          <w:p>
            <w:pPr>
              <w:pStyle w:val="16"/>
              <w:spacing w:line="360" w:lineRule="auto"/>
              <w:ind w:left="0" w:leftChars="0"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本项目年生产页岩砖6000万块，根据产排污系数计算，工业粉尘产生量为7.4t/a。</w:t>
            </w:r>
            <w:r>
              <w:rPr>
                <w:rFonts w:hint="eastAsia" w:ascii="Times New Roman" w:hAnsi="Times New Roman"/>
                <w:color w:val="000000" w:themeColor="text1"/>
                <w:sz w:val="24"/>
                <w:szCs w:val="24"/>
                <w:u w:val="single"/>
                <w14:textFill>
                  <w14:solidFill>
                    <w14:schemeClr w14:val="tx1"/>
                  </w14:solidFill>
                </w14:textFill>
              </w:rPr>
              <w:t>要求</w:t>
            </w:r>
            <w:r>
              <w:rPr>
                <w:rFonts w:ascii="Times New Roman" w:hAnsi="Times New Roman"/>
                <w:color w:val="000000" w:themeColor="text1"/>
                <w:sz w:val="24"/>
                <w:szCs w:val="24"/>
                <w:u w:val="single"/>
                <w14:textFill>
                  <w14:solidFill>
                    <w14:schemeClr w14:val="tx1"/>
                  </w14:solidFill>
                </w14:textFill>
              </w:rPr>
              <w:t>项目设置</w:t>
            </w:r>
            <w:r>
              <w:rPr>
                <w:rFonts w:hint="eastAsia" w:ascii="Times New Roman" w:hAnsi="Times New Roman"/>
                <w:sz w:val="24"/>
                <w:u w:val="single"/>
              </w:rPr>
              <w:t>水雾喷淋装置降尘</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本项目</w:t>
            </w:r>
            <w:r>
              <w:rPr>
                <w:rFonts w:hint="eastAsia" w:ascii="Times New Roman" w:hAnsi="Times New Roman"/>
                <w:sz w:val="24"/>
                <w:u w:val="single"/>
              </w:rPr>
              <w:t>水雾喷淋装置降尘</w:t>
            </w:r>
            <w:r>
              <w:rPr>
                <w:rFonts w:ascii="Times New Roman" w:hAnsi="Times New Roman"/>
                <w:color w:val="000000" w:themeColor="text1"/>
                <w:sz w:val="24"/>
                <w:szCs w:val="24"/>
                <w:u w:val="single"/>
                <w14:textFill>
                  <w14:solidFill>
                    <w14:schemeClr w14:val="tx1"/>
                  </w14:solidFill>
                </w14:textFill>
              </w:rPr>
              <w:t>效率以9</w:t>
            </w:r>
            <w:r>
              <w:rPr>
                <w:rFonts w:hint="eastAsia" w:ascii="Times New Roman" w:hAnsi="Times New Roman"/>
                <w:color w:val="000000" w:themeColor="text1"/>
                <w:sz w:val="24"/>
                <w:szCs w:val="24"/>
                <w:u w:val="single"/>
                <w14:textFill>
                  <w14:solidFill>
                    <w14:schemeClr w14:val="tx1"/>
                  </w14:solidFill>
                </w14:textFill>
              </w:rPr>
              <w:t>0</w:t>
            </w:r>
            <w:r>
              <w:rPr>
                <w:rFonts w:ascii="Times New Roman" w:hAnsi="Times New Roman"/>
                <w:color w:val="000000" w:themeColor="text1"/>
                <w:sz w:val="24"/>
                <w:szCs w:val="24"/>
                <w:u w:val="single"/>
                <w14:textFill>
                  <w14:solidFill>
                    <w14:schemeClr w14:val="tx1"/>
                  </w14:solidFill>
                </w14:textFill>
              </w:rPr>
              <w:t>%计，无组织粉尘排放量为0.74t/a。</w:t>
            </w:r>
          </w:p>
          <w:p>
            <w:pPr>
              <w:spacing w:line="360" w:lineRule="auto"/>
              <w:ind w:firstLine="480" w:firstLineChars="200"/>
              <w:rPr>
                <w:rFonts w:ascii="Times New Roman" w:hAnsi="Times New Roman"/>
                <w:kern w:val="10"/>
                <w:sz w:val="24"/>
              </w:rPr>
            </w:pPr>
            <w:r>
              <w:rPr>
                <w:rFonts w:hint="eastAsia" w:ascii="Times New Roman" w:hAnsi="Times New Roman"/>
                <w:color w:val="000000" w:themeColor="text1"/>
                <w:sz w:val="24"/>
                <w:szCs w:val="24"/>
                <w14:textFill>
                  <w14:solidFill>
                    <w14:schemeClr w14:val="tx1"/>
                  </w14:solidFill>
                </w14:textFill>
              </w:rPr>
              <w:t>（6）</w:t>
            </w:r>
            <w:r>
              <w:rPr>
                <w:rFonts w:hint="eastAsia" w:ascii="Times New Roman" w:hAnsi="Times New Roman"/>
                <w:kern w:val="10"/>
                <w:sz w:val="24"/>
              </w:rPr>
              <w:t>窑炉烟气</w:t>
            </w:r>
          </w:p>
          <w:p>
            <w:pPr>
              <w:spacing w:line="360" w:lineRule="auto"/>
              <w:ind w:firstLine="480" w:firstLineChars="200"/>
              <w:rPr>
                <w:rFonts w:ascii="Times New Roman" w:hAnsi="Times New Roman"/>
                <w:kern w:val="10"/>
                <w:sz w:val="24"/>
              </w:rPr>
            </w:pPr>
            <w:r>
              <w:rPr>
                <w:rFonts w:hint="eastAsia" w:ascii="Times New Roman" w:hAnsi="Times New Roman"/>
                <w:kern w:val="10"/>
                <w:sz w:val="24"/>
              </w:rPr>
              <w:t>①点火阶段污染物产排情况分析</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项目点火每年燃生物质</w:t>
            </w:r>
            <w:r>
              <w:rPr>
                <w:rFonts w:ascii="Times New Roman" w:hAnsi="Times New Roman"/>
                <w:color w:val="000000" w:themeColor="text1"/>
                <w:sz w:val="24"/>
                <w:szCs w:val="24"/>
                <w14:textFill>
                  <w14:solidFill>
                    <w14:schemeClr w14:val="tx1"/>
                  </w14:solidFill>
                </w14:textFill>
              </w:rPr>
              <w:t>32</w:t>
            </w:r>
            <w:r>
              <w:rPr>
                <w:rFonts w:hint="eastAsia" w:ascii="Times New Roman" w:hAnsi="Times New Roman"/>
                <w:color w:val="000000" w:themeColor="text1"/>
                <w:sz w:val="24"/>
                <w:szCs w:val="24"/>
                <w14:textFill>
                  <w14:solidFill>
                    <w14:schemeClr w14:val="tx1"/>
                  </w14:solidFill>
                </w14:textFill>
              </w:rPr>
              <w:t>t，每年点火2次，点火时间为50h。参照《第一次全国污染源普查工业污染源产排污系数手册  第十分册》中工业锅炉（热力生产和供应行业）产排污系数表-生物质工业锅炉计算本项目隧道窑点火废气的产生量，产排污系数表如下。</w:t>
            </w:r>
          </w:p>
          <w:p>
            <w:pPr>
              <w:spacing w:line="360" w:lineRule="auto"/>
              <w:jc w:val="center"/>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表4</w:t>
            </w:r>
            <w:r>
              <w:rPr>
                <w:rFonts w:ascii="Times New Roman" w:hAnsi="Times New Roman"/>
                <w:b/>
                <w:bCs/>
                <w:color w:val="000000" w:themeColor="text1"/>
                <w:sz w:val="24"/>
                <w:szCs w:val="24"/>
                <w14:textFill>
                  <w14:solidFill>
                    <w14:schemeClr w14:val="tx1"/>
                  </w14:solidFill>
                </w14:textFill>
              </w:rPr>
              <w:t xml:space="preserve">-3  </w:t>
            </w:r>
            <w:r>
              <w:rPr>
                <w:rFonts w:hint="eastAsia" w:ascii="Times New Roman" w:hAnsi="Times New Roman"/>
                <w:b/>
                <w:bCs/>
                <w:color w:val="000000" w:themeColor="text1"/>
                <w:sz w:val="24"/>
                <w:szCs w:val="24"/>
                <w14:textFill>
                  <w14:solidFill>
                    <w14:schemeClr w14:val="tx1"/>
                  </w14:solidFill>
                </w14:textFill>
              </w:rPr>
              <w:t>工业锅炉（热力生产和供应行业）产排污系数表-生物质工业锅炉</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117"/>
              <w:gridCol w:w="1158"/>
              <w:gridCol w:w="1134"/>
              <w:gridCol w:w="1134"/>
              <w:gridCol w:w="1374"/>
              <w:gridCol w:w="1745"/>
              <w:gridCol w:w="11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117" w:type="dxa"/>
                  <w:tcBorders>
                    <w:top w:val="single" w:color="000000" w:sz="12"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产品名称</w:t>
                  </w:r>
                </w:p>
              </w:tc>
              <w:tc>
                <w:tcPr>
                  <w:tcW w:w="1158" w:type="dxa"/>
                  <w:tcBorders>
                    <w:top w:val="single" w:color="000000" w:sz="12"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原料名称</w:t>
                  </w:r>
                </w:p>
              </w:tc>
              <w:tc>
                <w:tcPr>
                  <w:tcW w:w="1134" w:type="dxa"/>
                  <w:tcBorders>
                    <w:top w:val="single" w:color="000000" w:sz="12"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工艺名称</w:t>
                  </w:r>
                </w:p>
              </w:tc>
              <w:tc>
                <w:tcPr>
                  <w:tcW w:w="1134" w:type="dxa"/>
                  <w:tcBorders>
                    <w:top w:val="single" w:color="000000" w:sz="12"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规模等级</w:t>
                  </w:r>
                </w:p>
              </w:tc>
              <w:tc>
                <w:tcPr>
                  <w:tcW w:w="1374" w:type="dxa"/>
                  <w:tcBorders>
                    <w:top w:val="single" w:color="000000" w:sz="12"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污染物指标</w:t>
                  </w:r>
                </w:p>
              </w:tc>
              <w:tc>
                <w:tcPr>
                  <w:tcW w:w="1745" w:type="dxa"/>
                  <w:tcBorders>
                    <w:top w:val="single" w:color="000000" w:sz="12"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单位</w:t>
                  </w:r>
                </w:p>
              </w:tc>
              <w:tc>
                <w:tcPr>
                  <w:tcW w:w="1164" w:type="dxa"/>
                  <w:tcBorders>
                    <w:top w:val="single" w:color="000000" w:sz="12" w:space="0"/>
                    <w:left w:val="single" w:color="000000" w:sz="6" w:space="0"/>
                    <w:bottom w:val="single" w:color="000000" w:sz="6" w:space="0"/>
                  </w:tcBorders>
                  <w:shd w:val="clear" w:color="auto" w:fill="auto"/>
                  <w:vAlign w:val="center"/>
                </w:tcPr>
                <w:p>
                  <w:pPr>
                    <w:pStyle w:val="16"/>
                    <w:ind w:left="0" w:leftChars="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产污系数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117" w:type="dxa"/>
                  <w:vMerge w:val="restart"/>
                  <w:tcBorders>
                    <w:top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汽/热水/其它</w:t>
                  </w:r>
                </w:p>
              </w:tc>
              <w:tc>
                <w:tcPr>
                  <w:tcW w:w="1158"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生物质（木材、木屑、甘蔗渣压块等）</w:t>
                  </w:r>
                </w:p>
              </w:tc>
              <w:tc>
                <w:tcPr>
                  <w:tcW w:w="1134"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层燃炉</w:t>
                  </w:r>
                </w:p>
              </w:tc>
              <w:tc>
                <w:tcPr>
                  <w:tcW w:w="1134"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所有规模</w:t>
                  </w:r>
                </w:p>
              </w:tc>
              <w:tc>
                <w:tcPr>
                  <w:tcW w:w="137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工业废气量</w:t>
                  </w:r>
                </w:p>
              </w:tc>
              <w:tc>
                <w:tcPr>
                  <w:tcW w:w="1745"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标立方米/吨-原料</w:t>
                  </w:r>
                </w:p>
              </w:tc>
              <w:tc>
                <w:tcPr>
                  <w:tcW w:w="1164" w:type="dxa"/>
                  <w:tcBorders>
                    <w:top w:val="single" w:color="000000" w:sz="6" w:space="0"/>
                    <w:left w:val="single" w:color="000000" w:sz="6" w:space="0"/>
                    <w:bottom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6240.28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117" w:type="dxa"/>
                  <w:vMerge w:val="continue"/>
                  <w:tcBorders>
                    <w:top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5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37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二氧化硫</w:t>
                  </w:r>
                </w:p>
              </w:tc>
              <w:tc>
                <w:tcPr>
                  <w:tcW w:w="174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千克/吨-原料</w:t>
                  </w:r>
                </w:p>
              </w:tc>
              <w:tc>
                <w:tcPr>
                  <w:tcW w:w="1164" w:type="dxa"/>
                  <w:tcBorders>
                    <w:top w:val="single" w:color="000000" w:sz="6" w:space="0"/>
                    <w:left w:val="single" w:color="000000" w:sz="6" w:space="0"/>
                    <w:bottom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17S</w:t>
                  </w:r>
                  <w:r>
                    <w:rPr>
                      <w:rFonts w:hint="eastAsia" w:ascii="Times New Roman" w:hAnsi="Times New Roman"/>
                      <w:color w:val="000000" w:themeColor="text1"/>
                      <w:szCs w:val="21"/>
                      <w14:textFill>
                        <w14:solidFill>
                          <w14:schemeClr w14:val="tx1"/>
                        </w14:solidFill>
                      </w14:textFill>
                    </w:rPr>
                    <w:t>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117" w:type="dxa"/>
                  <w:vMerge w:val="continue"/>
                  <w:tcBorders>
                    <w:top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5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37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烟尘</w:t>
                  </w:r>
                </w:p>
              </w:tc>
              <w:tc>
                <w:tcPr>
                  <w:tcW w:w="1745"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千克/吨-原料</w:t>
                  </w:r>
                </w:p>
              </w:tc>
              <w:tc>
                <w:tcPr>
                  <w:tcW w:w="1164" w:type="dxa"/>
                  <w:tcBorders>
                    <w:top w:val="single" w:color="000000" w:sz="6" w:space="0"/>
                    <w:left w:val="single" w:color="000000" w:sz="6" w:space="0"/>
                    <w:bottom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117" w:type="dxa"/>
                  <w:vMerge w:val="continue"/>
                  <w:tcBorders>
                    <w:top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58"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13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p>
              </w:tc>
              <w:tc>
                <w:tcPr>
                  <w:tcW w:w="137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氮氧化物</w:t>
                  </w:r>
                </w:p>
              </w:tc>
              <w:tc>
                <w:tcPr>
                  <w:tcW w:w="1745"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千克/吨-原料</w:t>
                  </w:r>
                </w:p>
              </w:tc>
              <w:tc>
                <w:tcPr>
                  <w:tcW w:w="1164" w:type="dxa"/>
                  <w:tcBorders>
                    <w:top w:val="single" w:color="000000" w:sz="6" w:space="0"/>
                    <w:left w:val="single" w:color="000000" w:sz="6" w:space="0"/>
                    <w:bottom w:val="single" w:color="000000" w:sz="6" w:space="0"/>
                  </w:tcBorders>
                  <w:shd w:val="clear" w:color="auto" w:fill="auto"/>
                  <w:vAlign w:val="center"/>
                </w:tcPr>
                <w:p>
                  <w:pPr>
                    <w:pStyle w:val="16"/>
                    <w:ind w:left="0" w:left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8826" w:type="dxa"/>
                  <w:gridSpan w:val="7"/>
                  <w:tcBorders>
                    <w:top w:val="single" w:color="000000" w:sz="6" w:space="0"/>
                    <w:bottom w:val="single" w:color="000000" w:sz="12" w:space="0"/>
                  </w:tcBorders>
                  <w:shd w:val="clear" w:color="auto" w:fill="auto"/>
                  <w:vAlign w:val="center"/>
                </w:tcPr>
                <w:p>
                  <w:pPr>
                    <w:pStyle w:val="16"/>
                    <w:ind w:left="0" w:leftChars="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w:t>
                  </w:r>
                  <w:r>
                    <w:rPr>
                      <w:rFonts w:hint="eastAsia" w:ascii="Times New Roman" w:hAnsi="Times New Roman"/>
                      <w:color w:val="000000" w:themeColor="text1"/>
                      <w:sz w:val="18"/>
                      <w:szCs w:val="18"/>
                      <w14:textFill>
                        <w14:solidFill>
                          <w14:schemeClr w14:val="tx1"/>
                        </w14:solidFill>
                      </w14:textFill>
                    </w:rPr>
                    <w:t>①</w:t>
                  </w:r>
                  <w:r>
                    <w:rPr>
                      <w:rFonts w:ascii="Times New Roman" w:hAnsi="Times New Roman"/>
                      <w:color w:val="000000" w:themeColor="text1"/>
                      <w:sz w:val="18"/>
                      <w:szCs w:val="18"/>
                      <w14:textFill>
                        <w14:solidFill>
                          <w14:schemeClr w14:val="tx1"/>
                        </w14:solidFill>
                      </w14:textFill>
                    </w:rPr>
                    <w:t>二氧化硫的产排污系数是以含硫量（S%）的形式表示的，其中含硫量（S%）是指生物质收到基硫分含量，以质量百分数的行式表示，例如生物质中含硫量（S%）为0.1%，则S=0.1。</w:t>
                  </w:r>
                </w:p>
              </w:tc>
            </w:tr>
          </w:tbl>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项目生物质燃料燃烧量为</w:t>
            </w:r>
            <w:r>
              <w:rPr>
                <w:rFonts w:ascii="Times New Roman" w:hAnsi="Times New Roman"/>
                <w:color w:val="000000" w:themeColor="text1"/>
                <w:sz w:val="24"/>
                <w:szCs w:val="24"/>
                <w14:textFill>
                  <w14:solidFill>
                    <w14:schemeClr w14:val="tx1"/>
                  </w14:solidFill>
                </w14:textFill>
              </w:rPr>
              <w:t>32</w:t>
            </w:r>
            <w:r>
              <w:rPr>
                <w:rFonts w:hint="eastAsia" w:ascii="Times New Roman" w:hAnsi="Times New Roman"/>
                <w:color w:val="000000" w:themeColor="text1"/>
                <w:sz w:val="24"/>
                <w:szCs w:val="24"/>
                <w14:textFill>
                  <w14:solidFill>
                    <w14:schemeClr w14:val="tx1"/>
                  </w14:solidFill>
                </w14:textFill>
              </w:rPr>
              <w:t>t/a，年工作50h，其含硫量0.0</w:t>
            </w:r>
            <w:r>
              <w:rPr>
                <w:rFonts w:ascii="Times New Roman" w:hAnsi="Times New Roman"/>
                <w:color w:val="000000" w:themeColor="text1"/>
                <w:sz w:val="24"/>
                <w:szCs w:val="24"/>
                <w14:textFill>
                  <w14:solidFill>
                    <w14:schemeClr w14:val="tx1"/>
                  </w14:solidFill>
                </w14:textFill>
              </w:rPr>
              <w:t>6</w:t>
            </w:r>
            <w:r>
              <w:rPr>
                <w:rFonts w:hint="eastAsia" w:ascii="Times New Roman" w:hAnsi="Times New Roman"/>
                <w:color w:val="000000" w:themeColor="text1"/>
                <w:sz w:val="24"/>
                <w:szCs w:val="24"/>
                <w14:textFill>
                  <w14:solidFill>
                    <w14:schemeClr w14:val="tx1"/>
                  </w14:solidFill>
                </w14:textFill>
              </w:rPr>
              <w:t>%，则点火废气产生量为</w:t>
            </w:r>
            <w:r>
              <w:rPr>
                <w:rFonts w:ascii="Times New Roman" w:hAnsi="Times New Roman"/>
                <w:color w:val="000000" w:themeColor="text1"/>
                <w:sz w:val="24"/>
                <w:szCs w:val="24"/>
                <w14:textFill>
                  <w14:solidFill>
                    <w14:schemeClr w14:val="tx1"/>
                  </w14:solidFill>
                </w14:textFill>
              </w:rPr>
              <w:t>19.97</w:t>
            </w:r>
            <w:r>
              <w:rPr>
                <w:rFonts w:hint="eastAsia" w:ascii="Times New Roman" w:hAnsi="Times New Roman"/>
                <w:color w:val="000000" w:themeColor="text1"/>
                <w:sz w:val="24"/>
                <w:szCs w:val="24"/>
                <w14:textFill>
                  <w14:solidFill>
                    <w14:schemeClr w14:val="tx1"/>
                  </w14:solidFill>
                </w14:textFill>
              </w:rPr>
              <w:t>万m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3993.78</w:t>
            </w:r>
            <w:r>
              <w:rPr>
                <w:rFonts w:hint="eastAsia" w:ascii="Times New Roman" w:hAnsi="Times New Roman"/>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/h），SO</w:t>
            </w:r>
            <w:r>
              <w:rPr>
                <w:rFonts w:hint="eastAsia" w:ascii="Times New Roman" w:hAnsi="Times New Roman"/>
                <w:color w:val="000000" w:themeColor="text1"/>
                <w:sz w:val="24"/>
                <w:szCs w:val="24"/>
                <w:vertAlign w:val="sub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产生量为</w:t>
            </w:r>
            <w:r>
              <w:rPr>
                <w:rFonts w:ascii="Times New Roman" w:hAnsi="Times New Roman"/>
                <w:color w:val="000000" w:themeColor="text1"/>
                <w:sz w:val="24"/>
                <w:szCs w:val="24"/>
                <w14:textFill>
                  <w14:solidFill>
                    <w14:schemeClr w14:val="tx1"/>
                  </w14:solidFill>
                </w14:textFill>
              </w:rPr>
              <w:t>0.033</w:t>
            </w:r>
            <w:r>
              <w:rPr>
                <w:rFonts w:hint="eastAsia" w:ascii="Times New Roman" w:hAnsi="Times New Roman"/>
                <w:color w:val="000000" w:themeColor="text1"/>
                <w:sz w:val="24"/>
                <w:szCs w:val="24"/>
                <w14:textFill>
                  <w14:solidFill>
                    <w14:schemeClr w14:val="tx1"/>
                  </w14:solidFill>
                </w14:textFill>
              </w:rPr>
              <w:t>t/a（</w:t>
            </w:r>
            <w:r>
              <w:rPr>
                <w:rFonts w:ascii="Times New Roman" w:hAnsi="Times New Roman"/>
                <w:color w:val="000000" w:themeColor="text1"/>
                <w:sz w:val="24"/>
                <w:szCs w:val="24"/>
                <w14:textFill>
                  <w14:solidFill>
                    <w14:schemeClr w14:val="tx1"/>
                  </w14:solidFill>
                </w14:textFill>
              </w:rPr>
              <w:t>0.65</w:t>
            </w:r>
            <w:r>
              <w:rPr>
                <w:rFonts w:hint="eastAsia" w:ascii="Times New Roman" w:hAnsi="Times New Roman"/>
                <w:color w:val="000000" w:themeColor="text1"/>
                <w:sz w:val="24"/>
                <w:szCs w:val="24"/>
                <w14:textFill>
                  <w14:solidFill>
                    <w14:schemeClr w14:val="tx1"/>
                  </w14:solidFill>
                </w14:textFill>
              </w:rPr>
              <w:t>kg/h），烟尘产生量为0</w:t>
            </w:r>
            <w:r>
              <w:rPr>
                <w:rFonts w:ascii="Times New Roman" w:hAnsi="Times New Roman"/>
                <w:color w:val="000000" w:themeColor="text1"/>
                <w:sz w:val="24"/>
                <w:szCs w:val="24"/>
                <w14:textFill>
                  <w14:solidFill>
                    <w14:schemeClr w14:val="tx1"/>
                  </w14:solidFill>
                </w14:textFill>
              </w:rPr>
              <w:t>.016</w:t>
            </w:r>
            <w:r>
              <w:rPr>
                <w:rFonts w:hint="eastAsia" w:ascii="Times New Roman" w:hAnsi="Times New Roman"/>
                <w:color w:val="000000" w:themeColor="text1"/>
                <w:sz w:val="24"/>
                <w:szCs w:val="24"/>
                <w14:textFill>
                  <w14:solidFill>
                    <w14:schemeClr w14:val="tx1"/>
                  </w14:solidFill>
                </w14:textFill>
              </w:rPr>
              <w:t>t/a（</w:t>
            </w:r>
            <w:r>
              <w:rPr>
                <w:rFonts w:ascii="Times New Roman" w:hAnsi="Times New Roman"/>
                <w:color w:val="000000" w:themeColor="text1"/>
                <w:sz w:val="24"/>
                <w:szCs w:val="24"/>
                <w14:textFill>
                  <w14:solidFill>
                    <w14:schemeClr w14:val="tx1"/>
                  </w14:solidFill>
                </w14:textFill>
              </w:rPr>
              <w:t>0.32</w:t>
            </w:r>
            <w:r>
              <w:rPr>
                <w:rFonts w:hint="eastAsia" w:ascii="Times New Roman" w:hAnsi="Times New Roman"/>
                <w:color w:val="000000" w:themeColor="text1"/>
                <w:sz w:val="24"/>
                <w:szCs w:val="24"/>
                <w14:textFill>
                  <w14:solidFill>
                    <w14:schemeClr w14:val="tx1"/>
                  </w14:solidFill>
                </w14:textFill>
              </w:rPr>
              <w:t>kg/h），氮氧化物产生量为</w:t>
            </w:r>
            <w:r>
              <w:rPr>
                <w:rFonts w:ascii="Times New Roman" w:hAnsi="Times New Roman"/>
                <w:color w:val="000000" w:themeColor="text1"/>
                <w:sz w:val="24"/>
                <w:szCs w:val="24"/>
                <w14:textFill>
                  <w14:solidFill>
                    <w14:schemeClr w14:val="tx1"/>
                  </w14:solidFill>
                </w14:textFill>
              </w:rPr>
              <w:t>0.033</w:t>
            </w:r>
            <w:r>
              <w:rPr>
                <w:rFonts w:hint="eastAsia" w:ascii="Times New Roman" w:hAnsi="Times New Roman"/>
                <w:color w:val="000000" w:themeColor="text1"/>
                <w:sz w:val="24"/>
                <w:szCs w:val="24"/>
                <w14:textFill>
                  <w14:solidFill>
                    <w14:schemeClr w14:val="tx1"/>
                  </w14:solidFill>
                </w14:textFill>
              </w:rPr>
              <w:t>t/a（</w:t>
            </w:r>
            <w:r>
              <w:rPr>
                <w:rFonts w:ascii="Times New Roman" w:hAnsi="Times New Roman"/>
                <w:color w:val="000000" w:themeColor="text1"/>
                <w:sz w:val="24"/>
                <w:szCs w:val="24"/>
                <w14:textFill>
                  <w14:solidFill>
                    <w14:schemeClr w14:val="tx1"/>
                  </w14:solidFill>
                </w14:textFill>
              </w:rPr>
              <w:t>0.65</w:t>
            </w:r>
            <w:r>
              <w:rPr>
                <w:rFonts w:hint="eastAsia" w:ascii="Times New Roman" w:hAnsi="Times New Roman"/>
                <w:color w:val="000000" w:themeColor="text1"/>
                <w:sz w:val="24"/>
                <w:szCs w:val="24"/>
                <w14:textFill>
                  <w14:solidFill>
                    <w14:schemeClr w14:val="tx1"/>
                  </w14:solidFill>
                </w14:textFill>
              </w:rPr>
              <w:t>kg/h），废气中SO</w:t>
            </w:r>
            <w:r>
              <w:rPr>
                <w:rFonts w:hint="eastAsia" w:ascii="Times New Roman" w:hAnsi="Times New Roman"/>
                <w:color w:val="000000" w:themeColor="text1"/>
                <w:sz w:val="24"/>
                <w:szCs w:val="24"/>
                <w:vertAlign w:val="sub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、烟尘、氮氧化物浓度分别为</w:t>
            </w:r>
            <w:r>
              <w:rPr>
                <w:rFonts w:ascii="Times New Roman" w:hAnsi="Times New Roman"/>
                <w:color w:val="000000" w:themeColor="text1"/>
                <w:sz w:val="24"/>
                <w:szCs w:val="24"/>
                <w14:textFill>
                  <w14:solidFill>
                    <w14:schemeClr w14:val="tx1"/>
                  </w14:solidFill>
                </w14:textFill>
              </w:rPr>
              <w:t>163.45</w:t>
            </w:r>
            <w:r>
              <w:rPr>
                <w:rFonts w:hint="eastAsia" w:ascii="Times New Roman" w:hAnsi="Times New Roman"/>
                <w:color w:val="000000" w:themeColor="text1"/>
                <w:sz w:val="24"/>
                <w:szCs w:val="24"/>
                <w14:textFill>
                  <w14:solidFill>
                    <w14:schemeClr w14:val="tx1"/>
                  </w14:solidFill>
                </w14:textFill>
              </w:rPr>
              <w:t>mg/m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、80.12mg/m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163.45</w:t>
            </w:r>
            <w:r>
              <w:rPr>
                <w:rFonts w:hint="eastAsia" w:ascii="Times New Roman" w:hAnsi="Times New Roman"/>
                <w:color w:val="000000" w:themeColor="text1"/>
                <w:sz w:val="24"/>
                <w:szCs w:val="24"/>
                <w14:textFill>
                  <w14:solidFill>
                    <w14:schemeClr w14:val="tx1"/>
                  </w14:solidFill>
                </w14:textFill>
              </w:rPr>
              <w:t>mg/m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。隧道窑拟设置脱硫除尘器，采用双碱法，利用钠碱和石灰做脱硫剂，烟气经处理后经65m排气筒排放。该设备总除尘效率约为95%，二氧化硫去除效率约为80%。</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项目点火废气经处理后各污染物排放情况见下表。</w:t>
            </w:r>
          </w:p>
          <w:p>
            <w:pPr>
              <w:spacing w:line="360" w:lineRule="auto"/>
              <w:jc w:val="center"/>
              <w:rPr>
                <w:rFonts w:ascii="Times New Roman" w:hAnsi="Times New Roman"/>
                <w:b/>
                <w:bCs/>
                <w:color w:val="000000" w:themeColor="text1"/>
                <w:sz w:val="24"/>
                <w:szCs w:val="24"/>
                <w:u w:val="single"/>
                <w14:textFill>
                  <w14:solidFill>
                    <w14:schemeClr w14:val="tx1"/>
                  </w14:solidFill>
                </w14:textFill>
              </w:rPr>
            </w:pPr>
            <w:r>
              <w:rPr>
                <w:rFonts w:hint="eastAsia" w:ascii="Times New Roman" w:hAnsi="Times New Roman"/>
                <w:b/>
                <w:bCs/>
                <w:color w:val="000000" w:themeColor="text1"/>
                <w:sz w:val="24"/>
                <w:szCs w:val="24"/>
                <w:u w:val="single"/>
                <w14:textFill>
                  <w14:solidFill>
                    <w14:schemeClr w14:val="tx1"/>
                  </w14:solidFill>
                </w14:textFill>
              </w:rPr>
              <w:t>表4</w:t>
            </w:r>
            <w:r>
              <w:rPr>
                <w:rFonts w:ascii="Times New Roman" w:hAnsi="Times New Roman"/>
                <w:b/>
                <w:bCs/>
                <w:color w:val="000000" w:themeColor="text1"/>
                <w:sz w:val="24"/>
                <w:szCs w:val="24"/>
                <w:u w:val="single"/>
                <w14:textFill>
                  <w14:solidFill>
                    <w14:schemeClr w14:val="tx1"/>
                  </w14:solidFill>
                </w14:textFill>
              </w:rPr>
              <w:t xml:space="preserve">-4  </w:t>
            </w:r>
            <w:r>
              <w:rPr>
                <w:rFonts w:hint="eastAsia" w:ascii="Times New Roman" w:hAnsi="Times New Roman"/>
                <w:b/>
                <w:bCs/>
                <w:color w:val="000000" w:themeColor="text1"/>
                <w:sz w:val="24"/>
                <w:szCs w:val="24"/>
                <w:u w:val="single"/>
                <w14:textFill>
                  <w14:solidFill>
                    <w14:schemeClr w14:val="tx1"/>
                  </w14:solidFill>
                </w14:textFill>
              </w:rPr>
              <w:t>点火废气产排污情况一览表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7"/>
              <w:gridCol w:w="1764"/>
              <w:gridCol w:w="1764"/>
              <w:gridCol w:w="1765"/>
              <w:gridCol w:w="17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项目</w:t>
                  </w:r>
                </w:p>
              </w:tc>
              <w:tc>
                <w:tcPr>
                  <w:tcW w:w="1795"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烟气量</w:t>
                  </w:r>
                </w:p>
              </w:tc>
              <w:tc>
                <w:tcPr>
                  <w:tcW w:w="1795"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烟尘</w:t>
                  </w:r>
                </w:p>
              </w:tc>
              <w:tc>
                <w:tcPr>
                  <w:tcW w:w="1796"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SO</w:t>
                  </w:r>
                  <w:r>
                    <w:rPr>
                      <w:rFonts w:ascii="Times New Roman" w:hAnsi="Times New Roman"/>
                      <w:b/>
                      <w:bCs/>
                      <w:color w:val="000000" w:themeColor="text1"/>
                      <w:szCs w:val="21"/>
                      <w:u w:val="single"/>
                      <w:vertAlign w:val="subscript"/>
                      <w14:textFill>
                        <w14:solidFill>
                          <w14:schemeClr w14:val="tx1"/>
                        </w14:solidFill>
                      </w14:textFill>
                    </w:rPr>
                    <w:t>2</w:t>
                  </w:r>
                </w:p>
              </w:tc>
              <w:tc>
                <w:tcPr>
                  <w:tcW w:w="1797"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NO</w:t>
                  </w:r>
                  <w:r>
                    <w:rPr>
                      <w:rFonts w:hint="eastAsia" w:ascii="Times New Roman" w:hAnsi="Times New Roman"/>
                      <w:b/>
                      <w:bCs/>
                      <w:color w:val="000000" w:themeColor="text1"/>
                      <w:szCs w:val="21"/>
                      <w:u w:val="single"/>
                      <w:vertAlign w:val="subscript"/>
                      <w14:textFill>
                        <w14:solidFill>
                          <w14:schemeClr w14:val="tx1"/>
                        </w14:solidFill>
                      </w14:textFill>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产生浓度</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80.12mg/m</w:t>
                  </w:r>
                  <w:r>
                    <w:rPr>
                      <w:rFonts w:ascii="Times New Roman" w:hAnsi="Times New Roman"/>
                      <w:color w:val="000000" w:themeColor="text1"/>
                      <w:szCs w:val="21"/>
                      <w:u w:val="single"/>
                      <w:vertAlign w:val="superscript"/>
                      <w14:textFill>
                        <w14:solidFill>
                          <w14:schemeClr w14:val="tx1"/>
                        </w14:solidFill>
                      </w14:textFill>
                    </w:rPr>
                    <w:t>3</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163.45mg/m</w:t>
                  </w:r>
                  <w:r>
                    <w:rPr>
                      <w:rFonts w:ascii="Times New Roman" w:hAnsi="Times New Roman"/>
                      <w:color w:val="000000" w:themeColor="text1"/>
                      <w:szCs w:val="21"/>
                      <w:u w:val="single"/>
                      <w:vertAlign w:val="superscript"/>
                      <w14:textFill>
                        <w14:solidFill>
                          <w14:schemeClr w14:val="tx1"/>
                        </w14:solidFill>
                      </w14:textFill>
                    </w:rPr>
                    <w:t>3</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163.45mg/m</w:t>
                  </w:r>
                  <w:r>
                    <w:rPr>
                      <w:rFonts w:ascii="Times New Roman" w:hAnsi="Times New Roman"/>
                      <w:color w:val="000000" w:themeColor="text1"/>
                      <w:szCs w:val="21"/>
                      <w:u w:val="single"/>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产生量</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39.94万m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0.016t/a</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0.033t/a</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0.033t/a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处理效率</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95%</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80%</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排放浓度</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39.94万m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4.01mg/m</w:t>
                  </w:r>
                  <w:r>
                    <w:rPr>
                      <w:rFonts w:ascii="Times New Roman" w:hAnsi="Times New Roman"/>
                      <w:color w:val="000000" w:themeColor="text1"/>
                      <w:szCs w:val="21"/>
                      <w:u w:val="single"/>
                      <w:vertAlign w:val="superscript"/>
                      <w14:textFill>
                        <w14:solidFill>
                          <w14:schemeClr w14:val="tx1"/>
                        </w14:solidFill>
                      </w14:textFill>
                    </w:rPr>
                    <w:t>3</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32.69mg/m</w:t>
                  </w:r>
                  <w:r>
                    <w:rPr>
                      <w:rFonts w:ascii="Times New Roman" w:hAnsi="Times New Roman"/>
                      <w:color w:val="000000" w:themeColor="text1"/>
                      <w:szCs w:val="21"/>
                      <w:u w:val="single"/>
                      <w:vertAlign w:val="superscript"/>
                      <w14:textFill>
                        <w14:solidFill>
                          <w14:schemeClr w14:val="tx1"/>
                        </w14:solidFill>
                      </w14:textFill>
                    </w:rPr>
                    <w:t>3</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163.45mg/m</w:t>
                  </w:r>
                  <w:r>
                    <w:rPr>
                      <w:rFonts w:ascii="Times New Roman" w:hAnsi="Times New Roman"/>
                      <w:color w:val="000000" w:themeColor="text1"/>
                      <w:szCs w:val="21"/>
                      <w:u w:val="single"/>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排放总量</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0.001t/a</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0.007t/a</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0.033t/a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排放标准</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795"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30mg/m</w:t>
                  </w:r>
                  <w:r>
                    <w:rPr>
                      <w:rFonts w:ascii="Times New Roman" w:hAnsi="Times New Roman"/>
                      <w:color w:val="000000" w:themeColor="text1"/>
                      <w:szCs w:val="21"/>
                      <w:u w:val="single"/>
                      <w:vertAlign w:val="superscript"/>
                      <w14:textFill>
                        <w14:solidFill>
                          <w14:schemeClr w14:val="tx1"/>
                        </w14:solidFill>
                      </w14:textFill>
                    </w:rPr>
                    <w:t>3</w:t>
                  </w:r>
                </w:p>
              </w:tc>
              <w:tc>
                <w:tcPr>
                  <w:tcW w:w="179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300mg/m</w:t>
                  </w:r>
                  <w:r>
                    <w:rPr>
                      <w:rFonts w:ascii="Times New Roman" w:hAnsi="Times New Roman"/>
                      <w:color w:val="000000" w:themeColor="text1"/>
                      <w:szCs w:val="21"/>
                      <w:u w:val="single"/>
                      <w:vertAlign w:val="superscript"/>
                      <w14:textFill>
                        <w14:solidFill>
                          <w14:schemeClr w14:val="tx1"/>
                        </w14:solidFill>
                      </w14:textFill>
                    </w:rPr>
                    <w:t>3</w:t>
                  </w:r>
                </w:p>
              </w:tc>
              <w:tc>
                <w:tcPr>
                  <w:tcW w:w="179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200mg/m</w:t>
                  </w:r>
                  <w:r>
                    <w:rPr>
                      <w:rFonts w:ascii="Times New Roman" w:hAnsi="Times New Roman"/>
                      <w:color w:val="000000" w:themeColor="text1"/>
                      <w:szCs w:val="21"/>
                      <w:u w:val="single"/>
                      <w:vertAlign w:val="superscript"/>
                      <w14:textFill>
                        <w14:solidFill>
                          <w14:schemeClr w14:val="tx1"/>
                        </w14:solidFill>
                      </w14:textFill>
                    </w:rPr>
                    <w:t>3</w:t>
                  </w:r>
                </w:p>
              </w:tc>
            </w:tr>
          </w:tbl>
          <w:p>
            <w:pPr>
              <w:spacing w:line="360" w:lineRule="auto"/>
              <w:ind w:firstLine="480" w:firstLineChars="200"/>
              <w:rPr>
                <w:rFonts w:ascii="Times New Roman" w:hAnsi="Times New Roman"/>
                <w:kern w:val="10"/>
                <w:sz w:val="24"/>
              </w:rPr>
            </w:pPr>
            <w:r>
              <w:rPr>
                <w:rFonts w:hint="eastAsia" w:ascii="Times New Roman" w:hAnsi="Times New Roman"/>
                <w:kern w:val="10"/>
                <w:sz w:val="24"/>
              </w:rPr>
              <w:t>②制砖中污染物产排情况分析</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本工程采用隧道窑，利用页岩</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煤渣</w:t>
            </w:r>
            <w:r>
              <w:rPr>
                <w:rFonts w:hint="eastAsia" w:ascii="Times New Roman" w:hAnsi="Times New Roman"/>
                <w:color w:val="000000" w:themeColor="text1"/>
                <w:sz w:val="24"/>
                <w:szCs w:val="24"/>
                <w14:textFill>
                  <w14:solidFill>
                    <w14:schemeClr w14:val="tx1"/>
                  </w14:solidFill>
                </w14:textFill>
              </w:rPr>
              <w:t>与无烟煤</w:t>
            </w:r>
            <w:r>
              <w:rPr>
                <w:rFonts w:ascii="Times New Roman" w:hAnsi="Times New Roman"/>
                <w:color w:val="000000" w:themeColor="text1"/>
                <w:sz w:val="24"/>
                <w:szCs w:val="24"/>
                <w14:textFill>
                  <w14:solidFill>
                    <w14:schemeClr w14:val="tx1"/>
                  </w14:solidFill>
                </w14:textFill>
              </w:rPr>
              <w:t>配制成一定比例烧结制砖，产生的污染主要为SO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、烟尘、氮氧化物、氟化物等。</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文献《利用粉煤灰烧砖可实现二氧化硫的减排》，粉煤灰的主要成分是硫酸钙，砖的焙烧温度远低于硫酸盐的分解焙烧温度，硫酸钙在1320℃以上才能分解，煤渣的主要性质与粉煤灰的性质相似，因此，在砖的生产过程中，煤渣焙烧不产生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p>
          <w:p>
            <w:pPr>
              <w:pStyle w:val="16"/>
              <w:spacing w:line="360" w:lineRule="auto"/>
              <w:ind w:left="0" w:leftChars="0" w:firstLine="480" w:firstLineChars="200"/>
              <w:rPr>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页岩用量为200000t/a，页岩含硫率为0.02%。由于砖坯中含有一定的水份和Ca、Mg等碱性物质，在高温烧制过程中和会与S生成硫酸钙、硫酸镁等，类似燃煤锅炉炉内脱S机理，根据经验系数，其固硫率可达到40%左右，则硫的转化率为取0.6。二氧化硫产生量计算公式如下：</w:t>
            </w:r>
          </w:p>
          <w:p>
            <w:pPr>
              <w:pStyle w:val="16"/>
              <w:spacing w:line="360" w:lineRule="auto"/>
              <w:ind w:left="0" w:leftChars="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二氧化硫产生量=2×B×F×S</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式中：B-页岩量；</w:t>
            </w:r>
          </w:p>
          <w:p>
            <w:pPr>
              <w:pStyle w:val="16"/>
              <w:spacing w:line="360" w:lineRule="auto"/>
              <w:ind w:left="0" w:leftChars="0"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F-硫的转化率（%）；</w:t>
            </w:r>
          </w:p>
          <w:p>
            <w:pPr>
              <w:pStyle w:val="16"/>
              <w:spacing w:line="360" w:lineRule="auto"/>
              <w:ind w:left="0" w:leftChars="0"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S-全硫含量（%）；</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=2*100000*0.02%*0.6=24t/a</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无烟煤用量为6600t/a，根据煤质成分分析单，本项目无烟煤的含硫率取最大值0.73%。项目所使用的无烟煤空气干燥基全硫最高值为0.73%＜2%，属于无烟煤。无烟煤中二氧化硫产生量为：8.36kg/h，即48.18t/a。隧道窑全年运行240天，工作时间24h/d。</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二氧化硫产生量为页岩和无烟煤中二氧化硫产生量之和。根据以上公式计算可知项目总的SO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的产生量为72.18t/a。</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页岩中F含量约为0.002%，</w:t>
            </w:r>
            <w:r>
              <w:rPr>
                <w:rFonts w:hint="eastAsia" w:ascii="Times New Roman" w:hAnsi="Times New Roman"/>
                <w:color w:val="000000" w:themeColor="text1"/>
                <w:sz w:val="24"/>
                <w:szCs w:val="24"/>
                <w14:textFill>
                  <w14:solidFill>
                    <w14:schemeClr w14:val="tx1"/>
                  </w14:solidFill>
                </w14:textFill>
              </w:rPr>
              <w:t>则F含量为4t/a。</w:t>
            </w:r>
            <w:r>
              <w:rPr>
                <w:rFonts w:ascii="Times New Roman" w:hAnsi="Times New Roman"/>
                <w:color w:val="000000" w:themeColor="text1"/>
                <w:sz w:val="24"/>
                <w:szCs w:val="24"/>
                <w14:textFill>
                  <w14:solidFill>
                    <w14:schemeClr w14:val="tx1"/>
                  </w14:solidFill>
                </w14:textFill>
              </w:rPr>
              <w:t>烟气量、烟尘</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NOx的产生情况引用《第一次全国污染源普查工业污染源产排污系数手册》中</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3131粘土砖瓦及建筑砌块制造</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产污数据。本项目隧道窑烟气污染物产生情况见表4-5。</w:t>
            </w:r>
          </w:p>
          <w:p>
            <w:pPr>
              <w:pStyle w:val="16"/>
              <w:spacing w:line="360" w:lineRule="auto"/>
              <w:ind w:left="0" w:leftChars="0"/>
              <w:jc w:val="center"/>
              <w:rPr>
                <w:rFonts w:ascii="Times New Roman" w:hAnsi="Times New Roman" w:eastAsiaTheme="minorEastAsia"/>
                <w:b/>
                <w:bCs/>
                <w:color w:val="000000" w:themeColor="text1"/>
                <w:sz w:val="24"/>
                <w:szCs w:val="24"/>
                <w:u w:val="single"/>
                <w14:textFill>
                  <w14:solidFill>
                    <w14:schemeClr w14:val="tx1"/>
                  </w14:solidFill>
                </w14:textFill>
              </w:rPr>
            </w:pPr>
            <w:r>
              <w:rPr>
                <w:rFonts w:ascii="Times New Roman" w:hAnsi="Times New Roman" w:eastAsiaTheme="minorEastAsia"/>
                <w:b/>
                <w:bCs/>
                <w:color w:val="000000" w:themeColor="text1"/>
                <w:sz w:val="24"/>
                <w:szCs w:val="24"/>
                <w:u w:val="single"/>
                <w14:textFill>
                  <w14:solidFill>
                    <w14:schemeClr w14:val="tx1"/>
                  </w14:solidFill>
                </w14:textFill>
              </w:rPr>
              <w:t>表4-5  隧道窑产污系数及产污情况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6"/>
              <w:gridCol w:w="1772"/>
              <w:gridCol w:w="1537"/>
              <w:gridCol w:w="1436"/>
              <w:gridCol w:w="1427"/>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6"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项目</w:t>
                  </w:r>
                </w:p>
              </w:tc>
              <w:tc>
                <w:tcPr>
                  <w:tcW w:w="1772"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烟气量</w:t>
                  </w:r>
                </w:p>
              </w:tc>
              <w:tc>
                <w:tcPr>
                  <w:tcW w:w="1537"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烟尘</w:t>
                  </w:r>
                </w:p>
              </w:tc>
              <w:tc>
                <w:tcPr>
                  <w:tcW w:w="1436"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SO</w:t>
                  </w:r>
                  <w:r>
                    <w:rPr>
                      <w:rFonts w:ascii="Times New Roman" w:hAnsi="Times New Roman"/>
                      <w:b/>
                      <w:bCs/>
                      <w:color w:val="000000" w:themeColor="text1"/>
                      <w:szCs w:val="21"/>
                      <w:u w:val="single"/>
                      <w:vertAlign w:val="subscript"/>
                      <w14:textFill>
                        <w14:solidFill>
                          <w14:schemeClr w14:val="tx1"/>
                        </w14:solidFill>
                      </w14:textFill>
                    </w:rPr>
                    <w:t>2</w:t>
                  </w:r>
                </w:p>
              </w:tc>
              <w:tc>
                <w:tcPr>
                  <w:tcW w:w="1427"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NO</w:t>
                  </w:r>
                  <w:r>
                    <w:rPr>
                      <w:rFonts w:hint="eastAsia" w:ascii="Times New Roman" w:hAnsi="Times New Roman"/>
                      <w:b/>
                      <w:bCs/>
                      <w:color w:val="000000" w:themeColor="text1"/>
                      <w:szCs w:val="21"/>
                      <w:u w:val="single"/>
                      <w:vertAlign w:val="subscript"/>
                      <w14:textFill>
                        <w14:solidFill>
                          <w14:schemeClr w14:val="tx1"/>
                        </w14:solidFill>
                      </w14:textFill>
                    </w:rPr>
                    <w:t>X</w:t>
                  </w:r>
                </w:p>
              </w:tc>
              <w:tc>
                <w:tcPr>
                  <w:tcW w:w="1448"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产污系数</w:t>
                  </w:r>
                </w:p>
              </w:tc>
              <w:tc>
                <w:tcPr>
                  <w:tcW w:w="17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4.298万m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/万块</w:t>
                  </w:r>
                </w:p>
              </w:tc>
              <w:tc>
                <w:tcPr>
                  <w:tcW w:w="153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4.728kg/万块</w:t>
                  </w:r>
                </w:p>
              </w:tc>
              <w:tc>
                <w:tcPr>
                  <w:tcW w:w="143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2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1.657kg/万块</w:t>
                  </w:r>
                </w:p>
              </w:tc>
              <w:tc>
                <w:tcPr>
                  <w:tcW w:w="1448"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产生浓度</w:t>
                  </w:r>
                </w:p>
              </w:tc>
              <w:tc>
                <w:tcPr>
                  <w:tcW w:w="17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53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110mg/m</w:t>
                  </w:r>
                  <w:r>
                    <w:rPr>
                      <w:rFonts w:ascii="Times New Roman" w:hAnsi="Times New Roman"/>
                      <w:color w:val="000000" w:themeColor="text1"/>
                      <w:szCs w:val="21"/>
                      <w:u w:val="single"/>
                      <w:vertAlign w:val="superscript"/>
                      <w14:textFill>
                        <w14:solidFill>
                          <w14:schemeClr w14:val="tx1"/>
                        </w14:solidFill>
                      </w14:textFill>
                    </w:rPr>
                    <w:t>3</w:t>
                  </w:r>
                </w:p>
              </w:tc>
              <w:tc>
                <w:tcPr>
                  <w:tcW w:w="143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279.9mg/m</w:t>
                  </w:r>
                  <w:r>
                    <w:rPr>
                      <w:rFonts w:ascii="Times New Roman" w:hAnsi="Times New Roman"/>
                      <w:color w:val="000000" w:themeColor="text1"/>
                      <w:szCs w:val="21"/>
                      <w:u w:val="single"/>
                      <w:vertAlign w:val="superscript"/>
                      <w14:textFill>
                        <w14:solidFill>
                          <w14:schemeClr w14:val="tx1"/>
                        </w14:solidFill>
                      </w14:textFill>
                    </w:rPr>
                    <w:t>3</w:t>
                  </w:r>
                </w:p>
              </w:tc>
              <w:tc>
                <w:tcPr>
                  <w:tcW w:w="142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38.55mg/m</w:t>
                  </w:r>
                  <w:r>
                    <w:rPr>
                      <w:rFonts w:ascii="Times New Roman" w:hAnsi="Times New Roman"/>
                      <w:color w:val="000000" w:themeColor="text1"/>
                      <w:szCs w:val="21"/>
                      <w:u w:val="single"/>
                      <w:vertAlign w:val="superscript"/>
                      <w14:textFill>
                        <w14:solidFill>
                          <w14:schemeClr w14:val="tx1"/>
                        </w14:solidFill>
                      </w14:textFill>
                    </w:rPr>
                    <w:t>3</w:t>
                  </w:r>
                </w:p>
              </w:tc>
              <w:tc>
                <w:tcPr>
                  <w:tcW w:w="1448"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15.51mg/m</w:t>
                  </w:r>
                  <w:r>
                    <w:rPr>
                      <w:rFonts w:ascii="Times New Roman" w:hAnsi="Times New Roman"/>
                      <w:color w:val="000000" w:themeColor="text1"/>
                      <w:szCs w:val="21"/>
                      <w:u w:val="single"/>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产生量</w:t>
                  </w:r>
                </w:p>
              </w:tc>
              <w:tc>
                <w:tcPr>
                  <w:tcW w:w="17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25788万m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53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28.37t/a</w:t>
                  </w:r>
                </w:p>
              </w:tc>
              <w:tc>
                <w:tcPr>
                  <w:tcW w:w="1436"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72.18t/a</w:t>
                  </w:r>
                </w:p>
              </w:tc>
              <w:tc>
                <w:tcPr>
                  <w:tcW w:w="1427"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9.942t/a</w:t>
                  </w:r>
                </w:p>
              </w:tc>
              <w:tc>
                <w:tcPr>
                  <w:tcW w:w="1448"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4t/a</w:t>
                  </w:r>
                </w:p>
              </w:tc>
            </w:tr>
          </w:tbl>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脱硫除尘器采用双碱法，利用钠碱和石灰做脱硫剂，烟气经处理后经65m排气筒排放。该设备总除尘效率约为95%，二氧化硫去除效率约为80%，总除F效率约为90%。</w:t>
            </w:r>
          </w:p>
          <w:p>
            <w:pPr>
              <w:pStyle w:val="16"/>
              <w:spacing w:line="360" w:lineRule="auto"/>
              <w:ind w:left="0" w:lef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项目旋转隧道窑烟气经处理后各污染物排放情况见下表。</w:t>
            </w:r>
          </w:p>
          <w:p>
            <w:pPr>
              <w:pStyle w:val="16"/>
              <w:spacing w:line="360" w:lineRule="auto"/>
              <w:ind w:left="0" w:leftChars="0"/>
              <w:jc w:val="center"/>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表4-6  隧道窑废气产排污情况一览表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2"/>
              <w:gridCol w:w="1471"/>
              <w:gridCol w:w="1470"/>
              <w:gridCol w:w="1471"/>
              <w:gridCol w:w="1471"/>
              <w:gridCol w:w="14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项目</w:t>
                  </w:r>
                </w:p>
              </w:tc>
              <w:tc>
                <w:tcPr>
                  <w:tcW w:w="1471"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烟气量</w:t>
                  </w:r>
                </w:p>
              </w:tc>
              <w:tc>
                <w:tcPr>
                  <w:tcW w:w="1470"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烟尘</w:t>
                  </w:r>
                </w:p>
              </w:tc>
              <w:tc>
                <w:tcPr>
                  <w:tcW w:w="1471"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SO</w:t>
                  </w:r>
                  <w:r>
                    <w:rPr>
                      <w:rFonts w:ascii="Times New Roman" w:hAnsi="Times New Roman"/>
                      <w:b/>
                      <w:bCs/>
                      <w:color w:val="000000" w:themeColor="text1"/>
                      <w:szCs w:val="21"/>
                      <w:u w:val="single"/>
                      <w:vertAlign w:val="subscript"/>
                      <w14:textFill>
                        <w14:solidFill>
                          <w14:schemeClr w14:val="tx1"/>
                        </w14:solidFill>
                      </w14:textFill>
                    </w:rPr>
                    <w:t>2</w:t>
                  </w:r>
                </w:p>
              </w:tc>
              <w:tc>
                <w:tcPr>
                  <w:tcW w:w="1471"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NO</w:t>
                  </w:r>
                  <w:r>
                    <w:rPr>
                      <w:rFonts w:hint="eastAsia" w:ascii="Times New Roman" w:hAnsi="Times New Roman"/>
                      <w:b/>
                      <w:bCs/>
                      <w:color w:val="000000" w:themeColor="text1"/>
                      <w:szCs w:val="21"/>
                      <w:u w:val="single"/>
                      <w:vertAlign w:val="subscript"/>
                      <w14:textFill>
                        <w14:solidFill>
                          <w14:schemeClr w14:val="tx1"/>
                        </w14:solidFill>
                      </w14:textFill>
                    </w:rPr>
                    <w:t>X</w:t>
                  </w:r>
                </w:p>
              </w:tc>
              <w:tc>
                <w:tcPr>
                  <w:tcW w:w="1471" w:type="dxa"/>
                  <w:vAlign w:val="center"/>
                </w:tcPr>
                <w:p>
                  <w:pPr>
                    <w:pStyle w:val="16"/>
                    <w:ind w:left="0" w:leftChars="0"/>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产生浓度</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110mg/m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279.9mg/m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38.55mg/m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15.51mg/m</w:t>
                  </w:r>
                  <w:r>
                    <w:rPr>
                      <w:rFonts w:ascii="Times New Roman" w:hAnsi="Times New Roman"/>
                      <w:color w:val="000000" w:themeColor="text1"/>
                      <w:szCs w:val="21"/>
                      <w:u w:val="single"/>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产生量</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25788万m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28.37t/a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72.18t/a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9.942t/a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处理效率</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95%</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80%</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排放浓度</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25788万m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5.5mg/m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55.98mg/m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38.55mg/m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1.55mg/m</w:t>
                  </w:r>
                  <w:r>
                    <w:rPr>
                      <w:rFonts w:ascii="Times New Roman" w:hAnsi="Times New Roman"/>
                      <w:color w:val="000000" w:themeColor="text1"/>
                      <w:szCs w:val="21"/>
                      <w:u w:val="single"/>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排放总量</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1.42t/a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14.44t/a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9.942t/a</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2"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排放标准</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p>
              </w:tc>
              <w:tc>
                <w:tcPr>
                  <w:tcW w:w="1470"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300mg/m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200mg/m</w:t>
                  </w:r>
                  <w:r>
                    <w:rPr>
                      <w:rFonts w:ascii="Times New Roman" w:hAnsi="Times New Roman"/>
                      <w:color w:val="000000" w:themeColor="text1"/>
                      <w:szCs w:val="21"/>
                      <w:u w:val="single"/>
                      <w:vertAlign w:val="superscript"/>
                      <w14:textFill>
                        <w14:solidFill>
                          <w14:schemeClr w14:val="tx1"/>
                        </w14:solidFill>
                      </w14:textFill>
                    </w:rPr>
                    <w:t>3</w:t>
                  </w:r>
                </w:p>
              </w:tc>
              <w:tc>
                <w:tcPr>
                  <w:tcW w:w="1471" w:type="dxa"/>
                  <w:vAlign w:val="center"/>
                </w:tcPr>
                <w:p>
                  <w:pPr>
                    <w:pStyle w:val="16"/>
                    <w:ind w:left="0" w:leftChars="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3mg/m</w:t>
                  </w:r>
                  <w:r>
                    <w:rPr>
                      <w:rFonts w:ascii="Times New Roman" w:hAnsi="Times New Roman"/>
                      <w:color w:val="000000" w:themeColor="text1"/>
                      <w:szCs w:val="21"/>
                      <w:u w:val="single"/>
                      <w:vertAlign w:val="superscript"/>
                      <w14:textFill>
                        <w14:solidFill>
                          <w14:schemeClr w14:val="tx1"/>
                        </w14:solidFill>
                      </w14:textFill>
                    </w:rPr>
                    <w:t>3</w:t>
                  </w:r>
                </w:p>
              </w:tc>
            </w:tr>
          </w:tbl>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sz w:val="24"/>
              </w:rPr>
              <w:t>（7）</w:t>
            </w:r>
            <w:r>
              <w:rPr>
                <w:rFonts w:hint="eastAsia" w:ascii="Times New Roman" w:hAnsi="Times New Roman"/>
                <w:kern w:val="10"/>
                <w:sz w:val="24"/>
              </w:rPr>
              <w:t>食堂油烟废气</w:t>
            </w:r>
          </w:p>
          <w:p>
            <w:pPr>
              <w:spacing w:line="360" w:lineRule="auto"/>
              <w:ind w:firstLine="480" w:firstLineChars="200"/>
              <w:rPr>
                <w:rFonts w:ascii="Times New Roman" w:hAnsi="Times New Roman"/>
                <w:b/>
                <w:sz w:val="24"/>
              </w:rPr>
            </w:pPr>
            <w:r>
              <w:rPr>
                <w:rFonts w:hint="eastAsia" w:ascii="Times New Roman" w:hAnsi="Times New Roman"/>
                <w:color w:val="000000" w:themeColor="text1"/>
                <w:sz w:val="24"/>
                <w:szCs w:val="24"/>
                <w14:textFill>
                  <w14:solidFill>
                    <w14:schemeClr w14:val="tx1"/>
                  </w14:solidFill>
                </w14:textFill>
              </w:rPr>
              <w:t>本项目设置食堂，供职工就餐，食物在烹饪、加工过程中将挥发出油脂、有机质及热分解或裂解产物，从而产生油烟废气。食堂人均食用油用量按30g/人</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d计算，就餐职工</w:t>
            </w:r>
            <w:r>
              <w:rPr>
                <w:rFonts w:ascii="Times New Roman" w:hAnsi="Times New Roman"/>
                <w:color w:val="000000" w:themeColor="text1"/>
                <w:sz w:val="24"/>
                <w:szCs w:val="24"/>
                <w14:textFill>
                  <w14:solidFill>
                    <w14:schemeClr w14:val="tx1"/>
                  </w14:solidFill>
                </w14:textFill>
              </w:rPr>
              <w:t>24</w:t>
            </w:r>
            <w:r>
              <w:rPr>
                <w:rFonts w:hint="eastAsia" w:ascii="Times New Roman" w:hAnsi="Times New Roman"/>
                <w:color w:val="000000" w:themeColor="text1"/>
                <w:sz w:val="24"/>
                <w:szCs w:val="24"/>
                <w14:textFill>
                  <w14:solidFill>
                    <w14:schemeClr w14:val="tx1"/>
                  </w14:solidFill>
                </w14:textFill>
              </w:rPr>
              <w:t>人，日耗食用油量</w:t>
            </w:r>
            <w:r>
              <w:rPr>
                <w:rFonts w:ascii="Times New Roman" w:hAnsi="Times New Roman"/>
                <w:color w:val="000000" w:themeColor="text1"/>
                <w:sz w:val="24"/>
                <w:szCs w:val="24"/>
                <w14:textFill>
                  <w14:solidFill>
                    <w14:schemeClr w14:val="tx1"/>
                  </w14:solidFill>
                </w14:textFill>
              </w:rPr>
              <w:t>720</w:t>
            </w:r>
            <w:r>
              <w:rPr>
                <w:rFonts w:hint="eastAsia" w:ascii="Times New Roman" w:hAnsi="Times New Roman"/>
                <w:color w:val="000000" w:themeColor="text1"/>
                <w:sz w:val="24"/>
                <w:szCs w:val="24"/>
                <w14:textFill>
                  <w14:solidFill>
                    <w14:schemeClr w14:val="tx1"/>
                  </w14:solidFill>
                </w14:textFill>
              </w:rPr>
              <w:t>g，年耗食用油</w:t>
            </w:r>
            <w:r>
              <w:rPr>
                <w:rFonts w:ascii="Times New Roman" w:hAnsi="Times New Roman"/>
                <w:color w:val="000000" w:themeColor="text1"/>
                <w:sz w:val="24"/>
                <w:szCs w:val="24"/>
                <w14:textFill>
                  <w14:solidFill>
                    <w14:schemeClr w14:val="tx1"/>
                  </w14:solidFill>
                </w14:textFill>
              </w:rPr>
              <w:t>172.8</w:t>
            </w:r>
            <w:r>
              <w:rPr>
                <w:rFonts w:hint="eastAsia" w:ascii="Times New Roman" w:hAnsi="Times New Roman"/>
                <w:color w:val="000000" w:themeColor="text1"/>
                <w:sz w:val="24"/>
                <w:szCs w:val="24"/>
                <w14:textFill>
                  <w14:solidFill>
                    <w14:schemeClr w14:val="tx1"/>
                  </w14:solidFill>
                </w14:textFill>
              </w:rPr>
              <w:t>kg。据类比调查，油的平均挥发量为总耗油量的3%，则年油烟产生量为</w:t>
            </w:r>
            <w:r>
              <w:rPr>
                <w:rFonts w:ascii="Times New Roman" w:hAnsi="Times New Roman"/>
                <w:color w:val="000000" w:themeColor="text1"/>
                <w:sz w:val="24"/>
                <w:szCs w:val="24"/>
                <w14:textFill>
                  <w14:solidFill>
                    <w14:schemeClr w14:val="tx1"/>
                  </w14:solidFill>
                </w14:textFill>
              </w:rPr>
              <w:t>5.184</w:t>
            </w:r>
            <w:r>
              <w:rPr>
                <w:rFonts w:hint="eastAsia" w:ascii="Times New Roman" w:hAnsi="Times New Roman"/>
                <w:color w:val="000000" w:themeColor="text1"/>
                <w:sz w:val="24"/>
                <w:szCs w:val="24"/>
                <w14:textFill>
                  <w14:solidFill>
                    <w14:schemeClr w14:val="tx1"/>
                  </w14:solidFill>
                </w14:textFill>
              </w:rPr>
              <w:t>kg。项目设1个基准灶头，风量为2000m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/h，日使用4小时，则油烟产生浓度为</w:t>
            </w:r>
            <w:r>
              <w:rPr>
                <w:rFonts w:ascii="Times New Roman" w:hAnsi="Times New Roman"/>
                <w:color w:val="000000" w:themeColor="text1"/>
                <w:sz w:val="24"/>
                <w:szCs w:val="24"/>
                <w14:textFill>
                  <w14:solidFill>
                    <w14:schemeClr w14:val="tx1"/>
                  </w14:solidFill>
                </w14:textFill>
              </w:rPr>
              <w:t>2.7</w:t>
            </w:r>
            <w:r>
              <w:rPr>
                <w:rFonts w:hint="eastAsia" w:ascii="Times New Roman" w:hAnsi="Times New Roman"/>
                <w:color w:val="000000" w:themeColor="text1"/>
                <w:sz w:val="24"/>
                <w:szCs w:val="24"/>
                <w14:textFill>
                  <w14:solidFill>
                    <w14:schemeClr w14:val="tx1"/>
                  </w14:solidFill>
                </w14:textFill>
              </w:rPr>
              <w:t>mg/m³。油烟废气经油烟废气净化装置处理后，由专用烟道引至楼顶排放。油烟净化效率可达</w:t>
            </w:r>
            <w:r>
              <w:rPr>
                <w:rFonts w:ascii="Times New Roman" w:hAnsi="Times New Roman"/>
                <w:color w:val="000000" w:themeColor="text1"/>
                <w:sz w:val="24"/>
                <w:szCs w:val="24"/>
                <w14:textFill>
                  <w14:solidFill>
                    <w14:schemeClr w14:val="tx1"/>
                  </w14:solidFill>
                </w14:textFill>
              </w:rPr>
              <w:t>60</w:t>
            </w:r>
            <w:r>
              <w:rPr>
                <w:rFonts w:hint="eastAsia" w:ascii="Times New Roman" w:hAnsi="Times New Roman"/>
                <w:color w:val="000000" w:themeColor="text1"/>
                <w:sz w:val="24"/>
                <w:szCs w:val="24"/>
                <w14:textFill>
                  <w14:solidFill>
                    <w14:schemeClr w14:val="tx1"/>
                  </w14:solidFill>
                </w14:textFill>
              </w:rPr>
              <w:t>%，则油烟排放量为</w:t>
            </w:r>
            <w:r>
              <w:rPr>
                <w:rFonts w:ascii="Times New Roman" w:hAnsi="Times New Roman"/>
                <w:color w:val="000000" w:themeColor="text1"/>
                <w:sz w:val="24"/>
                <w:szCs w:val="24"/>
                <w14:textFill>
                  <w14:solidFill>
                    <w14:schemeClr w14:val="tx1"/>
                  </w14:solidFill>
                </w14:textFill>
              </w:rPr>
              <w:t>2.07</w:t>
            </w:r>
            <w:r>
              <w:rPr>
                <w:rFonts w:hint="eastAsia" w:ascii="Times New Roman" w:hAnsi="Times New Roman"/>
                <w:color w:val="000000" w:themeColor="text1"/>
                <w:sz w:val="24"/>
                <w:szCs w:val="24"/>
                <w14:textFill>
                  <w14:solidFill>
                    <w14:schemeClr w14:val="tx1"/>
                  </w14:solidFill>
                </w14:textFill>
              </w:rPr>
              <w:t>kg/a，排放浓度</w:t>
            </w:r>
            <w:r>
              <w:rPr>
                <w:rFonts w:ascii="Times New Roman" w:hAnsi="Times New Roman"/>
                <w:color w:val="000000" w:themeColor="text1"/>
                <w:sz w:val="24"/>
                <w:szCs w:val="24"/>
                <w14:textFill>
                  <w14:solidFill>
                    <w14:schemeClr w14:val="tx1"/>
                  </w14:solidFill>
                </w14:textFill>
              </w:rPr>
              <w:t>1.08</w:t>
            </w:r>
            <w:r>
              <w:rPr>
                <w:rFonts w:hint="eastAsia" w:ascii="Times New Roman" w:hAnsi="Times New Roman"/>
                <w:color w:val="000000" w:themeColor="text1"/>
                <w:sz w:val="24"/>
                <w:szCs w:val="24"/>
                <w14:textFill>
                  <w14:solidFill>
                    <w14:schemeClr w14:val="tx1"/>
                  </w14:solidFill>
                </w14:textFill>
              </w:rPr>
              <w:t>mg/m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。满足《饮食业油烟排放标准（试行）》（GB18483-2001）表2中最高允许排放浓度“2.0mg/m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w:t>
            </w:r>
          </w:p>
          <w:p>
            <w:pPr>
              <w:kinsoku w:val="0"/>
              <w:overflowPunct w:val="0"/>
              <w:spacing w:line="360" w:lineRule="auto"/>
              <w:rPr>
                <w:rFonts w:ascii="Times New Roman" w:hAnsi="Times New Roman"/>
                <w:b/>
                <w:spacing w:val="8"/>
                <w:sz w:val="24"/>
              </w:rPr>
            </w:pPr>
            <w:r>
              <w:rPr>
                <w:rFonts w:ascii="Times New Roman" w:hAnsi="Times New Roman"/>
                <w:b/>
                <w:spacing w:val="8"/>
                <w:sz w:val="24"/>
              </w:rPr>
              <w:t>2.2 水污染源</w:t>
            </w:r>
          </w:p>
          <w:p>
            <w:pPr>
              <w:overflowPunct w:val="0"/>
              <w:spacing w:line="360" w:lineRule="auto"/>
              <w:ind w:firstLine="493"/>
              <w:rPr>
                <w:rFonts w:ascii="Times New Roman"/>
                <w:sz w:val="24"/>
              </w:rPr>
            </w:pPr>
            <w:r>
              <w:rPr>
                <w:rFonts w:ascii="Times New Roman"/>
                <w:sz w:val="24"/>
              </w:rPr>
              <w:t>本项目营运期间</w:t>
            </w:r>
            <w:r>
              <w:rPr>
                <w:rFonts w:hint="eastAsia" w:ascii="Times New Roman"/>
                <w:sz w:val="24"/>
              </w:rPr>
              <w:t>废</w:t>
            </w:r>
            <w:r>
              <w:rPr>
                <w:rFonts w:ascii="Times New Roman"/>
                <w:sz w:val="24"/>
              </w:rPr>
              <w:t>水主要</w:t>
            </w:r>
            <w:r>
              <w:rPr>
                <w:rFonts w:hint="eastAsia" w:ascii="Times New Roman"/>
                <w:sz w:val="24"/>
              </w:rPr>
              <w:t>为</w:t>
            </w:r>
            <w:r>
              <w:rPr>
                <w:rFonts w:ascii="Times New Roman" w:hAnsi="Times New Roman"/>
                <w:color w:val="000000" w:themeColor="text1"/>
                <w:sz w:val="24"/>
                <w14:textFill>
                  <w14:solidFill>
                    <w14:schemeClr w14:val="tx1"/>
                  </w14:solidFill>
                </w14:textFill>
              </w:rPr>
              <w:t>生活污水、初期雨水、</w:t>
            </w:r>
            <w:r>
              <w:rPr>
                <w:rFonts w:hint="eastAsia" w:ascii="Times New Roman" w:hAnsi="Times New Roman"/>
                <w:color w:val="000000" w:themeColor="text1"/>
                <w:sz w:val="24"/>
                <w14:textFill>
                  <w14:solidFill>
                    <w14:schemeClr w14:val="tx1"/>
                  </w14:solidFill>
                </w14:textFill>
              </w:rPr>
              <w:t>搅拌机清洗</w:t>
            </w:r>
            <w:r>
              <w:rPr>
                <w:rFonts w:ascii="Times New Roman" w:hAnsi="Times New Roman"/>
                <w:color w:val="000000" w:themeColor="text1"/>
                <w:sz w:val="24"/>
                <w14:textFill>
                  <w14:solidFill>
                    <w14:schemeClr w14:val="tx1"/>
                  </w14:solidFill>
                </w14:textFill>
              </w:rPr>
              <w:t>废水</w:t>
            </w:r>
            <w:r>
              <w:rPr>
                <w:rFonts w:hint="eastAsia" w:ascii="Times New Roman" w:hAnsi="Times New Roman"/>
                <w:color w:val="000000" w:themeColor="text1"/>
                <w:sz w:val="24"/>
                <w14:textFill>
                  <w14:solidFill>
                    <w14:schemeClr w14:val="tx1"/>
                  </w14:solidFill>
                </w14:textFill>
              </w:rPr>
              <w:t>、喷淋废水、脱硫废水及降尘废水</w:t>
            </w:r>
            <w:r>
              <w:rPr>
                <w:rFonts w:ascii="Times New Roman"/>
                <w:sz w:val="24"/>
              </w:rPr>
              <w:t>。</w:t>
            </w:r>
          </w:p>
          <w:p>
            <w:pPr>
              <w:overflowPunct w:val="0"/>
              <w:spacing w:line="360" w:lineRule="auto"/>
              <w:ind w:firstLine="493"/>
              <w:rPr>
                <w:rFonts w:ascii="Times New Roman"/>
                <w:sz w:val="24"/>
              </w:rPr>
            </w:pPr>
            <w:r>
              <w:rPr>
                <w:rFonts w:hint="eastAsia" w:ascii="Times New Roman"/>
                <w:sz w:val="24"/>
              </w:rPr>
              <w:t>（1）初期雨水</w:t>
            </w:r>
          </w:p>
          <w:p>
            <w:pPr>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初期雨水</w:t>
            </w:r>
            <w:r>
              <w:rPr>
                <w:rFonts w:ascii="Times New Roman" w:hAnsi="Times New Roman"/>
                <w:kern w:val="0"/>
                <w:sz w:val="24"/>
                <w:szCs w:val="24"/>
              </w:rPr>
              <w:t>即降雨形成地面径流后10~15min的污染较大的雨水量。初期雨水与气象条件密切相关，具有间歇性、时间间隔变化大等特点，初期雨水中主要污染因子为COD、石油类及SS。</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项目初期雨水采用如下公式计算：</w:t>
            </w:r>
          </w:p>
          <w:p>
            <w:pPr>
              <w:spacing w:line="360" w:lineRule="auto"/>
              <w:jc w:val="center"/>
              <w:rPr>
                <w:rFonts w:ascii="Times New Roman" w:hAnsi="Times New Roman"/>
                <w:i/>
                <w:iCs/>
                <w:kern w:val="0"/>
                <w:sz w:val="24"/>
                <w:szCs w:val="24"/>
              </w:rPr>
            </w:pPr>
            <w:r>
              <w:rPr>
                <w:rFonts w:ascii="Times New Roman" w:hAnsi="Times New Roman"/>
                <w:i/>
                <w:iCs/>
                <w:kern w:val="0"/>
                <w:sz w:val="24"/>
                <w:szCs w:val="24"/>
              </w:rPr>
              <w:t>Q=qFψ</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式中：Q—雨水量（m</w:t>
            </w:r>
            <w:r>
              <w:rPr>
                <w:rFonts w:ascii="Times New Roman" w:hAnsi="Times New Roman"/>
                <w:kern w:val="0"/>
                <w:sz w:val="24"/>
                <w:szCs w:val="24"/>
                <w:vertAlign w:val="superscript"/>
              </w:rPr>
              <w:t>3</w:t>
            </w:r>
            <w:r>
              <w:rPr>
                <w:rFonts w:ascii="Times New Roman" w:hAnsi="Times New Roman"/>
                <w:kern w:val="0"/>
                <w:sz w:val="24"/>
                <w:szCs w:val="24"/>
              </w:rPr>
              <w:t>）；</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q—暴雨量，L/s·hm</w:t>
            </w:r>
            <w:r>
              <w:rPr>
                <w:rFonts w:ascii="Times New Roman" w:hAnsi="Times New Roman"/>
                <w:kern w:val="0"/>
                <w:sz w:val="24"/>
                <w:szCs w:val="24"/>
                <w:vertAlign w:val="superscript"/>
              </w:rPr>
              <w:t>2</w:t>
            </w:r>
            <w:r>
              <w:rPr>
                <w:rFonts w:ascii="Times New Roman" w:hAnsi="Times New Roman"/>
                <w:kern w:val="0"/>
                <w:sz w:val="24"/>
                <w:szCs w:val="24"/>
              </w:rPr>
              <w:t>；</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Ψ—径流系数，取ψ=0.5；</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F—汇水面积（</w:t>
            </w:r>
            <w:r>
              <w:rPr>
                <w:rFonts w:hint="eastAsia" w:ascii="Times New Roman" w:hAnsi="Times New Roman"/>
                <w:kern w:val="0"/>
                <w:sz w:val="24"/>
                <w:szCs w:val="24"/>
              </w:rPr>
              <w:t>h</w:t>
            </w:r>
            <w:r>
              <w:rPr>
                <w:rFonts w:ascii="Times New Roman" w:hAnsi="Times New Roman"/>
                <w:kern w:val="0"/>
                <w:sz w:val="24"/>
                <w:szCs w:val="24"/>
              </w:rPr>
              <w:t>m</w:t>
            </w:r>
            <w:r>
              <w:rPr>
                <w:rFonts w:ascii="Times New Roman" w:hAnsi="Times New Roman"/>
                <w:kern w:val="0"/>
                <w:sz w:val="24"/>
                <w:szCs w:val="24"/>
                <w:vertAlign w:val="superscript"/>
              </w:rPr>
              <w:t>2</w:t>
            </w:r>
            <w:r>
              <w:rPr>
                <w:rFonts w:ascii="Times New Roman" w:hAnsi="Times New Roman"/>
                <w:kern w:val="0"/>
                <w:sz w:val="24"/>
                <w:szCs w:val="24"/>
              </w:rPr>
              <w:t>），本项目约2公顷；</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暴雨量q采用暴雨强度公式（益阳市）计算：</w:t>
            </w:r>
          </w:p>
          <w:p>
            <w:pPr>
              <w:tabs>
                <w:tab w:val="left" w:pos="1610"/>
              </w:tabs>
              <w:spacing w:line="360" w:lineRule="auto"/>
              <w:jc w:val="center"/>
              <w:rPr>
                <w:rFonts w:ascii="Times New Roman" w:hAnsi="Times New Roman"/>
                <w:b/>
                <w:kern w:val="0"/>
                <w:sz w:val="24"/>
                <w:szCs w:val="24"/>
              </w:rPr>
            </w:pPr>
            <w:r>
              <w:rPr>
                <w:rFonts w:ascii="Times New Roman" w:hAnsi="Times New Roman"/>
                <w:b/>
                <w:kern w:val="0"/>
                <w:position w:val="-24"/>
                <w:sz w:val="24"/>
                <w:szCs w:val="24"/>
              </w:rPr>
              <w:object>
                <v:shape id="_x0000_i1026" o:spt="75" type="#_x0000_t75" style="height:28.5pt;width:115.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8">
                  <o:LockedField>false</o:LockedField>
                </o:OLEObject>
              </w:objec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式中：P—重现期P=1年（年均暴雨次数以40次/年计）；</w:t>
            </w:r>
          </w:p>
          <w:p>
            <w:pPr>
              <w:spacing w:line="360" w:lineRule="auto"/>
              <w:ind w:firstLine="1200" w:firstLineChars="500"/>
              <w:rPr>
                <w:rFonts w:ascii="Times New Roman" w:hAnsi="Times New Roman"/>
                <w:kern w:val="0"/>
                <w:sz w:val="24"/>
                <w:szCs w:val="24"/>
              </w:rPr>
            </w:pPr>
            <w:r>
              <w:rPr>
                <w:rFonts w:ascii="Times New Roman" w:hAnsi="Times New Roman"/>
                <w:kern w:val="0"/>
                <w:sz w:val="24"/>
                <w:szCs w:val="24"/>
              </w:rPr>
              <w:t>t—降雨历时，取15min；</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计算得暴雨量q为188L/s·hm</w:t>
            </w:r>
            <w:r>
              <w:rPr>
                <w:rFonts w:ascii="Times New Roman" w:hAnsi="Times New Roman"/>
                <w:kern w:val="0"/>
                <w:sz w:val="24"/>
                <w:szCs w:val="24"/>
                <w:vertAlign w:val="superscript"/>
              </w:rPr>
              <w:t>2</w:t>
            </w:r>
            <w:r>
              <w:rPr>
                <w:rFonts w:ascii="Times New Roman" w:hAnsi="Times New Roman"/>
                <w:kern w:val="0"/>
                <w:sz w:val="24"/>
                <w:szCs w:val="24"/>
              </w:rPr>
              <w:t>；</w:t>
            </w:r>
          </w:p>
          <w:p>
            <w:pPr>
              <w:pStyle w:val="7"/>
              <w:spacing w:after="0"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sz w:val="24"/>
                <w:szCs w:val="24"/>
                <w:u w:val="single"/>
              </w:rPr>
              <w:t>因此：初期雨水量为188m</w:t>
            </w:r>
            <w:r>
              <w:rPr>
                <w:rFonts w:ascii="Times New Roman" w:hAnsi="Times New Roman"/>
                <w:sz w:val="24"/>
                <w:szCs w:val="24"/>
                <w:u w:val="single"/>
                <w:vertAlign w:val="superscript"/>
              </w:rPr>
              <w:t>3</w:t>
            </w:r>
            <w:r>
              <w:rPr>
                <w:rFonts w:ascii="Times New Roman" w:hAnsi="Times New Roman"/>
                <w:sz w:val="24"/>
                <w:szCs w:val="24"/>
                <w:u w:val="single"/>
              </w:rPr>
              <w:t>/次，约7520m</w:t>
            </w:r>
            <w:r>
              <w:rPr>
                <w:rFonts w:ascii="Times New Roman" w:hAnsi="Times New Roman"/>
                <w:sz w:val="24"/>
                <w:szCs w:val="24"/>
                <w:u w:val="single"/>
                <w:vertAlign w:val="superscript"/>
              </w:rPr>
              <w:t>3</w:t>
            </w:r>
            <w:r>
              <w:rPr>
                <w:rFonts w:ascii="Times New Roman" w:hAnsi="Times New Roman"/>
                <w:sz w:val="24"/>
                <w:szCs w:val="24"/>
                <w:u w:val="single"/>
              </w:rPr>
              <w:t>/年。</w:t>
            </w:r>
          </w:p>
          <w:p>
            <w:pPr>
              <w:overflowPunct w:val="0"/>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初期雨水经厂区内雨水导流设施收集排入</w:t>
            </w:r>
            <w:r>
              <w:rPr>
                <w:rFonts w:hint="eastAsia" w:ascii="Times New Roman" w:hAnsi="Times New Roman"/>
                <w:color w:val="000000" w:themeColor="text1"/>
                <w:sz w:val="24"/>
                <w:u w:val="single"/>
                <w14:textFill>
                  <w14:solidFill>
                    <w14:schemeClr w14:val="tx1"/>
                  </w14:solidFill>
                </w14:textFill>
              </w:rPr>
              <w:t>沉淀</w:t>
            </w:r>
            <w:r>
              <w:rPr>
                <w:rFonts w:ascii="Times New Roman" w:hAnsi="Times New Roman"/>
                <w:color w:val="000000" w:themeColor="text1"/>
                <w:sz w:val="24"/>
                <w:u w:val="single"/>
                <w14:textFill>
                  <w14:solidFill>
                    <w14:schemeClr w14:val="tx1"/>
                  </w14:solidFill>
                </w14:textFill>
              </w:rPr>
              <w:t>池</w:t>
            </w:r>
            <w:r>
              <w:rPr>
                <w:rFonts w:hint="eastAsia" w:ascii="Times New Roman" w:hAnsi="Times New Roman"/>
                <w:color w:val="000000" w:themeColor="text1"/>
                <w:sz w:val="24"/>
                <w:u w:val="single"/>
                <w14:textFill>
                  <w14:solidFill>
                    <w14:schemeClr w14:val="tx1"/>
                  </w14:solidFill>
                </w14:textFill>
              </w:rPr>
              <w:t>（总容积为</w:t>
            </w:r>
            <w:r>
              <w:rPr>
                <w:rFonts w:ascii="Times New Roman" w:hAnsi="Times New Roman"/>
                <w:color w:val="000000" w:themeColor="text1"/>
                <w:sz w:val="24"/>
                <w:u w:val="single"/>
                <w14:textFill>
                  <w14:solidFill>
                    <w14:schemeClr w14:val="tx1"/>
                  </w14:solidFill>
                </w14:textFill>
              </w:rPr>
              <w:t>200</w:t>
            </w:r>
            <w:r>
              <w:rPr>
                <w:rFonts w:hint="eastAsia" w:ascii="Times New Roman" w:hAnsi="Times New Roman"/>
                <w:color w:val="000000" w:themeColor="text1"/>
                <w:sz w:val="24"/>
                <w:u w:val="single"/>
                <w14:textFill>
                  <w14:solidFill>
                    <w14:schemeClr w14:val="tx1"/>
                  </w14:solidFill>
                </w14:textFill>
              </w:rPr>
              <w:t>m</w:t>
            </w:r>
            <w:r>
              <w:rPr>
                <w:rFonts w:ascii="Times New Roman" w:hAnsi="Times New Roman"/>
                <w:color w:val="000000" w:themeColor="text1"/>
                <w:sz w:val="24"/>
                <w:u w:val="single"/>
                <w:vertAlign w:val="superscript"/>
                <w14:textFill>
                  <w14:solidFill>
                    <w14:schemeClr w14:val="tx1"/>
                  </w14:solidFill>
                </w14:textFill>
              </w:rPr>
              <w:t>3</w:t>
            </w:r>
            <w:r>
              <w:rPr>
                <w:rFonts w:hint="eastAsia" w:ascii="Times New Roman" w:hAnsi="Times New Roman"/>
                <w:color w:val="000000" w:themeColor="text1"/>
                <w:sz w:val="24"/>
                <w:u w:val="single"/>
                <w14:textFill>
                  <w14:solidFill>
                    <w14:schemeClr w14:val="tx1"/>
                  </w14:solidFill>
                </w14:textFill>
              </w:rPr>
              <w:t>的池体）</w:t>
            </w:r>
            <w:r>
              <w:rPr>
                <w:rFonts w:ascii="Times New Roman" w:hAnsi="Times New Roman"/>
                <w:color w:val="000000" w:themeColor="text1"/>
                <w:sz w:val="24"/>
                <w:u w:val="single"/>
                <w14:textFill>
                  <w14:solidFill>
                    <w14:schemeClr w14:val="tx1"/>
                  </w14:solidFill>
                </w14:textFill>
              </w:rPr>
              <w:t>，经沉淀处理后</w:t>
            </w:r>
            <w:r>
              <w:rPr>
                <w:rFonts w:hint="eastAsia" w:ascii="Times New Roman" w:hAnsi="Times New Roman"/>
                <w:color w:val="000000" w:themeColor="text1"/>
                <w:sz w:val="24"/>
                <w:u w:val="single"/>
                <w14:textFill>
                  <w14:solidFill>
                    <w14:schemeClr w14:val="tx1"/>
                  </w14:solidFill>
                </w14:textFill>
              </w:rPr>
              <w:t>用于</w:t>
            </w:r>
            <w:r>
              <w:rPr>
                <w:rFonts w:hint="eastAsia" w:ascii="Times New Roman"/>
                <w:sz w:val="24"/>
                <w:u w:val="single"/>
              </w:rPr>
              <w:t>搅拌用水</w:t>
            </w:r>
            <w:r>
              <w:rPr>
                <w:rFonts w:hint="eastAsia" w:ascii="Times New Roman" w:hAnsi="Times New Roman"/>
                <w:color w:val="000000" w:themeColor="text1"/>
                <w:sz w:val="24"/>
                <w:u w:val="single"/>
                <w14:textFill>
                  <w14:solidFill>
                    <w14:schemeClr w14:val="tx1"/>
                  </w14:solidFill>
                </w14:textFill>
              </w:rPr>
              <w:t>、降尘</w:t>
            </w:r>
            <w:r>
              <w:rPr>
                <w:rFonts w:ascii="Times New Roman" w:hAnsi="Times New Roman"/>
                <w:color w:val="000000" w:themeColor="text1"/>
                <w:sz w:val="24"/>
                <w:u w:val="single"/>
                <w14:textFill>
                  <w14:solidFill>
                    <w14:schemeClr w14:val="tx1"/>
                  </w14:solidFill>
                </w14:textFill>
              </w:rPr>
              <w:t>。</w:t>
            </w:r>
          </w:p>
          <w:p>
            <w:pPr>
              <w:overflowPunct w:val="0"/>
              <w:spacing w:line="360" w:lineRule="auto"/>
              <w:ind w:firstLine="480" w:firstLineChars="200"/>
              <w:rPr>
                <w:rFonts w:ascii="Times New Roman"/>
                <w:sz w:val="24"/>
              </w:rPr>
            </w:pPr>
            <w:r>
              <w:rPr>
                <w:rFonts w:hint="eastAsia" w:ascii="Times New Roman" w:hAnsi="Times New Roman"/>
                <w:color w:val="000000" w:themeColor="text1"/>
                <w:sz w:val="24"/>
                <w14:textFill>
                  <w14:solidFill>
                    <w14:schemeClr w14:val="tx1"/>
                  </w14:solidFill>
                </w14:textFill>
              </w:rPr>
              <w:t>（2）</w:t>
            </w:r>
            <w:r>
              <w:rPr>
                <w:rFonts w:hint="eastAsia" w:ascii="Times New Roman"/>
                <w:sz w:val="24"/>
              </w:rPr>
              <w:t>搅拌机清洗废水</w:t>
            </w:r>
          </w:p>
          <w:p>
            <w:pPr>
              <w:overflowPunct w:val="0"/>
              <w:spacing w:line="360" w:lineRule="auto"/>
              <w:ind w:firstLine="480" w:firstLineChars="200"/>
              <w:rPr>
                <w:rFonts w:ascii="Times New Roman"/>
                <w:sz w:val="24"/>
                <w:u w:val="single"/>
              </w:rPr>
            </w:pPr>
            <w:r>
              <w:rPr>
                <w:rFonts w:hint="eastAsia" w:ascii="Times New Roman"/>
                <w:sz w:val="24"/>
                <w:u w:val="single"/>
              </w:rPr>
              <w:t>本项目搅拌机在停机后，须及时进行清洗。根据建设方此工艺实际生产情况，搅拌机清洗用水量为</w:t>
            </w:r>
            <w:r>
              <w:rPr>
                <w:rFonts w:ascii="Times New Roman"/>
                <w:sz w:val="24"/>
                <w:u w:val="single"/>
              </w:rPr>
              <w:t>0.1</w:t>
            </w:r>
            <w:r>
              <w:rPr>
                <w:rFonts w:hint="eastAsia" w:ascii="Times New Roman"/>
                <w:sz w:val="24"/>
                <w:u w:val="single"/>
              </w:rPr>
              <w:t>m</w:t>
            </w:r>
            <w:r>
              <w:rPr>
                <w:rFonts w:ascii="Times New Roman"/>
                <w:sz w:val="24"/>
                <w:u w:val="single"/>
                <w:vertAlign w:val="superscript"/>
              </w:rPr>
              <w:t>3</w:t>
            </w:r>
            <w:r>
              <w:rPr>
                <w:rFonts w:hint="eastAsia" w:ascii="Times New Roman"/>
                <w:sz w:val="24"/>
                <w:u w:val="single"/>
              </w:rPr>
              <w:t>/d（2</w:t>
            </w:r>
            <w:r>
              <w:rPr>
                <w:rFonts w:ascii="Times New Roman"/>
                <w:sz w:val="24"/>
                <w:u w:val="single"/>
              </w:rPr>
              <w:t>4</w:t>
            </w:r>
            <w:r>
              <w:rPr>
                <w:rFonts w:hint="eastAsia" w:ascii="Times New Roman"/>
                <w:sz w:val="24"/>
                <w:u w:val="single"/>
              </w:rPr>
              <w:t>m</w:t>
            </w:r>
            <w:r>
              <w:rPr>
                <w:rFonts w:ascii="Times New Roman"/>
                <w:sz w:val="24"/>
                <w:u w:val="single"/>
                <w:vertAlign w:val="superscript"/>
              </w:rPr>
              <w:t>3</w:t>
            </w:r>
            <w:r>
              <w:rPr>
                <w:rFonts w:hint="eastAsia" w:ascii="Times New Roman"/>
                <w:sz w:val="24"/>
                <w:u w:val="single"/>
              </w:rPr>
              <w:t>/a）。此部分废水可排入沉淀</w:t>
            </w:r>
            <w:r>
              <w:rPr>
                <w:rFonts w:ascii="Times New Roman" w:hAnsi="Times New Roman"/>
                <w:color w:val="000000" w:themeColor="text1"/>
                <w:sz w:val="24"/>
                <w:u w:val="single"/>
                <w14:textFill>
                  <w14:solidFill>
                    <w14:schemeClr w14:val="tx1"/>
                  </w14:solidFill>
                </w14:textFill>
              </w:rPr>
              <w:t>池</w:t>
            </w:r>
            <w:r>
              <w:rPr>
                <w:rFonts w:hint="eastAsia" w:ascii="Times New Roman"/>
                <w:sz w:val="24"/>
                <w:u w:val="single"/>
              </w:rPr>
              <w:t>经沉淀处理后，用于搅拌用水、降尘。</w:t>
            </w:r>
          </w:p>
          <w:p>
            <w:pPr>
              <w:overflowPunct w:val="0"/>
              <w:spacing w:line="360" w:lineRule="auto"/>
              <w:ind w:firstLine="493"/>
              <w:rPr>
                <w:rFonts w:ascii="Times New Roman"/>
                <w:sz w:val="24"/>
              </w:rPr>
            </w:pPr>
            <w:r>
              <w:rPr>
                <w:rFonts w:hint="eastAsia" w:ascii="Times New Roman"/>
                <w:sz w:val="24"/>
              </w:rPr>
              <w:t>（</w:t>
            </w:r>
            <w:r>
              <w:rPr>
                <w:rFonts w:ascii="Times New Roman"/>
                <w:sz w:val="24"/>
              </w:rPr>
              <w:t>3</w:t>
            </w:r>
            <w:r>
              <w:rPr>
                <w:rFonts w:hint="eastAsia" w:ascii="Times New Roman"/>
                <w:sz w:val="24"/>
              </w:rPr>
              <w:t>）喷淋废水</w:t>
            </w:r>
          </w:p>
          <w:p>
            <w:pPr>
              <w:overflowPunct w:val="0"/>
              <w:spacing w:line="360" w:lineRule="auto"/>
              <w:ind w:firstLine="493"/>
              <w:rPr>
                <w:rFonts w:ascii="Times New Roman"/>
                <w:sz w:val="24"/>
              </w:rPr>
            </w:pPr>
            <w:r>
              <w:rPr>
                <w:rFonts w:ascii="Times New Roman" w:hAnsi="Times New Roman"/>
                <w:color w:val="000000" w:themeColor="text1"/>
                <w:sz w:val="24"/>
                <w14:textFill>
                  <w14:solidFill>
                    <w14:schemeClr w14:val="tx1"/>
                  </w14:solidFill>
                </w14:textFill>
              </w:rPr>
              <w:t>本项目</w:t>
            </w:r>
            <w:r>
              <w:rPr>
                <w:rFonts w:hint="eastAsia" w:ascii="Times New Roman" w:hAnsi="Times New Roman"/>
                <w:color w:val="000000" w:themeColor="text1"/>
                <w:sz w:val="24"/>
                <w14:textFill>
                  <w14:solidFill>
                    <w14:schemeClr w14:val="tx1"/>
                  </w14:solidFill>
                </w14:textFill>
              </w:rPr>
              <w:t>喷淋式除尘器</w:t>
            </w:r>
            <w:r>
              <w:rPr>
                <w:rFonts w:ascii="Times New Roman" w:hAnsi="Times New Roman"/>
                <w:color w:val="000000" w:themeColor="text1"/>
                <w:sz w:val="24"/>
                <w14:textFill>
                  <w14:solidFill>
                    <w14:schemeClr w14:val="tx1"/>
                  </w14:solidFill>
                </w14:textFill>
              </w:rPr>
              <w:t>运行过程中会产生一定量的</w:t>
            </w:r>
            <w:r>
              <w:rPr>
                <w:rFonts w:hint="eastAsia" w:ascii="Times New Roman" w:hAnsi="Times New Roman"/>
                <w:color w:val="000000" w:themeColor="text1"/>
                <w:sz w:val="24"/>
                <w14:textFill>
                  <w14:solidFill>
                    <w14:schemeClr w14:val="tx1"/>
                  </w14:solidFill>
                </w14:textFill>
              </w:rPr>
              <w:t>喷淋</w:t>
            </w:r>
            <w:r>
              <w:rPr>
                <w:rFonts w:ascii="Times New Roman" w:hAnsi="Times New Roman"/>
                <w:color w:val="000000" w:themeColor="text1"/>
                <w:sz w:val="24"/>
                <w14:textFill>
                  <w14:solidFill>
                    <w14:schemeClr w14:val="tx1"/>
                  </w14:solidFill>
                </w14:textFill>
              </w:rPr>
              <w:t>废水，</w:t>
            </w:r>
            <w:r>
              <w:rPr>
                <w:rFonts w:hint="eastAsia" w:ascii="Times New Roman" w:hAnsi="Times New Roman"/>
                <w:color w:val="000000" w:themeColor="text1"/>
                <w:sz w:val="24"/>
                <w14:textFill>
                  <w14:solidFill>
                    <w14:schemeClr w14:val="tx1"/>
                  </w14:solidFill>
                </w14:textFill>
              </w:rPr>
              <w:t>喷淋</w:t>
            </w:r>
            <w:r>
              <w:rPr>
                <w:rFonts w:ascii="Times New Roman" w:hAnsi="Times New Roman"/>
                <w:color w:val="000000" w:themeColor="text1"/>
                <w:sz w:val="24"/>
                <w14:textFill>
                  <w14:solidFill>
                    <w14:schemeClr w14:val="tx1"/>
                  </w14:solidFill>
                </w14:textFill>
              </w:rPr>
              <w:t>废水在经</w:t>
            </w:r>
            <w:r>
              <w:rPr>
                <w:rFonts w:hint="eastAsia" w:ascii="Times New Roman" w:hAnsi="Times New Roman"/>
                <w:color w:val="000000" w:themeColor="text1"/>
                <w:sz w:val="24"/>
                <w14:textFill>
                  <w14:solidFill>
                    <w14:schemeClr w14:val="tx1"/>
                  </w14:solidFill>
                </w14:textFill>
              </w:rPr>
              <w:t>沉淀池</w:t>
            </w:r>
            <w:r>
              <w:rPr>
                <w:rFonts w:ascii="Times New Roman" w:hAnsi="Times New Roman"/>
                <w:color w:val="000000" w:themeColor="text1"/>
                <w:sz w:val="24"/>
                <w:szCs w:val="24"/>
                <w14:textFill>
                  <w14:solidFill>
                    <w14:schemeClr w14:val="tx1"/>
                  </w14:solidFill>
                </w14:textFill>
              </w:rPr>
              <w:t>沉淀后，可循环使用，循环水量为5m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/次</w:t>
            </w:r>
            <w:r>
              <w:rPr>
                <w:rFonts w:hint="eastAsia" w:ascii="Times New Roman" w:hAnsi="Times New Roman"/>
                <w:color w:val="000000" w:themeColor="text1"/>
                <w:sz w:val="24"/>
                <w:szCs w:val="24"/>
                <w14:textFill>
                  <w14:solidFill>
                    <w14:schemeClr w14:val="tx1"/>
                  </w14:solidFill>
                </w14:textFill>
              </w:rPr>
              <w:t>，不外排，</w:t>
            </w:r>
            <w:r>
              <w:rPr>
                <w:rFonts w:hint="eastAsia" w:ascii="Times New Roman" w:hAnsi="Times New Roman"/>
                <w:sz w:val="24"/>
                <w:szCs w:val="24"/>
              </w:rPr>
              <w:t>补充水量为</w:t>
            </w:r>
            <w:r>
              <w:rPr>
                <w:rFonts w:ascii="Times New Roman" w:hAnsi="Times New Roman"/>
                <w:sz w:val="24"/>
                <w:szCs w:val="24"/>
              </w:rPr>
              <w:t>0.5</w:t>
            </w:r>
            <w:r>
              <w:rPr>
                <w:rFonts w:hint="eastAsia"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/d（</w:t>
            </w:r>
            <w:r>
              <w:rPr>
                <w:rFonts w:ascii="Times New Roman" w:hAnsi="Times New Roman"/>
                <w:sz w:val="24"/>
                <w:szCs w:val="24"/>
              </w:rPr>
              <w:t>120</w:t>
            </w:r>
            <w:r>
              <w:rPr>
                <w:rFonts w:hint="eastAsia"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/a）</w:t>
            </w:r>
            <w:r>
              <w:rPr>
                <w:rFonts w:hint="eastAsia" w:ascii="Times New Roman" w:hAnsi="Times New Roman"/>
                <w:color w:val="000000" w:themeColor="text1"/>
                <w:sz w:val="24"/>
                <w:szCs w:val="24"/>
                <w14:textFill>
                  <w14:solidFill>
                    <w14:schemeClr w14:val="tx1"/>
                  </w14:solidFill>
                </w14:textFill>
              </w:rPr>
              <w:t>。</w:t>
            </w:r>
          </w:p>
          <w:p>
            <w:pPr>
              <w:overflowPunct w:val="0"/>
              <w:spacing w:line="360" w:lineRule="auto"/>
              <w:ind w:firstLine="480" w:firstLineChars="200"/>
              <w:rPr>
                <w:rFonts w:ascii="Times New Roman"/>
                <w:sz w:val="24"/>
              </w:rPr>
            </w:pPr>
            <w:r>
              <w:rPr>
                <w:rFonts w:hint="eastAsia" w:ascii="Times New Roman"/>
                <w:sz w:val="24"/>
              </w:rPr>
              <w:t>（</w:t>
            </w:r>
            <w:r>
              <w:rPr>
                <w:rFonts w:ascii="Times New Roman"/>
                <w:sz w:val="24"/>
              </w:rPr>
              <w:t>4</w:t>
            </w:r>
            <w:r>
              <w:rPr>
                <w:rFonts w:hint="eastAsia" w:ascii="Times New Roman"/>
                <w:sz w:val="24"/>
              </w:rPr>
              <w:t>）脱硫废水</w:t>
            </w:r>
          </w:p>
          <w:p>
            <w:pPr>
              <w:pStyle w:val="7"/>
              <w:spacing w:after="0"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本项目双碱湿法脱硫除尘系统运行过程中会产生一定量的脱硫废水，脱硫废水</w:t>
            </w:r>
            <w:r>
              <w:rPr>
                <w:rFonts w:hint="eastAsia" w:ascii="Times New Roman" w:hAnsi="Times New Roman"/>
                <w:color w:val="000000" w:themeColor="text1"/>
                <w:sz w:val="24"/>
                <w14:textFill>
                  <w14:solidFill>
                    <w14:schemeClr w14:val="tx1"/>
                  </w14:solidFill>
                </w14:textFill>
              </w:rPr>
              <w:t>再</w:t>
            </w:r>
            <w:r>
              <w:rPr>
                <w:rFonts w:ascii="Times New Roman" w:hAnsi="Times New Roman"/>
                <w:color w:val="000000" w:themeColor="text1"/>
                <w:sz w:val="24"/>
                <w14:textFill>
                  <w14:solidFill>
                    <w14:schemeClr w14:val="tx1"/>
                  </w14:solidFill>
                </w14:textFill>
              </w:rPr>
              <w:t>经石</w:t>
            </w:r>
            <w:r>
              <w:rPr>
                <w:rFonts w:ascii="Times New Roman" w:hAnsi="Times New Roman"/>
                <w:color w:val="000000" w:themeColor="text1"/>
                <w:sz w:val="24"/>
                <w:szCs w:val="24"/>
                <w14:textFill>
                  <w14:solidFill>
                    <w14:schemeClr w14:val="tx1"/>
                  </w14:solidFill>
                </w14:textFill>
              </w:rPr>
              <w:t>灰水沉淀后，可循环使用，定期补充烧碱和水，循环水量为10m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/次</w:t>
            </w:r>
            <w:r>
              <w:rPr>
                <w:rFonts w:hint="eastAsia" w:ascii="Times New Roman" w:hAnsi="Times New Roman"/>
                <w:color w:val="000000" w:themeColor="text1"/>
                <w:sz w:val="24"/>
                <w:szCs w:val="24"/>
                <w14:textFill>
                  <w14:solidFill>
                    <w14:schemeClr w14:val="tx1"/>
                  </w14:solidFill>
                </w14:textFill>
              </w:rPr>
              <w:t>，不外排，</w:t>
            </w:r>
            <w:r>
              <w:rPr>
                <w:rFonts w:hint="eastAsia" w:ascii="Times New Roman" w:hAnsi="Times New Roman"/>
                <w:sz w:val="24"/>
                <w:szCs w:val="24"/>
              </w:rPr>
              <w:t>补充水量为2m</w:t>
            </w:r>
            <w:r>
              <w:rPr>
                <w:rFonts w:ascii="Times New Roman" w:hAnsi="Times New Roman"/>
                <w:sz w:val="24"/>
                <w:szCs w:val="24"/>
                <w:vertAlign w:val="superscript"/>
              </w:rPr>
              <w:t>3</w:t>
            </w:r>
            <w:r>
              <w:rPr>
                <w:rFonts w:hint="eastAsia" w:ascii="Times New Roman" w:hAnsi="Times New Roman"/>
                <w:sz w:val="24"/>
                <w:szCs w:val="24"/>
              </w:rPr>
              <w:t>/d（4</w:t>
            </w:r>
            <w:r>
              <w:rPr>
                <w:rFonts w:ascii="Times New Roman" w:hAnsi="Times New Roman"/>
                <w:sz w:val="24"/>
                <w:szCs w:val="24"/>
              </w:rPr>
              <w:t>80</w:t>
            </w:r>
            <w:r>
              <w:rPr>
                <w:rFonts w:hint="eastAsia"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/a）</w:t>
            </w:r>
            <w:r>
              <w:rPr>
                <w:rFonts w:hint="eastAsia" w:ascii="Times New Roman" w:hAnsi="Times New Roman"/>
                <w:color w:val="000000" w:themeColor="text1"/>
                <w:sz w:val="24"/>
                <w:szCs w:val="24"/>
                <w14:textFill>
                  <w14:solidFill>
                    <w14:schemeClr w14:val="tx1"/>
                  </w14:solidFill>
                </w14:textFill>
              </w:rPr>
              <w:t>。</w:t>
            </w:r>
          </w:p>
          <w:p>
            <w:pPr>
              <w:overflowPunct w:val="0"/>
              <w:spacing w:line="360" w:lineRule="auto"/>
              <w:ind w:firstLine="493"/>
              <w:rPr>
                <w:rFonts w:ascii="Times New Roman"/>
                <w:sz w:val="24"/>
              </w:rPr>
            </w:pPr>
            <w:r>
              <w:rPr>
                <w:rFonts w:hint="eastAsia" w:ascii="Times New Roman"/>
                <w:sz w:val="24"/>
              </w:rPr>
              <w:t>（</w:t>
            </w:r>
            <w:r>
              <w:rPr>
                <w:rFonts w:ascii="Times New Roman"/>
                <w:sz w:val="24"/>
              </w:rPr>
              <w:t>5</w:t>
            </w:r>
            <w:r>
              <w:rPr>
                <w:rFonts w:hint="eastAsia" w:ascii="Times New Roman"/>
                <w:sz w:val="24"/>
              </w:rPr>
              <w:t>）降尘废水</w:t>
            </w:r>
          </w:p>
          <w:p>
            <w:pPr>
              <w:overflowPunct w:val="0"/>
              <w:spacing w:line="360" w:lineRule="auto"/>
              <w:ind w:firstLine="493"/>
              <w:rPr>
                <w:rFonts w:ascii="Times New Roman" w:hAnsi="Times New Roman"/>
                <w:color w:val="000000" w:themeColor="text1"/>
                <w:sz w:val="24"/>
                <w14:textFill>
                  <w14:solidFill>
                    <w14:schemeClr w14:val="tx1"/>
                  </w14:solidFill>
                </w14:textFill>
              </w:rPr>
            </w:pPr>
            <w:r>
              <w:rPr>
                <w:rFonts w:hint="eastAsia" w:ascii="Times New Roman" w:hAnsi="Times New Roman"/>
                <w:sz w:val="24"/>
                <w:szCs w:val="24"/>
              </w:rPr>
              <w:t>为减少粉尘排放，本项目在开采区、厂区原料堆场、产品堆场、物料装卸点、厂区空地和道路等定期采用洒水抑尘的方式进行处理</w:t>
            </w:r>
            <w:r>
              <w:rPr>
                <w:rFonts w:hint="eastAsia" w:ascii="Times New Roman"/>
                <w:sz w:val="24"/>
              </w:rPr>
              <w:t>。根据建设方提供资料，本项目洒水抑尘用水量为</w:t>
            </w:r>
            <w:r>
              <w:rPr>
                <w:rFonts w:ascii="Times New Roman"/>
                <w:sz w:val="24"/>
              </w:rPr>
              <w:t>48</w:t>
            </w:r>
            <w:r>
              <w:rPr>
                <w:rFonts w:hint="eastAsia" w:ascii="Times New Roman"/>
                <w:sz w:val="24"/>
              </w:rPr>
              <w:t>00m</w:t>
            </w:r>
            <w:r>
              <w:rPr>
                <w:rFonts w:hint="eastAsia" w:ascii="Times New Roman"/>
                <w:sz w:val="24"/>
                <w:vertAlign w:val="superscript"/>
              </w:rPr>
              <w:t>3</w:t>
            </w:r>
            <w:r>
              <w:rPr>
                <w:rFonts w:hint="eastAsia" w:ascii="Times New Roman"/>
                <w:sz w:val="24"/>
              </w:rPr>
              <w:t>/a。在</w:t>
            </w:r>
            <w:r>
              <w:rPr>
                <w:rFonts w:hint="eastAsia" w:ascii="Times New Roman" w:hAnsi="Times New Roman"/>
                <w:kern w:val="0"/>
                <w:sz w:val="24"/>
                <w:szCs w:val="24"/>
              </w:rPr>
              <w:t>控制洒水量的情况下自然蒸发，不会产生废水。</w:t>
            </w:r>
          </w:p>
          <w:p>
            <w:pPr>
              <w:overflowPunct w:val="0"/>
              <w:spacing w:line="360" w:lineRule="auto"/>
              <w:ind w:firstLine="493"/>
              <w:rPr>
                <w:rFonts w:ascii="Times New Roman"/>
                <w:sz w:val="24"/>
              </w:rPr>
            </w:pPr>
            <w:r>
              <w:rPr>
                <w:rFonts w:hint="eastAsia" w:ascii="Times New Roman"/>
                <w:sz w:val="24"/>
              </w:rPr>
              <w:t>（6）</w:t>
            </w:r>
            <w:r>
              <w:rPr>
                <w:rFonts w:ascii="Times New Roman"/>
                <w:sz w:val="24"/>
              </w:rPr>
              <w:t>生活用水</w:t>
            </w:r>
          </w:p>
          <w:p>
            <w:pPr>
              <w:overflowPunct w:val="0"/>
              <w:spacing w:line="360" w:lineRule="auto"/>
              <w:ind w:firstLine="493"/>
              <w:rPr>
                <w:rFonts w:ascii="Times New Roman"/>
                <w:sz w:val="24"/>
              </w:rPr>
            </w:pPr>
            <w:r>
              <w:rPr>
                <w:rFonts w:hint="eastAsia" w:ascii="Times New Roman"/>
                <w:sz w:val="24"/>
              </w:rPr>
              <w:t>生活用水</w:t>
            </w:r>
            <w:r>
              <w:rPr>
                <w:rFonts w:ascii="Times New Roman"/>
                <w:sz w:val="24"/>
              </w:rPr>
              <w:t>主要为</w:t>
            </w:r>
            <w:r>
              <w:rPr>
                <w:rFonts w:hint="eastAsia" w:ascii="Times New Roman"/>
                <w:sz w:val="24"/>
              </w:rPr>
              <w:t>员</w:t>
            </w:r>
            <w:r>
              <w:rPr>
                <w:rFonts w:ascii="Times New Roman"/>
                <w:sz w:val="24"/>
              </w:rPr>
              <w:t>工生活用水</w:t>
            </w:r>
            <w:r>
              <w:rPr>
                <w:rFonts w:hint="eastAsia" w:ascii="Times New Roman"/>
                <w:sz w:val="24"/>
              </w:rPr>
              <w:t>，本项目定员2</w:t>
            </w:r>
            <w:r>
              <w:rPr>
                <w:rFonts w:ascii="Times New Roman"/>
                <w:sz w:val="24"/>
              </w:rPr>
              <w:t>4</w:t>
            </w:r>
            <w:r>
              <w:rPr>
                <w:rFonts w:hint="eastAsia" w:ascii="Times New Roman"/>
                <w:sz w:val="24"/>
              </w:rPr>
              <w:t>名员工，厂内设有食堂，无住宿，则生活用水标准设为50L/（人</w:t>
            </w:r>
            <w:r>
              <w:rPr>
                <w:rFonts w:ascii="Times New Roman" w:hAnsi="Times New Roman"/>
                <w:sz w:val="24"/>
              </w:rPr>
              <w:t>·</w:t>
            </w:r>
            <w:r>
              <w:rPr>
                <w:rFonts w:hint="eastAsia" w:ascii="Times New Roman"/>
                <w:sz w:val="24"/>
              </w:rPr>
              <w:t>d），排放系数设为0.8，则</w:t>
            </w:r>
            <w:r>
              <w:rPr>
                <w:rFonts w:ascii="Times New Roman"/>
                <w:sz w:val="24"/>
              </w:rPr>
              <w:t>项目</w:t>
            </w:r>
            <w:r>
              <w:rPr>
                <w:rFonts w:hint="eastAsia" w:ascii="Times New Roman"/>
                <w:sz w:val="24"/>
              </w:rPr>
              <w:t>生活</w:t>
            </w:r>
            <w:r>
              <w:rPr>
                <w:rFonts w:ascii="Times New Roman"/>
                <w:sz w:val="24"/>
              </w:rPr>
              <w:t>用水量为1.2</w:t>
            </w:r>
            <w:r>
              <w:rPr>
                <w:rFonts w:hint="eastAsia" w:ascii="Times New Roman"/>
                <w:sz w:val="24"/>
              </w:rPr>
              <w:t>m</w:t>
            </w:r>
            <w:r>
              <w:rPr>
                <w:rFonts w:hint="eastAsia" w:ascii="Times New Roman"/>
                <w:sz w:val="24"/>
                <w:vertAlign w:val="superscript"/>
              </w:rPr>
              <w:t>3</w:t>
            </w:r>
            <w:r>
              <w:rPr>
                <w:rFonts w:hint="eastAsia" w:ascii="Times New Roman"/>
                <w:sz w:val="24"/>
              </w:rPr>
              <w:t>/d（</w:t>
            </w:r>
            <w:r>
              <w:rPr>
                <w:rFonts w:ascii="Times New Roman" w:hAnsi="Times New Roman"/>
                <w:sz w:val="24"/>
              </w:rPr>
              <w:t>288</w:t>
            </w:r>
            <w:r>
              <w:rPr>
                <w:rFonts w:hint="eastAsia" w:ascii="Times New Roman" w:hAnsi="Times New Roman"/>
                <w:sz w:val="24"/>
              </w:rPr>
              <w:t>m</w:t>
            </w:r>
            <w:r>
              <w:rPr>
                <w:rFonts w:hint="eastAsia" w:ascii="Times New Roman" w:hAnsi="Times New Roman"/>
                <w:sz w:val="24"/>
                <w:vertAlign w:val="superscript"/>
              </w:rPr>
              <w:t>3</w:t>
            </w:r>
            <w:r>
              <w:rPr>
                <w:rFonts w:ascii="Times New Roman" w:hAnsi="Times New Roman"/>
                <w:sz w:val="24"/>
              </w:rPr>
              <w:t>/a</w:t>
            </w:r>
            <w:r>
              <w:rPr>
                <w:rFonts w:hint="eastAsia" w:ascii="Times New Roman" w:hAnsi="Times New Roman"/>
                <w:sz w:val="24"/>
              </w:rPr>
              <w:t>）</w:t>
            </w:r>
            <w:r>
              <w:rPr>
                <w:rFonts w:ascii="Times New Roman"/>
                <w:sz w:val="24"/>
              </w:rPr>
              <w:t>，</w:t>
            </w:r>
            <w:r>
              <w:rPr>
                <w:rFonts w:hint="eastAsia" w:ascii="Times New Roman"/>
                <w:sz w:val="24"/>
              </w:rPr>
              <w:t>生活污水</w:t>
            </w:r>
            <w:r>
              <w:rPr>
                <w:rFonts w:ascii="Times New Roman"/>
                <w:sz w:val="24"/>
              </w:rPr>
              <w:t>排</w:t>
            </w:r>
            <w:r>
              <w:rPr>
                <w:rFonts w:hint="eastAsia" w:ascii="Times New Roman"/>
                <w:sz w:val="24"/>
              </w:rPr>
              <w:t>放</w:t>
            </w:r>
            <w:r>
              <w:rPr>
                <w:rFonts w:ascii="Times New Roman"/>
                <w:sz w:val="24"/>
              </w:rPr>
              <w:t>量为</w:t>
            </w:r>
            <w:r>
              <w:rPr>
                <w:rFonts w:hint="eastAsia" w:ascii="Times New Roman" w:hAnsi="Times New Roman"/>
                <w:color w:val="000000" w:themeColor="text1"/>
                <w:sz w:val="24"/>
                <w14:textFill>
                  <w14:solidFill>
                    <w14:schemeClr w14:val="tx1"/>
                  </w14:solidFill>
                </w14:textFill>
              </w:rPr>
              <w:t>0</w:t>
            </w:r>
            <w:r>
              <w:rPr>
                <w:rFonts w:ascii="Times New Roman" w:hAnsi="Times New Roman"/>
                <w:color w:val="000000" w:themeColor="text1"/>
                <w:sz w:val="24"/>
                <w14:textFill>
                  <w14:solidFill>
                    <w14:schemeClr w14:val="tx1"/>
                  </w14:solidFill>
                </w14:textFill>
              </w:rPr>
              <w:t>.96m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/d（230.4m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/a）</w:t>
            </w:r>
            <w:r>
              <w:rPr>
                <w:rFonts w:hint="eastAsia" w:ascii="Times New Roman" w:hAnsi="Times New Roman"/>
                <w:sz w:val="24"/>
              </w:rPr>
              <w:t>。</w:t>
            </w:r>
          </w:p>
          <w:p>
            <w:pPr>
              <w:spacing w:line="360" w:lineRule="auto"/>
              <w:ind w:firstLine="480" w:firstLineChars="200"/>
              <w:rPr>
                <w:rFonts w:ascii="Times New Roman"/>
                <w:sz w:val="24"/>
              </w:rPr>
            </w:pPr>
            <w:r>
              <w:rPr>
                <w:rFonts w:ascii="Times New Roman"/>
                <w:sz w:val="24"/>
              </w:rPr>
              <w:t>项目</w:t>
            </w:r>
            <w:r>
              <w:rPr>
                <w:rFonts w:hint="eastAsia" w:ascii="Times New Roman"/>
                <w:sz w:val="24"/>
              </w:rPr>
              <w:t>生活污水</w:t>
            </w:r>
            <w:r>
              <w:rPr>
                <w:rFonts w:ascii="Times New Roman" w:hAnsi="Times New Roman"/>
                <w:color w:val="000000" w:themeColor="text1"/>
                <w:sz w:val="24"/>
                <w14:textFill>
                  <w14:solidFill>
                    <w14:schemeClr w14:val="tx1"/>
                  </w14:solidFill>
                </w14:textFill>
              </w:rPr>
              <w:t>经化粪池处理后，用于周边</w:t>
            </w:r>
            <w:r>
              <w:rPr>
                <w:rFonts w:hint="eastAsia" w:ascii="Times New Roman" w:hAnsi="Times New Roman"/>
                <w:color w:val="000000" w:themeColor="text1"/>
                <w:sz w:val="24"/>
                <w14:textFill>
                  <w14:solidFill>
                    <w14:schemeClr w14:val="tx1"/>
                  </w14:solidFill>
                </w14:textFill>
              </w:rPr>
              <w:t>菜地</w:t>
            </w:r>
            <w:r>
              <w:rPr>
                <w:rFonts w:ascii="Times New Roman" w:hAnsi="Times New Roman"/>
                <w:color w:val="000000" w:themeColor="text1"/>
                <w:sz w:val="24"/>
                <w14:textFill>
                  <w14:solidFill>
                    <w14:schemeClr w14:val="tx1"/>
                  </w14:solidFill>
                </w14:textFill>
              </w:rPr>
              <w:t>施肥，综合消纳</w:t>
            </w:r>
            <w:r>
              <w:rPr>
                <w:rFonts w:hint="eastAsia" w:ascii="Times New Roman"/>
                <w:sz w:val="24"/>
              </w:rPr>
              <w:t>。</w:t>
            </w:r>
          </w:p>
          <w:p>
            <w:pPr>
              <w:spacing w:line="360" w:lineRule="auto"/>
              <w:ind w:firstLine="480" w:firstLineChars="200"/>
              <w:rPr>
                <w:rFonts w:ascii="Times New Roman"/>
                <w:sz w:val="24"/>
              </w:rPr>
            </w:pPr>
            <w:r>
              <w:rPr>
                <w:sz w:val="24"/>
              </w:rPr>
              <w:t>生活污水水质指标</w:t>
            </w:r>
            <w:r>
              <w:rPr>
                <w:rFonts w:ascii="Times New Roman"/>
                <w:sz w:val="24"/>
              </w:rPr>
              <w:t>约为</w:t>
            </w:r>
            <w:r>
              <w:rPr>
                <w:rFonts w:ascii="Times New Roman" w:hAnsi="Times New Roman"/>
                <w:sz w:val="24"/>
              </w:rPr>
              <w:t>COD</w:t>
            </w:r>
            <w:r>
              <w:rPr>
                <w:rFonts w:hint="eastAsia" w:ascii="Times New Roman" w:hAnsi="Times New Roman"/>
                <w:sz w:val="24"/>
              </w:rPr>
              <w:t>：300</w:t>
            </w:r>
            <w:r>
              <w:rPr>
                <w:rFonts w:ascii="Times New Roman" w:hAnsi="Times New Roman"/>
                <w:sz w:val="24"/>
              </w:rPr>
              <w:t>mg/</w:t>
            </w:r>
            <w:r>
              <w:rPr>
                <w:rFonts w:hint="eastAsia" w:ascii="Times New Roman" w:hAnsi="Times New Roman"/>
                <w:sz w:val="24"/>
              </w:rPr>
              <w:t>L</w:t>
            </w:r>
            <w:r>
              <w:rPr>
                <w:rFonts w:ascii="Times New Roman"/>
                <w:sz w:val="24"/>
              </w:rPr>
              <w:t>、</w:t>
            </w:r>
            <w:r>
              <w:rPr>
                <w:rFonts w:ascii="Times New Roman" w:hAnsi="Times New Roman"/>
                <w:sz w:val="24"/>
              </w:rPr>
              <w:t>BOD</w:t>
            </w:r>
            <w:r>
              <w:rPr>
                <w:rFonts w:ascii="Times New Roman" w:hAnsi="Times New Roman"/>
                <w:sz w:val="24"/>
                <w:vertAlign w:val="subscript"/>
              </w:rPr>
              <w:t>5</w:t>
            </w:r>
            <w:r>
              <w:rPr>
                <w:rFonts w:hint="eastAsia" w:ascii="Times New Roman" w:hAnsi="Times New Roman"/>
                <w:sz w:val="24"/>
              </w:rPr>
              <w:t>：180</w:t>
            </w:r>
            <w:r>
              <w:rPr>
                <w:rFonts w:ascii="Times New Roman" w:hAnsi="Times New Roman"/>
                <w:sz w:val="24"/>
              </w:rPr>
              <w:t>mg/</w:t>
            </w:r>
            <w:r>
              <w:rPr>
                <w:rFonts w:hint="eastAsia" w:ascii="Times New Roman" w:hAnsi="Times New Roman"/>
                <w:sz w:val="24"/>
              </w:rPr>
              <w:t>L</w:t>
            </w:r>
            <w:r>
              <w:rPr>
                <w:rFonts w:ascii="Times New Roman"/>
                <w:sz w:val="24"/>
              </w:rPr>
              <w:t>、</w:t>
            </w:r>
            <w:r>
              <w:rPr>
                <w:rFonts w:ascii="Times New Roman" w:hAnsi="Times New Roman"/>
                <w:sz w:val="24"/>
              </w:rPr>
              <w:t>SS</w:t>
            </w:r>
            <w:r>
              <w:rPr>
                <w:rFonts w:hint="eastAsia" w:ascii="Times New Roman" w:hAnsi="Times New Roman"/>
                <w:sz w:val="24"/>
              </w:rPr>
              <w:t>：180</w:t>
            </w:r>
            <w:r>
              <w:rPr>
                <w:rFonts w:ascii="Times New Roman" w:hAnsi="Times New Roman"/>
                <w:sz w:val="24"/>
              </w:rPr>
              <w:t>mg/</w:t>
            </w:r>
            <w:r>
              <w:rPr>
                <w:rFonts w:hint="eastAsia" w:ascii="Times New Roman" w:hAnsi="Times New Roman"/>
                <w:sz w:val="24"/>
              </w:rPr>
              <w:t>L</w:t>
            </w:r>
            <w:r>
              <w:rPr>
                <w:rFonts w:ascii="Times New Roman"/>
                <w:sz w:val="24"/>
              </w:rPr>
              <w:t>、</w:t>
            </w:r>
            <w:r>
              <w:rPr>
                <w:rFonts w:ascii="Times New Roman" w:hAnsi="Times New Roman"/>
                <w:sz w:val="24"/>
              </w:rPr>
              <w:t>NH</w:t>
            </w:r>
            <w:r>
              <w:rPr>
                <w:rFonts w:ascii="Times New Roman" w:hAnsi="Times New Roman"/>
                <w:sz w:val="24"/>
                <w:vertAlign w:val="subscript"/>
              </w:rPr>
              <w:t>3</w:t>
            </w:r>
            <w:r>
              <w:rPr>
                <w:rFonts w:ascii="Times New Roman" w:hAnsi="Times New Roman"/>
                <w:sz w:val="24"/>
              </w:rPr>
              <w:t>-N</w:t>
            </w:r>
            <w:r>
              <w:rPr>
                <w:rFonts w:hint="eastAsia" w:ascii="Times New Roman" w:hAnsi="Times New Roman"/>
                <w:sz w:val="24"/>
              </w:rPr>
              <w:t>：</w:t>
            </w:r>
            <w:r>
              <w:rPr>
                <w:rFonts w:ascii="Times New Roman" w:hAnsi="Times New Roman"/>
                <w:sz w:val="24"/>
              </w:rPr>
              <w:t>35</w:t>
            </w:r>
            <w:r>
              <w:rPr>
                <w:rFonts w:hint="eastAsia" w:ascii="Times New Roman" w:hAnsi="Times New Roman"/>
                <w:sz w:val="24"/>
              </w:rPr>
              <w:t xml:space="preserve"> </w:t>
            </w:r>
            <w:r>
              <w:rPr>
                <w:rFonts w:ascii="Times New Roman" w:hAnsi="Times New Roman"/>
                <w:sz w:val="24"/>
              </w:rPr>
              <w:t>mg/</w:t>
            </w:r>
            <w:r>
              <w:rPr>
                <w:rFonts w:hint="eastAsia" w:ascii="Times New Roman" w:hAnsi="Times New Roman"/>
                <w:sz w:val="24"/>
              </w:rPr>
              <w:t>L，动植物油：5</w:t>
            </w:r>
            <w:r>
              <w:rPr>
                <w:rFonts w:ascii="Times New Roman" w:hAnsi="Times New Roman"/>
                <w:sz w:val="24"/>
              </w:rPr>
              <w:t>0</w:t>
            </w:r>
            <w:r>
              <w:rPr>
                <w:rFonts w:hint="eastAsia" w:ascii="Times New Roman" w:hAnsi="Times New Roman"/>
                <w:sz w:val="24"/>
              </w:rPr>
              <w:t>mg/L</w:t>
            </w:r>
            <w:r>
              <w:rPr>
                <w:rFonts w:hint="eastAsia" w:ascii="Times New Roman"/>
                <w:sz w:val="24"/>
              </w:rPr>
              <w:t>。</w:t>
            </w:r>
          </w:p>
          <w:p>
            <w:pPr>
              <w:spacing w:line="360" w:lineRule="auto"/>
              <w:rPr>
                <w:rFonts w:ascii="Times New Roman" w:hAnsi="Times New Roman"/>
                <w:b/>
                <w:spacing w:val="8"/>
                <w:sz w:val="24"/>
              </w:rPr>
            </w:pPr>
            <w:r>
              <w:rPr>
                <w:rFonts w:ascii="Times New Roman" w:hAnsi="Times New Roman"/>
                <w:b/>
                <w:spacing w:val="8"/>
                <w:sz w:val="24"/>
              </w:rPr>
              <w:t>2.3 噪声污染源</w:t>
            </w:r>
          </w:p>
          <w:p>
            <w:pPr>
              <w:tabs>
                <w:tab w:val="left" w:pos="1440"/>
                <w:tab w:val="left" w:pos="1800"/>
              </w:tabs>
              <w:kinsoku w:val="0"/>
              <w:overflowPunct w:val="0"/>
              <w:spacing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营运</w:t>
            </w:r>
            <w:r>
              <w:rPr>
                <w:rFonts w:ascii="Times New Roman" w:hAnsi="Times New Roman"/>
                <w:sz w:val="24"/>
              </w:rPr>
              <w:t>期噪声主要来自</w:t>
            </w:r>
            <w:r>
              <w:rPr>
                <w:rFonts w:hint="eastAsia" w:ascii="Times New Roman" w:hAnsi="Times New Roman"/>
                <w:sz w:val="24"/>
              </w:rPr>
              <w:t>设备运行时的噪声</w:t>
            </w:r>
            <w:r>
              <w:rPr>
                <w:rFonts w:ascii="Times New Roman" w:hAnsi="Times New Roman"/>
                <w:sz w:val="24"/>
              </w:rPr>
              <w:t>。本项目营运期主要噪声</w:t>
            </w:r>
            <w:r>
              <w:rPr>
                <w:rFonts w:hint="eastAsia" w:ascii="Times New Roman" w:hAnsi="Times New Roman"/>
                <w:sz w:val="24"/>
              </w:rPr>
              <w:t>排放情况</w:t>
            </w:r>
            <w:r>
              <w:rPr>
                <w:rFonts w:ascii="Times New Roman" w:hAnsi="Times New Roman"/>
                <w:sz w:val="24"/>
              </w:rPr>
              <w:t>见表</w:t>
            </w:r>
            <w:r>
              <w:rPr>
                <w:rFonts w:hint="eastAsia" w:ascii="Times New Roman" w:hAnsi="Times New Roman"/>
                <w:sz w:val="24"/>
              </w:rPr>
              <w:t>4</w:t>
            </w:r>
            <w:r>
              <w:rPr>
                <w:rFonts w:ascii="Times New Roman" w:hAnsi="Times New Roman"/>
                <w:sz w:val="24"/>
              </w:rPr>
              <w:t>-7。</w:t>
            </w:r>
          </w:p>
          <w:p>
            <w:pPr>
              <w:kinsoku w:val="0"/>
              <w:overflowPunct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w:t>
            </w:r>
            <w:r>
              <w:rPr>
                <w:rFonts w:ascii="Times New Roman" w:hAnsi="Times New Roman"/>
                <w:b/>
                <w:sz w:val="24"/>
                <w:szCs w:val="24"/>
              </w:rPr>
              <w:t>-7  项目</w:t>
            </w:r>
            <w:r>
              <w:rPr>
                <w:rFonts w:hint="eastAsia" w:ascii="Times New Roman" w:hAnsi="Times New Roman"/>
                <w:b/>
                <w:sz w:val="24"/>
                <w:szCs w:val="24"/>
              </w:rPr>
              <w:t>营运</w:t>
            </w:r>
            <w:r>
              <w:rPr>
                <w:rFonts w:ascii="Times New Roman" w:hAnsi="Times New Roman"/>
                <w:b/>
                <w:sz w:val="24"/>
                <w:szCs w:val="24"/>
              </w:rPr>
              <w:t>期主要噪声</w:t>
            </w:r>
            <w:r>
              <w:rPr>
                <w:rFonts w:hint="eastAsia" w:ascii="Times New Roman" w:hAnsi="Times New Roman"/>
                <w:b/>
                <w:sz w:val="24"/>
                <w:szCs w:val="24"/>
              </w:rPr>
              <w:t>排放情况</w:t>
            </w:r>
            <w:r>
              <w:rPr>
                <w:rFonts w:ascii="Times New Roman" w:hAnsi="Times New Roman"/>
                <w:b/>
                <w:sz w:val="24"/>
                <w:szCs w:val="24"/>
              </w:rPr>
              <w:t xml:space="preserve">  单位</w:t>
            </w:r>
            <w:r>
              <w:rPr>
                <w:rFonts w:hint="eastAsia" w:ascii="Times New Roman" w:hAnsi="Times New Roman"/>
                <w:b/>
                <w:sz w:val="24"/>
                <w:szCs w:val="24"/>
              </w:rPr>
              <w:t>:</w:t>
            </w:r>
            <w:r>
              <w:rPr>
                <w:rFonts w:ascii="Times New Roman" w:hAnsi="Times New Roman"/>
                <w:b/>
                <w:sz w:val="24"/>
                <w:szCs w:val="24"/>
              </w:rPr>
              <w:t>dB(A)</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1"/>
              <w:gridCol w:w="2211"/>
              <w:gridCol w:w="1001"/>
              <w:gridCol w:w="1662"/>
              <w:gridCol w:w="1792"/>
              <w:gridCol w:w="13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b/>
                      <w:szCs w:val="21"/>
                    </w:rPr>
                  </w:pPr>
                  <w:r>
                    <w:rPr>
                      <w:rFonts w:hint="eastAsia" w:ascii="Times New Roman" w:hAnsi="Times New Roman"/>
                      <w:b/>
                      <w:szCs w:val="21"/>
                    </w:rPr>
                    <w:t>序号</w:t>
                  </w:r>
                </w:p>
              </w:tc>
              <w:tc>
                <w:tcPr>
                  <w:tcW w:w="2211" w:type="dxa"/>
                  <w:vAlign w:val="center"/>
                </w:tcPr>
                <w:p>
                  <w:pPr>
                    <w:kinsoku w:val="0"/>
                    <w:overflowPunct w:val="0"/>
                    <w:jc w:val="center"/>
                    <w:rPr>
                      <w:rFonts w:ascii="Times New Roman" w:hAnsi="Times New Roman"/>
                      <w:b/>
                      <w:szCs w:val="21"/>
                    </w:rPr>
                  </w:pPr>
                  <w:r>
                    <w:rPr>
                      <w:rFonts w:hint="eastAsia" w:ascii="Times New Roman" w:hAnsi="Times New Roman"/>
                      <w:b/>
                      <w:szCs w:val="21"/>
                    </w:rPr>
                    <w:t>设备名称</w:t>
                  </w:r>
                </w:p>
              </w:tc>
              <w:tc>
                <w:tcPr>
                  <w:tcW w:w="1001" w:type="dxa"/>
                  <w:vAlign w:val="center"/>
                </w:tcPr>
                <w:p>
                  <w:pPr>
                    <w:kinsoku w:val="0"/>
                    <w:overflowPunct w:val="0"/>
                    <w:jc w:val="center"/>
                    <w:rPr>
                      <w:rFonts w:ascii="Times New Roman" w:hAnsi="Times New Roman"/>
                      <w:b/>
                      <w:szCs w:val="21"/>
                    </w:rPr>
                  </w:pPr>
                  <w:r>
                    <w:rPr>
                      <w:rFonts w:hint="eastAsia" w:ascii="Times New Roman" w:hAnsi="Times New Roman"/>
                      <w:b/>
                      <w:szCs w:val="21"/>
                    </w:rPr>
                    <w:t>数量</w:t>
                  </w:r>
                </w:p>
              </w:tc>
              <w:tc>
                <w:tcPr>
                  <w:tcW w:w="1662" w:type="dxa"/>
                  <w:vAlign w:val="center"/>
                </w:tcPr>
                <w:p>
                  <w:pPr>
                    <w:kinsoku w:val="0"/>
                    <w:overflowPunct w:val="0"/>
                    <w:jc w:val="center"/>
                    <w:rPr>
                      <w:rFonts w:ascii="Times New Roman"/>
                      <w:b/>
                      <w:szCs w:val="21"/>
                    </w:rPr>
                  </w:pPr>
                  <w:r>
                    <w:rPr>
                      <w:rFonts w:hint="eastAsia" w:ascii="Times New Roman"/>
                      <w:b/>
                      <w:szCs w:val="21"/>
                    </w:rPr>
                    <w:t>工序及说明</w:t>
                  </w:r>
                </w:p>
              </w:tc>
              <w:tc>
                <w:tcPr>
                  <w:tcW w:w="1792" w:type="dxa"/>
                  <w:vAlign w:val="center"/>
                </w:tcPr>
                <w:p>
                  <w:pPr>
                    <w:kinsoku w:val="0"/>
                    <w:overflowPunct w:val="0"/>
                    <w:jc w:val="center"/>
                    <w:rPr>
                      <w:rFonts w:ascii="Times New Roman" w:hAnsi="Times New Roman"/>
                      <w:b/>
                      <w:szCs w:val="21"/>
                    </w:rPr>
                  </w:pPr>
                  <w:r>
                    <w:rPr>
                      <w:rFonts w:ascii="Times New Roman"/>
                      <w:b/>
                      <w:szCs w:val="21"/>
                    </w:rPr>
                    <w:t>声压等级</w:t>
                  </w:r>
                </w:p>
              </w:tc>
              <w:tc>
                <w:tcPr>
                  <w:tcW w:w="1369" w:type="dxa"/>
                  <w:vAlign w:val="center"/>
                </w:tcPr>
                <w:p>
                  <w:pPr>
                    <w:kinsoku w:val="0"/>
                    <w:overflowPunct w:val="0"/>
                    <w:jc w:val="center"/>
                    <w:rPr>
                      <w:rFonts w:ascii="Times New Roman"/>
                      <w:b/>
                      <w:szCs w:val="21"/>
                    </w:rPr>
                  </w:pPr>
                  <w:r>
                    <w:rPr>
                      <w:rFonts w:hint="eastAsia" w:ascii="Times New Roman"/>
                      <w:b/>
                      <w:szCs w:val="21"/>
                    </w:rPr>
                    <w:t>声学特点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1</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kern w:val="10"/>
                      <w:szCs w:val="21"/>
                      <w14:textFill>
                        <w14:solidFill>
                          <w14:schemeClr w14:val="tx1"/>
                        </w14:solidFill>
                      </w14:textFill>
                    </w:rPr>
                    <w:t>破碎机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5</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破碎</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85~100</w:t>
                  </w:r>
                </w:p>
              </w:tc>
              <w:tc>
                <w:tcPr>
                  <w:tcW w:w="1369" w:type="dxa"/>
                  <w:vAlign w:val="center"/>
                </w:tcPr>
                <w:p>
                  <w:pPr>
                    <w:kinsoku w:val="0"/>
                    <w:overflowPunct w:val="0"/>
                    <w:jc w:val="center"/>
                    <w:rPr>
                      <w:rFonts w:ascii="Times New Roman" w:hAnsi="Times New Roman"/>
                      <w:szCs w:val="21"/>
                    </w:rPr>
                  </w:pPr>
                  <w:r>
                    <w:rPr>
                      <w:rFonts w:hint="eastAsia" w:ascii="Times New Roman" w:hAnsi="Times New Roman"/>
                      <w:szCs w:val="21"/>
                    </w:rPr>
                    <w:t>间断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2</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kern w:val="10"/>
                      <w:szCs w:val="21"/>
                      <w14:textFill>
                        <w14:solidFill>
                          <w14:schemeClr w14:val="tx1"/>
                        </w14:solidFill>
                      </w14:textFill>
                    </w:rPr>
                    <w:t>筛分机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3</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筛分</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w:t>
                  </w:r>
                  <w:r>
                    <w:rPr>
                      <w:rFonts w:hint="eastAsia" w:ascii="Times New Roman" w:hAnsi="Times New Roman"/>
                      <w:szCs w:val="21"/>
                    </w:rPr>
                    <w:t>~</w:t>
                  </w:r>
                  <w:r>
                    <w:rPr>
                      <w:rFonts w:ascii="Times New Roman" w:hAnsi="Times New Roman"/>
                      <w:szCs w:val="21"/>
                    </w:rPr>
                    <w:t>92</w:t>
                  </w:r>
                </w:p>
              </w:tc>
              <w:tc>
                <w:tcPr>
                  <w:tcW w:w="1369" w:type="dxa"/>
                  <w:vAlign w:val="center"/>
                </w:tcPr>
                <w:p>
                  <w:pPr>
                    <w:kinsoku w:val="0"/>
                    <w:overflowPunct w:val="0"/>
                    <w:jc w:val="center"/>
                    <w:rPr>
                      <w:rFonts w:ascii="Times New Roman" w:hAnsi="Times New Roman"/>
                      <w:szCs w:val="21"/>
                    </w:rP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3</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给料机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7</w:t>
                  </w:r>
                </w:p>
              </w:tc>
              <w:tc>
                <w:tcPr>
                  <w:tcW w:w="1662" w:type="dxa"/>
                  <w:vAlign w:val="center"/>
                </w:tcPr>
                <w:p>
                  <w:pPr>
                    <w:kinsoku w:val="0"/>
                    <w:overflowPunct w:val="0"/>
                    <w:jc w:val="center"/>
                    <w:rPr>
                      <w:rFonts w:ascii="Times New Roman" w:hAnsi="Times New Roman"/>
                      <w:szCs w:val="21"/>
                    </w:rPr>
                  </w:pPr>
                  <w:r>
                    <w:rPr>
                      <w:rFonts w:hint="eastAsia" w:ascii="Times New Roman" w:hAnsi="宋体"/>
                      <w:szCs w:val="21"/>
                    </w:rPr>
                    <w:t>给料</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80~92</w:t>
                  </w:r>
                </w:p>
              </w:tc>
              <w:tc>
                <w:tcPr>
                  <w:tcW w:w="1369" w:type="dxa"/>
                  <w:vAlign w:val="center"/>
                </w:tcPr>
                <w:p>
                  <w:pPr>
                    <w:jc w:val="cente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4</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皮带输送机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37</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输送物料</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65</w:t>
                  </w:r>
                  <w:r>
                    <w:rPr>
                      <w:rFonts w:hint="eastAsia" w:ascii="Times New Roman" w:hAnsi="Times New Roman"/>
                      <w:szCs w:val="21"/>
                    </w:rPr>
                    <w:t>~</w:t>
                  </w:r>
                  <w:r>
                    <w:rPr>
                      <w:rFonts w:ascii="Times New Roman" w:hAnsi="Times New Roman"/>
                      <w:szCs w:val="21"/>
                    </w:rPr>
                    <w:t>75</w:t>
                  </w:r>
                </w:p>
              </w:tc>
              <w:tc>
                <w:tcPr>
                  <w:tcW w:w="1369" w:type="dxa"/>
                  <w:vAlign w:val="center"/>
                </w:tcPr>
                <w:p>
                  <w:pPr>
                    <w:jc w:val="cente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5</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搅拌机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2</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搅拌</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w:t>
                  </w:r>
                  <w:r>
                    <w:rPr>
                      <w:rFonts w:hint="eastAsia" w:ascii="Times New Roman" w:hAnsi="Times New Roman"/>
                      <w:szCs w:val="21"/>
                    </w:rPr>
                    <w:t>~</w:t>
                  </w:r>
                  <w:r>
                    <w:rPr>
                      <w:rFonts w:ascii="Times New Roman" w:hAnsi="Times New Roman"/>
                      <w:szCs w:val="21"/>
                    </w:rPr>
                    <w:t>90</w:t>
                  </w:r>
                </w:p>
              </w:tc>
              <w:tc>
                <w:tcPr>
                  <w:tcW w:w="1369" w:type="dxa"/>
                  <w:vAlign w:val="center"/>
                </w:tcPr>
                <w:p>
                  <w:pPr>
                    <w:jc w:val="cente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6</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挖掘机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4</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陈化挖掘</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w:t>
                  </w:r>
                  <w:r>
                    <w:rPr>
                      <w:rFonts w:hint="eastAsia" w:ascii="Times New Roman" w:hAnsi="Times New Roman"/>
                      <w:szCs w:val="21"/>
                    </w:rPr>
                    <w:t>~</w:t>
                  </w:r>
                  <w:r>
                    <w:rPr>
                      <w:rFonts w:ascii="Times New Roman" w:hAnsi="Times New Roman"/>
                      <w:szCs w:val="21"/>
                    </w:rPr>
                    <w:t>98</w:t>
                  </w:r>
                </w:p>
              </w:tc>
              <w:tc>
                <w:tcPr>
                  <w:tcW w:w="1369" w:type="dxa"/>
                  <w:vAlign w:val="center"/>
                </w:tcPr>
                <w:p>
                  <w:pPr>
                    <w:jc w:val="cente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7</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szCs w:val="21"/>
                    </w:rPr>
                    <w:t>挤出机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2</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挤出</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w:t>
                  </w:r>
                  <w:r>
                    <w:rPr>
                      <w:rFonts w:hint="eastAsia" w:ascii="Times New Roman" w:hAnsi="Times New Roman"/>
                      <w:szCs w:val="21"/>
                    </w:rPr>
                    <w:t>~</w:t>
                  </w:r>
                  <w:r>
                    <w:rPr>
                      <w:rFonts w:ascii="Times New Roman" w:hAnsi="Times New Roman"/>
                      <w:szCs w:val="21"/>
                    </w:rPr>
                    <w:t>90</w:t>
                  </w:r>
                </w:p>
              </w:tc>
              <w:tc>
                <w:tcPr>
                  <w:tcW w:w="1369" w:type="dxa"/>
                  <w:vAlign w:val="center"/>
                </w:tcPr>
                <w:p>
                  <w:pPr>
                    <w:jc w:val="center"/>
                  </w:pPr>
                  <w:r>
                    <w:rPr>
                      <w:rFonts w:hint="eastAsia" w:ascii="Times New Roman" w:hAnsi="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91" w:type="dxa"/>
                  <w:vAlign w:val="center"/>
                </w:tcPr>
                <w:p>
                  <w:pPr>
                    <w:kinsoku w:val="0"/>
                    <w:overflowPunct w:val="0"/>
                    <w:jc w:val="center"/>
                    <w:rPr>
                      <w:rFonts w:ascii="Times New Roman" w:hAnsi="Times New Roman"/>
                      <w:szCs w:val="21"/>
                    </w:rPr>
                  </w:pPr>
                  <w:r>
                    <w:rPr>
                      <w:rFonts w:hint="eastAsia" w:ascii="Times New Roman" w:hAnsi="Times New Roman"/>
                      <w:szCs w:val="21"/>
                    </w:rPr>
                    <w:t>8</w:t>
                  </w:r>
                </w:p>
              </w:tc>
              <w:tc>
                <w:tcPr>
                  <w:tcW w:w="2211" w:type="dxa"/>
                  <w:vAlign w:val="center"/>
                </w:tcPr>
                <w:p>
                  <w:pPr>
                    <w:kinsoku w:val="0"/>
                    <w:overflowPunct w:val="0"/>
                    <w:jc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对辊机</w:t>
                  </w:r>
                </w:p>
              </w:tc>
              <w:tc>
                <w:tcPr>
                  <w:tcW w:w="1001" w:type="dxa"/>
                  <w:vAlign w:val="center"/>
                </w:tcPr>
                <w:p>
                  <w:pPr>
                    <w:kinsoku w:val="0"/>
                    <w:overflowPunct w:val="0"/>
                    <w:jc w:val="center"/>
                    <w:rPr>
                      <w:rFonts w:ascii="Times New Roman" w:hAnsi="Times New Roman"/>
                      <w:szCs w:val="21"/>
                    </w:rPr>
                  </w:pPr>
                  <w:r>
                    <w:rPr>
                      <w:rFonts w:ascii="Times New Roman" w:hAnsi="宋体"/>
                      <w:szCs w:val="21"/>
                    </w:rPr>
                    <w:t>4</w:t>
                  </w:r>
                </w:p>
              </w:tc>
              <w:tc>
                <w:tcPr>
                  <w:tcW w:w="1662" w:type="dxa"/>
                  <w:vAlign w:val="center"/>
                </w:tcPr>
                <w:p>
                  <w:pPr>
                    <w:kinsoku w:val="0"/>
                    <w:overflowPunct w:val="0"/>
                    <w:jc w:val="center"/>
                    <w:rPr>
                      <w:rFonts w:ascii="Times New Roman" w:hAnsi="Times New Roman"/>
                      <w:szCs w:val="21"/>
                    </w:rPr>
                  </w:pPr>
                  <w:r>
                    <w:rPr>
                      <w:rFonts w:hint="eastAsia" w:ascii="Times New Roman" w:hAnsi="Times New Roman"/>
                      <w:szCs w:val="21"/>
                    </w:rPr>
                    <w:t>对辊</w:t>
                  </w:r>
                </w:p>
              </w:tc>
              <w:tc>
                <w:tcPr>
                  <w:tcW w:w="1792" w:type="dxa"/>
                  <w:vAlign w:val="center"/>
                </w:tcPr>
                <w:p>
                  <w:pPr>
                    <w:kinsoku w:val="0"/>
                    <w:overflowPunct w:val="0"/>
                    <w:jc w:val="center"/>
                    <w:rPr>
                      <w:rFonts w:ascii="Times New Roman" w:hAnsi="Times New Roman"/>
                      <w:szCs w:val="21"/>
                    </w:rPr>
                  </w:pPr>
                  <w:r>
                    <w:rPr>
                      <w:rFonts w:ascii="Times New Roman" w:hAnsi="Times New Roman"/>
                      <w:szCs w:val="21"/>
                    </w:rPr>
                    <w:t>80</w:t>
                  </w:r>
                  <w:r>
                    <w:rPr>
                      <w:rFonts w:hint="eastAsia" w:ascii="Times New Roman" w:hAnsi="Times New Roman"/>
                      <w:szCs w:val="21"/>
                    </w:rPr>
                    <w:t>~</w:t>
                  </w:r>
                  <w:r>
                    <w:rPr>
                      <w:rFonts w:ascii="Times New Roman" w:hAnsi="Times New Roman"/>
                      <w:szCs w:val="21"/>
                    </w:rPr>
                    <w:t>95</w:t>
                  </w:r>
                </w:p>
              </w:tc>
              <w:tc>
                <w:tcPr>
                  <w:tcW w:w="1369" w:type="dxa"/>
                  <w:vAlign w:val="center"/>
                </w:tcPr>
                <w:p>
                  <w:pPr>
                    <w:jc w:val="center"/>
                  </w:pPr>
                  <w:r>
                    <w:rPr>
                      <w:rFonts w:hint="eastAsia" w:ascii="Times New Roman" w:hAnsi="Times New Roman"/>
                      <w:szCs w:val="21"/>
                    </w:rPr>
                    <w:t>连续</w:t>
                  </w:r>
                </w:p>
              </w:tc>
            </w:tr>
          </w:tbl>
          <w:p>
            <w:pPr>
              <w:spacing w:line="360" w:lineRule="auto"/>
              <w:rPr>
                <w:rFonts w:ascii="Times New Roman" w:hAnsi="Times New Roman"/>
                <w:b/>
                <w:spacing w:val="8"/>
                <w:sz w:val="24"/>
              </w:rPr>
            </w:pPr>
            <w:r>
              <w:rPr>
                <w:rFonts w:ascii="Times New Roman" w:hAnsi="Times New Roman"/>
                <w:b/>
                <w:spacing w:val="8"/>
                <w:sz w:val="24"/>
              </w:rPr>
              <w:t>2.4 固体废弃物污染源</w:t>
            </w:r>
          </w:p>
          <w:p>
            <w:pPr>
              <w:spacing w:line="360" w:lineRule="auto"/>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rPr>
              <w:t>营运</w:t>
            </w:r>
            <w:r>
              <w:rPr>
                <w:rFonts w:ascii="Times New Roman" w:hAnsi="Times New Roman"/>
                <w:sz w:val="24"/>
                <w:szCs w:val="24"/>
              </w:rPr>
              <w:t>期固体废弃物主要为剥</w:t>
            </w:r>
            <w:r>
              <w:rPr>
                <w:rFonts w:hint="eastAsia" w:ascii="Times New Roman" w:hAnsi="Times New Roman"/>
                <w:sz w:val="24"/>
                <w:szCs w:val="24"/>
              </w:rPr>
              <w:t>土、废石</w:t>
            </w:r>
            <w:r>
              <w:rPr>
                <w:rFonts w:hint="eastAsia" w:ascii="Times New Roman" w:hAnsi="Times New Roman"/>
                <w:bCs/>
                <w:sz w:val="24"/>
                <w:szCs w:val="24"/>
              </w:rPr>
              <w:t>、沉淀池沉渣、脱硫废水沉渣</w:t>
            </w:r>
            <w:r>
              <w:rPr>
                <w:rFonts w:ascii="Times New Roman" w:hAnsi="Times New Roman"/>
                <w:sz w:val="24"/>
                <w:szCs w:val="24"/>
              </w:rPr>
              <w:t>、</w:t>
            </w:r>
            <w:r>
              <w:rPr>
                <w:rFonts w:hint="eastAsia" w:ascii="Times New Roman" w:hAnsi="Times New Roman"/>
                <w:sz w:val="24"/>
                <w:szCs w:val="24"/>
              </w:rPr>
              <w:t>不合格产品、废润滑油及</w:t>
            </w:r>
            <w:r>
              <w:rPr>
                <w:rFonts w:ascii="Times New Roman" w:hAnsi="Times New Roman"/>
                <w:sz w:val="24"/>
                <w:szCs w:val="24"/>
              </w:rPr>
              <w:t>生活垃圾等。</w:t>
            </w:r>
          </w:p>
          <w:p>
            <w:pPr>
              <w:spacing w:line="360" w:lineRule="auto"/>
              <w:ind w:firstLine="480" w:firstLineChars="200"/>
              <w:rPr>
                <w:rFonts w:ascii="Times New Roman" w:hAnsi="Times New Roman"/>
                <w:sz w:val="24"/>
                <w:szCs w:val="24"/>
              </w:rPr>
            </w:pPr>
            <w:r>
              <w:rPr>
                <w:rFonts w:ascii="Times New Roman" w:hAnsi="Times New Roman"/>
                <w:sz w:val="24"/>
                <w:szCs w:val="24"/>
              </w:rPr>
              <w:t>（1）剥土</w:t>
            </w:r>
            <w:r>
              <w:rPr>
                <w:rFonts w:hint="eastAsia" w:ascii="Times New Roman" w:hAnsi="Times New Roman"/>
                <w:sz w:val="24"/>
                <w:szCs w:val="24"/>
              </w:rPr>
              <w:t>及废石</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为开采被表土及强风化岩覆盖的石料，必须先把覆盖物剥离，由于本项目所在矿层呈平缓单斜产出，大部分直接裸露于地表，较少覆盖物。矿床顶板在区内普遍出露，根据该矿床的开采技术条件，该矿床适合采用露天开采，本项目矿山服务期内（按</w:t>
            </w:r>
            <w:r>
              <w:rPr>
                <w:rFonts w:ascii="Times New Roman" w:hAnsi="Times New Roman"/>
                <w:sz w:val="24"/>
                <w:szCs w:val="24"/>
              </w:rPr>
              <w:t>4.8</w:t>
            </w:r>
            <w:r>
              <w:rPr>
                <w:rFonts w:hint="eastAsia" w:ascii="Times New Roman" w:hAnsi="Times New Roman"/>
                <w:sz w:val="24"/>
                <w:szCs w:val="24"/>
              </w:rPr>
              <w:t>年计）平均每年总开挖量</w:t>
            </w:r>
            <w:r>
              <w:rPr>
                <w:rFonts w:ascii="Times New Roman" w:hAnsi="Times New Roman"/>
                <w:sz w:val="24"/>
                <w:szCs w:val="24"/>
              </w:rPr>
              <w:t>6.6</w:t>
            </w:r>
            <w:r>
              <w:rPr>
                <w:rFonts w:hint="eastAsia" w:ascii="Times New Roman" w:hAnsi="Times New Roman"/>
                <w:sz w:val="24"/>
                <w:szCs w:val="24"/>
              </w:rPr>
              <w:t>万吨，材料利用</w:t>
            </w:r>
            <w:r>
              <w:rPr>
                <w:rFonts w:ascii="Times New Roman" w:hAnsi="Times New Roman"/>
                <w:sz w:val="24"/>
                <w:szCs w:val="24"/>
              </w:rPr>
              <w:t>5.61</w:t>
            </w:r>
            <w:r>
              <w:rPr>
                <w:rFonts w:hint="eastAsia" w:ascii="Times New Roman" w:hAnsi="Times New Roman"/>
                <w:sz w:val="24"/>
                <w:szCs w:val="24"/>
              </w:rPr>
              <w:t>万吨，废石量</w:t>
            </w:r>
            <w:r>
              <w:rPr>
                <w:rFonts w:ascii="Times New Roman" w:hAnsi="Times New Roman"/>
                <w:sz w:val="24"/>
                <w:szCs w:val="24"/>
              </w:rPr>
              <w:t>0.99</w:t>
            </w:r>
            <w:r>
              <w:rPr>
                <w:rFonts w:hint="eastAsia" w:ascii="Times New Roman" w:hAnsi="Times New Roman"/>
                <w:sz w:val="24"/>
                <w:szCs w:val="24"/>
              </w:rPr>
              <w:t>万吨；</w:t>
            </w:r>
            <w:r>
              <w:rPr>
                <w:rFonts w:hint="eastAsia" w:ascii="Times New Roman" w:hAnsi="Times New Roman"/>
                <w:bCs/>
                <w:sz w:val="24"/>
                <w:szCs w:val="24"/>
              </w:rPr>
              <w:t>当石料通过给料机进入粗碎机之前会产生一些固体废物，主要是土块、杂物等，其数量较大，是破碎筛分工序的主要固废排放源。本项目的剥土运至</w:t>
            </w:r>
            <w:r>
              <w:rPr>
                <w:rFonts w:ascii="Times New Roman" w:hAnsi="Times New Roman"/>
                <w:bCs/>
                <w:sz w:val="24"/>
                <w:szCs w:val="24"/>
              </w:rPr>
              <w:t>排土场堆存，用作复垦土源</w:t>
            </w:r>
            <w:r>
              <w:rPr>
                <w:rFonts w:hint="eastAsia" w:ascii="Times New Roman" w:hAnsi="Times New Roman"/>
                <w:bCs/>
                <w:sz w:val="24"/>
                <w:szCs w:val="24"/>
              </w:rPr>
              <w:t>，表层剥离的杂草、树木外卖，废石作为碎石生产线原料。</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w:t>
            </w:r>
            <w:r>
              <w:rPr>
                <w:rFonts w:hint="eastAsia" w:ascii="Times New Roman" w:hAnsi="Times New Roman"/>
                <w:bCs/>
                <w:sz w:val="24"/>
                <w:szCs w:val="24"/>
              </w:rPr>
              <w:t>沉淀池沉渣</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沉淀池沉渣定期清理，回用于厂区制砖，沉渣产生量约为</w:t>
            </w:r>
            <w:r>
              <w:rPr>
                <w:rFonts w:ascii="Times New Roman" w:hAnsi="Times New Roman"/>
                <w:bCs/>
                <w:sz w:val="24"/>
                <w:szCs w:val="24"/>
              </w:rPr>
              <w:t>2000</w:t>
            </w:r>
            <w:r>
              <w:rPr>
                <w:rFonts w:hint="eastAsia" w:ascii="Times New Roman" w:hAnsi="Times New Roman"/>
                <w:bCs/>
                <w:sz w:val="24"/>
                <w:szCs w:val="24"/>
              </w:rPr>
              <w:t>t/a。</w:t>
            </w:r>
          </w:p>
          <w:p>
            <w:pPr>
              <w:spacing w:line="360" w:lineRule="auto"/>
              <w:ind w:firstLine="480" w:firstLineChars="200"/>
              <w:rPr>
                <w:rFonts w:ascii="Times New Roman" w:hAnsi="Times New Roman"/>
                <w:bCs/>
                <w:sz w:val="24"/>
                <w:szCs w:val="24"/>
                <w:u w:val="single"/>
              </w:rPr>
            </w:pPr>
            <w:r>
              <w:rPr>
                <w:rFonts w:hint="eastAsia" w:ascii="Times New Roman" w:hAnsi="Times New Roman"/>
                <w:bCs/>
                <w:sz w:val="24"/>
                <w:szCs w:val="24"/>
                <w:u w:val="single"/>
              </w:rPr>
              <w:t>（3）脱硫废水沉渣</w:t>
            </w:r>
          </w:p>
          <w:p>
            <w:pPr>
              <w:spacing w:line="360" w:lineRule="auto"/>
              <w:ind w:firstLine="480" w:firstLineChars="200"/>
              <w:rPr>
                <w:rFonts w:ascii="Times New Roman" w:hAnsi="Times New Roman"/>
                <w:bCs/>
                <w:sz w:val="24"/>
                <w:szCs w:val="24"/>
                <w:u w:val="single"/>
              </w:rPr>
            </w:pPr>
            <w:r>
              <w:rPr>
                <w:rFonts w:hint="eastAsia" w:ascii="Times New Roman" w:hAnsi="Times New Roman"/>
                <w:bCs/>
                <w:sz w:val="24"/>
                <w:szCs w:val="24"/>
                <w:u w:val="single"/>
              </w:rPr>
              <w:t>项目烟气经脱硫除尘设施处理，产生的废水经沉淀后回用，该工艺会产生沉淀污泥。脱硫工序采用“钠钙双碱法”进行脱硫，烟气中二氧化硫（相对分子质量为64）转化成硫酸钙（CaSO</w:t>
            </w:r>
            <w:r>
              <w:rPr>
                <w:rFonts w:hint="eastAsia" w:ascii="Times New Roman" w:hAnsi="Times New Roman"/>
                <w:bCs/>
                <w:sz w:val="24"/>
                <w:szCs w:val="24"/>
                <w:u w:val="single"/>
                <w:vertAlign w:val="subscript"/>
              </w:rPr>
              <w:t>4</w:t>
            </w:r>
            <w:r>
              <w:rPr>
                <w:rFonts w:ascii="Times New Roman" w:hAnsi="Times New Roman"/>
                <w:bCs/>
                <w:sz w:val="24"/>
                <w:szCs w:val="24"/>
                <w:u w:val="single"/>
              </w:rPr>
              <w:t>·</w:t>
            </w:r>
            <w:r>
              <w:rPr>
                <w:rFonts w:hint="eastAsia" w:ascii="Times New Roman" w:hAnsi="Times New Roman"/>
                <w:bCs/>
                <w:sz w:val="24"/>
                <w:szCs w:val="24"/>
                <w:u w:val="single"/>
              </w:rPr>
              <w:t>2H</w:t>
            </w:r>
            <w:r>
              <w:rPr>
                <w:rFonts w:hint="eastAsia" w:ascii="Times New Roman" w:hAnsi="Times New Roman"/>
                <w:bCs/>
                <w:sz w:val="24"/>
                <w:szCs w:val="24"/>
                <w:u w:val="single"/>
                <w:vertAlign w:val="subscript"/>
              </w:rPr>
              <w:t>2</w:t>
            </w:r>
            <w:r>
              <w:rPr>
                <w:rFonts w:hint="eastAsia" w:ascii="Times New Roman" w:hAnsi="Times New Roman"/>
                <w:bCs/>
                <w:sz w:val="24"/>
                <w:szCs w:val="24"/>
                <w:u w:val="single"/>
              </w:rPr>
              <w:t>O，相对分子质量为172）的量约310.38t/a。烟气中烟尘的去除量为53.9t/a，总计产生的脱硫除尘渣约为364.28t/a。主要成分是石膏及去除的烟尘，可作为原料外售给水泥厂。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4</w:t>
            </w:r>
            <w:r>
              <w:rPr>
                <w:rFonts w:hint="eastAsia" w:ascii="Times New Roman" w:hAnsi="Times New Roman"/>
                <w:sz w:val="24"/>
                <w:szCs w:val="24"/>
              </w:rPr>
              <w:t>）不合格产品</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不合格的砖坯和烧结砖大约为成品砖产量的</w:t>
            </w:r>
            <w:r>
              <w:rPr>
                <w:rFonts w:ascii="Times New Roman" w:hAnsi="Times New Roman"/>
                <w:sz w:val="24"/>
                <w:szCs w:val="24"/>
              </w:rPr>
              <w:t>15</w:t>
            </w:r>
            <w:r>
              <w:rPr>
                <w:rFonts w:hint="eastAsia" w:ascii="Times New Roman" w:hAnsi="Times New Roman"/>
                <w:sz w:val="24"/>
                <w:szCs w:val="24"/>
              </w:rPr>
              <w:t>%，本项目成品砖年产量为1</w:t>
            </w:r>
            <w:r>
              <w:rPr>
                <w:rFonts w:ascii="Times New Roman" w:hAnsi="Times New Roman"/>
                <w:sz w:val="24"/>
                <w:szCs w:val="24"/>
              </w:rPr>
              <w:t>8</w:t>
            </w:r>
            <w:r>
              <w:rPr>
                <w:rFonts w:hint="eastAsia" w:ascii="Times New Roman" w:hAnsi="Times New Roman"/>
                <w:sz w:val="24"/>
                <w:szCs w:val="24"/>
              </w:rPr>
              <w:t>万吨/年，则不合格砖的年产生量约为</w:t>
            </w:r>
            <w:r>
              <w:rPr>
                <w:rFonts w:ascii="Times New Roman" w:hAnsi="Times New Roman"/>
                <w:sz w:val="24"/>
                <w:szCs w:val="24"/>
              </w:rPr>
              <w:t>2.7</w:t>
            </w:r>
            <w:r>
              <w:rPr>
                <w:rFonts w:hint="eastAsia" w:ascii="Times New Roman" w:hAnsi="Times New Roman"/>
                <w:sz w:val="24"/>
                <w:szCs w:val="24"/>
              </w:rPr>
              <w:t>万吨/年，可作为碎石原料回用于生产。</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5</w:t>
            </w:r>
            <w:r>
              <w:rPr>
                <w:rFonts w:hint="eastAsia" w:ascii="Times New Roman" w:hAnsi="Times New Roman"/>
                <w:sz w:val="24"/>
                <w:szCs w:val="24"/>
              </w:rPr>
              <w:t>）生活垃圾</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本项目运营期间生活垃圾产生量按每人每天</w:t>
            </w:r>
            <w:r>
              <w:rPr>
                <w:rFonts w:ascii="Times New Roman" w:hAnsi="Times New Roman"/>
                <w:sz w:val="24"/>
                <w:szCs w:val="24"/>
              </w:rPr>
              <w:t>1kg</w:t>
            </w:r>
            <w:r>
              <w:rPr>
                <w:rFonts w:hint="eastAsia" w:ascii="Times New Roman" w:hAnsi="Times New Roman"/>
                <w:sz w:val="24"/>
                <w:szCs w:val="24"/>
              </w:rPr>
              <w:t>计，本项目定员2</w:t>
            </w:r>
            <w:r>
              <w:rPr>
                <w:rFonts w:ascii="Times New Roman" w:hAnsi="Times New Roman"/>
                <w:sz w:val="24"/>
                <w:szCs w:val="24"/>
              </w:rPr>
              <w:t>4</w:t>
            </w:r>
            <w:r>
              <w:rPr>
                <w:rFonts w:hint="eastAsia" w:ascii="Times New Roman" w:hAnsi="Times New Roman"/>
                <w:sz w:val="24"/>
                <w:szCs w:val="24"/>
              </w:rPr>
              <w:t>人，年工作日按</w:t>
            </w:r>
            <w:r>
              <w:rPr>
                <w:rFonts w:ascii="Times New Roman" w:hAnsi="Times New Roman"/>
                <w:sz w:val="24"/>
                <w:szCs w:val="24"/>
              </w:rPr>
              <w:t>240d</w:t>
            </w:r>
            <w:r>
              <w:rPr>
                <w:rFonts w:hint="eastAsia" w:ascii="Times New Roman" w:hAnsi="Times New Roman"/>
                <w:sz w:val="24"/>
                <w:szCs w:val="24"/>
              </w:rPr>
              <w:t>计算，年产生垃圾量为</w:t>
            </w:r>
            <w:r>
              <w:rPr>
                <w:rFonts w:ascii="Times New Roman" w:hAnsi="Times New Roman"/>
                <w:sz w:val="24"/>
                <w:szCs w:val="24"/>
              </w:rPr>
              <w:t>5.76t/a</w:t>
            </w:r>
            <w:r>
              <w:rPr>
                <w:rFonts w:hint="eastAsia" w:ascii="Times New Roman" w:hAnsi="Times New Roman"/>
                <w:sz w:val="24"/>
                <w:szCs w:val="24"/>
              </w:rPr>
              <w:t>，厂区收集后，统一交由环卫部门及时清运。</w:t>
            </w:r>
          </w:p>
          <w:p>
            <w:pPr>
              <w:spacing w:line="360" w:lineRule="auto"/>
              <w:ind w:firstLine="480" w:firstLineChars="200"/>
              <w:rPr>
                <w:rFonts w:ascii="Times New Roman" w:hAnsi="Times New Roman"/>
                <w:sz w:val="24"/>
                <w:szCs w:val="24"/>
              </w:rPr>
            </w:pPr>
            <w:r>
              <w:rPr>
                <w:rFonts w:ascii="Times New Roman" w:hAnsi="Times New Roman"/>
                <w:sz w:val="24"/>
                <w:szCs w:val="24"/>
              </w:rPr>
              <w:t>（6）废</w:t>
            </w:r>
            <w:r>
              <w:rPr>
                <w:rFonts w:hint="eastAsia" w:ascii="Times New Roman" w:hAnsi="Times New Roman"/>
                <w:sz w:val="24"/>
                <w:szCs w:val="24"/>
              </w:rPr>
              <w:t>润滑油</w:t>
            </w:r>
          </w:p>
          <w:p>
            <w:pPr>
              <w:spacing w:line="360" w:lineRule="auto"/>
              <w:ind w:firstLine="480" w:firstLineChars="200"/>
              <w:rPr>
                <w:rFonts w:ascii="Times New Roman" w:hAnsi="Times New Roman"/>
                <w:sz w:val="24"/>
                <w:szCs w:val="24"/>
              </w:rPr>
            </w:pPr>
            <w:r>
              <w:rPr>
                <w:rFonts w:ascii="Times New Roman" w:hAnsi="Times New Roman"/>
                <w:sz w:val="24"/>
                <w:szCs w:val="24"/>
              </w:rPr>
              <w:t>项目产生的废</w:t>
            </w:r>
            <w:r>
              <w:rPr>
                <w:rFonts w:hint="eastAsia" w:ascii="Times New Roman" w:hAnsi="Times New Roman"/>
                <w:sz w:val="24"/>
                <w:szCs w:val="24"/>
              </w:rPr>
              <w:t>机</w:t>
            </w:r>
            <w:r>
              <w:rPr>
                <w:rFonts w:ascii="Times New Roman" w:hAnsi="Times New Roman"/>
                <w:sz w:val="24"/>
                <w:szCs w:val="24"/>
              </w:rPr>
              <w:t>油来源于</w:t>
            </w:r>
            <w:r>
              <w:rPr>
                <w:rFonts w:hint="eastAsia" w:ascii="Times New Roman" w:hAnsi="Times New Roman"/>
                <w:sz w:val="24"/>
                <w:szCs w:val="24"/>
              </w:rPr>
              <w:t>机械设备</w:t>
            </w:r>
            <w:r>
              <w:rPr>
                <w:rFonts w:ascii="Times New Roman" w:hAnsi="Times New Roman"/>
                <w:sz w:val="24"/>
                <w:szCs w:val="24"/>
              </w:rPr>
              <w:t>。根据类比，项目预计产生废机油</w:t>
            </w:r>
            <w:r>
              <w:rPr>
                <w:rFonts w:hint="eastAsia" w:ascii="Times New Roman" w:hAnsi="Times New Roman"/>
                <w:sz w:val="24"/>
                <w:szCs w:val="24"/>
              </w:rPr>
              <w:t>1</w:t>
            </w:r>
            <w:r>
              <w:rPr>
                <w:rFonts w:ascii="Times New Roman" w:hAnsi="Times New Roman"/>
                <w:sz w:val="24"/>
                <w:szCs w:val="24"/>
              </w:rPr>
              <w:t>t/a。</w:t>
            </w:r>
            <w:r>
              <w:rPr>
                <w:sz w:val="24"/>
              </w:rPr>
              <w:t>危废编号</w:t>
            </w:r>
            <w:r>
              <w:rPr>
                <w:rFonts w:ascii="Times New Roman" w:hAnsi="Times New Roman"/>
                <w:sz w:val="24"/>
              </w:rPr>
              <w:t>HW08</w:t>
            </w:r>
            <w:r>
              <w:rPr>
                <w:rFonts w:hint="eastAsia" w:ascii="Times New Roman" w:hAnsi="Times New Roman"/>
                <w:sz w:val="24"/>
              </w:rPr>
              <w:t>废矿物油与含矿物油废物</w:t>
            </w:r>
            <w:r>
              <w:rPr>
                <w:rFonts w:ascii="Times New Roman"/>
                <w:sz w:val="24"/>
              </w:rPr>
              <w:t>，废物代码</w:t>
            </w:r>
            <w:r>
              <w:rPr>
                <w:rFonts w:ascii="Times New Roman" w:hAnsi="Times New Roman"/>
                <w:sz w:val="24"/>
              </w:rPr>
              <w:t>900-249-08</w:t>
            </w:r>
            <w:r>
              <w:rPr>
                <w:rFonts w:hint="eastAsia" w:ascii="Times New Roman" w:hAnsi="Times New Roman"/>
                <w:sz w:val="24"/>
              </w:rPr>
              <w:t>其它生产、销售、使用过程中产生的废矿物油及含矿物油废物</w:t>
            </w:r>
            <w:r>
              <w:rPr>
                <w:rFonts w:hint="eastAsia"/>
                <w:sz w:val="24"/>
              </w:rPr>
              <w:t>。</w:t>
            </w:r>
            <w:r>
              <w:rPr>
                <w:rFonts w:hint="eastAsia" w:ascii="Times New Roman" w:hAnsi="Times New Roman"/>
                <w:sz w:val="24"/>
                <w:szCs w:val="24"/>
              </w:rPr>
              <w:t>暂存于危险废物暂存库，</w:t>
            </w:r>
            <w:r>
              <w:rPr>
                <w:rFonts w:ascii="Times New Roman" w:hAnsi="Times New Roman"/>
                <w:sz w:val="24"/>
                <w:szCs w:val="24"/>
              </w:rPr>
              <w:t>须交由有相应危险废物资质单位处理。</w:t>
            </w:r>
          </w:p>
          <w:p>
            <w:pPr>
              <w:spacing w:line="360" w:lineRule="auto"/>
              <w:ind w:firstLine="480" w:firstLineChars="200"/>
              <w:rPr>
                <w:rFonts w:ascii="Times New Roman" w:hAnsi="Times New Roman"/>
                <w:sz w:val="24"/>
                <w:szCs w:val="24"/>
              </w:rPr>
            </w:pPr>
            <w:r>
              <w:rPr>
                <w:rFonts w:ascii="Times New Roman" w:hAnsi="Times New Roman"/>
                <w:sz w:val="24"/>
                <w:szCs w:val="24"/>
              </w:rPr>
              <w:t>项目</w:t>
            </w:r>
            <w:r>
              <w:rPr>
                <w:rFonts w:hint="eastAsia" w:ascii="Times New Roman" w:hAnsi="Times New Roman"/>
                <w:sz w:val="24"/>
                <w:szCs w:val="24"/>
              </w:rPr>
              <w:t>营运</w:t>
            </w:r>
            <w:r>
              <w:rPr>
                <w:rFonts w:ascii="Times New Roman" w:hAnsi="Times New Roman"/>
                <w:sz w:val="24"/>
                <w:szCs w:val="24"/>
              </w:rPr>
              <w:t>期固体废弃物产生情况见下表</w:t>
            </w:r>
            <w:r>
              <w:rPr>
                <w:rFonts w:hint="eastAsia" w:ascii="Times New Roman" w:hAnsi="Times New Roman"/>
                <w:sz w:val="24"/>
                <w:szCs w:val="24"/>
              </w:rPr>
              <w:t>4</w:t>
            </w:r>
            <w:r>
              <w:rPr>
                <w:rFonts w:ascii="Times New Roman" w:hAnsi="Times New Roman"/>
                <w:sz w:val="24"/>
                <w:szCs w:val="24"/>
              </w:rPr>
              <w:t>-8。</w:t>
            </w:r>
          </w:p>
          <w:p>
            <w:pPr>
              <w:spacing w:line="360" w:lineRule="auto"/>
              <w:jc w:val="center"/>
              <w:rPr>
                <w:rFonts w:ascii="Times New Roman" w:hAnsi="Times New Roman"/>
                <w:b/>
                <w:sz w:val="24"/>
                <w:szCs w:val="24"/>
              </w:rPr>
            </w:pPr>
          </w:p>
          <w:p>
            <w:pPr>
              <w:spacing w:line="360" w:lineRule="auto"/>
              <w:jc w:val="center"/>
              <w:rPr>
                <w:rFonts w:ascii="Times New Roman" w:hAnsi="Times New Roman"/>
                <w:b/>
                <w:sz w:val="24"/>
                <w:szCs w:val="24"/>
              </w:rPr>
            </w:pPr>
          </w:p>
          <w:p>
            <w:pPr>
              <w:spacing w:line="360" w:lineRule="auto"/>
              <w:jc w:val="center"/>
              <w:rPr>
                <w:rFonts w:ascii="Times New Roman" w:hAnsi="Times New Roman"/>
                <w:b/>
                <w:sz w:val="24"/>
                <w:szCs w:val="24"/>
              </w:rPr>
            </w:pPr>
          </w:p>
          <w:p>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w:t>
            </w:r>
            <w:r>
              <w:rPr>
                <w:rFonts w:ascii="Times New Roman" w:hAnsi="Times New Roman"/>
                <w:b/>
                <w:sz w:val="24"/>
                <w:szCs w:val="24"/>
              </w:rPr>
              <w:t>-8  项目固体废弃物产生情况表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
            <w:tblGrid>
              <w:gridCol w:w="776"/>
              <w:gridCol w:w="1922"/>
              <w:gridCol w:w="709"/>
              <w:gridCol w:w="1276"/>
              <w:gridCol w:w="1417"/>
              <w:gridCol w:w="1276"/>
              <w:gridCol w:w="14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序号</w:t>
                  </w:r>
                </w:p>
              </w:tc>
              <w:tc>
                <w:tcPr>
                  <w:tcW w:w="1922"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名称</w:t>
                  </w:r>
                </w:p>
              </w:tc>
              <w:tc>
                <w:tcPr>
                  <w:tcW w:w="709"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属性</w:t>
                  </w:r>
                </w:p>
              </w:tc>
              <w:tc>
                <w:tcPr>
                  <w:tcW w:w="1276"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废物类别</w:t>
                  </w:r>
                </w:p>
              </w:tc>
              <w:tc>
                <w:tcPr>
                  <w:tcW w:w="1417"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废物代码</w:t>
                  </w:r>
                </w:p>
              </w:tc>
              <w:tc>
                <w:tcPr>
                  <w:tcW w:w="1276" w:type="dxa"/>
                  <w:tcMar>
                    <w:left w:w="0" w:type="dxa"/>
                    <w:right w:w="0" w:type="dxa"/>
                  </w:tcMar>
                  <w:vAlign w:val="center"/>
                </w:tcPr>
                <w:p>
                  <w:pPr>
                    <w:kinsoku w:val="0"/>
                    <w:overflowPunct w:val="0"/>
                    <w:jc w:val="center"/>
                    <w:rPr>
                      <w:rFonts w:ascii="Times New Roman" w:hAnsi="Times New Roman"/>
                      <w:b/>
                      <w:szCs w:val="21"/>
                    </w:rPr>
                  </w:pPr>
                  <w:r>
                    <w:rPr>
                      <w:rFonts w:ascii="Times New Roman"/>
                      <w:b/>
                      <w:szCs w:val="21"/>
                    </w:rPr>
                    <w:t>产生</w:t>
                  </w:r>
                  <w:r>
                    <w:rPr>
                      <w:rFonts w:hint="eastAsia" w:ascii="Times New Roman"/>
                      <w:b/>
                      <w:szCs w:val="21"/>
                    </w:rPr>
                    <w:t>量(</w:t>
                  </w:r>
                  <w:r>
                    <w:rPr>
                      <w:rFonts w:ascii="Times New Roman" w:hAnsi="Times New Roman"/>
                      <w:b/>
                      <w:szCs w:val="21"/>
                    </w:rPr>
                    <w:t>t/a</w:t>
                  </w:r>
                  <w:r>
                    <w:rPr>
                      <w:rFonts w:hint="eastAsia" w:ascii="Times New Roman"/>
                      <w:b/>
                      <w:szCs w:val="21"/>
                    </w:rPr>
                    <w:t>)</w:t>
                  </w:r>
                </w:p>
              </w:tc>
              <w:tc>
                <w:tcPr>
                  <w:tcW w:w="1450" w:type="dxa"/>
                  <w:tcMar>
                    <w:left w:w="0" w:type="dxa"/>
                    <w:right w:w="0" w:type="dxa"/>
                  </w:tcMar>
                  <w:vAlign w:val="center"/>
                </w:tcPr>
                <w:p>
                  <w:pPr>
                    <w:kinsoku w:val="0"/>
                    <w:overflowPunct w:val="0"/>
                    <w:jc w:val="center"/>
                    <w:rPr>
                      <w:b/>
                      <w:szCs w:val="21"/>
                    </w:rPr>
                  </w:pPr>
                  <w:r>
                    <w:rPr>
                      <w:b/>
                      <w:szCs w:val="21"/>
                    </w:rPr>
                    <w:t>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ascii="Times New Roman" w:hAnsi="Times New Roman"/>
                      <w:szCs w:val="21"/>
                    </w:rPr>
                    <w:t>1</w:t>
                  </w:r>
                </w:p>
              </w:tc>
              <w:tc>
                <w:tcPr>
                  <w:tcW w:w="1922" w:type="dxa"/>
                  <w:vAlign w:val="center"/>
                </w:tcPr>
                <w:p>
                  <w:pPr>
                    <w:kinsoku w:val="0"/>
                    <w:overflowPunct w:val="0"/>
                    <w:jc w:val="center"/>
                    <w:rPr>
                      <w:rFonts w:ascii="Times New Roman" w:hAnsi="Times New Roman"/>
                      <w:szCs w:val="21"/>
                    </w:rPr>
                  </w:pPr>
                  <w:r>
                    <w:rPr>
                      <w:rFonts w:hint="eastAsia" w:ascii="Times New Roman" w:hAnsi="Times New Roman"/>
                      <w:szCs w:val="21"/>
                    </w:rPr>
                    <w:t>废润滑油</w:t>
                  </w:r>
                </w:p>
              </w:tc>
              <w:tc>
                <w:tcPr>
                  <w:tcW w:w="709" w:type="dxa"/>
                  <w:vAlign w:val="center"/>
                </w:tcPr>
                <w:p>
                  <w:pPr>
                    <w:kinsoku w:val="0"/>
                    <w:overflowPunct w:val="0"/>
                    <w:jc w:val="center"/>
                    <w:rPr>
                      <w:rFonts w:ascii="Times New Roman" w:hAnsi="Times New Roman"/>
                      <w:szCs w:val="21"/>
                    </w:rPr>
                  </w:pPr>
                  <w:r>
                    <w:rPr>
                      <w:rFonts w:hint="eastAsia" w:ascii="Times New Roman" w:hAnsi="Times New Roman"/>
                      <w:szCs w:val="21"/>
                    </w:rPr>
                    <w:t>危险废物</w:t>
                  </w:r>
                </w:p>
              </w:tc>
              <w:tc>
                <w:tcPr>
                  <w:tcW w:w="1276" w:type="dxa"/>
                  <w:vAlign w:val="center"/>
                </w:tcPr>
                <w:p>
                  <w:pPr>
                    <w:kinsoku w:val="0"/>
                    <w:overflowPunct w:val="0"/>
                    <w:jc w:val="center"/>
                    <w:rPr>
                      <w:rFonts w:ascii="Times New Roman" w:hAnsi="Times New Roman"/>
                      <w:szCs w:val="21"/>
                    </w:rPr>
                  </w:pPr>
                  <w:r>
                    <w:rPr>
                      <w:rFonts w:ascii="Times New Roman" w:hAnsi="Times New Roman"/>
                    </w:rPr>
                    <w:t>HW</w:t>
                  </w:r>
                  <w:r>
                    <w:rPr>
                      <w:rFonts w:hint="eastAsia" w:ascii="Times New Roman" w:hAnsi="Times New Roman"/>
                    </w:rPr>
                    <w:t>08</w:t>
                  </w:r>
                </w:p>
              </w:tc>
              <w:tc>
                <w:tcPr>
                  <w:tcW w:w="1417" w:type="dxa"/>
                  <w:vAlign w:val="center"/>
                </w:tcPr>
                <w:p>
                  <w:pPr>
                    <w:kinsoku w:val="0"/>
                    <w:overflowPunct w:val="0"/>
                    <w:jc w:val="center"/>
                    <w:rPr>
                      <w:rFonts w:ascii="Times New Roman" w:hAnsi="Times New Roman"/>
                      <w:szCs w:val="21"/>
                    </w:rPr>
                  </w:pPr>
                  <w:r>
                    <w:rPr>
                      <w:rFonts w:ascii="Times New Roman" w:hAnsi="Times New Roman"/>
                      <w:szCs w:val="21"/>
                    </w:rPr>
                    <w:t>900-249-08</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1</w:t>
                  </w:r>
                </w:p>
              </w:tc>
              <w:tc>
                <w:tcPr>
                  <w:tcW w:w="1450" w:type="dxa"/>
                  <w:vAlign w:val="center"/>
                </w:tcPr>
                <w:p>
                  <w:pPr>
                    <w:kinsoku w:val="0"/>
                    <w:overflowPunct w:val="0"/>
                    <w:jc w:val="center"/>
                    <w:rPr>
                      <w:szCs w:val="21"/>
                    </w:rPr>
                  </w:pPr>
                  <w:r>
                    <w:rPr>
                      <w:szCs w:val="21"/>
                    </w:rPr>
                    <w:t>交由有相应危险废物资质单位处理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ascii="Times New Roman" w:hAnsi="Times New Roman"/>
                      <w:szCs w:val="21"/>
                    </w:rPr>
                    <w:t>2</w:t>
                  </w:r>
                </w:p>
              </w:tc>
              <w:tc>
                <w:tcPr>
                  <w:tcW w:w="1922" w:type="dxa"/>
                  <w:vAlign w:val="center"/>
                </w:tcPr>
                <w:p>
                  <w:pPr>
                    <w:kinsoku w:val="0"/>
                    <w:overflowPunct w:val="0"/>
                    <w:jc w:val="center"/>
                    <w:rPr>
                      <w:rFonts w:ascii="Times New Roman" w:hAnsi="Times New Roman"/>
                      <w:szCs w:val="21"/>
                    </w:rPr>
                  </w:pPr>
                  <w:r>
                    <w:rPr>
                      <w:rFonts w:hint="eastAsia" w:ascii="Times New Roman" w:hAnsi="Times New Roman"/>
                      <w:szCs w:val="21"/>
                    </w:rPr>
                    <w:t>生活垃圾</w:t>
                  </w:r>
                </w:p>
              </w:tc>
              <w:tc>
                <w:tcPr>
                  <w:tcW w:w="709" w:type="dxa"/>
                  <w:vMerge w:val="restart"/>
                  <w:vAlign w:val="center"/>
                </w:tcPr>
                <w:p>
                  <w:pPr>
                    <w:kinsoku w:val="0"/>
                    <w:overflowPunct w:val="0"/>
                    <w:jc w:val="center"/>
                    <w:rPr>
                      <w:rFonts w:ascii="Times New Roman" w:hAnsi="Times New Roman"/>
                      <w:szCs w:val="21"/>
                    </w:rPr>
                  </w:pPr>
                  <w:r>
                    <w:rPr>
                      <w:rFonts w:ascii="Times New Roman"/>
                      <w:szCs w:val="21"/>
                    </w:rPr>
                    <w:t>一般</w:t>
                  </w:r>
                </w:p>
                <w:p>
                  <w:pPr>
                    <w:kinsoku w:val="0"/>
                    <w:overflowPunct w:val="0"/>
                    <w:jc w:val="center"/>
                    <w:rPr>
                      <w:rFonts w:ascii="Times New Roman" w:hAnsi="Times New Roman"/>
                      <w:szCs w:val="21"/>
                    </w:rPr>
                  </w:pPr>
                  <w:r>
                    <w:rPr>
                      <w:rFonts w:ascii="Times New Roman"/>
                      <w:szCs w:val="21"/>
                    </w:rPr>
                    <w:t>固废</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w:t>
                  </w:r>
                </w:p>
              </w:tc>
              <w:tc>
                <w:tcPr>
                  <w:tcW w:w="1417" w:type="dxa"/>
                  <w:vAlign w:val="center"/>
                </w:tcPr>
                <w:p>
                  <w:pPr>
                    <w:kinsoku w:val="0"/>
                    <w:overflowPunct w:val="0"/>
                    <w:jc w:val="center"/>
                    <w:rPr>
                      <w:rFonts w:ascii="Times New Roman" w:hAnsi="Times New Roman"/>
                      <w:szCs w:val="21"/>
                    </w:rPr>
                  </w:pPr>
                  <w:r>
                    <w:rPr>
                      <w:rFonts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5.76</w:t>
                  </w:r>
                </w:p>
              </w:tc>
              <w:tc>
                <w:tcPr>
                  <w:tcW w:w="1450" w:type="dxa"/>
                  <w:vAlign w:val="center"/>
                </w:tcPr>
                <w:p>
                  <w:pPr>
                    <w:kinsoku w:val="0"/>
                    <w:overflowPunct w:val="0"/>
                    <w:jc w:val="center"/>
                    <w:rPr>
                      <w:szCs w:val="21"/>
                    </w:rPr>
                  </w:pPr>
                  <w:r>
                    <w:rPr>
                      <w:rFonts w:hint="eastAsia"/>
                      <w:szCs w:val="21"/>
                    </w:rPr>
                    <w:t>委托环卫部门统一托运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hint="eastAsia" w:ascii="Times New Roman" w:hAnsi="Times New Roman"/>
                      <w:szCs w:val="21"/>
                    </w:rPr>
                    <w:t>3</w:t>
                  </w:r>
                </w:p>
              </w:tc>
              <w:tc>
                <w:tcPr>
                  <w:tcW w:w="1922" w:type="dxa"/>
                  <w:vAlign w:val="center"/>
                </w:tcPr>
                <w:p>
                  <w:pPr>
                    <w:kinsoku w:val="0"/>
                    <w:overflowPunct w:val="0"/>
                    <w:jc w:val="center"/>
                    <w:rPr>
                      <w:rFonts w:ascii="Times New Roman" w:hAnsi="Times New Roman"/>
                      <w:szCs w:val="21"/>
                    </w:rPr>
                  </w:pPr>
                  <w:r>
                    <w:rPr>
                      <w:rFonts w:ascii="Times New Roman" w:hAnsi="Times New Roman"/>
                      <w:szCs w:val="21"/>
                    </w:rPr>
                    <w:t>剥土</w:t>
                  </w:r>
                </w:p>
              </w:tc>
              <w:tc>
                <w:tcPr>
                  <w:tcW w:w="709" w:type="dxa"/>
                  <w:vMerge w:val="continue"/>
                  <w:vAlign w:val="center"/>
                </w:tcPr>
                <w:p>
                  <w:pPr>
                    <w:kinsoku w:val="0"/>
                    <w:overflowPunct w:val="0"/>
                    <w:jc w:val="center"/>
                    <w:rPr>
                      <w:rFonts w:ascii="Times New Roman" w:hAnsi="Times New Roman"/>
                      <w:szCs w:val="21"/>
                    </w:rPr>
                  </w:pP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w:t>
                  </w:r>
                </w:p>
              </w:tc>
              <w:tc>
                <w:tcPr>
                  <w:tcW w:w="1417" w:type="dxa"/>
                  <w:vAlign w:val="center"/>
                </w:tcPr>
                <w:p>
                  <w:pPr>
                    <w:widowControl/>
                    <w:kinsoku w:val="0"/>
                    <w:overflowPunct w:val="0"/>
                    <w:jc w:val="center"/>
                    <w:rPr>
                      <w:rFonts w:ascii="Times New Roman" w:hAnsi="Times New Roman"/>
                      <w:spacing w:val="-1"/>
                      <w:kern w:val="0"/>
                      <w:szCs w:val="21"/>
                    </w:rPr>
                  </w:pPr>
                  <w:r>
                    <w:rPr>
                      <w:rFonts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2000</w:t>
                  </w:r>
                </w:p>
              </w:tc>
              <w:tc>
                <w:tcPr>
                  <w:tcW w:w="1450" w:type="dxa"/>
                  <w:vAlign w:val="center"/>
                </w:tcPr>
                <w:p>
                  <w:pPr>
                    <w:kinsoku w:val="0"/>
                    <w:overflowPunct w:val="0"/>
                    <w:jc w:val="center"/>
                    <w:rPr>
                      <w:szCs w:val="21"/>
                    </w:rPr>
                  </w:pPr>
                  <w:r>
                    <w:rPr>
                      <w:rFonts w:hint="eastAsia"/>
                      <w:bCs/>
                      <w:szCs w:val="21"/>
                    </w:rPr>
                    <w:t>运至</w:t>
                  </w:r>
                  <w:r>
                    <w:rPr>
                      <w:bCs/>
                      <w:szCs w:val="21"/>
                    </w:rPr>
                    <w:t>排土场堆存，用作复垦土源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hint="eastAsia" w:ascii="Times New Roman" w:hAnsi="Times New Roman"/>
                      <w:szCs w:val="21"/>
                    </w:rPr>
                    <w:t>4</w:t>
                  </w:r>
                </w:p>
              </w:tc>
              <w:tc>
                <w:tcPr>
                  <w:tcW w:w="1922" w:type="dxa"/>
                  <w:tcMar>
                    <w:left w:w="0" w:type="dxa"/>
                    <w:right w:w="0" w:type="dxa"/>
                  </w:tcMar>
                  <w:vAlign w:val="center"/>
                </w:tcPr>
                <w:p>
                  <w:pPr>
                    <w:kinsoku w:val="0"/>
                    <w:overflowPunct w:val="0"/>
                    <w:jc w:val="center"/>
                    <w:rPr>
                      <w:rFonts w:ascii="Times New Roman" w:hAnsi="Times New Roman"/>
                      <w:szCs w:val="21"/>
                    </w:rPr>
                  </w:pPr>
                  <w:r>
                    <w:rPr>
                      <w:rFonts w:hint="eastAsia" w:ascii="Times New Roman" w:hAnsi="Times New Roman"/>
                      <w:szCs w:val="21"/>
                    </w:rPr>
                    <w:t>废石</w:t>
                  </w:r>
                </w:p>
              </w:tc>
              <w:tc>
                <w:tcPr>
                  <w:tcW w:w="709" w:type="dxa"/>
                  <w:vMerge w:val="continue"/>
                  <w:vAlign w:val="center"/>
                </w:tcPr>
                <w:p>
                  <w:pPr>
                    <w:kinsoku w:val="0"/>
                    <w:overflowPunct w:val="0"/>
                    <w:jc w:val="center"/>
                    <w:rPr>
                      <w:rFonts w:ascii="Times New Roman" w:hAnsi="Times New Roman"/>
                      <w:szCs w:val="21"/>
                    </w:rPr>
                  </w:pPr>
                </w:p>
              </w:tc>
              <w:tc>
                <w:tcPr>
                  <w:tcW w:w="1276" w:type="dxa"/>
                  <w:vAlign w:val="center"/>
                </w:tcPr>
                <w:p>
                  <w:pPr>
                    <w:kinsoku w:val="0"/>
                    <w:overflowPunct w:val="0"/>
                    <w:jc w:val="center"/>
                    <w:rPr>
                      <w:rFonts w:ascii="Times New Roman" w:hAnsi="Times New Roman"/>
                      <w:szCs w:val="21"/>
                    </w:rPr>
                  </w:pPr>
                  <w:r>
                    <w:rPr>
                      <w:rFonts w:hint="eastAsia" w:ascii="Times New Roman" w:hAnsi="Times New Roman"/>
                      <w:szCs w:val="21"/>
                    </w:rPr>
                    <w:t>/</w:t>
                  </w:r>
                </w:p>
              </w:tc>
              <w:tc>
                <w:tcPr>
                  <w:tcW w:w="1417" w:type="dxa"/>
                  <w:vAlign w:val="center"/>
                </w:tcPr>
                <w:p>
                  <w:pPr>
                    <w:widowControl/>
                    <w:kinsoku w:val="0"/>
                    <w:overflowPunct w:val="0"/>
                    <w:jc w:val="center"/>
                    <w:rPr>
                      <w:rFonts w:ascii="Times New Roman" w:hAnsi="Times New Roman"/>
                      <w:szCs w:val="21"/>
                    </w:rPr>
                  </w:pPr>
                  <w:r>
                    <w:rPr>
                      <w:rFonts w:hint="eastAsia"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9900</w:t>
                  </w:r>
                </w:p>
              </w:tc>
              <w:tc>
                <w:tcPr>
                  <w:tcW w:w="1450" w:type="dxa"/>
                  <w:vAlign w:val="center"/>
                </w:tcPr>
                <w:p>
                  <w:pPr>
                    <w:kinsoku w:val="0"/>
                    <w:overflowPunct w:val="0"/>
                    <w:jc w:val="center"/>
                    <w:rPr>
                      <w:szCs w:val="21"/>
                    </w:rPr>
                  </w:pPr>
                  <w:r>
                    <w:rPr>
                      <w:rFonts w:hint="eastAsia"/>
                      <w:szCs w:val="21"/>
                    </w:rPr>
                    <w:t>作为碎石原料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hint="eastAsia" w:ascii="Times New Roman" w:hAnsi="Times New Roman"/>
                      <w:szCs w:val="21"/>
                    </w:rPr>
                    <w:t>5</w:t>
                  </w:r>
                </w:p>
              </w:tc>
              <w:tc>
                <w:tcPr>
                  <w:tcW w:w="1922" w:type="dxa"/>
                  <w:tcMar>
                    <w:left w:w="0" w:type="dxa"/>
                    <w:right w:w="0" w:type="dxa"/>
                  </w:tcMar>
                  <w:vAlign w:val="center"/>
                </w:tcPr>
                <w:p>
                  <w:pPr>
                    <w:kinsoku w:val="0"/>
                    <w:overflowPunct w:val="0"/>
                    <w:jc w:val="center"/>
                    <w:rPr>
                      <w:rFonts w:ascii="Times New Roman" w:hAnsi="Times New Roman"/>
                      <w:szCs w:val="21"/>
                    </w:rPr>
                  </w:pPr>
                  <w:r>
                    <w:rPr>
                      <w:rFonts w:hint="eastAsia" w:ascii="Times New Roman" w:hAnsi="Times New Roman"/>
                      <w:szCs w:val="21"/>
                    </w:rPr>
                    <w:t>沉淀池沉渣</w:t>
                  </w:r>
                </w:p>
              </w:tc>
              <w:tc>
                <w:tcPr>
                  <w:tcW w:w="709" w:type="dxa"/>
                  <w:vMerge w:val="continue"/>
                  <w:vAlign w:val="center"/>
                </w:tcPr>
                <w:p>
                  <w:pPr>
                    <w:kinsoku w:val="0"/>
                    <w:overflowPunct w:val="0"/>
                    <w:jc w:val="center"/>
                    <w:rPr>
                      <w:rFonts w:ascii="Times New Roman" w:hAnsi="Times New Roman"/>
                      <w:szCs w:val="21"/>
                    </w:rPr>
                  </w:pPr>
                </w:p>
              </w:tc>
              <w:tc>
                <w:tcPr>
                  <w:tcW w:w="1276" w:type="dxa"/>
                  <w:vAlign w:val="center"/>
                </w:tcPr>
                <w:p>
                  <w:pPr>
                    <w:kinsoku w:val="0"/>
                    <w:overflowPunct w:val="0"/>
                    <w:jc w:val="center"/>
                    <w:rPr>
                      <w:rFonts w:ascii="Times New Roman" w:hAnsi="Times New Roman"/>
                      <w:szCs w:val="21"/>
                    </w:rPr>
                  </w:pPr>
                  <w:r>
                    <w:rPr>
                      <w:rFonts w:hint="eastAsia" w:ascii="Times New Roman" w:hAnsi="Times New Roman"/>
                      <w:szCs w:val="21"/>
                    </w:rPr>
                    <w:t>/</w:t>
                  </w:r>
                </w:p>
              </w:tc>
              <w:tc>
                <w:tcPr>
                  <w:tcW w:w="1417" w:type="dxa"/>
                  <w:vAlign w:val="center"/>
                </w:tcPr>
                <w:p>
                  <w:pPr>
                    <w:widowControl/>
                    <w:kinsoku w:val="0"/>
                    <w:overflowPunct w:val="0"/>
                    <w:jc w:val="center"/>
                    <w:rPr>
                      <w:rFonts w:ascii="Times New Roman" w:hAnsi="Times New Roman"/>
                      <w:szCs w:val="21"/>
                    </w:rPr>
                  </w:pPr>
                  <w:r>
                    <w:rPr>
                      <w:rFonts w:hint="eastAsia"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2000</w:t>
                  </w:r>
                </w:p>
              </w:tc>
              <w:tc>
                <w:tcPr>
                  <w:tcW w:w="1450" w:type="dxa"/>
                  <w:vAlign w:val="center"/>
                </w:tcPr>
                <w:p>
                  <w:pPr>
                    <w:kinsoku w:val="0"/>
                    <w:overflowPunct w:val="0"/>
                    <w:jc w:val="center"/>
                    <w:rPr>
                      <w:szCs w:val="21"/>
                    </w:rPr>
                  </w:pPr>
                  <w:r>
                    <w:rPr>
                      <w:rFonts w:hint="eastAsia"/>
                      <w:szCs w:val="21"/>
                    </w:rPr>
                    <w:t>回用于制砖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hint="eastAsia" w:ascii="Times New Roman" w:hAnsi="Times New Roman"/>
                      <w:szCs w:val="21"/>
                    </w:rPr>
                    <w:t>6</w:t>
                  </w:r>
                </w:p>
              </w:tc>
              <w:tc>
                <w:tcPr>
                  <w:tcW w:w="1922" w:type="dxa"/>
                  <w:tcMar>
                    <w:left w:w="0" w:type="dxa"/>
                    <w:right w:w="0" w:type="dxa"/>
                  </w:tcMar>
                  <w:vAlign w:val="center"/>
                </w:tcPr>
                <w:p>
                  <w:pPr>
                    <w:kinsoku w:val="0"/>
                    <w:overflowPunct w:val="0"/>
                    <w:jc w:val="center"/>
                    <w:rPr>
                      <w:rFonts w:ascii="Times New Roman" w:hAnsi="Times New Roman"/>
                      <w:szCs w:val="21"/>
                    </w:rPr>
                  </w:pPr>
                  <w:r>
                    <w:rPr>
                      <w:rFonts w:hint="eastAsia" w:ascii="Times New Roman" w:hAnsi="Times New Roman"/>
                      <w:szCs w:val="21"/>
                    </w:rPr>
                    <w:t>脱硫废水沉渣</w:t>
                  </w:r>
                </w:p>
              </w:tc>
              <w:tc>
                <w:tcPr>
                  <w:tcW w:w="709" w:type="dxa"/>
                  <w:vMerge w:val="continue"/>
                  <w:vAlign w:val="center"/>
                </w:tcPr>
                <w:p>
                  <w:pPr>
                    <w:kinsoku w:val="0"/>
                    <w:overflowPunct w:val="0"/>
                    <w:jc w:val="center"/>
                    <w:rPr>
                      <w:rFonts w:ascii="Times New Roman" w:hAnsi="Times New Roman"/>
                      <w:szCs w:val="21"/>
                    </w:rPr>
                  </w:pPr>
                </w:p>
              </w:tc>
              <w:tc>
                <w:tcPr>
                  <w:tcW w:w="1276" w:type="dxa"/>
                  <w:vAlign w:val="center"/>
                </w:tcPr>
                <w:p>
                  <w:pPr>
                    <w:kinsoku w:val="0"/>
                    <w:overflowPunct w:val="0"/>
                    <w:jc w:val="center"/>
                    <w:rPr>
                      <w:rFonts w:ascii="Times New Roman" w:hAnsi="Times New Roman"/>
                      <w:szCs w:val="21"/>
                    </w:rPr>
                  </w:pPr>
                  <w:r>
                    <w:rPr>
                      <w:rFonts w:hint="eastAsia" w:ascii="Times New Roman" w:hAnsi="Times New Roman"/>
                      <w:szCs w:val="21"/>
                    </w:rPr>
                    <w:t>/</w:t>
                  </w:r>
                </w:p>
              </w:tc>
              <w:tc>
                <w:tcPr>
                  <w:tcW w:w="1417" w:type="dxa"/>
                  <w:vAlign w:val="center"/>
                </w:tcPr>
                <w:p>
                  <w:pPr>
                    <w:widowControl/>
                    <w:kinsoku w:val="0"/>
                    <w:overflowPunct w:val="0"/>
                    <w:jc w:val="center"/>
                    <w:rPr>
                      <w:rFonts w:ascii="Times New Roman" w:hAnsi="Times New Roman"/>
                      <w:szCs w:val="21"/>
                    </w:rPr>
                  </w:pPr>
                  <w:r>
                    <w:rPr>
                      <w:rFonts w:hint="eastAsia"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364.28</w:t>
                  </w:r>
                </w:p>
              </w:tc>
              <w:tc>
                <w:tcPr>
                  <w:tcW w:w="1450" w:type="dxa"/>
                  <w:vAlign w:val="center"/>
                </w:tcPr>
                <w:p>
                  <w:pPr>
                    <w:kinsoku w:val="0"/>
                    <w:overflowPunct w:val="0"/>
                    <w:jc w:val="center"/>
                    <w:rPr>
                      <w:szCs w:val="21"/>
                    </w:rPr>
                  </w:pPr>
                  <w:r>
                    <w:rPr>
                      <w:rFonts w:hint="eastAsia"/>
                      <w:bCs/>
                      <w:szCs w:val="21"/>
                    </w:rPr>
                    <w:t>作为原料外售给水泥厂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76" w:type="dxa"/>
                  <w:vAlign w:val="center"/>
                </w:tcPr>
                <w:p>
                  <w:pPr>
                    <w:kinsoku w:val="0"/>
                    <w:overflowPunct w:val="0"/>
                    <w:jc w:val="center"/>
                    <w:rPr>
                      <w:rFonts w:ascii="Times New Roman" w:hAnsi="Times New Roman"/>
                      <w:szCs w:val="21"/>
                    </w:rPr>
                  </w:pPr>
                  <w:r>
                    <w:rPr>
                      <w:rFonts w:hint="eastAsia" w:ascii="Times New Roman" w:hAnsi="Times New Roman"/>
                      <w:szCs w:val="21"/>
                    </w:rPr>
                    <w:t>7</w:t>
                  </w:r>
                </w:p>
              </w:tc>
              <w:tc>
                <w:tcPr>
                  <w:tcW w:w="1922" w:type="dxa"/>
                  <w:tcMar>
                    <w:left w:w="0" w:type="dxa"/>
                    <w:right w:w="0" w:type="dxa"/>
                  </w:tcMar>
                  <w:vAlign w:val="center"/>
                </w:tcPr>
                <w:p>
                  <w:pPr>
                    <w:kinsoku w:val="0"/>
                    <w:overflowPunct w:val="0"/>
                    <w:jc w:val="center"/>
                    <w:rPr>
                      <w:rFonts w:ascii="Times New Roman" w:hAnsi="Times New Roman"/>
                      <w:szCs w:val="21"/>
                    </w:rPr>
                  </w:pPr>
                  <w:r>
                    <w:rPr>
                      <w:rFonts w:hint="eastAsia" w:ascii="Times New Roman" w:hAnsi="Times New Roman"/>
                      <w:szCs w:val="21"/>
                    </w:rPr>
                    <w:t>不合格产品</w:t>
                  </w:r>
                </w:p>
              </w:tc>
              <w:tc>
                <w:tcPr>
                  <w:tcW w:w="709" w:type="dxa"/>
                  <w:vMerge w:val="continue"/>
                  <w:vAlign w:val="center"/>
                </w:tcPr>
                <w:p>
                  <w:pPr>
                    <w:kinsoku w:val="0"/>
                    <w:overflowPunct w:val="0"/>
                    <w:jc w:val="center"/>
                    <w:rPr>
                      <w:rFonts w:ascii="Times New Roman" w:hAnsi="Times New Roman"/>
                      <w:szCs w:val="21"/>
                    </w:rPr>
                  </w:pPr>
                </w:p>
              </w:tc>
              <w:tc>
                <w:tcPr>
                  <w:tcW w:w="1276" w:type="dxa"/>
                  <w:vAlign w:val="center"/>
                </w:tcPr>
                <w:p>
                  <w:pPr>
                    <w:kinsoku w:val="0"/>
                    <w:overflowPunct w:val="0"/>
                    <w:jc w:val="center"/>
                    <w:rPr>
                      <w:rFonts w:ascii="Times New Roman" w:hAnsi="Times New Roman"/>
                      <w:szCs w:val="21"/>
                    </w:rPr>
                  </w:pPr>
                  <w:r>
                    <w:rPr>
                      <w:rFonts w:hint="eastAsia" w:ascii="Times New Roman" w:hAnsi="Times New Roman"/>
                      <w:szCs w:val="21"/>
                    </w:rPr>
                    <w:t>/</w:t>
                  </w:r>
                </w:p>
              </w:tc>
              <w:tc>
                <w:tcPr>
                  <w:tcW w:w="1417" w:type="dxa"/>
                  <w:vAlign w:val="center"/>
                </w:tcPr>
                <w:p>
                  <w:pPr>
                    <w:widowControl/>
                    <w:kinsoku w:val="0"/>
                    <w:overflowPunct w:val="0"/>
                    <w:jc w:val="center"/>
                    <w:rPr>
                      <w:rFonts w:ascii="Times New Roman" w:hAnsi="Times New Roman"/>
                      <w:szCs w:val="21"/>
                    </w:rPr>
                  </w:pPr>
                  <w:r>
                    <w:rPr>
                      <w:rFonts w:hint="eastAsia" w:ascii="Times New Roman" w:hAnsi="Times New Roman"/>
                      <w:szCs w:val="21"/>
                    </w:rPr>
                    <w:t>/</w:t>
                  </w:r>
                </w:p>
              </w:tc>
              <w:tc>
                <w:tcPr>
                  <w:tcW w:w="1276" w:type="dxa"/>
                  <w:vAlign w:val="center"/>
                </w:tcPr>
                <w:p>
                  <w:pPr>
                    <w:kinsoku w:val="0"/>
                    <w:overflowPunct w:val="0"/>
                    <w:jc w:val="center"/>
                    <w:rPr>
                      <w:rFonts w:ascii="Times New Roman" w:hAnsi="Times New Roman"/>
                      <w:szCs w:val="21"/>
                    </w:rPr>
                  </w:pPr>
                  <w:r>
                    <w:rPr>
                      <w:rFonts w:ascii="Times New Roman" w:hAnsi="Times New Roman"/>
                      <w:szCs w:val="21"/>
                    </w:rPr>
                    <w:t>22000</w:t>
                  </w:r>
                </w:p>
              </w:tc>
              <w:tc>
                <w:tcPr>
                  <w:tcW w:w="1450" w:type="dxa"/>
                  <w:vAlign w:val="center"/>
                </w:tcPr>
                <w:p>
                  <w:pPr>
                    <w:kinsoku w:val="0"/>
                    <w:overflowPunct w:val="0"/>
                    <w:jc w:val="center"/>
                    <w:rPr>
                      <w:bCs/>
                      <w:szCs w:val="21"/>
                    </w:rPr>
                  </w:pPr>
                  <w:r>
                    <w:rPr>
                      <w:rFonts w:hint="eastAsia"/>
                      <w:szCs w:val="21"/>
                    </w:rPr>
                    <w:t>作为碎石原料</w:t>
                  </w:r>
                </w:p>
              </w:tc>
            </w:tr>
          </w:tbl>
          <w:p>
            <w:pPr>
              <w:spacing w:line="360" w:lineRule="auto"/>
              <w:jc w:val="left"/>
              <w:textAlignment w:val="baseline"/>
              <w:rPr>
                <w:rFonts w:ascii="Times New Roman" w:hAnsi="宋体"/>
                <w:b/>
                <w:spacing w:val="8"/>
                <w:sz w:val="28"/>
                <w:szCs w:val="28"/>
              </w:rPr>
            </w:pPr>
            <w:r>
              <w:rPr>
                <w:rFonts w:hint="eastAsia" w:ascii="Times New Roman" w:hAnsi="宋体"/>
                <w:b/>
                <w:spacing w:val="8"/>
                <w:sz w:val="28"/>
                <w:szCs w:val="28"/>
              </w:rPr>
              <w:t>（三）</w:t>
            </w:r>
            <w:r>
              <w:rPr>
                <w:rFonts w:hint="eastAsia" w:ascii="Times New Roman" w:hAnsi="Times New Roman"/>
                <w:b/>
                <w:spacing w:val="8"/>
                <w:sz w:val="28"/>
                <w:szCs w:val="28"/>
              </w:rPr>
              <w:t>“三本账”</w:t>
            </w:r>
            <w:r>
              <w:rPr>
                <w:rFonts w:hint="eastAsia" w:ascii="Times New Roman" w:hAnsi="宋体"/>
                <w:b/>
                <w:spacing w:val="8"/>
                <w:sz w:val="28"/>
                <w:szCs w:val="28"/>
              </w:rPr>
              <w:t>分析</w:t>
            </w:r>
          </w:p>
          <w:p>
            <w:pPr>
              <w:tabs>
                <w:tab w:val="left" w:pos="1632"/>
              </w:tabs>
              <w:kinsoku w:val="0"/>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根据项目实际情况，项目改扩建完成后废气、废水排放量三本账分析见表</w:t>
            </w:r>
            <w:r>
              <w:rPr>
                <w:rFonts w:ascii="Times New Roman" w:hAnsi="Times New Roman"/>
                <w:sz w:val="24"/>
                <w:szCs w:val="24"/>
              </w:rPr>
              <w:t>4-9</w:t>
            </w:r>
            <w:r>
              <w:rPr>
                <w:rFonts w:hint="eastAsia" w:ascii="Times New Roman" w:hAnsi="Times New Roman"/>
                <w:sz w:val="24"/>
                <w:szCs w:val="24"/>
              </w:rPr>
              <w:t>。</w:t>
            </w:r>
          </w:p>
          <w:p>
            <w:pPr>
              <w:spacing w:line="360" w:lineRule="auto"/>
              <w:jc w:val="center"/>
              <w:rPr>
                <w:rFonts w:ascii="Times New Roman" w:hAnsi="Times New Roman"/>
                <w:b/>
                <w:sz w:val="24"/>
                <w:szCs w:val="24"/>
                <w:u w:val="single"/>
              </w:rPr>
            </w:pPr>
            <w:r>
              <w:rPr>
                <w:rFonts w:ascii="Times New Roman" w:hAnsi="Times New Roman"/>
                <w:b/>
                <w:sz w:val="24"/>
                <w:szCs w:val="24"/>
                <w:u w:val="single"/>
              </w:rPr>
              <w:t>表</w:t>
            </w:r>
            <w:r>
              <w:rPr>
                <w:rFonts w:hint="eastAsia" w:ascii="Times New Roman" w:hAnsi="Times New Roman"/>
                <w:b/>
                <w:sz w:val="24"/>
                <w:szCs w:val="24"/>
                <w:u w:val="single"/>
              </w:rPr>
              <w:t>4</w:t>
            </w:r>
            <w:r>
              <w:rPr>
                <w:rFonts w:ascii="Times New Roman" w:hAnsi="Times New Roman"/>
                <w:b/>
                <w:sz w:val="24"/>
                <w:szCs w:val="24"/>
                <w:u w:val="single"/>
              </w:rPr>
              <w:t xml:space="preserve">-9  </w:t>
            </w:r>
            <w:r>
              <w:rPr>
                <w:rFonts w:hint="eastAsia" w:ascii="Times New Roman" w:hAnsi="宋体"/>
                <w:b/>
                <w:sz w:val="24"/>
                <w:szCs w:val="24"/>
                <w:u w:val="single"/>
              </w:rPr>
              <w:t>项目三本账分析一览表</w:t>
            </w:r>
            <w:r>
              <w:rPr>
                <w:rFonts w:ascii="Times New Roman" w:hAnsi="宋体"/>
                <w:b/>
                <w:sz w:val="24"/>
                <w:szCs w:val="24"/>
                <w:u w:val="single"/>
              </w:rPr>
              <w:t xml:space="preserve">  </w:t>
            </w:r>
            <w:r>
              <w:rPr>
                <w:rFonts w:hint="eastAsia" w:ascii="Times New Roman" w:hAnsi="宋体"/>
                <w:b/>
                <w:sz w:val="24"/>
                <w:szCs w:val="24"/>
                <w:u w:val="single"/>
              </w:rPr>
              <w:t>单位</w:t>
            </w:r>
            <w:r>
              <w:rPr>
                <w:rFonts w:ascii="Times New Roman" w:hAnsi="宋体"/>
                <w:b/>
                <w:sz w:val="24"/>
                <w:szCs w:val="24"/>
                <w:u w:val="single"/>
              </w:rPr>
              <w:t>:t/a</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809"/>
              <w:gridCol w:w="1466"/>
              <w:gridCol w:w="1286"/>
              <w:gridCol w:w="1139"/>
              <w:gridCol w:w="1281"/>
              <w:gridCol w:w="1539"/>
              <w:gridCol w:w="130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类型</w:t>
                  </w:r>
                </w:p>
              </w:tc>
              <w:tc>
                <w:tcPr>
                  <w:tcW w:w="1466"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污染物</w:t>
                  </w:r>
                </w:p>
              </w:tc>
              <w:tc>
                <w:tcPr>
                  <w:tcW w:w="1286"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现有工程</w:t>
                  </w:r>
                </w:p>
                <w:p>
                  <w:pPr>
                    <w:widowControl/>
                    <w:jc w:val="center"/>
                    <w:textAlignment w:val="baseline"/>
                    <w:rPr>
                      <w:rFonts w:ascii="Times New Roman" w:hAnsi="宋体"/>
                      <w:b/>
                      <w:szCs w:val="21"/>
                      <w:u w:val="single"/>
                    </w:rPr>
                  </w:pPr>
                  <w:r>
                    <w:rPr>
                      <w:rFonts w:hint="eastAsia" w:ascii="Times New Roman" w:hAnsi="宋体"/>
                      <w:b/>
                      <w:szCs w:val="21"/>
                      <w:u w:val="single"/>
                    </w:rPr>
                    <w:t>排放量</w:t>
                  </w:r>
                </w:p>
              </w:tc>
              <w:tc>
                <w:tcPr>
                  <w:tcW w:w="1139"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以新带老</w:t>
                  </w:r>
                </w:p>
                <w:p>
                  <w:pPr>
                    <w:widowControl/>
                    <w:jc w:val="center"/>
                    <w:textAlignment w:val="baseline"/>
                    <w:rPr>
                      <w:rFonts w:ascii="Times New Roman" w:hAnsi="宋体"/>
                      <w:b/>
                      <w:szCs w:val="21"/>
                      <w:u w:val="single"/>
                    </w:rPr>
                  </w:pPr>
                  <w:r>
                    <w:rPr>
                      <w:rFonts w:hint="eastAsia" w:ascii="Times New Roman" w:hAnsi="宋体"/>
                      <w:b/>
                      <w:szCs w:val="21"/>
                      <w:u w:val="single"/>
                    </w:rPr>
                    <w:t>削减量</w:t>
                  </w:r>
                </w:p>
              </w:tc>
              <w:tc>
                <w:tcPr>
                  <w:tcW w:w="1281"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改扩建工程</w:t>
                  </w:r>
                </w:p>
                <w:p>
                  <w:pPr>
                    <w:widowControl/>
                    <w:jc w:val="center"/>
                    <w:textAlignment w:val="baseline"/>
                    <w:rPr>
                      <w:rFonts w:ascii="Times New Roman" w:hAnsi="宋体"/>
                      <w:b/>
                      <w:szCs w:val="21"/>
                      <w:u w:val="single"/>
                    </w:rPr>
                  </w:pPr>
                  <w:r>
                    <w:rPr>
                      <w:rFonts w:hint="eastAsia" w:ascii="Times New Roman" w:hAnsi="宋体"/>
                      <w:b/>
                      <w:szCs w:val="21"/>
                      <w:u w:val="single"/>
                    </w:rPr>
                    <w:t>排放量</w:t>
                  </w:r>
                </w:p>
              </w:tc>
              <w:tc>
                <w:tcPr>
                  <w:tcW w:w="1539"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企业总排放量</w:t>
                  </w:r>
                </w:p>
              </w:tc>
              <w:tc>
                <w:tcPr>
                  <w:tcW w:w="1306" w:type="dxa"/>
                  <w:tcMar>
                    <w:top w:w="0" w:type="dxa"/>
                    <w:left w:w="0" w:type="dxa"/>
                    <w:bottom w:w="0" w:type="dxa"/>
                    <w:right w:w="0" w:type="dxa"/>
                  </w:tcMar>
                  <w:vAlign w:val="center"/>
                </w:tcPr>
                <w:p>
                  <w:pPr>
                    <w:widowControl/>
                    <w:jc w:val="center"/>
                    <w:textAlignment w:val="baseline"/>
                    <w:rPr>
                      <w:rFonts w:ascii="Times New Roman" w:hAnsi="宋体"/>
                      <w:b/>
                      <w:szCs w:val="21"/>
                      <w:u w:val="single"/>
                    </w:rPr>
                  </w:pPr>
                  <w:r>
                    <w:rPr>
                      <w:rFonts w:hint="eastAsia" w:ascii="Times New Roman" w:hAnsi="宋体"/>
                      <w:b/>
                      <w:szCs w:val="21"/>
                      <w:u w:val="single"/>
                    </w:rPr>
                    <w:t>增减量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restart"/>
                  <w:vAlign w:val="center"/>
                </w:tcPr>
                <w:p>
                  <w:pPr>
                    <w:widowControl/>
                    <w:jc w:val="center"/>
                    <w:textAlignment w:val="baseline"/>
                    <w:rPr>
                      <w:rFonts w:ascii="Times New Roman" w:hAnsi="宋体"/>
                      <w:szCs w:val="21"/>
                      <w:u w:val="single"/>
                    </w:rPr>
                  </w:pPr>
                  <w:r>
                    <w:rPr>
                      <w:rFonts w:hint="eastAsia" w:ascii="Times New Roman" w:hAnsi="宋体"/>
                      <w:szCs w:val="21"/>
                      <w:u w:val="single"/>
                    </w:rPr>
                    <w:t>大气</w:t>
                  </w:r>
                </w:p>
                <w:p>
                  <w:pPr>
                    <w:widowControl/>
                    <w:jc w:val="center"/>
                    <w:textAlignment w:val="baseline"/>
                    <w:rPr>
                      <w:rFonts w:ascii="Times New Roman" w:hAnsi="宋体"/>
                      <w:szCs w:val="21"/>
                      <w:u w:val="single"/>
                    </w:rPr>
                  </w:pPr>
                  <w:r>
                    <w:rPr>
                      <w:rFonts w:hint="eastAsia" w:ascii="Times New Roman" w:hAnsi="宋体"/>
                      <w:szCs w:val="21"/>
                      <w:u w:val="single"/>
                    </w:rPr>
                    <w:t>污染物</w:t>
                  </w:r>
                </w:p>
              </w:tc>
              <w:tc>
                <w:tcPr>
                  <w:tcW w:w="1466" w:type="dxa"/>
                  <w:vAlign w:val="center"/>
                </w:tcPr>
                <w:p>
                  <w:pPr>
                    <w:widowControl/>
                    <w:jc w:val="center"/>
                    <w:textAlignment w:val="baseline"/>
                    <w:rPr>
                      <w:rFonts w:ascii="Times New Roman" w:hAnsi="Times New Roman"/>
                      <w:szCs w:val="21"/>
                      <w:u w:val="single"/>
                    </w:rPr>
                  </w:pPr>
                  <w:r>
                    <w:rPr>
                      <w:rFonts w:hint="eastAsia" w:ascii="Times New Roman" w:hAnsi="宋体"/>
                      <w:szCs w:val="21"/>
                      <w:u w:val="single"/>
                    </w:rPr>
                    <w:t>粉尘</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12.12</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12.12</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3.57</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3.57</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-8.55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center"/>
                    <w:textAlignment w:val="baseline"/>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烟尘</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3.64</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3.64</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.42</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.42</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2.22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center"/>
                    <w:textAlignment w:val="baseline"/>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SO</w:t>
                  </w:r>
                  <w:r>
                    <w:rPr>
                      <w:rFonts w:ascii="Times New Roman" w:hAnsi="宋体"/>
                      <w:szCs w:val="21"/>
                      <w:u w:val="single"/>
                      <w:vertAlign w:val="subscript"/>
                    </w:rPr>
                    <w:t>2</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30.91</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30.91</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4.45</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4.45</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16.46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NO</w:t>
                  </w:r>
                  <w:r>
                    <w:rPr>
                      <w:rFonts w:hint="eastAsia" w:ascii="Times New Roman" w:hAnsi="宋体"/>
                      <w:szCs w:val="21"/>
                      <w:u w:val="single"/>
                      <w:vertAlign w:val="subscript"/>
                    </w:rPr>
                    <w:t>X</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24.06</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24.06</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9</w:t>
                  </w:r>
                  <w:r>
                    <w:rPr>
                      <w:rFonts w:ascii="Times New Roman" w:hAnsi="宋体"/>
                      <w:szCs w:val="21"/>
                      <w:u w:val="single"/>
                    </w:rPr>
                    <w:t>.98</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9</w:t>
                  </w:r>
                  <w:r>
                    <w:rPr>
                      <w:rFonts w:ascii="Times New Roman" w:hAnsi="宋体"/>
                      <w:szCs w:val="21"/>
                      <w:u w:val="single"/>
                    </w:rPr>
                    <w:t>.98</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14.08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氟化物</w:t>
                  </w:r>
                </w:p>
              </w:tc>
              <w:tc>
                <w:tcPr>
                  <w:tcW w:w="1286" w:type="dxa"/>
                  <w:vAlign w:val="center"/>
                </w:tcPr>
                <w:p>
                  <w:pPr>
                    <w:pStyle w:val="58"/>
                    <w:spacing w:line="240" w:lineRule="auto"/>
                    <w:rPr>
                      <w:rFonts w:ascii="Times New Roman" w:hAnsi="Times New Roman" w:cs="Times New Roman"/>
                      <w:b w:val="0"/>
                      <w:sz w:val="21"/>
                      <w:szCs w:val="21"/>
                      <w:u w:val="single"/>
                    </w:rPr>
                  </w:pPr>
                  <w:r>
                    <w:rPr>
                      <w:rFonts w:hint="eastAsia" w:ascii="Times New Roman" w:hAnsi="Times New Roman" w:cs="Times New Roman"/>
                      <w:b w:val="0"/>
                      <w:sz w:val="21"/>
                      <w:szCs w:val="21"/>
                      <w:u w:val="single"/>
                    </w:rPr>
                    <w:t>0</w:t>
                  </w:r>
                </w:p>
              </w:tc>
              <w:tc>
                <w:tcPr>
                  <w:tcW w:w="1139" w:type="dxa"/>
                  <w:vAlign w:val="center"/>
                </w:tcPr>
                <w:p>
                  <w:pPr>
                    <w:pStyle w:val="58"/>
                    <w:spacing w:line="240" w:lineRule="auto"/>
                    <w:rPr>
                      <w:rFonts w:ascii="Times New Roman" w:hAnsi="Times New Roman" w:cs="Times New Roman"/>
                      <w:b w:val="0"/>
                      <w:sz w:val="21"/>
                      <w:szCs w:val="21"/>
                      <w:u w:val="single"/>
                    </w:rPr>
                  </w:pPr>
                  <w:r>
                    <w:rPr>
                      <w:rFonts w:hint="eastAsia" w:ascii="Times New Roman" w:hAnsi="Times New Roman" w:cs="Times New Roman"/>
                      <w:b w:val="0"/>
                      <w:sz w:val="21"/>
                      <w:szCs w:val="21"/>
                      <w:u w:val="single"/>
                    </w:rPr>
                    <w:t>0</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.4</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.4</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0.4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食堂油烟</w:t>
                  </w:r>
                </w:p>
              </w:tc>
              <w:tc>
                <w:tcPr>
                  <w:tcW w:w="1286" w:type="dxa"/>
                  <w:vAlign w:val="center"/>
                </w:tcPr>
                <w:p>
                  <w:pPr>
                    <w:pStyle w:val="58"/>
                    <w:spacing w:line="240" w:lineRule="auto"/>
                    <w:rPr>
                      <w:rFonts w:ascii="Times New Roman" w:hAnsi="Times New Roman" w:cs="Times New Roman"/>
                      <w:b w:val="0"/>
                      <w:sz w:val="21"/>
                      <w:szCs w:val="21"/>
                      <w:u w:val="single"/>
                    </w:rPr>
                  </w:pPr>
                  <w:r>
                    <w:rPr>
                      <w:rFonts w:hint="eastAsia" w:ascii="Times New Roman" w:hAnsi="Times New Roman" w:cs="Times New Roman"/>
                      <w:b w:val="0"/>
                      <w:sz w:val="21"/>
                      <w:szCs w:val="21"/>
                      <w:u w:val="single"/>
                    </w:rPr>
                    <w:t>0</w:t>
                  </w:r>
                </w:p>
              </w:tc>
              <w:tc>
                <w:tcPr>
                  <w:tcW w:w="1139" w:type="dxa"/>
                  <w:vAlign w:val="center"/>
                </w:tcPr>
                <w:p>
                  <w:pPr>
                    <w:pStyle w:val="58"/>
                    <w:spacing w:line="240" w:lineRule="auto"/>
                    <w:rPr>
                      <w:rFonts w:ascii="Times New Roman" w:hAnsi="Times New Roman" w:cs="Times New Roman"/>
                      <w:b w:val="0"/>
                      <w:sz w:val="21"/>
                      <w:szCs w:val="21"/>
                      <w:u w:val="single"/>
                    </w:rPr>
                  </w:pPr>
                  <w:r>
                    <w:rPr>
                      <w:rFonts w:hint="eastAsia" w:ascii="Times New Roman" w:hAnsi="Times New Roman" w:cs="Times New Roman"/>
                      <w:b w:val="0"/>
                      <w:sz w:val="21"/>
                      <w:szCs w:val="21"/>
                      <w:u w:val="single"/>
                    </w:rPr>
                    <w:t>0</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.07</w:t>
                  </w:r>
                  <w:r>
                    <w:rPr>
                      <w:rFonts w:hint="eastAsia" w:ascii="Times New Roman" w:hAnsi="宋体"/>
                      <w:szCs w:val="21"/>
                      <w:u w:val="single"/>
                    </w:rPr>
                    <w:t>kg/a</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.07</w:t>
                  </w:r>
                  <w:r>
                    <w:rPr>
                      <w:rFonts w:hint="eastAsia" w:ascii="Times New Roman" w:hAnsi="宋体"/>
                      <w:szCs w:val="21"/>
                      <w:u w:val="single"/>
                    </w:rPr>
                    <w:t>kg/a</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.07</w:t>
                  </w:r>
                  <w:r>
                    <w:rPr>
                      <w:rFonts w:hint="eastAsia" w:ascii="Times New Roman" w:hAnsi="宋体"/>
                      <w:szCs w:val="21"/>
                      <w:u w:val="single"/>
                    </w:rPr>
                    <w:t>kg/a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restart"/>
                  <w:vAlign w:val="center"/>
                </w:tcPr>
                <w:p>
                  <w:pPr>
                    <w:widowControl/>
                    <w:jc w:val="center"/>
                    <w:textAlignment w:val="baseline"/>
                    <w:rPr>
                      <w:rFonts w:ascii="Times New Roman" w:hAnsi="宋体"/>
                      <w:szCs w:val="21"/>
                      <w:u w:val="single"/>
                    </w:rPr>
                  </w:pPr>
                  <w:r>
                    <w:rPr>
                      <w:rFonts w:hint="eastAsia" w:ascii="Times New Roman" w:hAnsi="宋体"/>
                      <w:szCs w:val="21"/>
                      <w:u w:val="single"/>
                    </w:rPr>
                    <w:t>水污</w:t>
                  </w:r>
                </w:p>
                <w:p>
                  <w:pPr>
                    <w:widowControl/>
                    <w:jc w:val="center"/>
                    <w:textAlignment w:val="baseline"/>
                    <w:rPr>
                      <w:rFonts w:ascii="Times New Roman" w:hAnsi="宋体"/>
                      <w:szCs w:val="21"/>
                      <w:u w:val="single"/>
                    </w:rPr>
                  </w:pPr>
                  <w:r>
                    <w:rPr>
                      <w:rFonts w:hint="eastAsia" w:ascii="Times New Roman" w:hAnsi="宋体"/>
                      <w:szCs w:val="21"/>
                      <w:u w:val="single"/>
                    </w:rPr>
                    <w:t>染物</w:t>
                  </w:r>
                </w:p>
              </w:tc>
              <w:tc>
                <w:tcPr>
                  <w:tcW w:w="1466" w:type="dxa"/>
                  <w:vAlign w:val="center"/>
                </w:tcPr>
                <w:p>
                  <w:pPr>
                    <w:widowControl/>
                    <w:jc w:val="center"/>
                    <w:textAlignment w:val="baseline"/>
                    <w:rPr>
                      <w:rFonts w:ascii="Times New Roman" w:hAnsi="宋体"/>
                      <w:szCs w:val="21"/>
                      <w:u w:val="single"/>
                    </w:rPr>
                  </w:pPr>
                  <w:r>
                    <w:rPr>
                      <w:rFonts w:ascii="Times New Roman" w:hAnsi="宋体"/>
                      <w:szCs w:val="21"/>
                      <w:u w:val="single"/>
                    </w:rPr>
                    <w:t>COD</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0.1</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0.1</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.069</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.069</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0.031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氨氮</w:t>
                  </w:r>
                </w:p>
              </w:tc>
              <w:tc>
                <w:tcPr>
                  <w:tcW w:w="1286"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0.015</w:t>
                  </w:r>
                </w:p>
              </w:tc>
              <w:tc>
                <w:tcPr>
                  <w:tcW w:w="1139" w:type="dxa"/>
                  <w:vAlign w:val="center"/>
                </w:tcPr>
                <w:p>
                  <w:pPr>
                    <w:pStyle w:val="58"/>
                    <w:spacing w:line="240" w:lineRule="auto"/>
                    <w:rPr>
                      <w:rFonts w:ascii="Times New Roman" w:hAnsi="Times New Roman" w:cs="Times New Roman"/>
                      <w:b w:val="0"/>
                      <w:sz w:val="21"/>
                      <w:szCs w:val="21"/>
                      <w:u w:val="single"/>
                    </w:rPr>
                  </w:pPr>
                  <w:r>
                    <w:rPr>
                      <w:rFonts w:ascii="Times New Roman" w:hAnsi="Times New Roman" w:cs="Times New Roman"/>
                      <w:b w:val="0"/>
                      <w:sz w:val="21"/>
                      <w:szCs w:val="21"/>
                      <w:u w:val="single"/>
                    </w:rPr>
                    <w:t>0.015</w:t>
                  </w:r>
                </w:p>
              </w:tc>
              <w:tc>
                <w:tcPr>
                  <w:tcW w:w="1281"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.008</w:t>
                  </w:r>
                </w:p>
              </w:tc>
              <w:tc>
                <w:tcPr>
                  <w:tcW w:w="15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r>
                    <w:rPr>
                      <w:rFonts w:ascii="Times New Roman" w:hAnsi="宋体"/>
                      <w:szCs w:val="21"/>
                      <w:u w:val="single"/>
                    </w:rPr>
                    <w:t>.008</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0.007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restart"/>
                  <w:vAlign w:val="center"/>
                </w:tcPr>
                <w:p>
                  <w:pPr>
                    <w:jc w:val="center"/>
                    <w:textAlignment w:val="baseline"/>
                    <w:rPr>
                      <w:rFonts w:ascii="Times New Roman" w:hAnsi="宋体"/>
                      <w:szCs w:val="21"/>
                      <w:u w:val="single"/>
                    </w:rPr>
                  </w:pPr>
                  <w:r>
                    <w:rPr>
                      <w:rFonts w:hint="eastAsia" w:ascii="Times New Roman" w:hAnsi="宋体"/>
                      <w:szCs w:val="21"/>
                      <w:u w:val="single"/>
                    </w:rPr>
                    <w:t>固体</w:t>
                  </w:r>
                </w:p>
                <w:p>
                  <w:pPr>
                    <w:jc w:val="center"/>
                    <w:textAlignment w:val="baseline"/>
                    <w:rPr>
                      <w:rFonts w:ascii="Times New Roman" w:hAnsi="宋体"/>
                      <w:szCs w:val="21"/>
                      <w:u w:val="single"/>
                    </w:rPr>
                  </w:pPr>
                  <w:r>
                    <w:rPr>
                      <w:rFonts w:hint="eastAsia" w:ascii="Times New Roman" w:hAnsi="宋体"/>
                      <w:szCs w:val="21"/>
                      <w:u w:val="single"/>
                    </w:rPr>
                    <w:t>废物</w:t>
                  </w: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生活垃圾</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2</w:t>
                  </w:r>
                </w:p>
              </w:tc>
              <w:tc>
                <w:tcPr>
                  <w:tcW w:w="11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r>
                    <w:rPr>
                      <w:rFonts w:ascii="Times New Roman" w:hAnsi="宋体"/>
                      <w:szCs w:val="21"/>
                      <w:u w:val="single"/>
                    </w:rPr>
                    <w:t>2</w:t>
                  </w:r>
                </w:p>
              </w:tc>
              <w:tc>
                <w:tcPr>
                  <w:tcW w:w="1281"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5</w:t>
                  </w:r>
                  <w:r>
                    <w:rPr>
                      <w:rFonts w:ascii="Times New Roman" w:hAnsi="Times New Roman"/>
                      <w:szCs w:val="21"/>
                      <w:u w:val="single"/>
                    </w:rPr>
                    <w:t>.76</w:t>
                  </w:r>
                </w:p>
              </w:tc>
              <w:tc>
                <w:tcPr>
                  <w:tcW w:w="1539"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5</w:t>
                  </w:r>
                  <w:r>
                    <w:rPr>
                      <w:rFonts w:ascii="Times New Roman" w:hAnsi="Times New Roman"/>
                      <w:szCs w:val="21"/>
                      <w:u w:val="single"/>
                    </w:rPr>
                    <w:t>.76</w:t>
                  </w:r>
                </w:p>
              </w:tc>
              <w:tc>
                <w:tcPr>
                  <w:tcW w:w="130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w:t>
                  </w:r>
                  <w:r>
                    <w:rPr>
                      <w:rFonts w:ascii="Times New Roman" w:hAnsi="宋体"/>
                      <w:szCs w:val="21"/>
                      <w:u w:val="single"/>
                    </w:rPr>
                    <w:t>6.24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ascii="Times New Roman" w:hAnsi="Times New Roman"/>
                      <w:szCs w:val="21"/>
                      <w:u w:val="single"/>
                    </w:rPr>
                    <w:t>剥土</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134.3</w:t>
                  </w:r>
                </w:p>
              </w:tc>
              <w:tc>
                <w:tcPr>
                  <w:tcW w:w="11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134.3</w:t>
                  </w:r>
                </w:p>
              </w:tc>
              <w:tc>
                <w:tcPr>
                  <w:tcW w:w="1281"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000</w:t>
                  </w:r>
                </w:p>
              </w:tc>
              <w:tc>
                <w:tcPr>
                  <w:tcW w:w="1539"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000</w:t>
                  </w:r>
                </w:p>
              </w:tc>
              <w:tc>
                <w:tcPr>
                  <w:tcW w:w="1306"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w:t>
                  </w:r>
                  <w:r>
                    <w:rPr>
                      <w:rFonts w:ascii="Times New Roman" w:hAnsi="Times New Roman"/>
                      <w:szCs w:val="21"/>
                      <w:u w:val="single"/>
                    </w:rPr>
                    <w:t>124.3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废石</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2</w:t>
                  </w:r>
                  <w:r>
                    <w:rPr>
                      <w:rFonts w:ascii="Times New Roman" w:hAnsi="宋体"/>
                      <w:szCs w:val="21"/>
                      <w:u w:val="single"/>
                    </w:rPr>
                    <w:t>000</w:t>
                  </w:r>
                </w:p>
              </w:tc>
              <w:tc>
                <w:tcPr>
                  <w:tcW w:w="1139" w:type="dxa"/>
                  <w:vAlign w:val="center"/>
                </w:tcPr>
                <w:p>
                  <w:pPr>
                    <w:widowControl/>
                    <w:jc w:val="center"/>
                    <w:textAlignment w:val="baseline"/>
                    <w:rPr>
                      <w:rFonts w:ascii="Times New Roman" w:hAnsi="宋体"/>
                      <w:szCs w:val="21"/>
                      <w:u w:val="single"/>
                    </w:rPr>
                  </w:pPr>
                  <w:r>
                    <w:rPr>
                      <w:rFonts w:ascii="Times New Roman" w:hAnsi="宋体"/>
                      <w:szCs w:val="21"/>
                      <w:u w:val="single"/>
                    </w:rPr>
                    <w:t>0</w:t>
                  </w:r>
                </w:p>
              </w:tc>
              <w:tc>
                <w:tcPr>
                  <w:tcW w:w="1281"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7900</w:t>
                  </w:r>
                </w:p>
              </w:tc>
              <w:tc>
                <w:tcPr>
                  <w:tcW w:w="1539"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9900</w:t>
                  </w:r>
                </w:p>
              </w:tc>
              <w:tc>
                <w:tcPr>
                  <w:tcW w:w="1306"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+7900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沉淀池沉渣</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5</w:t>
                  </w:r>
                  <w:r>
                    <w:rPr>
                      <w:rFonts w:ascii="Times New Roman" w:hAnsi="宋体"/>
                      <w:szCs w:val="21"/>
                      <w:u w:val="single"/>
                    </w:rPr>
                    <w:t>0</w:t>
                  </w:r>
                </w:p>
              </w:tc>
              <w:tc>
                <w:tcPr>
                  <w:tcW w:w="1139" w:type="dxa"/>
                  <w:vAlign w:val="center"/>
                </w:tcPr>
                <w:p>
                  <w:pPr>
                    <w:widowControl/>
                    <w:jc w:val="center"/>
                    <w:textAlignment w:val="baseline"/>
                    <w:rPr>
                      <w:rFonts w:ascii="Times New Roman" w:hAnsi="宋体"/>
                      <w:szCs w:val="21"/>
                      <w:u w:val="single"/>
                    </w:rPr>
                  </w:pPr>
                  <w:r>
                    <w:rPr>
                      <w:rFonts w:ascii="Times New Roman" w:hAnsi="宋体"/>
                      <w:szCs w:val="21"/>
                      <w:u w:val="single"/>
                    </w:rPr>
                    <w:t>0</w:t>
                  </w:r>
                </w:p>
              </w:tc>
              <w:tc>
                <w:tcPr>
                  <w:tcW w:w="1281"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1950</w:t>
                  </w:r>
                </w:p>
              </w:tc>
              <w:tc>
                <w:tcPr>
                  <w:tcW w:w="1539"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2000</w:t>
                  </w:r>
                </w:p>
              </w:tc>
              <w:tc>
                <w:tcPr>
                  <w:tcW w:w="1306"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脱硫废水沉渣</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p>
              </w:tc>
              <w:tc>
                <w:tcPr>
                  <w:tcW w:w="1139"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0</w:t>
                  </w:r>
                </w:p>
              </w:tc>
              <w:tc>
                <w:tcPr>
                  <w:tcW w:w="1281"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3</w:t>
                  </w:r>
                  <w:r>
                    <w:rPr>
                      <w:rFonts w:ascii="Times New Roman" w:hAnsi="Times New Roman"/>
                      <w:szCs w:val="21"/>
                      <w:u w:val="single"/>
                    </w:rPr>
                    <w:t>64.28</w:t>
                  </w:r>
                </w:p>
              </w:tc>
              <w:tc>
                <w:tcPr>
                  <w:tcW w:w="1539"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3</w:t>
                  </w:r>
                  <w:r>
                    <w:rPr>
                      <w:rFonts w:ascii="Times New Roman" w:hAnsi="Times New Roman"/>
                      <w:szCs w:val="21"/>
                      <w:u w:val="single"/>
                    </w:rPr>
                    <w:t>64.28</w:t>
                  </w:r>
                </w:p>
              </w:tc>
              <w:tc>
                <w:tcPr>
                  <w:tcW w:w="1306"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w:t>
                  </w:r>
                  <w:r>
                    <w:rPr>
                      <w:rFonts w:hint="eastAsia" w:ascii="Times New Roman" w:hAnsi="Times New Roman"/>
                      <w:szCs w:val="21"/>
                      <w:u w:val="single"/>
                    </w:rPr>
                    <w:t>3</w:t>
                  </w:r>
                  <w:r>
                    <w:rPr>
                      <w:rFonts w:ascii="Times New Roman" w:hAnsi="Times New Roman"/>
                      <w:szCs w:val="21"/>
                      <w:u w:val="single"/>
                    </w:rPr>
                    <w:t>64.28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不合格产品</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8</w:t>
                  </w:r>
                  <w:r>
                    <w:rPr>
                      <w:rFonts w:ascii="Times New Roman" w:hAnsi="宋体"/>
                      <w:szCs w:val="21"/>
                      <w:u w:val="single"/>
                    </w:rPr>
                    <w:t>22.5</w:t>
                  </w:r>
                </w:p>
              </w:tc>
              <w:tc>
                <w:tcPr>
                  <w:tcW w:w="1139" w:type="dxa"/>
                  <w:vAlign w:val="center"/>
                </w:tcPr>
                <w:p>
                  <w:pPr>
                    <w:widowControl/>
                    <w:jc w:val="center"/>
                    <w:textAlignment w:val="baseline"/>
                    <w:rPr>
                      <w:rFonts w:ascii="Times New Roman" w:hAnsi="宋体"/>
                      <w:szCs w:val="21"/>
                      <w:u w:val="single"/>
                    </w:rPr>
                  </w:pPr>
                  <w:r>
                    <w:rPr>
                      <w:rFonts w:ascii="Times New Roman" w:hAnsi="宋体"/>
                      <w:szCs w:val="21"/>
                      <w:u w:val="single"/>
                    </w:rPr>
                    <w:t>0</w:t>
                  </w:r>
                </w:p>
              </w:tc>
              <w:tc>
                <w:tcPr>
                  <w:tcW w:w="1281"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21177.5</w:t>
                  </w:r>
                </w:p>
              </w:tc>
              <w:tc>
                <w:tcPr>
                  <w:tcW w:w="1539" w:type="dxa"/>
                  <w:vAlign w:val="center"/>
                </w:tcPr>
                <w:p>
                  <w:pPr>
                    <w:kinsoku w:val="0"/>
                    <w:overflowPunct w:val="0"/>
                    <w:jc w:val="center"/>
                    <w:rPr>
                      <w:rFonts w:ascii="Times New Roman" w:hAnsi="Times New Roman"/>
                      <w:szCs w:val="21"/>
                      <w:u w:val="single"/>
                    </w:rPr>
                  </w:pPr>
                  <w:r>
                    <w:rPr>
                      <w:rFonts w:ascii="Times New Roman" w:hAnsi="Times New Roman"/>
                      <w:szCs w:val="21"/>
                      <w:u w:val="single"/>
                    </w:rPr>
                    <w:t>22000</w:t>
                  </w:r>
                </w:p>
              </w:tc>
              <w:tc>
                <w:tcPr>
                  <w:tcW w:w="1306"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w:t>
                  </w:r>
                  <w:r>
                    <w:rPr>
                      <w:rFonts w:ascii="Times New Roman" w:hAnsi="Times New Roman"/>
                      <w:szCs w:val="21"/>
                      <w:u w:val="single"/>
                    </w:rPr>
                    <w:t>21177.5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809" w:type="dxa"/>
                  <w:vMerge w:val="continue"/>
                  <w:vAlign w:val="center"/>
                </w:tcPr>
                <w:p>
                  <w:pPr>
                    <w:widowControl/>
                    <w:jc w:val="left"/>
                    <w:rPr>
                      <w:rFonts w:ascii="Times New Roman" w:hAnsi="宋体"/>
                      <w:szCs w:val="21"/>
                      <w:u w:val="single"/>
                    </w:rPr>
                  </w:pPr>
                </w:p>
              </w:tc>
              <w:tc>
                <w:tcPr>
                  <w:tcW w:w="1466" w:type="dxa"/>
                  <w:vAlign w:val="center"/>
                </w:tcPr>
                <w:p>
                  <w:pPr>
                    <w:jc w:val="center"/>
                    <w:rPr>
                      <w:rFonts w:ascii="Times New Roman" w:hAnsi="Times New Roman"/>
                      <w:szCs w:val="21"/>
                      <w:u w:val="single"/>
                    </w:rPr>
                  </w:pPr>
                  <w:r>
                    <w:rPr>
                      <w:rFonts w:hint="eastAsia" w:ascii="Times New Roman" w:hAnsi="Times New Roman"/>
                      <w:szCs w:val="21"/>
                      <w:u w:val="single"/>
                    </w:rPr>
                    <w:t>废润滑油</w:t>
                  </w:r>
                </w:p>
              </w:tc>
              <w:tc>
                <w:tcPr>
                  <w:tcW w:w="1286" w:type="dxa"/>
                  <w:vAlign w:val="center"/>
                </w:tcPr>
                <w:p>
                  <w:pPr>
                    <w:widowControl/>
                    <w:jc w:val="center"/>
                    <w:textAlignment w:val="baseline"/>
                    <w:rPr>
                      <w:rFonts w:ascii="Times New Roman" w:hAnsi="宋体"/>
                      <w:szCs w:val="21"/>
                      <w:u w:val="single"/>
                    </w:rPr>
                  </w:pPr>
                  <w:r>
                    <w:rPr>
                      <w:rFonts w:hint="eastAsia" w:ascii="Times New Roman" w:hAnsi="宋体"/>
                      <w:szCs w:val="21"/>
                      <w:u w:val="single"/>
                    </w:rPr>
                    <w:t>1</w:t>
                  </w:r>
                </w:p>
              </w:tc>
              <w:tc>
                <w:tcPr>
                  <w:tcW w:w="1139" w:type="dxa"/>
                  <w:vAlign w:val="center"/>
                </w:tcPr>
                <w:p>
                  <w:pPr>
                    <w:widowControl/>
                    <w:jc w:val="center"/>
                    <w:textAlignment w:val="baseline"/>
                    <w:rPr>
                      <w:rFonts w:ascii="Times New Roman" w:hAnsi="宋体"/>
                      <w:szCs w:val="21"/>
                      <w:u w:val="single"/>
                    </w:rPr>
                  </w:pPr>
                  <w:r>
                    <w:rPr>
                      <w:rFonts w:ascii="Times New Roman" w:hAnsi="宋体"/>
                      <w:szCs w:val="21"/>
                      <w:u w:val="single"/>
                    </w:rPr>
                    <w:t>1</w:t>
                  </w:r>
                </w:p>
              </w:tc>
              <w:tc>
                <w:tcPr>
                  <w:tcW w:w="1281"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1</w:t>
                  </w:r>
                </w:p>
              </w:tc>
              <w:tc>
                <w:tcPr>
                  <w:tcW w:w="1539"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1</w:t>
                  </w:r>
                </w:p>
              </w:tc>
              <w:tc>
                <w:tcPr>
                  <w:tcW w:w="1306" w:type="dxa"/>
                  <w:vAlign w:val="center"/>
                </w:tcPr>
                <w:p>
                  <w:pPr>
                    <w:kinsoku w:val="0"/>
                    <w:overflowPunct w:val="0"/>
                    <w:jc w:val="center"/>
                    <w:rPr>
                      <w:rFonts w:ascii="Times New Roman" w:hAnsi="Times New Roman"/>
                      <w:szCs w:val="21"/>
                      <w:u w:val="single"/>
                    </w:rPr>
                  </w:pPr>
                  <w:r>
                    <w:rPr>
                      <w:rFonts w:hint="eastAsia" w:ascii="Times New Roman" w:hAnsi="Times New Roman"/>
                      <w:szCs w:val="21"/>
                      <w:u w:val="single"/>
                    </w:rPr>
                    <w:t>0</w:t>
                  </w:r>
                </w:p>
              </w:tc>
            </w:tr>
          </w:tbl>
          <w:p>
            <w:pPr>
              <w:tabs>
                <w:tab w:val="left" w:pos="1632"/>
              </w:tabs>
              <w:kinsoku w:val="0"/>
              <w:overflowPunct w:val="0"/>
              <w:spacing w:line="360" w:lineRule="auto"/>
              <w:rPr>
                <w:rFonts w:ascii="Times New Roman" w:hAnsi="Times New Roman"/>
                <w:szCs w:val="21"/>
              </w:rPr>
            </w:pPr>
          </w:p>
          <w:p>
            <w:pPr>
              <w:tabs>
                <w:tab w:val="left" w:pos="1632"/>
              </w:tabs>
              <w:kinsoku w:val="0"/>
              <w:overflowPunct w:val="0"/>
              <w:spacing w:line="360" w:lineRule="auto"/>
              <w:rPr>
                <w:rFonts w:ascii="Times New Roman" w:hAnsi="Times New Roman"/>
                <w:szCs w:val="21"/>
              </w:rPr>
            </w:pPr>
          </w:p>
        </w:tc>
      </w:tr>
    </w:tbl>
    <w:p>
      <w:pPr>
        <w:kinsoku w:val="0"/>
        <w:overflowPunct w:val="0"/>
        <w:spacing w:line="360" w:lineRule="auto"/>
        <w:outlineLvl w:val="0"/>
        <w:rPr>
          <w:rFonts w:ascii="Times New Roman" w:hAnsi="Times New Roman"/>
          <w:b/>
          <w:kern w:val="44"/>
          <w:sz w:val="30"/>
          <w:szCs w:val="30"/>
        </w:rPr>
        <w:sectPr>
          <w:pgSz w:w="11906" w:h="16838"/>
          <w:pgMar w:top="1418" w:right="1418" w:bottom="1418" w:left="1418" w:header="851" w:footer="992" w:gutter="0"/>
          <w:pgNumType w:chapStyle="1"/>
          <w:cols w:space="720" w:num="1"/>
          <w:docGrid w:linePitch="318" w:charSpace="190"/>
        </w:sectPr>
      </w:pPr>
      <w:bookmarkStart w:id="35" w:name="_Toc511833761"/>
      <w:bookmarkStart w:id="36" w:name="_Toc511833742"/>
      <w:bookmarkStart w:id="37" w:name="_Toc511833652"/>
    </w:p>
    <w:p>
      <w:pPr>
        <w:kinsoku w:val="0"/>
        <w:overflowPunct w:val="0"/>
        <w:spacing w:line="360" w:lineRule="auto"/>
        <w:outlineLvl w:val="0"/>
        <w:rPr>
          <w:rFonts w:ascii="Times New Roman" w:hAnsi="Times New Roman"/>
          <w:b/>
          <w:kern w:val="44"/>
          <w:sz w:val="30"/>
          <w:szCs w:val="30"/>
        </w:rPr>
      </w:pPr>
      <w:r>
        <w:rPr>
          <w:rFonts w:ascii="Times New Roman" w:hAnsi="Times New Roman"/>
          <w:b/>
          <w:kern w:val="44"/>
          <w:sz w:val="30"/>
          <w:szCs w:val="30"/>
        </w:rPr>
        <w:t>五、主要污染物产生及预计排放情况</w:t>
      </w:r>
      <w:bookmarkEnd w:id="35"/>
      <w:bookmarkEnd w:id="36"/>
      <w:bookmarkEnd w:id="37"/>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4"/>
        <w:gridCol w:w="1411"/>
        <w:gridCol w:w="1843"/>
        <w:gridCol w:w="2410"/>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tcBorders>
              <w:tl2br w:val="single" w:color="auto" w:sz="4" w:space="0"/>
            </w:tcBorders>
            <w:vAlign w:val="center"/>
          </w:tcPr>
          <w:p>
            <w:pPr>
              <w:kinsoku w:val="0"/>
              <w:overflowPunct w:val="0"/>
              <w:jc w:val="right"/>
              <w:rPr>
                <w:rFonts w:ascii="Times New Roman" w:hAnsi="Times New Roman"/>
                <w:b/>
                <w:szCs w:val="21"/>
              </w:rPr>
            </w:pPr>
            <w:r>
              <w:rPr>
                <w:rFonts w:ascii="Times New Roman" w:hAnsi="Times New Roman"/>
                <w:b/>
                <w:szCs w:val="21"/>
              </w:rPr>
              <w:t>内容</w:t>
            </w:r>
          </w:p>
          <w:p>
            <w:pPr>
              <w:kinsoku w:val="0"/>
              <w:overflowPunct w:val="0"/>
              <w:rPr>
                <w:rFonts w:ascii="Times New Roman" w:hAnsi="Times New Roman"/>
                <w:b/>
                <w:szCs w:val="21"/>
              </w:rPr>
            </w:pPr>
            <w:r>
              <w:rPr>
                <w:rFonts w:ascii="Times New Roman" w:hAnsi="Times New Roman"/>
                <w:b/>
                <w:szCs w:val="21"/>
              </w:rPr>
              <w:t>类型</w:t>
            </w:r>
          </w:p>
        </w:tc>
        <w:tc>
          <w:tcPr>
            <w:tcW w:w="1411" w:type="dxa"/>
            <w:vAlign w:val="center"/>
          </w:tcPr>
          <w:p>
            <w:pPr>
              <w:kinsoku w:val="0"/>
              <w:overflowPunct w:val="0"/>
              <w:jc w:val="center"/>
              <w:rPr>
                <w:rFonts w:ascii="Times New Roman" w:hAnsi="Times New Roman"/>
                <w:b/>
                <w:szCs w:val="21"/>
              </w:rPr>
            </w:pPr>
            <w:r>
              <w:rPr>
                <w:rFonts w:ascii="Times New Roman" w:hAnsi="Times New Roman"/>
                <w:b/>
                <w:szCs w:val="21"/>
              </w:rPr>
              <w:t>排放源</w:t>
            </w:r>
          </w:p>
          <w:p>
            <w:pPr>
              <w:kinsoku w:val="0"/>
              <w:overflowPunct w:val="0"/>
              <w:jc w:val="center"/>
              <w:rPr>
                <w:rFonts w:ascii="Times New Roman" w:hAnsi="Times New Roman"/>
                <w:b/>
                <w:szCs w:val="21"/>
              </w:rPr>
            </w:pPr>
            <w:r>
              <w:rPr>
                <w:rFonts w:ascii="Times New Roman" w:hAnsi="Times New Roman"/>
                <w:b/>
                <w:szCs w:val="21"/>
              </w:rPr>
              <w:t>（编号）</w:t>
            </w:r>
          </w:p>
        </w:tc>
        <w:tc>
          <w:tcPr>
            <w:tcW w:w="1843" w:type="dxa"/>
            <w:vAlign w:val="center"/>
          </w:tcPr>
          <w:p>
            <w:pPr>
              <w:kinsoku w:val="0"/>
              <w:overflowPunct w:val="0"/>
              <w:jc w:val="center"/>
              <w:rPr>
                <w:rFonts w:ascii="Times New Roman" w:hAnsi="Times New Roman"/>
                <w:b/>
                <w:szCs w:val="21"/>
              </w:rPr>
            </w:pPr>
            <w:r>
              <w:rPr>
                <w:rFonts w:ascii="Times New Roman" w:hAnsi="Times New Roman"/>
                <w:b/>
                <w:szCs w:val="21"/>
              </w:rPr>
              <w:t>污染物名称</w:t>
            </w:r>
          </w:p>
        </w:tc>
        <w:tc>
          <w:tcPr>
            <w:tcW w:w="2410" w:type="dxa"/>
            <w:vAlign w:val="center"/>
          </w:tcPr>
          <w:p>
            <w:pPr>
              <w:kinsoku w:val="0"/>
              <w:overflowPunct w:val="0"/>
              <w:jc w:val="center"/>
              <w:rPr>
                <w:rFonts w:ascii="Times New Roman" w:hAnsi="Times New Roman"/>
                <w:b/>
                <w:szCs w:val="21"/>
              </w:rPr>
            </w:pPr>
            <w:r>
              <w:rPr>
                <w:rFonts w:ascii="Times New Roman" w:hAnsi="Times New Roman"/>
                <w:b/>
                <w:szCs w:val="21"/>
              </w:rPr>
              <w:t>处理前产生浓度及</w:t>
            </w:r>
          </w:p>
          <w:p>
            <w:pPr>
              <w:kinsoku w:val="0"/>
              <w:overflowPunct w:val="0"/>
              <w:jc w:val="center"/>
              <w:rPr>
                <w:rFonts w:ascii="Times New Roman" w:hAnsi="Times New Roman"/>
                <w:b/>
                <w:szCs w:val="21"/>
              </w:rPr>
            </w:pPr>
            <w:r>
              <w:rPr>
                <w:rFonts w:ascii="Times New Roman" w:hAnsi="Times New Roman"/>
                <w:b/>
                <w:szCs w:val="21"/>
              </w:rPr>
              <w:t>产生量（单位）</w:t>
            </w:r>
          </w:p>
        </w:tc>
        <w:tc>
          <w:tcPr>
            <w:tcW w:w="2414" w:type="dxa"/>
            <w:vAlign w:val="center"/>
          </w:tcPr>
          <w:p>
            <w:pPr>
              <w:kinsoku w:val="0"/>
              <w:overflowPunct w:val="0"/>
              <w:jc w:val="center"/>
              <w:rPr>
                <w:rFonts w:ascii="Times New Roman" w:hAnsi="Times New Roman"/>
                <w:b/>
                <w:szCs w:val="21"/>
              </w:rPr>
            </w:pPr>
            <w:r>
              <w:rPr>
                <w:rFonts w:ascii="Times New Roman" w:hAnsi="Times New Roman"/>
                <w:b/>
                <w:szCs w:val="21"/>
              </w:rPr>
              <w:t>处理后排放浓度及</w:t>
            </w:r>
          </w:p>
          <w:p>
            <w:pPr>
              <w:kinsoku w:val="0"/>
              <w:overflowPunct w:val="0"/>
              <w:jc w:val="center"/>
              <w:rPr>
                <w:rFonts w:ascii="Times New Roman" w:hAnsi="Times New Roman"/>
                <w:b/>
                <w:szCs w:val="21"/>
              </w:rPr>
            </w:pPr>
            <w:r>
              <w:rPr>
                <w:rFonts w:ascii="Times New Roman" w:hAnsi="Times New Roman"/>
                <w:b/>
                <w:szCs w:val="21"/>
              </w:rPr>
              <w:t>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restart"/>
            <w:vAlign w:val="center"/>
          </w:tcPr>
          <w:p>
            <w:pPr>
              <w:kinsoku w:val="0"/>
              <w:overflowPunct w:val="0"/>
              <w:jc w:val="center"/>
              <w:rPr>
                <w:rFonts w:ascii="Times New Roman" w:hAnsi="Times New Roman"/>
                <w:szCs w:val="21"/>
              </w:rPr>
            </w:pPr>
            <w:r>
              <w:rPr>
                <w:rFonts w:hint="eastAsia" w:ascii="Times New Roman" w:hAnsi="Times New Roman"/>
                <w:szCs w:val="21"/>
              </w:rPr>
              <w:t>大</w:t>
            </w:r>
          </w:p>
          <w:p>
            <w:pPr>
              <w:kinsoku w:val="0"/>
              <w:overflowPunct w:val="0"/>
              <w:jc w:val="center"/>
              <w:rPr>
                <w:rFonts w:ascii="Times New Roman" w:hAnsi="Times New Roman"/>
                <w:szCs w:val="21"/>
              </w:rPr>
            </w:pPr>
            <w:r>
              <w:rPr>
                <w:rFonts w:hint="eastAsia" w:ascii="Times New Roman" w:hAnsi="Times New Roman"/>
                <w:szCs w:val="21"/>
              </w:rPr>
              <w:t>气</w:t>
            </w:r>
          </w:p>
          <w:p>
            <w:pPr>
              <w:kinsoku w:val="0"/>
              <w:overflowPunct w:val="0"/>
              <w:jc w:val="center"/>
              <w:rPr>
                <w:rFonts w:ascii="Times New Roman" w:hAnsi="Times New Roman"/>
                <w:szCs w:val="21"/>
              </w:rPr>
            </w:pPr>
            <w:r>
              <w:rPr>
                <w:rFonts w:hint="eastAsia" w:ascii="Times New Roman" w:hAnsi="Times New Roman"/>
                <w:szCs w:val="21"/>
              </w:rPr>
              <w:t>污</w:t>
            </w:r>
          </w:p>
          <w:p>
            <w:pPr>
              <w:kinsoku w:val="0"/>
              <w:overflowPunct w:val="0"/>
              <w:jc w:val="center"/>
              <w:rPr>
                <w:rFonts w:ascii="Times New Roman" w:hAnsi="Times New Roman"/>
                <w:szCs w:val="21"/>
              </w:rPr>
            </w:pPr>
            <w:r>
              <w:rPr>
                <w:rFonts w:hint="eastAsia" w:ascii="Times New Roman" w:hAnsi="Times New Roman"/>
                <w:szCs w:val="21"/>
              </w:rPr>
              <w:t>染</w:t>
            </w:r>
          </w:p>
          <w:p>
            <w:pPr>
              <w:kinsoku w:val="0"/>
              <w:overflowPunct w:val="0"/>
              <w:jc w:val="center"/>
              <w:rPr>
                <w:rFonts w:ascii="Times New Roman" w:hAnsi="Times New Roman"/>
                <w:color w:val="0033CC"/>
                <w:szCs w:val="21"/>
              </w:rPr>
            </w:pPr>
            <w:r>
              <w:rPr>
                <w:rFonts w:hint="eastAsia" w:ascii="Times New Roman" w:hAnsi="Times New Roman"/>
                <w:szCs w:val="21"/>
              </w:rPr>
              <w:t>物</w:t>
            </w: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采装</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粉尘（无组织）</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7.2</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1.44</w:t>
            </w:r>
            <w:r>
              <w:rPr>
                <w:rFonts w:hint="eastAsia"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装卸及堆场</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粉尘（无组织）</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3.65</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0.73</w:t>
            </w:r>
            <w:r>
              <w:rPr>
                <w:rFonts w:hint="eastAsia"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运输车辆</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粉尘（无组织）</w:t>
            </w:r>
          </w:p>
        </w:tc>
        <w:tc>
          <w:tcPr>
            <w:tcW w:w="2410" w:type="dxa"/>
            <w:vAlign w:val="center"/>
          </w:tcPr>
          <w:p>
            <w:pPr>
              <w:kinsoku w:val="0"/>
              <w:overflowPunct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.3</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.06</w:t>
            </w:r>
            <w:r>
              <w:rPr>
                <w:rFonts w:hint="eastAsia"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碎石破碎筛分</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粉尘（无组织）</w:t>
            </w:r>
          </w:p>
        </w:tc>
        <w:tc>
          <w:tcPr>
            <w:tcW w:w="2410" w:type="dxa"/>
            <w:vAlign w:val="center"/>
          </w:tcPr>
          <w:p>
            <w:pPr>
              <w:kinsoku w:val="0"/>
              <w:overflowPunct w:val="0"/>
              <w:jc w:val="center"/>
              <w:rPr>
                <w:rFonts w:ascii="Times New Roman" w:hAnsi="Times New Roman"/>
                <w:szCs w:val="21"/>
              </w:rPr>
            </w:pPr>
            <w:r>
              <w:rPr>
                <w:rFonts w:hint="eastAsia" w:ascii="Times New Roman" w:hAnsi="Times New Roman"/>
                <w:szCs w:val="21"/>
              </w:rPr>
              <w:t>6t/a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0.6</w:t>
            </w:r>
            <w:r>
              <w:rPr>
                <w:rFonts w:hint="eastAsia"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页岩砖破碎搅拌</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粉尘（无组织）</w:t>
            </w:r>
          </w:p>
        </w:tc>
        <w:tc>
          <w:tcPr>
            <w:tcW w:w="2410" w:type="dxa"/>
            <w:vAlign w:val="center"/>
          </w:tcPr>
          <w:p>
            <w:pPr>
              <w:kinsoku w:val="0"/>
              <w:overflowPunct w:val="0"/>
              <w:jc w:val="center"/>
              <w:rPr>
                <w:rFonts w:ascii="Times New Roman" w:hAnsi="Times New Roman"/>
                <w:szCs w:val="21"/>
              </w:rPr>
            </w:pPr>
            <w:r>
              <w:rPr>
                <w:rFonts w:hint="eastAsia" w:ascii="Times New Roman" w:hAnsi="Times New Roman"/>
                <w:szCs w:val="21"/>
              </w:rPr>
              <w:t>7.</w:t>
            </w:r>
            <w:r>
              <w:rPr>
                <w:rFonts w:ascii="Times New Roman" w:hAnsi="Times New Roman"/>
                <w:szCs w:val="21"/>
              </w:rPr>
              <w:t>4</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.74</w:t>
            </w:r>
            <w:r>
              <w:rPr>
                <w:rFonts w:hint="eastAsia"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restart"/>
            <w:vAlign w:val="center"/>
          </w:tcPr>
          <w:p>
            <w:pPr>
              <w:kinsoku w:val="0"/>
              <w:overflowPunct w:val="0"/>
              <w:jc w:val="center"/>
              <w:rPr>
                <w:rFonts w:ascii="Times New Roman" w:hAnsi="Times New Roman"/>
                <w:szCs w:val="21"/>
              </w:rPr>
            </w:pPr>
            <w:r>
              <w:rPr>
                <w:rFonts w:hint="eastAsia" w:ascii="Times New Roman" w:hAnsi="Times New Roman"/>
                <w:szCs w:val="21"/>
              </w:rPr>
              <w:t>窑炉点火烟气</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烟气量</w:t>
            </w:r>
          </w:p>
        </w:tc>
        <w:tc>
          <w:tcPr>
            <w:tcW w:w="4824" w:type="dxa"/>
            <w:gridSpan w:val="2"/>
            <w:vAlign w:val="center"/>
          </w:tcPr>
          <w:p>
            <w:pPr>
              <w:kinsoku w:val="0"/>
              <w:overflowPunct w:val="0"/>
              <w:jc w:val="center"/>
              <w:rPr>
                <w:rFonts w:ascii="Times New Roman" w:hAnsi="Times New Roman"/>
                <w:szCs w:val="21"/>
              </w:rPr>
            </w:pPr>
            <w:r>
              <w:rPr>
                <w:rFonts w:hint="eastAsia" w:ascii="Times New Roman" w:hAnsi="Times New Roman"/>
                <w:szCs w:val="21"/>
              </w:rPr>
              <w:t>3</w:t>
            </w:r>
            <w:r>
              <w:rPr>
                <w:rFonts w:ascii="Times New Roman" w:hAnsi="Times New Roman"/>
                <w:szCs w:val="21"/>
              </w:rPr>
              <w:t>9.94</w:t>
            </w:r>
            <w:r>
              <w:rPr>
                <w:rFonts w:hint="eastAsia" w:ascii="Times New Roman" w:hAnsi="Times New Roman"/>
                <w:szCs w:val="21"/>
              </w:rPr>
              <w:t>万m</w:t>
            </w:r>
            <w:r>
              <w:rPr>
                <w:rFonts w:ascii="Times New Roman" w:hAnsi="Times New Roman"/>
                <w:szCs w:val="21"/>
                <w:vertAlign w:val="superscript"/>
              </w:rPr>
              <w:t>3</w:t>
            </w:r>
            <w:r>
              <w:rPr>
                <w:rFonts w:hint="eastAsia" w:ascii="Times New Roman" w:hAnsi="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烟尘</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80.12</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0.016t/a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4.01</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SO</w:t>
            </w:r>
            <w:r>
              <w:rPr>
                <w:rFonts w:ascii="Times New Roman" w:hAnsi="Times New Roman"/>
                <w:szCs w:val="21"/>
                <w:vertAlign w:val="subscript"/>
              </w:rPr>
              <w:t>2</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163.45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0.033t/a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32.69</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163.45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0.033t/a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163.45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0.033t/a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restart"/>
            <w:vAlign w:val="center"/>
          </w:tcPr>
          <w:p>
            <w:pPr>
              <w:kinsoku w:val="0"/>
              <w:overflowPunct w:val="0"/>
              <w:jc w:val="center"/>
              <w:rPr>
                <w:rFonts w:ascii="Times New Roman" w:hAnsi="Times New Roman"/>
                <w:szCs w:val="21"/>
              </w:rPr>
            </w:pPr>
            <w:r>
              <w:rPr>
                <w:rFonts w:hint="eastAsia" w:ascii="Times New Roman" w:hAnsi="Times New Roman"/>
                <w:szCs w:val="21"/>
              </w:rPr>
              <w:t>窑炉焙烧烟气</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烟气量</w:t>
            </w:r>
          </w:p>
        </w:tc>
        <w:tc>
          <w:tcPr>
            <w:tcW w:w="4824" w:type="dxa"/>
            <w:gridSpan w:val="2"/>
            <w:vAlign w:val="center"/>
          </w:tcPr>
          <w:p>
            <w:pPr>
              <w:kinsoku w:val="0"/>
              <w:overflowPunct w:val="0"/>
              <w:jc w:val="center"/>
              <w:rPr>
                <w:rFonts w:ascii="Times New Roman" w:hAnsi="Times New Roman"/>
                <w:szCs w:val="21"/>
              </w:rPr>
            </w:pPr>
            <w:r>
              <w:rPr>
                <w:rFonts w:ascii="Times New Roman" w:hAnsi="Times New Roman"/>
                <w:szCs w:val="21"/>
              </w:rPr>
              <w:t>25788</w:t>
            </w:r>
            <w:r>
              <w:rPr>
                <w:rFonts w:hint="eastAsia" w:ascii="Times New Roman" w:hAnsi="Times New Roman"/>
                <w:szCs w:val="21"/>
              </w:rPr>
              <w:t>万m</w:t>
            </w:r>
            <w:r>
              <w:rPr>
                <w:rFonts w:ascii="Times New Roman" w:hAnsi="Times New Roman"/>
                <w:szCs w:val="21"/>
                <w:vertAlign w:val="superscript"/>
              </w:rPr>
              <w:t>3</w:t>
            </w:r>
            <w:r>
              <w:rPr>
                <w:rFonts w:hint="eastAsia" w:ascii="Times New Roman" w:hAnsi="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烟尘</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110</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28.37t/a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5.5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1.42t/a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SO</w:t>
            </w:r>
            <w:r>
              <w:rPr>
                <w:rFonts w:ascii="Times New Roman" w:hAnsi="Times New Roman"/>
                <w:szCs w:val="21"/>
                <w:vertAlign w:val="subscript"/>
              </w:rPr>
              <w:t>2</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279.9</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72.18t/a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55.98</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14.44t/a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38.55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9.942t/a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38.55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9.942t/a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氟化物</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15.51</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4t/a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1.55</w:t>
            </w:r>
            <w:r>
              <w:rPr>
                <w:rFonts w:hint="eastAsia" w:ascii="Times New Roman" w:hAnsi="Times New Roman"/>
                <w:szCs w:val="21"/>
              </w:rPr>
              <w:t>m</w:t>
            </w:r>
            <w:r>
              <w:rPr>
                <w:rFonts w:ascii="Times New Roman" w:hAnsi="Times New Roman"/>
                <w:szCs w:val="21"/>
              </w:rPr>
              <w:t>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color w:val="0033CC"/>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食堂</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油烟废气</w:t>
            </w:r>
          </w:p>
        </w:tc>
        <w:tc>
          <w:tcPr>
            <w:tcW w:w="2410" w:type="dxa"/>
            <w:vAlign w:val="center"/>
          </w:tcPr>
          <w:p>
            <w:pPr>
              <w:kinsoku w:val="0"/>
              <w:overflowPunct w:val="0"/>
              <w:jc w:val="center"/>
              <w:rPr>
                <w:rFonts w:ascii="Times New Roman" w:hAnsi="Times New Roman"/>
                <w:szCs w:val="21"/>
              </w:rPr>
            </w:pPr>
            <w:r>
              <w:rPr>
                <w:rFonts w:hint="eastAsia" w:ascii="Times New Roman" w:hAnsi="Times New Roman"/>
                <w:szCs w:val="21"/>
              </w:rPr>
              <w:t>2</w:t>
            </w:r>
            <w:r>
              <w:rPr>
                <w:rFonts w:ascii="Times New Roman" w:hAnsi="Times New Roman"/>
                <w:szCs w:val="21"/>
              </w:rPr>
              <w:t>.7</w:t>
            </w:r>
            <w:r>
              <w:rPr>
                <w:rFonts w:hint="eastAsia" w:ascii="Times New Roman" w:hAnsi="Times New Roman"/>
                <w:szCs w:val="21"/>
              </w:rPr>
              <w:t>mg/m</w:t>
            </w:r>
            <w:r>
              <w:rPr>
                <w:rFonts w:ascii="Times New Roman" w:hAnsi="Times New Roman"/>
                <w:szCs w:val="21"/>
                <w:vertAlign w:val="superscript"/>
              </w:rPr>
              <w:t>3</w:t>
            </w:r>
            <w:r>
              <w:rPr>
                <w:rFonts w:hint="eastAsia" w:ascii="Times New Roman" w:hAnsi="Times New Roman"/>
                <w:szCs w:val="21"/>
              </w:rPr>
              <w:t>，5</w:t>
            </w:r>
            <w:r>
              <w:rPr>
                <w:rFonts w:ascii="Times New Roman" w:hAnsi="Times New Roman"/>
                <w:szCs w:val="21"/>
              </w:rPr>
              <w:t>.184</w:t>
            </w:r>
            <w:r>
              <w:rPr>
                <w:rFonts w:hint="eastAsia" w:ascii="Times New Roman" w:hAnsi="Times New Roman"/>
                <w:szCs w:val="21"/>
              </w:rPr>
              <w:t>kg/a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1</w:t>
            </w:r>
            <w:r>
              <w:rPr>
                <w:rFonts w:ascii="Times New Roman" w:hAnsi="Times New Roman"/>
                <w:szCs w:val="21"/>
              </w:rPr>
              <w:t>.08</w:t>
            </w:r>
            <w:r>
              <w:rPr>
                <w:rFonts w:hint="eastAsia" w:ascii="Times New Roman" w:hAnsi="Times New Roman"/>
                <w:szCs w:val="21"/>
              </w:rPr>
              <w:t>mg/m</w:t>
            </w:r>
            <w:r>
              <w:rPr>
                <w:rFonts w:ascii="Times New Roman" w:hAnsi="Times New Roman"/>
                <w:szCs w:val="21"/>
                <w:vertAlign w:val="superscript"/>
              </w:rPr>
              <w:t>3</w:t>
            </w:r>
            <w:r>
              <w:rPr>
                <w:rFonts w:hint="eastAsia" w:ascii="Times New Roman" w:hAnsi="Times New Roman"/>
                <w:szCs w:val="21"/>
              </w:rPr>
              <w:t>，2</w:t>
            </w:r>
            <w:r>
              <w:rPr>
                <w:rFonts w:ascii="Times New Roman" w:hAnsi="Times New Roman"/>
                <w:szCs w:val="21"/>
              </w:rPr>
              <w:t>.07</w:t>
            </w:r>
            <w:r>
              <w:rPr>
                <w:rFonts w:hint="eastAsia" w:ascii="Times New Roman" w:hAnsi="Times New Roman"/>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restart"/>
            <w:vAlign w:val="center"/>
          </w:tcPr>
          <w:p>
            <w:pPr>
              <w:kinsoku w:val="0"/>
              <w:overflowPunct w:val="0"/>
              <w:jc w:val="center"/>
              <w:rPr>
                <w:rFonts w:ascii="Times New Roman" w:hAnsi="Times New Roman"/>
                <w:szCs w:val="21"/>
              </w:rPr>
            </w:pPr>
            <w:r>
              <w:rPr>
                <w:rFonts w:ascii="Times New Roman" w:hAnsi="Times New Roman"/>
                <w:szCs w:val="21"/>
              </w:rPr>
              <w:t>水</w:t>
            </w:r>
          </w:p>
          <w:p>
            <w:pPr>
              <w:kinsoku w:val="0"/>
              <w:overflowPunct w:val="0"/>
              <w:jc w:val="center"/>
              <w:rPr>
                <w:rFonts w:ascii="Times New Roman" w:hAnsi="Times New Roman"/>
                <w:szCs w:val="21"/>
              </w:rPr>
            </w:pPr>
            <w:r>
              <w:rPr>
                <w:rFonts w:ascii="Times New Roman" w:hAnsi="Times New Roman"/>
                <w:szCs w:val="21"/>
              </w:rPr>
              <w:t>污</w:t>
            </w:r>
          </w:p>
          <w:p>
            <w:pPr>
              <w:kinsoku w:val="0"/>
              <w:overflowPunct w:val="0"/>
              <w:jc w:val="center"/>
              <w:rPr>
                <w:rFonts w:ascii="Times New Roman" w:hAnsi="Times New Roman"/>
                <w:szCs w:val="21"/>
              </w:rPr>
            </w:pPr>
            <w:r>
              <w:rPr>
                <w:rFonts w:ascii="Times New Roman" w:hAnsi="Times New Roman"/>
                <w:szCs w:val="21"/>
              </w:rPr>
              <w:t>染</w:t>
            </w:r>
          </w:p>
          <w:p>
            <w:pPr>
              <w:kinsoku w:val="0"/>
              <w:overflowPunct w:val="0"/>
              <w:jc w:val="center"/>
              <w:rPr>
                <w:rFonts w:ascii="Times New Roman" w:hAnsi="Times New Roman"/>
                <w:szCs w:val="21"/>
              </w:rPr>
            </w:pPr>
            <w:r>
              <w:rPr>
                <w:rFonts w:ascii="Times New Roman" w:hAnsi="Times New Roman"/>
                <w:szCs w:val="21"/>
              </w:rPr>
              <w:t>物</w:t>
            </w:r>
          </w:p>
        </w:tc>
        <w:tc>
          <w:tcPr>
            <w:tcW w:w="1411" w:type="dxa"/>
            <w:vMerge w:val="restart"/>
            <w:vAlign w:val="center"/>
          </w:tcPr>
          <w:p>
            <w:pPr>
              <w:kinsoku w:val="0"/>
              <w:overflowPunct w:val="0"/>
              <w:jc w:val="center"/>
              <w:rPr>
                <w:rFonts w:ascii="Times New Roman" w:hAnsi="Times New Roman"/>
                <w:szCs w:val="21"/>
              </w:rPr>
            </w:pPr>
            <w:r>
              <w:rPr>
                <w:rFonts w:hint="eastAsia" w:ascii="Times New Roman" w:hAnsi="Times New Roman"/>
                <w:szCs w:val="21"/>
              </w:rPr>
              <w:t>生活污水</w:t>
            </w:r>
          </w:p>
        </w:tc>
        <w:tc>
          <w:tcPr>
            <w:tcW w:w="1843" w:type="dxa"/>
            <w:vAlign w:val="center"/>
          </w:tcPr>
          <w:p>
            <w:pPr>
              <w:kinsoku w:val="0"/>
              <w:overflowPunct w:val="0"/>
              <w:jc w:val="center"/>
              <w:rPr>
                <w:rFonts w:ascii="Times New Roman" w:hAnsi="Times New Roman"/>
                <w:szCs w:val="21"/>
              </w:rPr>
            </w:pPr>
            <w:r>
              <w:rPr>
                <w:rFonts w:ascii="Times New Roman" w:hAnsi="Times New Roman"/>
                <w:szCs w:val="21"/>
              </w:rPr>
              <w:t>废水量</w:t>
            </w:r>
          </w:p>
        </w:tc>
        <w:tc>
          <w:tcPr>
            <w:tcW w:w="2410" w:type="dxa"/>
            <w:vAlign w:val="center"/>
          </w:tcPr>
          <w:p>
            <w:pPr>
              <w:kinsoku w:val="0"/>
              <w:overflowPunct w:val="0"/>
              <w:jc w:val="center"/>
              <w:rPr>
                <w:rFonts w:ascii="Times New Roman" w:hAnsi="Times New Roman"/>
                <w:szCs w:val="21"/>
                <w:lang w:val="de-DE"/>
              </w:rPr>
            </w:pPr>
            <w:r>
              <w:rPr>
                <w:rFonts w:ascii="Times New Roman" w:hAnsi="Times New Roman"/>
                <w:szCs w:val="21"/>
              </w:rPr>
              <w:t>230.4</w:t>
            </w:r>
            <w:r>
              <w:rPr>
                <w:rFonts w:ascii="Times New Roman" w:hAnsi="Times New Roman"/>
                <w:szCs w:val="21"/>
                <w:lang w:val="de-DE"/>
              </w:rPr>
              <w:t>m</w:t>
            </w:r>
            <w:r>
              <w:rPr>
                <w:rFonts w:ascii="Times New Roman" w:hAnsi="Times New Roman"/>
                <w:szCs w:val="21"/>
                <w:vertAlign w:val="superscript"/>
                <w:lang w:val="de-DE"/>
              </w:rPr>
              <w:t>3</w:t>
            </w:r>
            <w:r>
              <w:rPr>
                <w:rFonts w:ascii="Times New Roman" w:hAnsi="Times New Roman"/>
                <w:szCs w:val="21"/>
                <w:lang w:val="de-DE"/>
              </w:rPr>
              <w:t>/a</w:t>
            </w:r>
          </w:p>
        </w:tc>
        <w:tc>
          <w:tcPr>
            <w:tcW w:w="2414" w:type="dxa"/>
            <w:vMerge w:val="restart"/>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用于周边菜地施肥，综合消纳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ascii="Times New Roman" w:hAnsi="Times New Roman"/>
                <w:szCs w:val="21"/>
              </w:rPr>
              <w:t>COD</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300mg/L，</w:t>
            </w:r>
            <w:r>
              <w:rPr>
                <w:rFonts w:ascii="Times New Roman" w:hAnsi="Times New Roman"/>
                <w:szCs w:val="21"/>
                <w:lang w:val="fr-FR"/>
              </w:rPr>
              <w:t>0.069t/a</w:t>
            </w:r>
          </w:p>
        </w:tc>
        <w:tc>
          <w:tcPr>
            <w:tcW w:w="2414" w:type="dxa"/>
            <w:vMerge w:val="continue"/>
            <w:vAlign w:val="center"/>
          </w:tcPr>
          <w:p>
            <w:pPr>
              <w:kinsoku w:val="0"/>
              <w:overflowPunct w:val="0"/>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vertAlign w:val="subscript"/>
              </w:rPr>
            </w:pPr>
            <w:r>
              <w:rPr>
                <w:rFonts w:ascii="Times New Roman" w:hAnsi="Times New Roman"/>
                <w:szCs w:val="21"/>
              </w:rPr>
              <w:t>BOD</w:t>
            </w:r>
            <w:r>
              <w:rPr>
                <w:rFonts w:ascii="Times New Roman" w:hAnsi="Times New Roman"/>
                <w:szCs w:val="21"/>
                <w:vertAlign w:val="subscript"/>
              </w:rPr>
              <w:t>5</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200mg/L，</w:t>
            </w:r>
            <w:r>
              <w:rPr>
                <w:rFonts w:ascii="Times New Roman" w:hAnsi="Times New Roman"/>
                <w:szCs w:val="21"/>
                <w:lang w:val="fr-FR"/>
              </w:rPr>
              <w:t>0.046</w:t>
            </w:r>
            <w:r>
              <w:rPr>
                <w:rFonts w:hint="eastAsia" w:ascii="Times New Roman" w:hAnsi="Times New Roman"/>
                <w:szCs w:val="21"/>
                <w:lang w:val="fr-FR"/>
              </w:rPr>
              <w:t>t/a</w:t>
            </w:r>
          </w:p>
        </w:tc>
        <w:tc>
          <w:tcPr>
            <w:tcW w:w="2414" w:type="dxa"/>
            <w:vMerge w:val="continue"/>
            <w:vAlign w:val="center"/>
          </w:tcPr>
          <w:p>
            <w:pPr>
              <w:kinsoku w:val="0"/>
              <w:overflowPunct w:val="0"/>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SS</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200mg/L，</w:t>
            </w:r>
            <w:r>
              <w:rPr>
                <w:rFonts w:ascii="Times New Roman" w:hAnsi="Times New Roman"/>
                <w:szCs w:val="21"/>
                <w:lang w:val="fr-FR"/>
              </w:rPr>
              <w:t>0.046</w:t>
            </w:r>
            <w:r>
              <w:rPr>
                <w:rFonts w:hint="eastAsia" w:ascii="Times New Roman" w:hAnsi="Times New Roman"/>
                <w:szCs w:val="21"/>
                <w:lang w:val="fr-FR"/>
              </w:rPr>
              <w:t>t/a</w:t>
            </w:r>
          </w:p>
        </w:tc>
        <w:tc>
          <w:tcPr>
            <w:tcW w:w="2414" w:type="dxa"/>
            <w:vMerge w:val="continue"/>
            <w:vAlign w:val="center"/>
          </w:tcPr>
          <w:p>
            <w:pPr>
              <w:kinsoku w:val="0"/>
              <w:overflowPunct w:val="0"/>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氨氮</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35mg/L，0.</w:t>
            </w:r>
            <w:r>
              <w:rPr>
                <w:rFonts w:ascii="Times New Roman" w:hAnsi="Times New Roman"/>
                <w:szCs w:val="21"/>
                <w:lang w:val="fr-FR"/>
              </w:rPr>
              <w:t>008</w:t>
            </w:r>
            <w:r>
              <w:rPr>
                <w:rFonts w:hint="eastAsia" w:ascii="Times New Roman" w:hAnsi="Times New Roman"/>
                <w:szCs w:val="21"/>
                <w:lang w:val="fr-FR"/>
              </w:rPr>
              <w:t>t/a</w:t>
            </w:r>
          </w:p>
        </w:tc>
        <w:tc>
          <w:tcPr>
            <w:tcW w:w="2414" w:type="dxa"/>
            <w:vMerge w:val="continue"/>
            <w:vAlign w:val="center"/>
          </w:tcPr>
          <w:p>
            <w:pPr>
              <w:kinsoku w:val="0"/>
              <w:overflowPunct w:val="0"/>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动植物油</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5</w:t>
            </w:r>
            <w:r>
              <w:rPr>
                <w:rFonts w:ascii="Times New Roman" w:hAnsi="Times New Roman"/>
                <w:szCs w:val="21"/>
                <w:lang w:val="fr-FR"/>
              </w:rPr>
              <w:t>0</w:t>
            </w:r>
            <w:r>
              <w:rPr>
                <w:rFonts w:hint="eastAsia" w:ascii="Times New Roman" w:hAnsi="Times New Roman"/>
                <w:szCs w:val="21"/>
                <w:lang w:val="fr-FR"/>
              </w:rPr>
              <w:t>mg/L，</w:t>
            </w:r>
            <w:r>
              <w:rPr>
                <w:rFonts w:ascii="Times New Roman" w:hAnsi="Times New Roman"/>
                <w:szCs w:val="21"/>
                <w:lang w:val="fr-FR"/>
              </w:rPr>
              <w:t>0.012</w:t>
            </w:r>
            <w:r>
              <w:rPr>
                <w:rFonts w:hint="eastAsia" w:ascii="Times New Roman" w:hAnsi="Times New Roman"/>
                <w:szCs w:val="21"/>
                <w:lang w:val="fr-FR"/>
              </w:rPr>
              <w:t>t/a</w:t>
            </w:r>
          </w:p>
        </w:tc>
        <w:tc>
          <w:tcPr>
            <w:tcW w:w="2414" w:type="dxa"/>
            <w:vMerge w:val="continue"/>
            <w:vAlign w:val="center"/>
          </w:tcPr>
          <w:p>
            <w:pPr>
              <w:kinsoku w:val="0"/>
              <w:overflowPunct w:val="0"/>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初期雨水</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SS</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7</w:t>
            </w:r>
            <w:r>
              <w:rPr>
                <w:rFonts w:ascii="Times New Roman" w:hAnsi="Times New Roman"/>
                <w:szCs w:val="21"/>
                <w:lang w:val="fr-FR"/>
              </w:rPr>
              <w:t>520</w:t>
            </w:r>
            <w:r>
              <w:rPr>
                <w:rFonts w:hint="eastAsia" w:ascii="Times New Roman" w:hAnsi="Times New Roman"/>
                <w:szCs w:val="21"/>
                <w:lang w:val="fr-FR"/>
              </w:rPr>
              <w:t>m</w:t>
            </w:r>
            <w:r>
              <w:rPr>
                <w:rFonts w:ascii="Times New Roman" w:hAnsi="Times New Roman"/>
                <w:szCs w:val="21"/>
                <w:vertAlign w:val="superscript"/>
                <w:lang w:val="fr-FR"/>
              </w:rPr>
              <w:t>3</w:t>
            </w:r>
            <w:r>
              <w:rPr>
                <w:rFonts w:hint="eastAsia" w:ascii="Times New Roman" w:hAnsi="Times New Roman"/>
                <w:szCs w:val="21"/>
                <w:lang w:val="fr-FR"/>
              </w:rPr>
              <w: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沉淀后用于项目搅拌用水、降尘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搅拌机清洗废水</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SS</w:t>
            </w:r>
          </w:p>
        </w:tc>
        <w:tc>
          <w:tcPr>
            <w:tcW w:w="2410" w:type="dxa"/>
            <w:vAlign w:val="center"/>
          </w:tcPr>
          <w:p>
            <w:pPr>
              <w:kinsoku w:val="0"/>
              <w:overflowPunct w:val="0"/>
              <w:jc w:val="center"/>
              <w:rPr>
                <w:rFonts w:ascii="Times New Roman" w:hAnsi="Times New Roman"/>
                <w:szCs w:val="21"/>
                <w:lang w:val="fr-FR"/>
              </w:rPr>
            </w:pPr>
            <w:r>
              <w:rPr>
                <w:rFonts w:ascii="Times New Roman" w:hAnsi="Times New Roman"/>
                <w:szCs w:val="21"/>
                <w:lang w:val="fr-FR"/>
              </w:rPr>
              <w:t>24</w:t>
            </w:r>
            <w:r>
              <w:rPr>
                <w:rFonts w:hint="eastAsia" w:ascii="Times New Roman" w:hAnsi="Times New Roman"/>
                <w:szCs w:val="21"/>
                <w:lang w:val="fr-FR"/>
              </w:rPr>
              <w:t>m</w:t>
            </w:r>
            <w:r>
              <w:rPr>
                <w:rFonts w:ascii="Times New Roman" w:hAnsi="Times New Roman"/>
                <w:szCs w:val="21"/>
                <w:vertAlign w:val="superscript"/>
                <w:lang w:val="fr-FR"/>
              </w:rPr>
              <w:t>3</w:t>
            </w:r>
            <w:r>
              <w:rPr>
                <w:rFonts w:hint="eastAsia" w:ascii="Times New Roman" w:hAnsi="Times New Roman"/>
                <w:szCs w:val="21"/>
                <w:lang w:val="fr-FR"/>
              </w:rPr>
              <w: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排入沉淀池沉淀后用于项目搅拌用水、降尘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喷淋废水</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SS</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1</w:t>
            </w:r>
            <w:r>
              <w:rPr>
                <w:rFonts w:ascii="Times New Roman" w:hAnsi="Times New Roman"/>
                <w:szCs w:val="21"/>
                <w:lang w:val="fr-FR"/>
              </w:rPr>
              <w:t>20</w:t>
            </w:r>
            <w:r>
              <w:rPr>
                <w:rFonts w:hint="eastAsia" w:ascii="Times New Roman" w:hAnsi="Times New Roman"/>
                <w:szCs w:val="21"/>
                <w:lang w:val="fr-FR"/>
              </w:rPr>
              <w:t>m</w:t>
            </w:r>
            <w:r>
              <w:rPr>
                <w:rFonts w:ascii="Times New Roman" w:hAnsi="Times New Roman"/>
                <w:szCs w:val="21"/>
                <w:vertAlign w:val="superscript"/>
                <w:lang w:val="fr-FR"/>
              </w:rPr>
              <w:t>3</w:t>
            </w:r>
            <w:r>
              <w:rPr>
                <w:rFonts w:hint="eastAsia" w:ascii="Times New Roman" w:hAnsi="Times New Roman"/>
                <w:szCs w:val="21"/>
                <w:lang w:val="fr-FR"/>
              </w:rPr>
              <w: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hint="eastAsia" w:ascii="Times New Roman" w:hAnsi="Times New Roman"/>
                <w:szCs w:val="21"/>
              </w:rPr>
              <w:t>脱硫废水</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SS</w:t>
            </w:r>
          </w:p>
        </w:tc>
        <w:tc>
          <w:tcPr>
            <w:tcW w:w="2410" w:type="dxa"/>
            <w:vAlign w:val="center"/>
          </w:tcPr>
          <w:p>
            <w:pPr>
              <w:kinsoku w:val="0"/>
              <w:overflowPunct w:val="0"/>
              <w:jc w:val="center"/>
              <w:rPr>
                <w:rFonts w:ascii="Times New Roman" w:hAnsi="Times New Roman"/>
                <w:szCs w:val="21"/>
                <w:lang w:val="fr-FR"/>
              </w:rPr>
            </w:pPr>
            <w:r>
              <w:rPr>
                <w:rFonts w:hint="eastAsia" w:ascii="Times New Roman" w:hAnsi="Times New Roman"/>
                <w:szCs w:val="21"/>
                <w:lang w:val="fr-FR"/>
              </w:rPr>
              <w:t>1</w:t>
            </w:r>
            <w:r>
              <w:rPr>
                <w:rFonts w:ascii="Times New Roman" w:hAnsi="Times New Roman"/>
                <w:szCs w:val="21"/>
                <w:lang w:val="fr-FR"/>
              </w:rPr>
              <w:t>0</w:t>
            </w:r>
            <w:r>
              <w:rPr>
                <w:rFonts w:hint="eastAsia" w:ascii="Times New Roman" w:hAnsi="Times New Roman"/>
                <w:szCs w:val="21"/>
                <w:lang w:val="fr-FR"/>
              </w:rPr>
              <w:t>m</w:t>
            </w:r>
            <w:r>
              <w:rPr>
                <w:rFonts w:ascii="Times New Roman" w:hAnsi="Times New Roman"/>
                <w:szCs w:val="21"/>
                <w:vertAlign w:val="superscript"/>
                <w:lang w:val="fr-FR"/>
              </w:rPr>
              <w:t>3</w:t>
            </w:r>
            <w:r>
              <w:rPr>
                <w:rFonts w:hint="eastAsia" w:ascii="Times New Roman" w:hAnsi="Times New Roman"/>
                <w:szCs w:val="21"/>
                <w:lang w:val="fr-FR"/>
              </w:rPr>
              <w:t>/次</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加石灰水沉淀后循环使用，不外排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restart"/>
            <w:vAlign w:val="center"/>
          </w:tcPr>
          <w:p>
            <w:pPr>
              <w:kinsoku w:val="0"/>
              <w:overflowPunct w:val="0"/>
              <w:jc w:val="center"/>
              <w:rPr>
                <w:rFonts w:ascii="Times New Roman" w:hAnsi="Times New Roman"/>
                <w:szCs w:val="21"/>
              </w:rPr>
            </w:pPr>
            <w:r>
              <w:rPr>
                <w:rFonts w:ascii="Times New Roman" w:hAnsi="Times New Roman"/>
                <w:szCs w:val="21"/>
              </w:rPr>
              <w:t>固</w:t>
            </w:r>
          </w:p>
          <w:p>
            <w:pPr>
              <w:kinsoku w:val="0"/>
              <w:overflowPunct w:val="0"/>
              <w:jc w:val="center"/>
              <w:rPr>
                <w:rFonts w:ascii="Times New Roman" w:hAnsi="Times New Roman"/>
                <w:szCs w:val="21"/>
              </w:rPr>
            </w:pPr>
            <w:r>
              <w:rPr>
                <w:rFonts w:ascii="Times New Roman" w:hAnsi="Times New Roman"/>
                <w:szCs w:val="21"/>
              </w:rPr>
              <w:t>体</w:t>
            </w:r>
          </w:p>
          <w:p>
            <w:pPr>
              <w:kinsoku w:val="0"/>
              <w:overflowPunct w:val="0"/>
              <w:jc w:val="center"/>
              <w:rPr>
                <w:rFonts w:ascii="Times New Roman" w:hAnsi="Times New Roman"/>
                <w:szCs w:val="21"/>
              </w:rPr>
            </w:pPr>
            <w:r>
              <w:rPr>
                <w:rFonts w:ascii="Times New Roman" w:hAnsi="Times New Roman"/>
                <w:szCs w:val="21"/>
              </w:rPr>
              <w:t>废</w:t>
            </w:r>
          </w:p>
          <w:p>
            <w:pPr>
              <w:kinsoku w:val="0"/>
              <w:overflowPunct w:val="0"/>
              <w:jc w:val="center"/>
              <w:rPr>
                <w:rFonts w:ascii="Times New Roman" w:hAnsi="Times New Roman"/>
                <w:szCs w:val="21"/>
              </w:rPr>
            </w:pPr>
            <w:r>
              <w:rPr>
                <w:rFonts w:ascii="Times New Roman" w:hAnsi="Times New Roman"/>
                <w:szCs w:val="21"/>
              </w:rPr>
              <w:t>物</w:t>
            </w:r>
          </w:p>
        </w:tc>
        <w:tc>
          <w:tcPr>
            <w:tcW w:w="1411" w:type="dxa"/>
            <w:vMerge w:val="restart"/>
            <w:vAlign w:val="center"/>
          </w:tcPr>
          <w:p>
            <w:pPr>
              <w:kinsoku w:val="0"/>
              <w:overflowPunct w:val="0"/>
              <w:jc w:val="center"/>
              <w:rPr>
                <w:rFonts w:ascii="Times New Roman" w:hAnsi="Times New Roman"/>
                <w:szCs w:val="21"/>
              </w:rPr>
            </w:pPr>
            <w:r>
              <w:rPr>
                <w:rFonts w:ascii="Times New Roman" w:hAnsi="Times New Roman"/>
                <w:szCs w:val="21"/>
              </w:rPr>
              <w:t>一般固体</w:t>
            </w:r>
          </w:p>
          <w:p>
            <w:pPr>
              <w:kinsoku w:val="0"/>
              <w:overflowPunct w:val="0"/>
              <w:jc w:val="center"/>
              <w:rPr>
                <w:rFonts w:ascii="Times New Roman" w:hAnsi="Times New Roman"/>
                <w:szCs w:val="21"/>
              </w:rPr>
            </w:pPr>
            <w:r>
              <w:rPr>
                <w:rFonts w:ascii="Times New Roman" w:hAnsi="Times New Roman"/>
                <w:szCs w:val="21"/>
              </w:rPr>
              <w:t>废物</w:t>
            </w:r>
          </w:p>
        </w:tc>
        <w:tc>
          <w:tcPr>
            <w:tcW w:w="1843" w:type="dxa"/>
            <w:vAlign w:val="center"/>
          </w:tcPr>
          <w:p>
            <w:pPr>
              <w:kinsoku w:val="0"/>
              <w:overflowPunct w:val="0"/>
              <w:jc w:val="center"/>
              <w:rPr>
                <w:rFonts w:ascii="Times New Roman" w:hAnsi="Times New Roman"/>
                <w:szCs w:val="21"/>
              </w:rPr>
            </w:pPr>
            <w:r>
              <w:rPr>
                <w:rFonts w:ascii="Times New Roman" w:hAnsi="Times New Roman"/>
                <w:szCs w:val="21"/>
              </w:rPr>
              <w:t>生活垃圾</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5.76t/a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收集后由当地环卫部门统一清运处置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剥土</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2000</w:t>
            </w:r>
            <w:r>
              <w:rPr>
                <w:rFonts w:hint="eastAsia" w:ascii="Times New Roman" w:hAnsi="Times New Roman"/>
                <w:szCs w:val="21"/>
              </w:rPr>
              <w:t>t</w:t>
            </w:r>
            <w:r>
              <w:rPr>
                <w:rFonts w:ascii="Times New Roman" w:hAnsi="Times New Roman"/>
                <w:szCs w:val="21"/>
              </w:rPr>
              <w:t>/a</w:t>
            </w:r>
          </w:p>
        </w:tc>
        <w:tc>
          <w:tcPr>
            <w:tcW w:w="2414" w:type="dxa"/>
            <w:vAlign w:val="center"/>
          </w:tcPr>
          <w:p>
            <w:pPr>
              <w:kinsoku w:val="0"/>
              <w:overflowPunct w:val="0"/>
              <w:jc w:val="center"/>
              <w:rPr>
                <w:rFonts w:ascii="Times New Roman" w:hAnsi="Times New Roman"/>
                <w:szCs w:val="21"/>
              </w:rPr>
            </w:pPr>
            <w:r>
              <w:rPr>
                <w:rFonts w:hint="eastAsia"/>
                <w:bCs/>
                <w:szCs w:val="21"/>
              </w:rPr>
              <w:t>运至</w:t>
            </w:r>
            <w:r>
              <w:rPr>
                <w:bCs/>
                <w:szCs w:val="21"/>
              </w:rPr>
              <w:t>排土场堆存，用作复垦土源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废石</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9900</w:t>
            </w:r>
            <w:r>
              <w:rPr>
                <w:rFonts w:hint="eastAsia" w:ascii="Times New Roman" w:hAnsi="Times New Roman"/>
                <w:szCs w:val="21"/>
              </w:rPr>
              <w:t>t</w:t>
            </w:r>
            <w:r>
              <w:rPr>
                <w:rFonts w:ascii="Times New Roman" w:hAnsi="Times New Roman"/>
                <w:szCs w:val="21"/>
              </w:rPr>
              <w:t>/a</w:t>
            </w:r>
          </w:p>
        </w:tc>
        <w:tc>
          <w:tcPr>
            <w:tcW w:w="2414" w:type="dxa"/>
            <w:vAlign w:val="center"/>
          </w:tcPr>
          <w:p>
            <w:pPr>
              <w:kinsoku w:val="0"/>
              <w:overflowPunct w:val="0"/>
              <w:jc w:val="center"/>
              <w:rPr>
                <w:rFonts w:ascii="Times New Roman" w:hAnsi="Times New Roman"/>
                <w:szCs w:val="21"/>
              </w:rPr>
            </w:pPr>
            <w:r>
              <w:rPr>
                <w:rFonts w:hint="eastAsia" w:ascii="Times New Roman" w:hAnsi="Times New Roman"/>
                <w:szCs w:val="21"/>
              </w:rPr>
              <w:t>作为碎石原料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沉淀池沉渣</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2000</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hint="eastAsia"/>
                <w:szCs w:val="21"/>
              </w:rPr>
              <w:t>回用于制砖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脱硫废水沉渣</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364.28</w:t>
            </w:r>
            <w:r>
              <w:rPr>
                <w:rFonts w:hint="eastAsia" w:ascii="Times New Roman" w:hAnsi="Times New Roman"/>
                <w:szCs w:val="21"/>
              </w:rPr>
              <w:t>t/a</w:t>
            </w:r>
          </w:p>
        </w:tc>
        <w:tc>
          <w:tcPr>
            <w:tcW w:w="2414" w:type="dxa"/>
            <w:vAlign w:val="center"/>
          </w:tcPr>
          <w:p>
            <w:pPr>
              <w:kinsoku w:val="0"/>
              <w:overflowPunct w:val="0"/>
              <w:jc w:val="center"/>
              <w:rPr>
                <w:rFonts w:ascii="Times New Roman" w:hAnsi="Times New Roman"/>
                <w:szCs w:val="21"/>
              </w:rPr>
            </w:pPr>
            <w:r>
              <w:rPr>
                <w:rFonts w:hint="eastAsia"/>
                <w:bCs/>
                <w:szCs w:val="21"/>
              </w:rPr>
              <w:t>作为原料外售给水泥厂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Merge w:val="continue"/>
            <w:vAlign w:val="center"/>
          </w:tcPr>
          <w:p>
            <w:pPr>
              <w:kinsoku w:val="0"/>
              <w:overflowPunct w:val="0"/>
              <w:jc w:val="center"/>
              <w:rPr>
                <w:rFonts w:ascii="Times New Roman" w:hAnsi="Times New Roman"/>
                <w:szCs w:val="21"/>
              </w:rPr>
            </w:pP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不合格产品</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22000</w:t>
            </w:r>
            <w:r>
              <w:rPr>
                <w:rFonts w:hint="eastAsia" w:ascii="Times New Roman" w:hAnsi="Times New Roman"/>
                <w:szCs w:val="21"/>
              </w:rPr>
              <w:t>t/a</w:t>
            </w:r>
          </w:p>
        </w:tc>
        <w:tc>
          <w:tcPr>
            <w:tcW w:w="2414" w:type="dxa"/>
            <w:vAlign w:val="center"/>
          </w:tcPr>
          <w:p>
            <w:pPr>
              <w:kinsoku w:val="0"/>
              <w:overflowPunct w:val="0"/>
              <w:jc w:val="center"/>
              <w:rPr>
                <w:bCs/>
                <w:szCs w:val="21"/>
              </w:rPr>
            </w:pPr>
            <w:r>
              <w:rPr>
                <w:rFonts w:hint="eastAsia"/>
                <w:bCs/>
                <w:szCs w:val="21"/>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Merge w:val="continue"/>
            <w:vAlign w:val="center"/>
          </w:tcPr>
          <w:p>
            <w:pPr>
              <w:kinsoku w:val="0"/>
              <w:overflowPunct w:val="0"/>
              <w:jc w:val="center"/>
              <w:rPr>
                <w:rFonts w:ascii="Times New Roman" w:hAnsi="Times New Roman"/>
                <w:szCs w:val="21"/>
              </w:rPr>
            </w:pPr>
          </w:p>
        </w:tc>
        <w:tc>
          <w:tcPr>
            <w:tcW w:w="1411" w:type="dxa"/>
            <w:vAlign w:val="center"/>
          </w:tcPr>
          <w:p>
            <w:pPr>
              <w:kinsoku w:val="0"/>
              <w:overflowPunct w:val="0"/>
              <w:jc w:val="center"/>
              <w:rPr>
                <w:rFonts w:ascii="Times New Roman" w:hAnsi="Times New Roman"/>
                <w:szCs w:val="21"/>
              </w:rPr>
            </w:pPr>
            <w:r>
              <w:rPr>
                <w:rFonts w:ascii="Times New Roman" w:hAnsi="Times New Roman"/>
                <w:szCs w:val="21"/>
              </w:rPr>
              <w:t>危险废物</w:t>
            </w:r>
          </w:p>
        </w:tc>
        <w:tc>
          <w:tcPr>
            <w:tcW w:w="1843" w:type="dxa"/>
            <w:vAlign w:val="center"/>
          </w:tcPr>
          <w:p>
            <w:pPr>
              <w:kinsoku w:val="0"/>
              <w:overflowPunct w:val="0"/>
              <w:jc w:val="center"/>
              <w:rPr>
                <w:rFonts w:ascii="Times New Roman" w:hAnsi="Times New Roman"/>
                <w:szCs w:val="21"/>
              </w:rPr>
            </w:pPr>
            <w:r>
              <w:rPr>
                <w:rFonts w:hint="eastAsia" w:ascii="Times New Roman" w:hAnsi="Times New Roman"/>
                <w:szCs w:val="21"/>
              </w:rPr>
              <w:t>废润滑油</w:t>
            </w:r>
          </w:p>
        </w:tc>
        <w:tc>
          <w:tcPr>
            <w:tcW w:w="2410" w:type="dxa"/>
            <w:vAlign w:val="center"/>
          </w:tcPr>
          <w:p>
            <w:pPr>
              <w:kinsoku w:val="0"/>
              <w:overflowPunct w:val="0"/>
              <w:jc w:val="center"/>
              <w:rPr>
                <w:rFonts w:ascii="Times New Roman" w:hAnsi="Times New Roman"/>
                <w:szCs w:val="21"/>
              </w:rPr>
            </w:pPr>
            <w:r>
              <w:rPr>
                <w:rFonts w:ascii="Times New Roman" w:hAnsi="Times New Roman"/>
                <w:szCs w:val="21"/>
              </w:rPr>
              <w:t>1t/a</w:t>
            </w:r>
          </w:p>
        </w:tc>
        <w:tc>
          <w:tcPr>
            <w:tcW w:w="2414" w:type="dxa"/>
            <w:vAlign w:val="center"/>
          </w:tcPr>
          <w:p>
            <w:pPr>
              <w:kinsoku w:val="0"/>
              <w:overflowPunct w:val="0"/>
              <w:jc w:val="center"/>
              <w:rPr>
                <w:rFonts w:ascii="Times New Roman" w:hAnsi="Times New Roman"/>
                <w:szCs w:val="21"/>
              </w:rPr>
            </w:pPr>
            <w:r>
              <w:rPr>
                <w:rFonts w:ascii="Times New Roman" w:hAnsi="Times New Roman"/>
                <w:szCs w:val="21"/>
              </w:rPr>
              <w:t>收集后暂存于危废暂存库，委托危废处理单位进行无害化处理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94" w:type="dxa"/>
            <w:vAlign w:val="center"/>
          </w:tcPr>
          <w:p>
            <w:pPr>
              <w:overflowPunct w:val="0"/>
              <w:jc w:val="center"/>
              <w:rPr>
                <w:rFonts w:ascii="Times New Roman" w:hAnsi="Times New Roman"/>
                <w:szCs w:val="21"/>
              </w:rPr>
            </w:pPr>
            <w:r>
              <w:rPr>
                <w:rFonts w:ascii="Times New Roman" w:hAnsi="Times New Roman"/>
                <w:szCs w:val="21"/>
              </w:rPr>
              <w:t>噪</w:t>
            </w:r>
          </w:p>
          <w:p>
            <w:pPr>
              <w:overflowPunct w:val="0"/>
              <w:jc w:val="center"/>
              <w:rPr>
                <w:rFonts w:ascii="Times New Roman" w:hAnsi="Times New Roman"/>
                <w:szCs w:val="21"/>
              </w:rPr>
            </w:pPr>
            <w:r>
              <w:rPr>
                <w:rFonts w:ascii="Times New Roman" w:hAnsi="Times New Roman"/>
                <w:szCs w:val="21"/>
              </w:rPr>
              <w:t>声</w:t>
            </w:r>
          </w:p>
        </w:tc>
        <w:tc>
          <w:tcPr>
            <w:tcW w:w="1411" w:type="dxa"/>
            <w:vAlign w:val="center"/>
          </w:tcPr>
          <w:p>
            <w:pPr>
              <w:overflowPunct w:val="0"/>
              <w:jc w:val="center"/>
              <w:rPr>
                <w:rFonts w:ascii="Times New Roman" w:hAnsi="Times New Roman"/>
                <w:szCs w:val="21"/>
              </w:rPr>
            </w:pPr>
            <w:r>
              <w:rPr>
                <w:rFonts w:ascii="Times New Roman" w:hAnsi="Times New Roman"/>
                <w:szCs w:val="21"/>
              </w:rPr>
              <w:t>设备噪声</w:t>
            </w:r>
          </w:p>
        </w:tc>
        <w:tc>
          <w:tcPr>
            <w:tcW w:w="6667" w:type="dxa"/>
            <w:gridSpan w:val="3"/>
            <w:vAlign w:val="center"/>
          </w:tcPr>
          <w:p>
            <w:pPr>
              <w:overflowPunct w:val="0"/>
              <w:jc w:val="center"/>
              <w:rPr>
                <w:rFonts w:ascii="Times New Roman" w:hAnsi="Times New Roman"/>
                <w:szCs w:val="21"/>
              </w:rPr>
            </w:pPr>
            <w:r>
              <w:rPr>
                <w:rFonts w:ascii="Times New Roman" w:hAnsi="Times New Roman"/>
                <w:szCs w:val="21"/>
              </w:rPr>
              <w:t>各设备等效噪声级在65</w:t>
            </w:r>
            <w:r>
              <w:rPr>
                <w:rFonts w:hint="eastAsia" w:ascii="Times New Roman" w:hAnsi="Times New Roman"/>
                <w:szCs w:val="21"/>
              </w:rPr>
              <w:t>~</w:t>
            </w:r>
            <w:r>
              <w:rPr>
                <w:rFonts w:ascii="Times New Roman" w:hAnsi="Times New Roman"/>
                <w:szCs w:val="21"/>
              </w:rPr>
              <w:t>100dB</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w:t>
            </w:r>
            <w:r>
              <w:rPr>
                <w:rFonts w:ascii="Times New Roman" w:hAnsi="Times New Roman"/>
                <w:szCs w:val="21"/>
              </w:rPr>
              <w:t>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9072" w:type="dxa"/>
            <w:gridSpan w:val="5"/>
            <w:vAlign w:val="center"/>
          </w:tcPr>
          <w:p>
            <w:pPr>
              <w:overflowPunct w:val="0"/>
              <w:spacing w:before="240" w:beforeLines="100" w:line="360" w:lineRule="auto"/>
              <w:rPr>
                <w:rFonts w:ascii="Times New Roman" w:hAnsi="Times New Roman"/>
                <w:b/>
                <w:bCs/>
                <w:szCs w:val="21"/>
              </w:rPr>
            </w:pPr>
            <w:r>
              <w:rPr>
                <w:rFonts w:ascii="Times New Roman" w:hAnsi="Times New Roman"/>
                <w:b/>
                <w:bCs/>
                <w:szCs w:val="21"/>
              </w:rPr>
              <w:t>主要生态影响：</w:t>
            </w:r>
          </w:p>
          <w:p>
            <w:pPr>
              <w:spacing w:line="360" w:lineRule="auto"/>
              <w:ind w:firstLine="420" w:firstLineChars="200"/>
              <w:rPr>
                <w:rFonts w:ascii="Times New Roman" w:hAnsi="Times New Roman"/>
                <w:bCs/>
                <w:szCs w:val="21"/>
              </w:rPr>
            </w:pPr>
            <w:r>
              <w:rPr>
                <w:rFonts w:ascii="Times New Roman"/>
                <w:bCs/>
                <w:szCs w:val="21"/>
              </w:rPr>
              <w:t>采石场位于</w:t>
            </w:r>
            <w:r>
              <w:rPr>
                <w:rFonts w:hint="eastAsia" w:ascii="Times New Roman"/>
                <w:bCs/>
                <w:szCs w:val="21"/>
              </w:rPr>
              <w:t>益阳市桃江县鸬鹚渡镇百亩村</w:t>
            </w:r>
            <w:r>
              <w:rPr>
                <w:rFonts w:ascii="Times New Roman"/>
                <w:bCs/>
                <w:szCs w:val="21"/>
              </w:rPr>
              <w:t>，区域内植被以林地、灌草地为主。随着</w:t>
            </w:r>
            <w:r>
              <w:rPr>
                <w:rFonts w:hint="eastAsia" w:ascii="Times New Roman"/>
                <w:bCs/>
                <w:szCs w:val="21"/>
              </w:rPr>
              <w:t>加工区</w:t>
            </w:r>
            <w:r>
              <w:rPr>
                <w:rFonts w:ascii="Times New Roman"/>
                <w:bCs/>
                <w:szCs w:val="21"/>
              </w:rPr>
              <w:t>的建设和排土场的使用，矿山的开采，对区域生态环境存在一定影响。主要表现在：</w:t>
            </w:r>
          </w:p>
          <w:p>
            <w:pPr>
              <w:spacing w:line="360" w:lineRule="auto"/>
              <w:ind w:firstLine="420" w:firstLineChars="200"/>
              <w:rPr>
                <w:rFonts w:ascii="Times New Roman" w:hAnsi="Times New Roman"/>
                <w:bCs/>
                <w:szCs w:val="21"/>
              </w:rPr>
            </w:pPr>
            <w:r>
              <w:rPr>
                <w:rFonts w:ascii="Times New Roman" w:hAnsi="宋体"/>
                <w:bCs/>
                <w:szCs w:val="21"/>
              </w:rPr>
              <w:t>①</w:t>
            </w:r>
            <w:r>
              <w:rPr>
                <w:rFonts w:ascii="Times New Roman"/>
                <w:bCs/>
                <w:szCs w:val="21"/>
              </w:rPr>
              <w:t>、破坏植被及景观。矿山的开采和工业广场的建设，将破坏地表原批复植被，改变土地利用现状，形成采坑，对局部景观也存在一定影响。</w:t>
            </w:r>
          </w:p>
          <w:p>
            <w:pPr>
              <w:spacing w:line="360" w:lineRule="auto"/>
              <w:ind w:firstLine="420" w:firstLineChars="200"/>
              <w:rPr>
                <w:rFonts w:ascii="Times New Roman" w:hAnsi="Times New Roman"/>
                <w:bCs/>
                <w:szCs w:val="21"/>
              </w:rPr>
            </w:pPr>
            <w:r>
              <w:rPr>
                <w:rFonts w:ascii="Times New Roman" w:hAnsi="宋体"/>
                <w:bCs/>
                <w:szCs w:val="21"/>
              </w:rPr>
              <w:t>②</w:t>
            </w:r>
            <w:r>
              <w:rPr>
                <w:rFonts w:ascii="Times New Roman"/>
                <w:bCs/>
                <w:szCs w:val="21"/>
              </w:rPr>
              <w:t>、降低生态系统异质性。矿山的开采，在空间上改变了山林生态系统的异质性，导致系统异质性程度明显降低，这对山林生态系统的物种多样性和种群的发展造成一定的不利影响。</w:t>
            </w:r>
          </w:p>
          <w:p>
            <w:pPr>
              <w:spacing w:line="360" w:lineRule="auto"/>
              <w:ind w:firstLine="420" w:firstLineChars="200"/>
              <w:rPr>
                <w:rFonts w:ascii="Times New Roman" w:hAnsi="Times New Roman"/>
                <w:bCs/>
                <w:szCs w:val="21"/>
              </w:rPr>
            </w:pPr>
            <w:r>
              <w:rPr>
                <w:rFonts w:ascii="Times New Roman" w:hAnsi="宋体"/>
                <w:bCs/>
                <w:szCs w:val="21"/>
              </w:rPr>
              <w:t>③</w:t>
            </w:r>
            <w:r>
              <w:rPr>
                <w:rFonts w:ascii="Times New Roman"/>
                <w:bCs/>
                <w:szCs w:val="21"/>
              </w:rPr>
              <w:t>、影响群落关系。山林绿地主要是自然次生植被，物种之间形成了相互依赖、相互制约的关系，露天开采破坏了较大面积植被，对物种间互相依赖、相互制约的关系产生一定影响，降低生态系统及其生物群落的稳定性，致使系统抵御外界干扰的能力下降。</w:t>
            </w:r>
          </w:p>
          <w:p>
            <w:pPr>
              <w:spacing w:line="360" w:lineRule="auto"/>
              <w:ind w:firstLine="420" w:firstLineChars="200"/>
              <w:rPr>
                <w:rFonts w:ascii="Times New Roman" w:hAnsi="Times New Roman"/>
                <w:bCs/>
                <w:szCs w:val="21"/>
              </w:rPr>
            </w:pPr>
            <w:r>
              <w:rPr>
                <w:rFonts w:ascii="Times New Roman" w:hAnsi="宋体"/>
                <w:bCs/>
                <w:szCs w:val="21"/>
              </w:rPr>
              <w:t>④</w:t>
            </w:r>
            <w:r>
              <w:rPr>
                <w:rFonts w:ascii="Times New Roman"/>
                <w:bCs/>
                <w:szCs w:val="21"/>
              </w:rPr>
              <w:t>、对局部区域生物量造成一定影响。矿产资源的开采，局部改变了山林生态系统原批复生态功能，野生动物和鸟类原批复生境遭到破坏，部分动物种群迁徒，部分种子群、群落由于受到干扰逐渐退化，甚至消失，降低了动植物数量。</w:t>
            </w:r>
          </w:p>
          <w:p>
            <w:pPr>
              <w:spacing w:line="360" w:lineRule="auto"/>
              <w:ind w:firstLine="420" w:firstLineChars="200"/>
              <w:rPr>
                <w:rFonts w:ascii="Times New Roman" w:hAnsi="Times New Roman"/>
                <w:bCs/>
                <w:szCs w:val="21"/>
              </w:rPr>
            </w:pPr>
            <w:r>
              <w:rPr>
                <w:rFonts w:ascii="Times New Roman" w:hAnsi="宋体"/>
                <w:bCs/>
                <w:szCs w:val="21"/>
              </w:rPr>
              <w:t>⑤</w:t>
            </w:r>
            <w:r>
              <w:rPr>
                <w:rFonts w:ascii="Times New Roman"/>
                <w:bCs/>
                <w:szCs w:val="21"/>
              </w:rPr>
              <w:t>、造成水土流失。矿山的开采，破坏山林生态系统地表植被，增大地表裸露面积，降低了植被对土壤资源化的有利作用，导致土壤疏松裸露，系统水土保持能力下降。受雨水冲刷影响，地表径流增大，易造成水土流失。</w:t>
            </w:r>
          </w:p>
          <w:p>
            <w:pPr>
              <w:spacing w:line="360" w:lineRule="auto"/>
              <w:ind w:firstLine="420" w:firstLineChars="200"/>
              <w:rPr>
                <w:rFonts w:ascii="Times New Roman" w:hAnsi="Times New Roman"/>
                <w:bCs/>
                <w:szCs w:val="21"/>
              </w:rPr>
            </w:pPr>
            <w:r>
              <w:rPr>
                <w:rFonts w:ascii="Times New Roman" w:hAnsi="宋体"/>
                <w:bCs/>
                <w:szCs w:val="21"/>
              </w:rPr>
              <w:t>⑥</w:t>
            </w:r>
            <w:r>
              <w:rPr>
                <w:rFonts w:ascii="Times New Roman"/>
                <w:bCs/>
                <w:szCs w:val="21"/>
              </w:rPr>
              <w:t>、土地荒漠化</w:t>
            </w:r>
          </w:p>
          <w:p>
            <w:pPr>
              <w:spacing w:line="360" w:lineRule="auto"/>
              <w:ind w:firstLine="420" w:firstLineChars="200"/>
              <w:rPr>
                <w:rFonts w:ascii="Times New Roman" w:hAnsi="Times New Roman"/>
                <w:bCs/>
                <w:szCs w:val="21"/>
              </w:rPr>
            </w:pPr>
            <w:r>
              <w:rPr>
                <w:rFonts w:ascii="Times New Roman"/>
                <w:bCs/>
                <w:szCs w:val="21"/>
              </w:rPr>
              <w:t>现状条件不存在土地荒漠现象，未来矿业活动将产生露天凹坑和排土场及临时建筑占用地场所，露天凹坑根据开采利用规划实行剥离土回填，可采用粘土整平的方式进行治理恢复，</w:t>
            </w:r>
            <w:r>
              <w:rPr>
                <w:rFonts w:ascii="Times New Roman" w:hAnsi="Times New Roman"/>
                <w:bCs/>
                <w:szCs w:val="21"/>
              </w:rPr>
              <w:t xml:space="preserve"> </w:t>
            </w:r>
            <w:r>
              <w:rPr>
                <w:rFonts w:ascii="Times New Roman"/>
                <w:bCs/>
                <w:szCs w:val="21"/>
              </w:rPr>
              <w:t>剥离土堆积场也可采用粘土整平的方式进行治理恢复，建筑占用地场所可拆除，清理恢复。因此预测评估，未来矿业活动不会引起矿山土地荒漠化。</w:t>
            </w:r>
          </w:p>
          <w:p>
            <w:pPr>
              <w:spacing w:line="360" w:lineRule="auto"/>
              <w:ind w:firstLine="420" w:firstLineChars="200"/>
              <w:rPr>
                <w:rFonts w:ascii="Times New Roman" w:hAnsi="Times New Roman"/>
                <w:bCs/>
                <w:szCs w:val="21"/>
              </w:rPr>
            </w:pPr>
            <w:r>
              <w:rPr>
                <w:rFonts w:ascii="Times New Roman"/>
                <w:bCs/>
                <w:szCs w:val="21"/>
              </w:rPr>
              <w:t>破碎和运输扬尘可能产生的影响主要是粉尘对周边树木的影响。企业应采取措施收集粉尘，并定期对周边树木进行喷淋洒水，则对周边生态环境影响不大。</w:t>
            </w:r>
          </w:p>
          <w:p>
            <w:pPr>
              <w:spacing w:line="360" w:lineRule="auto"/>
              <w:ind w:firstLine="420" w:firstLineChars="200"/>
              <w:rPr>
                <w:rFonts w:ascii="Times New Roman" w:hAnsi="Times New Roman"/>
                <w:bCs/>
                <w:szCs w:val="21"/>
              </w:rPr>
            </w:pPr>
            <w:r>
              <w:rPr>
                <w:rFonts w:ascii="Times New Roman"/>
                <w:bCs/>
                <w:szCs w:val="21"/>
              </w:rPr>
              <w:t>为保护当地的生态环境，防止水土流失，本工程施工期间及施工期后应针对工程建设存在的生态影响采取如下防治与恢复措施：</w:t>
            </w:r>
          </w:p>
          <w:p>
            <w:pPr>
              <w:spacing w:line="360" w:lineRule="auto"/>
              <w:ind w:firstLine="420" w:firstLineChars="200"/>
              <w:rPr>
                <w:rFonts w:ascii="Times New Roman" w:hAnsi="Times New Roman"/>
                <w:bCs/>
                <w:szCs w:val="21"/>
              </w:rPr>
            </w:pPr>
            <w:r>
              <w:rPr>
                <w:rFonts w:ascii="Times New Roman"/>
                <w:bCs/>
                <w:szCs w:val="21"/>
              </w:rPr>
              <w:t>（</w:t>
            </w:r>
            <w:r>
              <w:rPr>
                <w:rFonts w:ascii="Times New Roman" w:hAnsi="Times New Roman"/>
                <w:bCs/>
                <w:szCs w:val="21"/>
              </w:rPr>
              <w:t>1</w:t>
            </w:r>
            <w:r>
              <w:rPr>
                <w:rFonts w:ascii="Times New Roman"/>
                <w:bCs/>
                <w:szCs w:val="21"/>
              </w:rPr>
              <w:t>）、场地内按工程需求和原批复地形分别保持不同的标高，进行土石方平衡，以减少土方工程量。</w:t>
            </w:r>
          </w:p>
          <w:p>
            <w:pPr>
              <w:spacing w:line="360" w:lineRule="auto"/>
              <w:ind w:firstLine="420" w:firstLineChars="200"/>
              <w:rPr>
                <w:rFonts w:ascii="Times New Roman" w:hAnsi="Times New Roman"/>
                <w:bCs/>
                <w:szCs w:val="21"/>
              </w:rPr>
            </w:pPr>
            <w:r>
              <w:rPr>
                <w:rFonts w:ascii="Times New Roman"/>
                <w:bCs/>
                <w:szCs w:val="21"/>
              </w:rPr>
              <w:t>（</w:t>
            </w:r>
            <w:r>
              <w:rPr>
                <w:rFonts w:ascii="Times New Roman" w:hAnsi="Times New Roman"/>
                <w:bCs/>
                <w:szCs w:val="21"/>
              </w:rPr>
              <w:t>2</w:t>
            </w:r>
            <w:r>
              <w:rPr>
                <w:rFonts w:ascii="Times New Roman"/>
                <w:bCs/>
                <w:szCs w:val="21"/>
              </w:rPr>
              <w:t>）、采取临时防护措施，在施工场地周围设临时截洪沟，并在截洪沟末端设临时沉淀池，对雨水中的泥沙作初步的沉积。</w:t>
            </w:r>
          </w:p>
          <w:p>
            <w:pPr>
              <w:spacing w:line="360" w:lineRule="auto"/>
              <w:ind w:firstLine="420" w:firstLineChars="200"/>
              <w:rPr>
                <w:rFonts w:ascii="Times New Roman" w:hAnsi="Times New Roman"/>
                <w:bCs/>
                <w:szCs w:val="21"/>
              </w:rPr>
            </w:pPr>
            <w:r>
              <w:rPr>
                <w:rFonts w:ascii="Times New Roman"/>
                <w:bCs/>
                <w:szCs w:val="21"/>
              </w:rPr>
              <w:t>（</w:t>
            </w:r>
            <w:r>
              <w:rPr>
                <w:rFonts w:ascii="Times New Roman" w:hAnsi="Times New Roman"/>
                <w:bCs/>
                <w:szCs w:val="21"/>
              </w:rPr>
              <w:t>3</w:t>
            </w:r>
            <w:r>
              <w:rPr>
                <w:rFonts w:ascii="Times New Roman"/>
                <w:bCs/>
                <w:szCs w:val="21"/>
              </w:rPr>
              <w:t>）、加强设备堆放场、土石材料堆放场的防径流冲刷措施，如铺盖防水雨布，在堆放场周围开挖疏排水沟等。</w:t>
            </w:r>
          </w:p>
          <w:p>
            <w:pPr>
              <w:spacing w:line="360" w:lineRule="auto"/>
              <w:ind w:firstLine="420" w:firstLineChars="200"/>
              <w:rPr>
                <w:rFonts w:ascii="Times New Roman" w:hAnsi="Times New Roman"/>
                <w:bCs/>
                <w:szCs w:val="21"/>
              </w:rPr>
            </w:pPr>
            <w:r>
              <w:rPr>
                <w:rFonts w:ascii="Times New Roman"/>
                <w:bCs/>
                <w:szCs w:val="21"/>
              </w:rPr>
              <w:t>（</w:t>
            </w:r>
            <w:r>
              <w:rPr>
                <w:rFonts w:ascii="Times New Roman" w:hAnsi="Times New Roman"/>
                <w:bCs/>
                <w:szCs w:val="21"/>
              </w:rPr>
              <w:t>4</w:t>
            </w:r>
            <w:r>
              <w:rPr>
                <w:rFonts w:ascii="Times New Roman"/>
                <w:bCs/>
                <w:szCs w:val="21"/>
              </w:rPr>
              <w:t>）在施工场地建立固废临时堆弃场，施工弃土和废弃材料均须堆至场内，统一外运或直接填埋洼地，不得随意排放。</w:t>
            </w:r>
            <w:r>
              <w:rPr>
                <w:rFonts w:hint="eastAsia" w:ascii="Times New Roman"/>
                <w:bCs/>
                <w:szCs w:val="21"/>
              </w:rPr>
              <w:t>北</w:t>
            </w:r>
            <w:r>
              <w:rPr>
                <w:rFonts w:ascii="Times New Roman"/>
                <w:bCs/>
                <w:szCs w:val="21"/>
              </w:rPr>
              <w:t>侧断面</w:t>
            </w:r>
            <w:r>
              <w:rPr>
                <w:rFonts w:hint="eastAsia" w:ascii="Times New Roman"/>
                <w:bCs/>
                <w:szCs w:val="21"/>
              </w:rPr>
              <w:t>东</w:t>
            </w:r>
            <w:r>
              <w:rPr>
                <w:rFonts w:ascii="Times New Roman"/>
                <w:bCs/>
                <w:szCs w:val="21"/>
              </w:rPr>
              <w:t>侧边界设挡土墙和导水沟渠，以防水土流失。</w:t>
            </w:r>
          </w:p>
          <w:p>
            <w:pPr>
              <w:spacing w:line="360" w:lineRule="auto"/>
              <w:ind w:firstLine="420" w:firstLineChars="200"/>
              <w:rPr>
                <w:rFonts w:ascii="Times New Roman" w:hAnsi="Times New Roman"/>
                <w:b/>
                <w:bCs/>
                <w:szCs w:val="21"/>
              </w:rPr>
            </w:pPr>
            <w:r>
              <w:rPr>
                <w:rFonts w:ascii="Times New Roman"/>
                <w:bCs/>
                <w:szCs w:val="21"/>
              </w:rPr>
              <w:t>（</w:t>
            </w:r>
            <w:r>
              <w:rPr>
                <w:rFonts w:ascii="Times New Roman" w:hAnsi="Times New Roman"/>
                <w:bCs/>
                <w:szCs w:val="21"/>
              </w:rPr>
              <w:t>5</w:t>
            </w:r>
            <w:r>
              <w:rPr>
                <w:rFonts w:ascii="Times New Roman"/>
                <w:bCs/>
                <w:szCs w:val="21"/>
              </w:rPr>
              <w:t>）对表层土壤暂存于排土场，用于复垦。及时对开采完的矿区进行复垦绿化，防止水土流失。</w:t>
            </w:r>
          </w:p>
          <w:p>
            <w:pPr>
              <w:overflowPunct w:val="0"/>
              <w:spacing w:line="360" w:lineRule="auto"/>
              <w:ind w:firstLine="420" w:firstLineChars="200"/>
              <w:rPr>
                <w:rFonts w:ascii="Times New Roman"/>
                <w:bCs/>
                <w:szCs w:val="21"/>
              </w:rPr>
            </w:pPr>
            <w:r>
              <w:rPr>
                <w:rFonts w:ascii="Times New Roman"/>
                <w:bCs/>
                <w:szCs w:val="21"/>
              </w:rPr>
              <w:t>企业应委托有资质的单位按照《矿山生态环境保护与恢复治理技术规范</w:t>
            </w:r>
            <w:r>
              <w:rPr>
                <w:rFonts w:ascii="Times New Roman" w:hAnsi="Times New Roman"/>
                <w:bCs/>
                <w:szCs w:val="21"/>
              </w:rPr>
              <w:t>(</w:t>
            </w:r>
            <w:r>
              <w:rPr>
                <w:rFonts w:ascii="Times New Roman"/>
                <w:bCs/>
                <w:szCs w:val="21"/>
              </w:rPr>
              <w:t>试行</w:t>
            </w:r>
            <w:r>
              <w:rPr>
                <w:rFonts w:ascii="Times New Roman" w:hAnsi="Times New Roman"/>
                <w:bCs/>
                <w:szCs w:val="21"/>
              </w:rPr>
              <w:t>)</w:t>
            </w:r>
            <w:r>
              <w:rPr>
                <w:rFonts w:ascii="Times New Roman"/>
                <w:bCs/>
                <w:szCs w:val="21"/>
              </w:rPr>
              <w:t>》</w:t>
            </w:r>
            <w:r>
              <w:rPr>
                <w:rFonts w:ascii="Times New Roman" w:hAnsi="Times New Roman"/>
                <w:bCs/>
                <w:szCs w:val="21"/>
              </w:rPr>
              <w:t>(HJ651—2013)</w:t>
            </w:r>
            <w:r>
              <w:rPr>
                <w:rFonts w:ascii="Times New Roman"/>
                <w:bCs/>
                <w:szCs w:val="21"/>
              </w:rPr>
              <w:t>各项要求，编制并严格实施矿山生态环境保护与恢复治理方案。</w:t>
            </w: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hint="eastAsia"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bCs/>
                <w:szCs w:val="21"/>
              </w:rPr>
            </w:pPr>
          </w:p>
          <w:p>
            <w:pPr>
              <w:overflowPunct w:val="0"/>
              <w:spacing w:line="360" w:lineRule="auto"/>
              <w:ind w:firstLine="420" w:firstLineChars="200"/>
              <w:rPr>
                <w:rFonts w:ascii="Times New Roman" w:hAnsi="Times New Roman"/>
                <w:szCs w:val="21"/>
              </w:rPr>
            </w:pPr>
          </w:p>
        </w:tc>
      </w:tr>
    </w:tbl>
    <w:p>
      <w:pPr>
        <w:pStyle w:val="2"/>
        <w:keepNext w:val="0"/>
        <w:keepLines w:val="0"/>
        <w:kinsoku w:val="0"/>
        <w:overflowPunct w:val="0"/>
        <w:rPr>
          <w:rFonts w:ascii="Times New Roman" w:hAnsi="Times New Roman"/>
        </w:rPr>
        <w:sectPr>
          <w:pgSz w:w="11906" w:h="16838"/>
          <w:pgMar w:top="1418" w:right="1418" w:bottom="1418" w:left="1418" w:header="851" w:footer="992" w:gutter="0"/>
          <w:pgNumType w:chapStyle="1"/>
          <w:cols w:space="720" w:num="1"/>
          <w:docGrid w:linePitch="318" w:charSpace="190"/>
        </w:sectPr>
      </w:pPr>
      <w:bookmarkStart w:id="38" w:name="_Toc511833762"/>
      <w:bookmarkStart w:id="39" w:name="_Toc511833653"/>
      <w:bookmarkStart w:id="40" w:name="_Toc511833743"/>
    </w:p>
    <w:p>
      <w:pPr>
        <w:pStyle w:val="2"/>
        <w:kinsoku w:val="0"/>
        <w:overflowPunct w:val="0"/>
        <w:spacing w:line="240" w:lineRule="auto"/>
        <w:rPr>
          <w:rFonts w:ascii="Times New Roman" w:hAnsi="Times New Roman"/>
        </w:rPr>
      </w:pPr>
      <w:r>
        <w:rPr>
          <w:rFonts w:ascii="Times New Roman" w:hAnsi="Times New Roman"/>
        </w:rPr>
        <w:t>六、环境影响分析及防治措施分析</w:t>
      </w:r>
      <w:bookmarkEnd w:id="38"/>
      <w:bookmarkEnd w:id="39"/>
      <w:bookmarkEnd w:id="40"/>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2" w:type="dxa"/>
          </w:tcPr>
          <w:p>
            <w:pPr>
              <w:overflowPunct w:val="0"/>
              <w:spacing w:before="120" w:beforeLines="50" w:line="360" w:lineRule="auto"/>
              <w:jc w:val="left"/>
              <w:textAlignment w:val="baseline"/>
              <w:outlineLvl w:val="1"/>
              <w:rPr>
                <w:rFonts w:ascii="Times New Roman" w:hAnsi="Times New Roman"/>
                <w:b/>
                <w:spacing w:val="8"/>
                <w:sz w:val="28"/>
                <w:szCs w:val="28"/>
              </w:rPr>
            </w:pPr>
            <w:bookmarkStart w:id="41" w:name="_Toc470359628"/>
            <w:bookmarkStart w:id="42" w:name="_Toc509910170"/>
            <w:bookmarkStart w:id="43" w:name="_Toc511833654"/>
            <w:bookmarkStart w:id="44" w:name="_Toc511833744"/>
            <w:bookmarkStart w:id="45" w:name="_Toc511833763"/>
            <w:r>
              <w:rPr>
                <w:rFonts w:ascii="Times New Roman" w:hAnsi="Times New Roman"/>
                <w:b/>
                <w:spacing w:val="8"/>
                <w:sz w:val="28"/>
                <w:szCs w:val="28"/>
              </w:rPr>
              <w:t>（一）施工期环境影响及防治措施分析</w:t>
            </w:r>
            <w:bookmarkEnd w:id="41"/>
            <w:bookmarkEnd w:id="42"/>
            <w:bookmarkEnd w:id="43"/>
            <w:bookmarkEnd w:id="44"/>
            <w:bookmarkEnd w:id="45"/>
          </w:p>
          <w:p>
            <w:pPr>
              <w:overflowPunct w:val="0"/>
              <w:spacing w:line="360" w:lineRule="auto"/>
              <w:textAlignment w:val="baseline"/>
              <w:rPr>
                <w:rFonts w:ascii="Times New Roman" w:hAnsi="Times New Roman"/>
                <w:b/>
                <w:spacing w:val="8"/>
                <w:sz w:val="24"/>
                <w:szCs w:val="24"/>
                <w:lang w:val="sq-AL"/>
              </w:rPr>
            </w:pPr>
            <w:r>
              <w:rPr>
                <w:rFonts w:hint="eastAsia" w:ascii="Times New Roman" w:hAnsi="Times New Roman"/>
                <w:b/>
                <w:spacing w:val="8"/>
                <w:sz w:val="24"/>
                <w:szCs w:val="24"/>
                <w:lang w:val="sq-AL"/>
              </w:rPr>
              <w:t>1 施工期环境空气影响分析</w:t>
            </w:r>
          </w:p>
          <w:p>
            <w:pPr>
              <w:widowControl/>
              <w:spacing w:line="360" w:lineRule="auto"/>
              <w:ind w:firstLine="480" w:firstLineChars="200"/>
              <w:rPr>
                <w:rFonts w:ascii="宋体" w:hAnsi="宋体"/>
                <w:sz w:val="24"/>
                <w:szCs w:val="24"/>
              </w:rPr>
            </w:pPr>
            <w:r>
              <w:rPr>
                <w:rFonts w:hint="eastAsia" w:ascii="宋体" w:hAnsi="宋体"/>
                <w:sz w:val="24"/>
                <w:szCs w:val="24"/>
              </w:rPr>
              <w:t>施工期大气污染源主要为施工扬尘和施工机械及运输车辆产生的尾气。</w:t>
            </w:r>
          </w:p>
          <w:p>
            <w:pPr>
              <w:spacing w:line="360" w:lineRule="auto"/>
              <w:rPr>
                <w:rFonts w:ascii="Times New Roman" w:hAnsi="Times New Roman"/>
                <w:b/>
                <w:color w:val="000000"/>
                <w:spacing w:val="8"/>
                <w:sz w:val="24"/>
              </w:rPr>
            </w:pPr>
            <w:r>
              <w:rPr>
                <w:rFonts w:ascii="Times New Roman" w:hAnsi="Times New Roman"/>
                <w:b/>
                <w:color w:val="000000"/>
                <w:spacing w:val="8"/>
                <w:sz w:val="24"/>
              </w:rPr>
              <w:t>1</w:t>
            </w:r>
            <w:r>
              <w:rPr>
                <w:rFonts w:ascii="Times New Roman" w:hAnsi="宋体"/>
                <w:b/>
                <w:color w:val="000000"/>
                <w:spacing w:val="8"/>
                <w:sz w:val="24"/>
              </w:rPr>
              <w:t xml:space="preserve">.1 </w:t>
            </w:r>
            <w:r>
              <w:rPr>
                <w:rFonts w:hint="eastAsia" w:ascii="Times New Roman" w:hAnsi="宋体"/>
                <w:b/>
                <w:color w:val="000000"/>
                <w:spacing w:val="8"/>
                <w:sz w:val="24"/>
              </w:rPr>
              <w:t>扬尘</w:t>
            </w:r>
          </w:p>
          <w:p>
            <w:pPr>
              <w:spacing w:line="360" w:lineRule="auto"/>
              <w:ind w:firstLine="480" w:firstLineChars="200"/>
              <w:rPr>
                <w:rFonts w:ascii="Times New Roman" w:hAnsi="Times New Roman"/>
                <w:color w:val="000000"/>
                <w:sz w:val="24"/>
              </w:rPr>
            </w:pPr>
            <w:r>
              <w:rPr>
                <w:rFonts w:hint="eastAsia" w:ascii="Times New Roman" w:hAnsi="宋体"/>
                <w:sz w:val="24"/>
                <w:szCs w:val="24"/>
              </w:rPr>
              <w:t>项目在施工过程中</w:t>
            </w:r>
            <w:r>
              <w:rPr>
                <w:rFonts w:hint="eastAsia" w:ascii="Times New Roman" w:hAnsi="宋体"/>
                <w:color w:val="000000"/>
                <w:sz w:val="24"/>
              </w:rPr>
              <w:t>，扬尘起尘特征总体分为两类：一类是静态起尘，主要指建筑垃圾堆放过程中风蚀尘及施工场地的风蚀尘；另一类是动态起尘，主要指建筑材料、建筑垃圾装卸过程起尘及运输车辆往来造成的地面扬尘。扬尘是施工阶段影响周边大气环境的重要污染源。</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1</w:t>
            </w:r>
            <w:r>
              <w:rPr>
                <w:rFonts w:hint="eastAsia" w:ascii="Times New Roman" w:hAnsi="Times New Roman"/>
                <w:color w:val="000000"/>
                <w:sz w:val="24"/>
              </w:rPr>
              <w:t>）</w:t>
            </w:r>
            <w:r>
              <w:rPr>
                <w:rFonts w:hint="eastAsia" w:ascii="Times New Roman" w:hAnsi="宋体"/>
                <w:color w:val="000000"/>
                <w:sz w:val="24"/>
              </w:rPr>
              <w:t>施工期扬尘起尘因素分析</w:t>
            </w:r>
          </w:p>
          <w:p>
            <w:pPr>
              <w:spacing w:line="360" w:lineRule="auto"/>
              <w:ind w:firstLine="480" w:firstLineChars="200"/>
              <w:rPr>
                <w:rFonts w:ascii="Times New Roman" w:hAnsi="Times New Roman"/>
                <w:color w:val="000000"/>
                <w:sz w:val="24"/>
              </w:rPr>
            </w:pPr>
            <w:r>
              <w:rPr>
                <w:rFonts w:hint="eastAsia" w:ascii="Times New Roman" w:hAnsi="宋体"/>
                <w:color w:val="000000"/>
                <w:sz w:val="24"/>
              </w:rPr>
              <w:t>在整个施工期间，产生扬尘的作业主要有建材运输及露天堆放、装卸和搅拌等过程，其中车辆运输、装卸及施工开挖造成的扬尘最为严重。</w:t>
            </w:r>
          </w:p>
          <w:p>
            <w:pPr>
              <w:widowControl/>
              <w:spacing w:line="360" w:lineRule="auto"/>
              <w:ind w:firstLine="480" w:firstLineChars="200"/>
              <w:rPr>
                <w:rFonts w:ascii="Times New Roman" w:hAnsi="宋体"/>
                <w:color w:val="000000"/>
                <w:sz w:val="24"/>
              </w:rPr>
            </w:pPr>
            <w:r>
              <w:rPr>
                <w:rFonts w:hint="eastAsia" w:ascii="Times New Roman" w:hAnsi="宋体"/>
                <w:color w:val="000000"/>
                <w:sz w:val="24"/>
              </w:rPr>
              <w:t>据有关调查显示，施工工地的扬尘主要是由运输车辆行驶产生，与道路路面及车辆行驶速度有关，约占扬尘总量的</w:t>
            </w:r>
            <w:r>
              <w:rPr>
                <w:rFonts w:ascii="Times New Roman" w:hAnsi="Times New Roman"/>
                <w:color w:val="000000"/>
                <w:sz w:val="24"/>
              </w:rPr>
              <w:t>60%</w:t>
            </w:r>
            <w:r>
              <w:rPr>
                <w:rFonts w:hint="eastAsia" w:ascii="Times New Roman" w:hAnsi="宋体"/>
                <w:color w:val="000000"/>
                <w:sz w:val="24"/>
              </w:rPr>
              <w:t>。一辆载重</w:t>
            </w:r>
            <w:r>
              <w:rPr>
                <w:rFonts w:ascii="Times New Roman" w:hAnsi="Times New Roman"/>
                <w:color w:val="000000"/>
                <w:sz w:val="24"/>
              </w:rPr>
              <w:t>5t</w:t>
            </w:r>
            <w:r>
              <w:rPr>
                <w:rFonts w:hint="eastAsia" w:ascii="Times New Roman" w:hAnsi="宋体"/>
                <w:color w:val="000000"/>
                <w:sz w:val="24"/>
              </w:rPr>
              <w:t>的卡车，通过一段长度为</w:t>
            </w:r>
            <w:r>
              <w:rPr>
                <w:rFonts w:ascii="Times New Roman" w:hAnsi="Times New Roman"/>
                <w:color w:val="000000"/>
                <w:sz w:val="24"/>
              </w:rPr>
              <w:t>500m</w:t>
            </w:r>
            <w:r>
              <w:rPr>
                <w:rFonts w:hint="eastAsia" w:ascii="Times New Roman" w:hAnsi="宋体"/>
                <w:color w:val="000000"/>
                <w:sz w:val="24"/>
              </w:rPr>
              <w:t>的路面时，不同表面清洁程度，不同行驶速度情况下产生的扬尘量见下表所示。</w:t>
            </w:r>
          </w:p>
          <w:p>
            <w:pPr>
              <w:spacing w:line="360" w:lineRule="auto"/>
              <w:jc w:val="center"/>
              <w:rPr>
                <w:rFonts w:ascii="Times New Roman" w:hAnsi="Times New Roman"/>
                <w:b/>
                <w:sz w:val="24"/>
                <w:szCs w:val="24"/>
              </w:rPr>
            </w:pPr>
            <w:r>
              <w:rPr>
                <w:rFonts w:hint="eastAsia" w:ascii="Times New Roman" w:hAnsi="宋体"/>
                <w:b/>
                <w:sz w:val="24"/>
                <w:szCs w:val="24"/>
              </w:rPr>
              <w:t>表</w:t>
            </w:r>
            <w:r>
              <w:rPr>
                <w:rFonts w:ascii="Times New Roman" w:hAnsi="Times New Roman"/>
                <w:b/>
                <w:sz w:val="24"/>
                <w:szCs w:val="24"/>
              </w:rPr>
              <w:t xml:space="preserve">6-1  </w:t>
            </w:r>
            <w:r>
              <w:rPr>
                <w:rFonts w:hint="eastAsia" w:ascii="Times New Roman" w:hAnsi="宋体"/>
                <w:b/>
                <w:sz w:val="24"/>
                <w:szCs w:val="24"/>
              </w:rPr>
              <w:t>不同车速和地面清洁程度时的汽车扬尘</w:t>
            </w:r>
            <w:r>
              <w:rPr>
                <w:rFonts w:ascii="Times New Roman" w:hAnsi="宋体"/>
                <w:b/>
                <w:sz w:val="24"/>
                <w:szCs w:val="24"/>
              </w:rPr>
              <w:t xml:space="preserve">  </w:t>
            </w:r>
            <w:r>
              <w:rPr>
                <w:rFonts w:hint="eastAsia" w:ascii="Times New Roman" w:hAnsi="宋体"/>
                <w:b/>
                <w:sz w:val="24"/>
                <w:szCs w:val="24"/>
              </w:rPr>
              <w:t>单位</w:t>
            </w:r>
            <w:r>
              <w:rPr>
                <w:rFonts w:ascii="Times New Roman" w:hAnsi="宋体"/>
                <w:b/>
                <w:sz w:val="24"/>
                <w:szCs w:val="24"/>
              </w:rPr>
              <w:t>:</w:t>
            </w:r>
            <w:r>
              <w:rPr>
                <w:rFonts w:ascii="Times New Roman" w:hAnsi="Times New Roman"/>
                <w:b/>
                <w:sz w:val="24"/>
                <w:szCs w:val="24"/>
              </w:rPr>
              <w:t>kg/km·</w:t>
            </w:r>
            <w:r>
              <w:rPr>
                <w:rFonts w:hint="eastAsia" w:ascii="Times New Roman" w:hAnsi="宋体"/>
                <w:b/>
                <w:sz w:val="24"/>
                <w:szCs w:val="24"/>
              </w:rPr>
              <w:t>辆</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22"/>
              <w:gridCol w:w="1233"/>
              <w:gridCol w:w="1233"/>
              <w:gridCol w:w="1231"/>
              <w:gridCol w:w="1143"/>
              <w:gridCol w:w="1195"/>
              <w:gridCol w:w="12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94" w:type="dxa"/>
                  <w:tcBorders>
                    <w:top w:val="single" w:color="000000" w:sz="12" w:space="0"/>
                    <w:left w:val="single" w:color="000000" w:sz="12"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P</w:t>
                  </w:r>
                  <w:r>
                    <w:rPr>
                      <w:rFonts w:hint="eastAsia" w:ascii="Times New Roman" w:hAnsi="宋体"/>
                      <w:b/>
                      <w:color w:val="000000"/>
                      <w:szCs w:val="21"/>
                    </w:rPr>
                    <w:t>（</w:t>
                  </w:r>
                  <w:r>
                    <w:rPr>
                      <w:rFonts w:ascii="Times New Roman" w:hAnsi="Times New Roman"/>
                      <w:b/>
                      <w:color w:val="000000"/>
                      <w:szCs w:val="21"/>
                    </w:rPr>
                    <w:t>kg/m</w:t>
                  </w:r>
                  <w:r>
                    <w:rPr>
                      <w:rFonts w:ascii="Times New Roman" w:hAnsi="Times New Roman"/>
                      <w:b/>
                      <w:color w:val="000000"/>
                      <w:szCs w:val="21"/>
                      <w:vertAlign w:val="superscript"/>
                    </w:rPr>
                    <w:t>2</w:t>
                  </w:r>
                  <w:r>
                    <w:rPr>
                      <w:rFonts w:hint="eastAsia" w:ascii="Times New Roman" w:hAnsi="宋体"/>
                      <w:b/>
                      <w:color w:val="000000"/>
                      <w:szCs w:val="21"/>
                    </w:rPr>
                    <w:t>）</w:t>
                  </w:r>
                </w:p>
                <w:p>
                  <w:pPr>
                    <w:jc w:val="center"/>
                    <w:rPr>
                      <w:rFonts w:ascii="Times New Roman" w:hAnsi="Times New Roman"/>
                      <w:b/>
                      <w:color w:val="000000"/>
                      <w:szCs w:val="21"/>
                    </w:rPr>
                  </w:pPr>
                  <w:r>
                    <w:rPr>
                      <w:rFonts w:hint="eastAsia" w:ascii="Times New Roman" w:hAnsi="宋体"/>
                      <w:b/>
                      <w:color w:val="000000"/>
                      <w:szCs w:val="21"/>
                    </w:rPr>
                    <w:t>车速（</w:t>
                  </w:r>
                  <w:r>
                    <w:rPr>
                      <w:rFonts w:ascii="Times New Roman" w:hAnsi="Times New Roman"/>
                      <w:b/>
                      <w:color w:val="000000"/>
                      <w:szCs w:val="21"/>
                    </w:rPr>
                    <w:t>km/h</w:t>
                  </w:r>
                  <w:r>
                    <w:rPr>
                      <w:rFonts w:hint="eastAsia" w:ascii="Times New Roman" w:hAnsi="宋体"/>
                      <w:b/>
                      <w:color w:val="000000"/>
                      <w:szCs w:val="21"/>
                    </w:rPr>
                    <w:t>）</w:t>
                  </w:r>
                </w:p>
              </w:tc>
              <w:tc>
                <w:tcPr>
                  <w:tcW w:w="1212" w:type="dxa"/>
                  <w:tcBorders>
                    <w:top w:val="single" w:color="000000" w:sz="12" w:space="0"/>
                    <w:left w:val="single" w:color="000000" w:sz="6"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0.1</w:t>
                  </w:r>
                </w:p>
              </w:tc>
              <w:tc>
                <w:tcPr>
                  <w:tcW w:w="1212" w:type="dxa"/>
                  <w:tcBorders>
                    <w:top w:val="single" w:color="000000" w:sz="12" w:space="0"/>
                    <w:left w:val="single" w:color="000000" w:sz="6"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0.2</w:t>
                  </w:r>
                </w:p>
              </w:tc>
              <w:tc>
                <w:tcPr>
                  <w:tcW w:w="1210" w:type="dxa"/>
                  <w:tcBorders>
                    <w:top w:val="single" w:color="000000" w:sz="12" w:space="0"/>
                    <w:left w:val="single" w:color="000000" w:sz="6"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0.3</w:t>
                  </w:r>
                </w:p>
              </w:tc>
              <w:tc>
                <w:tcPr>
                  <w:tcW w:w="1123" w:type="dxa"/>
                  <w:tcBorders>
                    <w:top w:val="single" w:color="000000" w:sz="12" w:space="0"/>
                    <w:left w:val="single" w:color="000000" w:sz="6"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0.4</w:t>
                  </w:r>
                </w:p>
              </w:tc>
              <w:tc>
                <w:tcPr>
                  <w:tcW w:w="1175" w:type="dxa"/>
                  <w:tcBorders>
                    <w:top w:val="single" w:color="000000" w:sz="12" w:space="0"/>
                    <w:left w:val="single" w:color="000000" w:sz="6" w:space="0"/>
                    <w:bottom w:val="single" w:color="000000" w:sz="6" w:space="0"/>
                    <w:right w:val="single" w:color="000000" w:sz="6" w:space="0"/>
                  </w:tcBorders>
                  <w:vAlign w:val="center"/>
                </w:tcPr>
                <w:p>
                  <w:pPr>
                    <w:jc w:val="center"/>
                    <w:rPr>
                      <w:rFonts w:ascii="Times New Roman" w:hAnsi="Times New Roman"/>
                      <w:b/>
                      <w:color w:val="000000"/>
                      <w:szCs w:val="21"/>
                    </w:rPr>
                  </w:pPr>
                  <w:r>
                    <w:rPr>
                      <w:rFonts w:ascii="Times New Roman" w:hAnsi="Times New Roman"/>
                      <w:b/>
                      <w:color w:val="000000"/>
                      <w:szCs w:val="21"/>
                    </w:rPr>
                    <w:t>0.5</w:t>
                  </w:r>
                </w:p>
              </w:tc>
              <w:tc>
                <w:tcPr>
                  <w:tcW w:w="1263" w:type="dxa"/>
                  <w:tcBorders>
                    <w:top w:val="single" w:color="000000" w:sz="12" w:space="0"/>
                    <w:left w:val="single" w:color="000000" w:sz="6" w:space="0"/>
                    <w:bottom w:val="single" w:color="000000" w:sz="6" w:space="0"/>
                    <w:right w:val="single" w:color="000000" w:sz="12" w:space="0"/>
                  </w:tcBorders>
                  <w:vAlign w:val="center"/>
                </w:tcPr>
                <w:p>
                  <w:pPr>
                    <w:jc w:val="center"/>
                    <w:rPr>
                      <w:rFonts w:ascii="Times New Roman" w:hAnsi="Times New Roman"/>
                      <w:b/>
                      <w:color w:val="000000"/>
                      <w:szCs w:val="21"/>
                    </w:rPr>
                  </w:pPr>
                  <w:r>
                    <w:rPr>
                      <w:rFonts w:ascii="Times New Roman" w:hAnsi="Times New Roman"/>
                      <w:b/>
                      <w:color w:val="000000"/>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9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5</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0.0283</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0.0476</w:t>
                  </w:r>
                </w:p>
              </w:tc>
              <w:tc>
                <w:tcPr>
                  <w:tcW w:w="1210"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0.0646</w:t>
                  </w:r>
                </w:p>
              </w:tc>
              <w:tc>
                <w:tcPr>
                  <w:tcW w:w="11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0.0801</w:t>
                  </w:r>
                </w:p>
              </w:tc>
              <w:tc>
                <w:tcPr>
                  <w:tcW w:w="1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0.0947</w:t>
                  </w:r>
                </w:p>
              </w:tc>
              <w:tc>
                <w:tcPr>
                  <w:tcW w:w="1263"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color w:val="000000"/>
                      <w:szCs w:val="21"/>
                    </w:rPr>
                  </w:pPr>
                  <w:r>
                    <w:rPr>
                      <w:rFonts w:ascii="Times New Roman" w:hAnsi="Times New Roman"/>
                      <w:color w:val="000000"/>
                      <w:szCs w:val="21"/>
                    </w:rPr>
                    <w:t>0.1593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9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10</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0.0566</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0.0953</w:t>
                  </w:r>
                </w:p>
              </w:tc>
              <w:tc>
                <w:tcPr>
                  <w:tcW w:w="1210"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0.1291</w:t>
                  </w:r>
                </w:p>
              </w:tc>
              <w:tc>
                <w:tcPr>
                  <w:tcW w:w="11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0.1602</w:t>
                  </w:r>
                </w:p>
              </w:tc>
              <w:tc>
                <w:tcPr>
                  <w:tcW w:w="1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0.1894</w:t>
                  </w:r>
                </w:p>
              </w:tc>
              <w:tc>
                <w:tcPr>
                  <w:tcW w:w="1263"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color w:val="000000"/>
                      <w:szCs w:val="21"/>
                    </w:rPr>
                  </w:pPr>
                  <w:r>
                    <w:rPr>
                      <w:rFonts w:ascii="Times New Roman" w:hAnsi="Times New Roman"/>
                      <w:color w:val="000000"/>
                      <w:szCs w:val="21"/>
                    </w:rPr>
                    <w:t>0.3186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9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15</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0.0850</w:t>
                  </w:r>
                </w:p>
              </w:tc>
              <w:tc>
                <w:tcPr>
                  <w:tcW w:w="121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0.1429</w:t>
                  </w:r>
                </w:p>
              </w:tc>
              <w:tc>
                <w:tcPr>
                  <w:tcW w:w="1210"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0.1937</w:t>
                  </w:r>
                </w:p>
              </w:tc>
              <w:tc>
                <w:tcPr>
                  <w:tcW w:w="11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0.2403</w:t>
                  </w:r>
                </w:p>
              </w:tc>
              <w:tc>
                <w:tcPr>
                  <w:tcW w:w="1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0.2841</w:t>
                  </w:r>
                </w:p>
              </w:tc>
              <w:tc>
                <w:tcPr>
                  <w:tcW w:w="1263"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color w:val="000000"/>
                      <w:szCs w:val="21"/>
                    </w:rPr>
                  </w:pPr>
                  <w:r>
                    <w:rPr>
                      <w:rFonts w:ascii="Times New Roman" w:hAnsi="Times New Roman"/>
                      <w:color w:val="000000"/>
                      <w:szCs w:val="21"/>
                    </w:rPr>
                    <w:t>0.4778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94" w:type="dxa"/>
                  <w:tcBorders>
                    <w:top w:val="single" w:color="000000" w:sz="6" w:space="0"/>
                    <w:left w:val="single" w:color="000000" w:sz="12"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20</w:t>
                  </w:r>
                </w:p>
              </w:tc>
              <w:tc>
                <w:tcPr>
                  <w:tcW w:w="1212"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0.1133</w:t>
                  </w:r>
                </w:p>
              </w:tc>
              <w:tc>
                <w:tcPr>
                  <w:tcW w:w="1212"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0.1905</w:t>
                  </w:r>
                </w:p>
              </w:tc>
              <w:tc>
                <w:tcPr>
                  <w:tcW w:w="1210"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0.2583</w:t>
                  </w:r>
                </w:p>
              </w:tc>
              <w:tc>
                <w:tcPr>
                  <w:tcW w:w="1123"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0.3204</w:t>
                  </w:r>
                </w:p>
              </w:tc>
              <w:tc>
                <w:tcPr>
                  <w:tcW w:w="1175"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color w:val="000000"/>
                      <w:szCs w:val="21"/>
                    </w:rPr>
                  </w:pPr>
                  <w:r>
                    <w:rPr>
                      <w:rFonts w:ascii="Times New Roman" w:hAnsi="Times New Roman"/>
                      <w:color w:val="000000"/>
                      <w:szCs w:val="21"/>
                    </w:rPr>
                    <w:t>0.3788</w:t>
                  </w:r>
                </w:p>
              </w:tc>
              <w:tc>
                <w:tcPr>
                  <w:tcW w:w="1263" w:type="dxa"/>
                  <w:tcBorders>
                    <w:top w:val="single" w:color="000000" w:sz="6" w:space="0"/>
                    <w:left w:val="single" w:color="000000" w:sz="6" w:space="0"/>
                    <w:bottom w:val="single" w:color="000000" w:sz="12" w:space="0"/>
                    <w:right w:val="single" w:color="000000" w:sz="12" w:space="0"/>
                  </w:tcBorders>
                  <w:vAlign w:val="center"/>
                </w:tcPr>
                <w:p>
                  <w:pPr>
                    <w:jc w:val="center"/>
                    <w:rPr>
                      <w:rFonts w:ascii="Times New Roman" w:hAnsi="Times New Roman"/>
                      <w:color w:val="000000"/>
                      <w:szCs w:val="21"/>
                    </w:rPr>
                  </w:pPr>
                  <w:r>
                    <w:rPr>
                      <w:rFonts w:ascii="Times New Roman" w:hAnsi="Times New Roman"/>
                      <w:color w:val="000000"/>
                      <w:szCs w:val="21"/>
                    </w:rPr>
                    <w:t>0.6371</w:t>
                  </w:r>
                </w:p>
              </w:tc>
            </w:tr>
          </w:tbl>
          <w:p>
            <w:pPr>
              <w:spacing w:line="360" w:lineRule="auto"/>
              <w:ind w:firstLine="480" w:firstLineChars="200"/>
              <w:rPr>
                <w:rFonts w:ascii="Times New Roman" w:hAnsi="Times New Roman"/>
                <w:color w:val="000000"/>
                <w:sz w:val="24"/>
              </w:rPr>
            </w:pPr>
            <w:r>
              <w:rPr>
                <w:rFonts w:hint="eastAsia" w:ascii="Times New Roman" w:hAnsi="宋体"/>
                <w:color w:val="000000"/>
                <w:sz w:val="24"/>
              </w:rPr>
              <w:t>由上表可见，在同样路面清洁情况下，车速越快，扬尘量越大；而在同样车速情况下，路面清洁度越差，则扬尘量越大。因此，限制车速及保持路面清洁是减少汽车扬尘的有效手段。</w:t>
            </w:r>
          </w:p>
          <w:p>
            <w:pPr>
              <w:spacing w:line="360" w:lineRule="auto"/>
              <w:ind w:firstLine="480" w:firstLineChars="200"/>
              <w:rPr>
                <w:rFonts w:ascii="Times New Roman" w:hAnsi="Times New Roman"/>
                <w:color w:val="000000"/>
                <w:sz w:val="24"/>
              </w:rPr>
            </w:pPr>
            <w:r>
              <w:rPr>
                <w:rFonts w:hint="eastAsia" w:ascii="Times New Roman" w:hAnsi="宋体"/>
                <w:color w:val="000000"/>
                <w:sz w:val="24"/>
              </w:rPr>
              <w:t>施工期扬尘的另一个主要原因是露天堆场和裸露场地的风力扬尘。由于施工的需要，一些建材需露天堆放，一些施工点表层土壤需人工开挖、堆放，在气候干燥又有风的情况下，也会产生扬尘。扬尘量与距地面</w:t>
            </w:r>
            <w:r>
              <w:rPr>
                <w:rFonts w:ascii="Times New Roman" w:hAnsi="Times New Roman"/>
                <w:color w:val="000000"/>
                <w:sz w:val="24"/>
              </w:rPr>
              <w:t>50m</w:t>
            </w:r>
            <w:r>
              <w:rPr>
                <w:rFonts w:hint="eastAsia" w:ascii="Times New Roman" w:hAnsi="宋体"/>
                <w:color w:val="000000"/>
                <w:sz w:val="24"/>
              </w:rPr>
              <w:t>处风速、起尘风速、尘粒的含水率有关，因此，减少露天堆放和保证一定的含水率及减少裸露地面是减少风力起尘的有效手段。</w:t>
            </w:r>
          </w:p>
          <w:p>
            <w:pPr>
              <w:tabs>
                <w:tab w:val="left" w:pos="7992"/>
              </w:tabs>
              <w:spacing w:line="360" w:lineRule="auto"/>
              <w:ind w:firstLine="480" w:firstLineChars="20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2</w:t>
            </w:r>
            <w:r>
              <w:rPr>
                <w:rFonts w:hint="eastAsia" w:ascii="Times New Roman" w:hAnsi="宋体"/>
                <w:color w:val="000000"/>
                <w:sz w:val="24"/>
              </w:rPr>
              <w:t>）施工期扬尘防治对策</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在施工过程中，施工单位必须严格按照城市扬尘防护规定进行施工，尽量减少扬尘对环境的影响程度。施工单位应采取以下措施以控制扬尘污染：</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①施工中在工地边界设置一定高度的围护装备，工地建筑结构施工架外侧设置有效抑尘的防尘网或防尘布，以减少结构过程中的粉尘飞扬现象，降低粉尘向大气中的排放量。脚手架在拆除前，先将水平网内、脚手架上的垃圾清理干净，清理时应避免扬尘；</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②要求施工单位文明施工，定期对地面洒水，并对撒落在路面上的渣土及时清除，清理阶段做到先洒水后清扫，避免产生扬尘对周围大气环境造成影响；</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③施工场地对施工车辆必须限速行驶，同时在施工场地出口放置防尘垫。所有临时道路均需清洁、湿润，并加强管理；自卸车、垃圾运输车等运输车辆不允许超载，选择对周围环境影响较小的运输路线，定时对运输路线进行清扫，运输车辆出场时必须封闭，避免在运输过程中的抛洒现象；</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④施工过程中，楼上施工产生的建筑渣土，不许在楼上向下倾倒，必须运送地面；</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⑤建材堆放点要相对集中，并采取一定的防尘措施，抑制扬尘量；</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⑥竣工后要及时清理场地；在施工场地清理阶段，做到先洒水，后清扫，防止扬尘产生；</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⑦施工单位遇四级以上大风天气，应当停止易产生扬尘污染的施工作业。</w:t>
            </w:r>
          </w:p>
          <w:p>
            <w:pPr>
              <w:pStyle w:val="57"/>
              <w:ind w:firstLine="480"/>
              <w:rPr>
                <w:rFonts w:ascii="Times New Roman" w:hAnsi="Times New Roman"/>
                <w:kern w:val="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宋体"/>
                <w:color w:val="000000"/>
                <w:sz w:val="24"/>
                <w:szCs w:val="24"/>
              </w:rPr>
              <w:t>）</w:t>
            </w:r>
            <w:r>
              <w:rPr>
                <w:rFonts w:hint="eastAsia" w:ascii="Times New Roman" w:hAnsi="宋体"/>
                <w:kern w:val="0"/>
                <w:sz w:val="24"/>
                <w:szCs w:val="24"/>
              </w:rPr>
              <w:t>施工期扬尘影响分析</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根据类似工程实地监测资料，在正常情况下施工活动产生的粉尘在施工区域近地面环境空气中</w:t>
            </w:r>
            <w:r>
              <w:rPr>
                <w:rFonts w:ascii="Times New Roman" w:hAnsi="Times New Roman"/>
                <w:color w:val="000000"/>
                <w:sz w:val="24"/>
              </w:rPr>
              <w:t>TSP</w:t>
            </w:r>
            <w:r>
              <w:rPr>
                <w:rFonts w:hint="eastAsia" w:ascii="Times New Roman" w:hAnsi="宋体"/>
                <w:color w:val="000000"/>
                <w:sz w:val="24"/>
              </w:rPr>
              <w:t>浓度可达</w:t>
            </w:r>
            <w:r>
              <w:rPr>
                <w:rFonts w:ascii="Times New Roman" w:hAnsi="Times New Roman"/>
                <w:color w:val="000000"/>
                <w:sz w:val="24"/>
              </w:rPr>
              <w:t>1.5~3.0mg/m</w:t>
            </w:r>
            <w:r>
              <w:rPr>
                <w:rFonts w:ascii="Times New Roman" w:hAnsi="Times New Roman"/>
                <w:color w:val="000000"/>
                <w:sz w:val="24"/>
                <w:vertAlign w:val="superscript"/>
              </w:rPr>
              <w:t>3</w:t>
            </w:r>
            <w:r>
              <w:rPr>
                <w:rFonts w:hint="eastAsia" w:ascii="Times New Roman" w:hAnsi="宋体"/>
                <w:color w:val="000000"/>
                <w:sz w:val="24"/>
              </w:rPr>
              <w:t>，对施工区域周围</w:t>
            </w:r>
            <w:r>
              <w:rPr>
                <w:rFonts w:ascii="Times New Roman" w:hAnsi="Times New Roman"/>
                <w:color w:val="000000"/>
                <w:sz w:val="24"/>
              </w:rPr>
              <w:t>50~100m</w:t>
            </w:r>
            <w:r>
              <w:rPr>
                <w:rFonts w:hint="eastAsia" w:ascii="Times New Roman" w:hAnsi="宋体"/>
                <w:color w:val="000000"/>
                <w:sz w:val="24"/>
              </w:rPr>
              <w:t>范围以外的贡献值符合环境空气质量二级标准。由于项目所在地静风频率高，大风频率小，因此在一般情况下，施工活动产生的粉尘对施工区域周围</w:t>
            </w:r>
            <w:r>
              <w:rPr>
                <w:rFonts w:ascii="Times New Roman" w:hAnsi="Times New Roman"/>
                <w:color w:val="000000"/>
                <w:sz w:val="24"/>
              </w:rPr>
              <w:t>100m</w:t>
            </w:r>
            <w:r>
              <w:rPr>
                <w:rFonts w:hint="eastAsia" w:ascii="Times New Roman" w:hAnsi="宋体"/>
                <w:color w:val="000000"/>
                <w:sz w:val="24"/>
              </w:rPr>
              <w:t>以外的环境空气质量影响小。</w:t>
            </w:r>
          </w:p>
          <w:p>
            <w:pPr>
              <w:tabs>
                <w:tab w:val="left" w:pos="7992"/>
              </w:tabs>
              <w:spacing w:line="360" w:lineRule="auto"/>
              <w:ind w:firstLine="480" w:firstLineChars="200"/>
              <w:rPr>
                <w:rFonts w:ascii="Times New Roman" w:hAnsi="Times New Roman"/>
                <w:color w:val="000000"/>
                <w:sz w:val="24"/>
              </w:rPr>
            </w:pPr>
            <w:r>
              <w:rPr>
                <w:rFonts w:hint="eastAsia" w:ascii="Times New Roman" w:hAnsi="宋体"/>
                <w:color w:val="000000"/>
                <w:sz w:val="24"/>
              </w:rPr>
              <w:t>由本项目外环境关系图可知，本项目所在区域为工业用地，项目在采取扬尘控制措施以后，可以有效控制扬尘的影响范围，且降低了</w:t>
            </w:r>
            <w:r>
              <w:rPr>
                <w:rFonts w:ascii="Times New Roman" w:hAnsi="Times New Roman"/>
                <w:color w:val="000000"/>
                <w:sz w:val="24"/>
              </w:rPr>
              <w:t>TSP</w:t>
            </w:r>
            <w:r>
              <w:rPr>
                <w:rFonts w:hint="eastAsia" w:ascii="Times New Roman" w:hAnsi="宋体"/>
                <w:color w:val="000000"/>
                <w:sz w:val="24"/>
              </w:rPr>
              <w:t>的浓度，防尘措施明显，能够有效减少扬尘对周围大气环境的影响。</w:t>
            </w:r>
          </w:p>
          <w:p>
            <w:pPr>
              <w:spacing w:line="360" w:lineRule="auto"/>
              <w:rPr>
                <w:rFonts w:ascii="Times New Roman" w:hAnsi="Times New Roman"/>
                <w:b/>
                <w:color w:val="000000"/>
                <w:spacing w:val="8"/>
                <w:sz w:val="24"/>
              </w:rPr>
            </w:pPr>
            <w:r>
              <w:rPr>
                <w:rFonts w:ascii="Times New Roman" w:hAnsi="Times New Roman"/>
                <w:b/>
                <w:color w:val="000000"/>
                <w:spacing w:val="8"/>
                <w:sz w:val="24"/>
              </w:rPr>
              <w:t xml:space="preserve">1.2 </w:t>
            </w:r>
            <w:r>
              <w:rPr>
                <w:rFonts w:hint="eastAsia" w:ascii="Times New Roman" w:hAnsi="宋体"/>
                <w:b/>
                <w:color w:val="000000"/>
                <w:spacing w:val="8"/>
                <w:sz w:val="24"/>
              </w:rPr>
              <w:t>其它废气</w:t>
            </w:r>
          </w:p>
          <w:p>
            <w:pPr>
              <w:spacing w:line="360" w:lineRule="auto"/>
              <w:ind w:firstLine="480" w:firstLineChars="200"/>
              <w:rPr>
                <w:rFonts w:ascii="Times New Roman" w:hAnsi="Times New Roman"/>
                <w:color w:val="000000"/>
                <w:sz w:val="24"/>
              </w:rPr>
            </w:pPr>
            <w:r>
              <w:rPr>
                <w:rFonts w:hint="eastAsia" w:ascii="Times New Roman" w:hAnsi="宋体"/>
                <w:color w:val="000000"/>
                <w:sz w:val="24"/>
              </w:rPr>
              <w:t>项目施工期使用的施工机械、运输车辆所排放的废气中含有</w:t>
            </w:r>
            <w:r>
              <w:rPr>
                <w:rFonts w:ascii="Times New Roman" w:hAnsi="Times New Roman"/>
                <w:color w:val="000000"/>
                <w:sz w:val="24"/>
              </w:rPr>
              <w:t>CO</w:t>
            </w:r>
            <w:r>
              <w:rPr>
                <w:rFonts w:hint="eastAsia" w:ascii="Times New Roman" w:hAnsi="宋体"/>
                <w:color w:val="000000"/>
                <w:sz w:val="24"/>
              </w:rPr>
              <w:t>、</w:t>
            </w:r>
            <w:r>
              <w:rPr>
                <w:rFonts w:ascii="Times New Roman" w:hAnsi="Times New Roman"/>
                <w:color w:val="000000"/>
                <w:sz w:val="24"/>
              </w:rPr>
              <w:t>HC</w:t>
            </w:r>
            <w:r>
              <w:rPr>
                <w:rFonts w:hint="eastAsia" w:ascii="Times New Roman" w:hAnsi="宋体"/>
                <w:color w:val="000000"/>
                <w:sz w:val="24"/>
              </w:rPr>
              <w:t>等污染物，废气，产生量较小，且露天条件利于气体扩散，因此对大气环境影响轻微。</w:t>
            </w:r>
          </w:p>
          <w:p>
            <w:pPr>
              <w:pStyle w:val="61"/>
              <w:adjustRightInd/>
              <w:spacing w:line="360" w:lineRule="auto"/>
              <w:ind w:left="0" w:firstLine="480" w:firstLineChars="200"/>
              <w:jc w:val="both"/>
              <w:rPr>
                <w:b w:val="0"/>
                <w:color w:val="0033CC"/>
              </w:rPr>
            </w:pPr>
            <w:r>
              <w:rPr>
                <w:rFonts w:hint="eastAsia" w:hAnsi="宋体"/>
                <w:b w:val="0"/>
                <w:color w:val="000000"/>
                <w:kern w:val="2"/>
              </w:rPr>
              <w:t>综上所述，项目施工期将会对项目所在地环境空气质量造成一定影响，但只要施工单位按照环评要求做好大气污染防治措施，将可以有效降低上述不良影响。此外，上述不良影响随着施工期的结束也会结束。</w:t>
            </w:r>
          </w:p>
          <w:p>
            <w:pPr>
              <w:spacing w:line="360" w:lineRule="auto"/>
              <w:textAlignment w:val="baseline"/>
              <w:rPr>
                <w:rFonts w:ascii="Times New Roman" w:hAnsi="Times New Roman"/>
                <w:b/>
                <w:spacing w:val="8"/>
                <w:sz w:val="24"/>
                <w:szCs w:val="24"/>
              </w:rPr>
            </w:pPr>
            <w:r>
              <w:rPr>
                <w:rFonts w:ascii="Times New Roman" w:hAnsi="Times New Roman"/>
                <w:b/>
                <w:spacing w:val="8"/>
                <w:sz w:val="24"/>
                <w:szCs w:val="24"/>
              </w:rPr>
              <w:t xml:space="preserve">2 </w:t>
            </w:r>
            <w:r>
              <w:rPr>
                <w:rFonts w:hint="eastAsia" w:ascii="Times New Roman" w:hAnsi="Times New Roman"/>
                <w:b/>
                <w:spacing w:val="8"/>
                <w:sz w:val="24"/>
                <w:szCs w:val="24"/>
              </w:rPr>
              <w:t>水环境影响分析</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建设期工程对地表水环境的影响，主要来自于施工废水和建筑施工人员的生活污水。施工废水主要为泥浆废水，来自浇筑水泥工段，排放量较难估算，主要污染因子为SS；生活污水主要污染因子为CODcr、SS、NH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-N等，经化粪池处理后用于周边农田</w:t>
            </w:r>
            <w:r>
              <w:rPr>
                <w:rFonts w:hint="eastAsia" w:ascii="Times New Roman" w:hAnsi="Times New Roman"/>
                <w:color w:val="000000" w:themeColor="text1"/>
                <w:sz w:val="24"/>
                <w:szCs w:val="24"/>
                <w14:textFill>
                  <w14:solidFill>
                    <w14:schemeClr w14:val="tx1"/>
                  </w14:solidFill>
                </w14:textFill>
              </w:rPr>
              <w:t>施肥，综合消纳</w:t>
            </w:r>
            <w:r>
              <w:rPr>
                <w:rFonts w:ascii="Times New Roman" w:hAns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为了减小施工废水对水环境的影响，本评价要求施工单位采取如下措施：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olor w:val="000000" w:themeColor="text1"/>
                <w:sz w:val="24"/>
                <w:szCs w:val="24"/>
                <w14:textFill>
                  <w14:solidFill>
                    <w14:schemeClr w14:val="tx1"/>
                  </w14:solidFill>
                </w14:textFill>
              </w:rPr>
              <w:t>施工场地散料堆场四周用石块或水泥砌块围出高50公分的防冲墙，防止散料被雨水冲刷流失。</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olor w:val="000000" w:themeColor="text1"/>
                <w:sz w:val="24"/>
                <w:szCs w:val="24"/>
                <w14:textFill>
                  <w14:solidFill>
                    <w14:schemeClr w14:val="tx1"/>
                  </w14:solidFill>
                </w14:textFill>
              </w:rPr>
              <w:t>加强对施工人员的教育，贯彻文明施工的原则，严格按施工操作规范执行，避免和减少污染事故的发生。</w:t>
            </w:r>
          </w:p>
          <w:p>
            <w:pPr>
              <w:pStyle w:val="46"/>
              <w:ind w:firstLine="480"/>
            </w:pPr>
            <w:r>
              <w:rPr>
                <w:rFonts w:hint="eastAsia" w:ascii="宋体" w:hAnsi="宋体" w:cs="宋体"/>
                <w:color w:val="000000" w:themeColor="text1"/>
                <w:szCs w:val="24"/>
                <w14:textFill>
                  <w14:solidFill>
                    <w14:schemeClr w14:val="tx1"/>
                  </w14:solidFill>
                </w14:textFill>
              </w:rPr>
              <w:t>③</w:t>
            </w:r>
            <w:r>
              <w:rPr>
                <w:color w:val="000000" w:themeColor="text1"/>
                <w:szCs w:val="24"/>
                <w14:textFill>
                  <w14:solidFill>
                    <w14:schemeClr w14:val="tx1"/>
                  </w14:solidFill>
                </w14:textFill>
              </w:rPr>
              <w:t>必须制定完备的工程管理措施，从管理制度上避免可能的工程事故或风险，使工程施工对环境的影响降到最低。</w:t>
            </w:r>
          </w:p>
          <w:p>
            <w:pPr>
              <w:spacing w:line="360" w:lineRule="auto"/>
              <w:textAlignment w:val="baseline"/>
              <w:rPr>
                <w:rFonts w:ascii="Times New Roman" w:hAnsi="Times New Roman"/>
                <w:b/>
                <w:spacing w:val="8"/>
                <w:sz w:val="24"/>
                <w:szCs w:val="24"/>
              </w:rPr>
            </w:pPr>
            <w:r>
              <w:rPr>
                <w:rFonts w:ascii="Times New Roman" w:hAnsi="Times New Roman"/>
                <w:b/>
                <w:spacing w:val="8"/>
                <w:sz w:val="24"/>
                <w:szCs w:val="24"/>
              </w:rPr>
              <w:t xml:space="preserve">3 </w:t>
            </w:r>
            <w:r>
              <w:rPr>
                <w:rFonts w:hint="eastAsia" w:ascii="Times New Roman" w:hAnsi="Times New Roman"/>
                <w:b/>
                <w:spacing w:val="8"/>
                <w:sz w:val="24"/>
                <w:szCs w:val="24"/>
              </w:rPr>
              <w:t>声环境影响分析</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w:t>
            </w:r>
            <w:r>
              <w:rPr>
                <w:rFonts w:ascii="Times New Roman" w:hAnsi="宋体"/>
                <w:sz w:val="24"/>
                <w:szCs w:val="24"/>
              </w:rPr>
              <w:t>1</w:t>
            </w:r>
            <w:r>
              <w:rPr>
                <w:rFonts w:hint="eastAsia" w:ascii="Times New Roman" w:hAnsi="宋体"/>
                <w:sz w:val="24"/>
                <w:szCs w:val="24"/>
              </w:rPr>
              <w:t>）项目噪声源分析</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施工期间噪声主要来源于施工现场各类机械设备和物料运输的交通噪声，其声源强度详见下表。虽然施工噪声仅在施工期产生，但由于噪声源较强，将会对周围声环境产生严重影响，日益引起人们反感，但由于持续时间短，且作业在白天，因此对环境影响较小。</w:t>
            </w:r>
          </w:p>
          <w:p>
            <w:pPr>
              <w:tabs>
                <w:tab w:val="left" w:pos="5670"/>
              </w:tabs>
              <w:spacing w:line="360" w:lineRule="auto"/>
              <w:jc w:val="center"/>
              <w:rPr>
                <w:rFonts w:ascii="Times New Roman" w:hAnsi="宋体"/>
                <w:b/>
                <w:sz w:val="24"/>
                <w:szCs w:val="24"/>
              </w:rPr>
            </w:pPr>
            <w:r>
              <w:rPr>
                <w:rFonts w:hint="eastAsia" w:ascii="Times New Roman" w:hAnsi="宋体"/>
                <w:b/>
                <w:sz w:val="24"/>
                <w:szCs w:val="24"/>
              </w:rPr>
              <w:t>表</w:t>
            </w:r>
            <w:r>
              <w:rPr>
                <w:rFonts w:ascii="Times New Roman" w:hAnsi="宋体"/>
                <w:b/>
                <w:sz w:val="24"/>
                <w:szCs w:val="24"/>
              </w:rPr>
              <w:t xml:space="preserve">6-2  </w:t>
            </w:r>
            <w:r>
              <w:rPr>
                <w:rFonts w:hint="eastAsia" w:ascii="Times New Roman" w:hAnsi="宋体"/>
                <w:b/>
                <w:sz w:val="24"/>
                <w:szCs w:val="24"/>
              </w:rPr>
              <w:t>施工期噪声声源强度</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59"/>
              <w:gridCol w:w="3355"/>
              <w:gridCol w:w="42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4694" w:type="dxa"/>
                  <w:gridSpan w:val="2"/>
                  <w:tcBorders>
                    <w:top w:val="single" w:color="000000" w:sz="12"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b/>
                      <w:szCs w:val="21"/>
                    </w:rPr>
                  </w:pPr>
                  <w:r>
                    <w:rPr>
                      <w:rFonts w:hint="eastAsia" w:ascii="Times New Roman" w:hAnsi="宋体"/>
                      <w:b/>
                      <w:szCs w:val="21"/>
                    </w:rPr>
                    <w:t>设备</w:t>
                  </w:r>
                </w:p>
              </w:tc>
              <w:tc>
                <w:tcPr>
                  <w:tcW w:w="4120" w:type="dxa"/>
                  <w:tcBorders>
                    <w:top w:val="single" w:color="000000" w:sz="12"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b/>
                      <w:szCs w:val="21"/>
                    </w:rPr>
                  </w:pPr>
                  <w:r>
                    <w:rPr>
                      <w:rFonts w:hint="eastAsia" w:ascii="Times New Roman" w:hAnsi="宋体"/>
                      <w:b/>
                      <w:szCs w:val="21"/>
                    </w:rPr>
                    <w:t>声源强度（</w:t>
                  </w:r>
                  <w:r>
                    <w:rPr>
                      <w:rFonts w:ascii="Times New Roman" w:hAnsi="宋体"/>
                      <w:b/>
                      <w:szCs w:val="21"/>
                    </w:rPr>
                    <w:t>dB</w:t>
                  </w:r>
                  <w:r>
                    <w:rPr>
                      <w:rFonts w:hint="eastAsia" w:ascii="Times New Roman" w:hAnsi="宋体"/>
                      <w:b/>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restart"/>
                  <w:tcBorders>
                    <w:top w:val="single" w:color="000000" w:sz="6"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建筑</w:t>
                  </w:r>
                </w:p>
                <w:p>
                  <w:pPr>
                    <w:tabs>
                      <w:tab w:val="left" w:pos="5670"/>
                    </w:tabs>
                    <w:jc w:val="center"/>
                    <w:rPr>
                      <w:rFonts w:ascii="Times New Roman" w:hAnsi="宋体"/>
                      <w:szCs w:val="21"/>
                    </w:rPr>
                  </w:pPr>
                  <w:r>
                    <w:rPr>
                      <w:rFonts w:hint="eastAsia" w:ascii="Times New Roman" w:hAnsi="宋体"/>
                      <w:szCs w:val="21"/>
                    </w:rPr>
                    <w:t>机械</w:t>
                  </w:r>
                </w:p>
              </w:tc>
              <w:tc>
                <w:tcPr>
                  <w:tcW w:w="327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搅拌机</w:t>
                  </w:r>
                </w:p>
              </w:tc>
              <w:tc>
                <w:tcPr>
                  <w:tcW w:w="4120"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75-88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continue"/>
                  <w:tcBorders>
                    <w:top w:val="single" w:color="000000" w:sz="6" w:space="0"/>
                    <w:left w:val="single" w:color="000000" w:sz="12" w:space="0"/>
                    <w:bottom w:val="single" w:color="000000" w:sz="6" w:space="0"/>
                    <w:right w:val="single" w:color="000000" w:sz="6" w:space="0"/>
                  </w:tcBorders>
                  <w:vAlign w:val="center"/>
                </w:tcPr>
                <w:p>
                  <w:pPr>
                    <w:widowControl/>
                    <w:jc w:val="left"/>
                    <w:rPr>
                      <w:rFonts w:ascii="Times New Roman" w:hAnsi="宋体"/>
                      <w:szCs w:val="21"/>
                    </w:rPr>
                  </w:pPr>
                </w:p>
              </w:tc>
              <w:tc>
                <w:tcPr>
                  <w:tcW w:w="327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卷扬机</w:t>
                  </w:r>
                </w:p>
              </w:tc>
              <w:tc>
                <w:tcPr>
                  <w:tcW w:w="4120"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90-95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continue"/>
                  <w:tcBorders>
                    <w:top w:val="single" w:color="000000" w:sz="6" w:space="0"/>
                    <w:left w:val="single" w:color="000000" w:sz="12" w:space="0"/>
                    <w:bottom w:val="single" w:color="000000" w:sz="6" w:space="0"/>
                    <w:right w:val="single" w:color="000000" w:sz="6" w:space="0"/>
                  </w:tcBorders>
                  <w:vAlign w:val="center"/>
                </w:tcPr>
                <w:p>
                  <w:pPr>
                    <w:widowControl/>
                    <w:jc w:val="left"/>
                    <w:rPr>
                      <w:rFonts w:ascii="Times New Roman" w:hAnsi="宋体"/>
                      <w:szCs w:val="21"/>
                    </w:rPr>
                  </w:pPr>
                </w:p>
              </w:tc>
              <w:tc>
                <w:tcPr>
                  <w:tcW w:w="327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压缩机</w:t>
                  </w:r>
                </w:p>
              </w:tc>
              <w:tc>
                <w:tcPr>
                  <w:tcW w:w="4120"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75-88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restart"/>
                  <w:tcBorders>
                    <w:top w:val="single" w:color="000000" w:sz="6" w:space="0"/>
                    <w:left w:val="single" w:color="000000" w:sz="12" w:space="0"/>
                    <w:bottom w:val="single" w:color="000000" w:sz="12"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运输</w:t>
                  </w:r>
                </w:p>
                <w:p>
                  <w:pPr>
                    <w:tabs>
                      <w:tab w:val="left" w:pos="5670"/>
                    </w:tabs>
                    <w:jc w:val="center"/>
                    <w:rPr>
                      <w:rFonts w:ascii="Times New Roman" w:hAnsi="宋体"/>
                      <w:szCs w:val="21"/>
                    </w:rPr>
                  </w:pPr>
                  <w:r>
                    <w:rPr>
                      <w:rFonts w:hint="eastAsia" w:ascii="Times New Roman" w:hAnsi="宋体"/>
                      <w:szCs w:val="21"/>
                    </w:rPr>
                    <w:t>车辆</w:t>
                  </w:r>
                </w:p>
              </w:tc>
              <w:tc>
                <w:tcPr>
                  <w:tcW w:w="327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重型汽车</w:t>
                  </w:r>
                </w:p>
              </w:tc>
              <w:tc>
                <w:tcPr>
                  <w:tcW w:w="4120"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84-89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continue"/>
                  <w:tcBorders>
                    <w:top w:val="single" w:color="000000" w:sz="6" w:space="0"/>
                    <w:left w:val="single" w:color="000000" w:sz="12" w:space="0"/>
                    <w:bottom w:val="single" w:color="000000" w:sz="12" w:space="0"/>
                    <w:right w:val="single" w:color="000000" w:sz="6" w:space="0"/>
                  </w:tcBorders>
                  <w:vAlign w:val="center"/>
                </w:tcPr>
                <w:p>
                  <w:pPr>
                    <w:widowControl/>
                    <w:jc w:val="left"/>
                    <w:rPr>
                      <w:rFonts w:ascii="Times New Roman" w:hAnsi="宋体"/>
                      <w:szCs w:val="21"/>
                    </w:rPr>
                  </w:pPr>
                </w:p>
              </w:tc>
              <w:tc>
                <w:tcPr>
                  <w:tcW w:w="327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轻型汽车</w:t>
                  </w:r>
                </w:p>
              </w:tc>
              <w:tc>
                <w:tcPr>
                  <w:tcW w:w="4120"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79-85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3" w:type="dxa"/>
                  <w:vMerge w:val="continue"/>
                  <w:tcBorders>
                    <w:top w:val="single" w:color="000000" w:sz="6" w:space="0"/>
                    <w:left w:val="single" w:color="000000" w:sz="12" w:space="0"/>
                    <w:bottom w:val="single" w:color="000000" w:sz="12" w:space="0"/>
                    <w:right w:val="single" w:color="000000" w:sz="6" w:space="0"/>
                  </w:tcBorders>
                  <w:vAlign w:val="center"/>
                </w:tcPr>
                <w:p>
                  <w:pPr>
                    <w:widowControl/>
                    <w:jc w:val="left"/>
                    <w:rPr>
                      <w:rFonts w:ascii="Times New Roman" w:hAnsi="宋体"/>
                      <w:szCs w:val="21"/>
                    </w:rPr>
                  </w:pPr>
                </w:p>
              </w:tc>
              <w:tc>
                <w:tcPr>
                  <w:tcW w:w="327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拖拉机（农用车）</w:t>
                  </w:r>
                </w:p>
              </w:tc>
              <w:tc>
                <w:tcPr>
                  <w:tcW w:w="4120" w:type="dxa"/>
                  <w:tcBorders>
                    <w:top w:val="single" w:color="000000" w:sz="6" w:space="0"/>
                    <w:left w:val="single" w:color="000000" w:sz="6" w:space="0"/>
                    <w:bottom w:val="single" w:color="000000" w:sz="12"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79-88</w:t>
                  </w:r>
                </w:p>
              </w:tc>
            </w:tr>
          </w:tbl>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w:t>
            </w:r>
            <w:r>
              <w:rPr>
                <w:rFonts w:ascii="Times New Roman" w:hAnsi="宋体"/>
                <w:sz w:val="24"/>
                <w:szCs w:val="24"/>
              </w:rPr>
              <w:t>2</w:t>
            </w:r>
            <w:r>
              <w:rPr>
                <w:rFonts w:hint="eastAsia" w:ascii="Times New Roman" w:hAnsi="宋体"/>
                <w:sz w:val="24"/>
                <w:szCs w:val="24"/>
              </w:rPr>
              <w:t>）声环境影响预测</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本项目施工期的噪声主要来自于各种机械和车辆运输产生的作业噪声。施工过程中，不同阶段会使用不同的机械设备，使施工现场产生的噪声具有强度较高、无规则、不连续等特点。其强度与施工机械的功率、工作状态等因素有关。</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本项目施工机械噪声主要是低频噪声，因此只考虑扩散衰减，预测模式如下：</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①噪声对环境的影响预测</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考虑声源叠加，采用叠加模式：</w:t>
            </w:r>
          </w:p>
          <w:p>
            <w:pPr>
              <w:tabs>
                <w:tab w:val="left" w:pos="5670"/>
              </w:tabs>
              <w:spacing w:line="360" w:lineRule="auto"/>
              <w:jc w:val="center"/>
              <w:rPr>
                <w:rFonts w:ascii="Times New Roman" w:hAnsi="Times New Roman"/>
                <w:i/>
                <w:sz w:val="24"/>
                <w:szCs w:val="24"/>
              </w:rPr>
            </w:pPr>
            <m:oMathPara>
              <m:oMath>
                <m:r>
                  <m:rPr>
                    <m:nor/>
                  </m:rPr>
                  <w:rPr>
                    <w:rFonts w:ascii="Times New Roman" w:hAnsi="Times New Roman"/>
                    <w:i/>
                    <w:sz w:val="24"/>
                    <w:szCs w:val="24"/>
                  </w:rPr>
                  <m:t>L=10lg</m:t>
                </m:r>
                <m:nary>
                  <m:naryPr>
                    <m:chr m:val="∑"/>
                    <m:limLoc m:val="undOvr"/>
                    <m:ctrlPr>
                      <w:rPr>
                        <w:rFonts w:ascii="Cambria Math" w:hAnsi="Cambria Math"/>
                        <w:i/>
                        <w:sz w:val="24"/>
                        <w:szCs w:val="24"/>
                      </w:rPr>
                    </m:ctrlPr>
                  </m:naryPr>
                  <m:sub>
                    <m:r>
                      <m:rPr>
                        <m:nor/>
                      </m:rPr>
                      <w:rPr>
                        <w:rFonts w:ascii="Times New Roman" w:hAnsi="Times New Roman"/>
                        <w:i/>
                        <w:sz w:val="24"/>
                        <w:szCs w:val="24"/>
                      </w:rPr>
                      <m:t>i=1</m:t>
                    </m:r>
                    <m:ctrlPr>
                      <w:rPr>
                        <w:rFonts w:ascii="Cambria Math" w:hAnsi="Cambria Math"/>
                        <w:i/>
                        <w:sz w:val="24"/>
                        <w:szCs w:val="24"/>
                      </w:rPr>
                    </m:ctrlPr>
                  </m:sub>
                  <m:sup>
                    <m:r>
                      <m:rPr>
                        <m:nor/>
                      </m:rPr>
                      <w:rPr>
                        <w:rFonts w:ascii="Times New Roman" w:hAnsi="Times New Roman"/>
                        <w:i/>
                        <w:sz w:val="24"/>
                        <w:szCs w:val="24"/>
                      </w:rPr>
                      <m:t>n</m:t>
                    </m:r>
                    <m:ctrlPr>
                      <w:rPr>
                        <w:rFonts w:ascii="Cambria Math" w:hAnsi="Cambria Math"/>
                        <w:i/>
                        <w:sz w:val="24"/>
                        <w:szCs w:val="24"/>
                      </w:rPr>
                    </m:ctrlPr>
                  </m:sup>
                  <m:e>
                    <m:sSup>
                      <m:sSupPr>
                        <m:ctrlPr>
                          <w:rPr>
                            <w:rFonts w:ascii="Cambria Math" w:hAnsi="Cambria Math"/>
                            <w:i/>
                            <w:sz w:val="24"/>
                            <w:szCs w:val="24"/>
                          </w:rPr>
                        </m:ctrlPr>
                      </m:sSupPr>
                      <m:e>
                        <m:r>
                          <m:rPr>
                            <m:nor/>
                          </m:rPr>
                          <w:rPr>
                            <w:rFonts w:ascii="Times New Roman" w:hAnsi="Times New Roman"/>
                            <w:i/>
                            <w:sz w:val="24"/>
                            <w:szCs w:val="24"/>
                          </w:rPr>
                          <m:t>10</m:t>
                        </m:r>
                        <m:ctrlPr>
                          <w:rPr>
                            <w:rFonts w:ascii="Cambria Math" w:hAnsi="Cambria Math"/>
                            <w:i/>
                            <w:sz w:val="24"/>
                            <w:szCs w:val="24"/>
                          </w:rPr>
                        </m:ctrlPr>
                      </m:e>
                      <m:sup>
                        <m:r>
                          <m:rPr>
                            <m:nor/>
                          </m:rPr>
                          <w:rPr>
                            <w:rFonts w:ascii="Times New Roman" w:hAnsi="Times New Roman"/>
                            <w:i/>
                            <w:sz w:val="24"/>
                            <w:szCs w:val="24"/>
                          </w:rPr>
                          <m:t>Li/10</m:t>
                        </m:r>
                        <m:ctrlPr>
                          <w:rPr>
                            <w:rFonts w:ascii="Cambria Math" w:hAnsi="Cambria Math"/>
                            <w:i/>
                            <w:sz w:val="24"/>
                            <w:szCs w:val="24"/>
                          </w:rPr>
                        </m:ctrlPr>
                      </m:sup>
                    </m:sSup>
                    <m:ctrlPr>
                      <w:rPr>
                        <w:rFonts w:ascii="Cambria Math" w:hAnsi="Cambria Math"/>
                        <w:i/>
                        <w:sz w:val="24"/>
                        <w:szCs w:val="24"/>
                      </w:rPr>
                    </m:ctrlPr>
                  </m:e>
                </m:nary>
              </m:oMath>
            </m:oMathPara>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式中：</w:t>
            </w:r>
            <w:r>
              <w:rPr>
                <w:rFonts w:ascii="Times New Roman" w:hAnsi="宋体"/>
                <w:sz w:val="24"/>
                <w:szCs w:val="24"/>
              </w:rPr>
              <w:t>L-</w:t>
            </w:r>
            <w:r>
              <w:rPr>
                <w:rFonts w:hint="eastAsia" w:ascii="Times New Roman" w:hAnsi="宋体"/>
                <w:sz w:val="24"/>
                <w:szCs w:val="24"/>
              </w:rPr>
              <w:t>叠加后的总声压级</w:t>
            </w:r>
            <w:r>
              <w:rPr>
                <w:rFonts w:ascii="Times New Roman" w:hAnsi="宋体"/>
                <w:sz w:val="24"/>
                <w:szCs w:val="24"/>
              </w:rPr>
              <w:t>[dB(A)]</w:t>
            </w:r>
            <w:r>
              <w:rPr>
                <w:rFonts w:hint="eastAsia" w:ascii="Times New Roman" w:hAnsi="宋体"/>
                <w:sz w:val="24"/>
                <w:szCs w:val="24"/>
              </w:rPr>
              <w:t>；</w:t>
            </w:r>
          </w:p>
          <w:p>
            <w:pPr>
              <w:tabs>
                <w:tab w:val="left" w:pos="5670"/>
              </w:tabs>
              <w:spacing w:line="360" w:lineRule="auto"/>
              <w:ind w:firstLine="1200" w:firstLineChars="500"/>
              <w:rPr>
                <w:rFonts w:ascii="Times New Roman" w:hAnsi="宋体"/>
                <w:sz w:val="24"/>
                <w:szCs w:val="24"/>
              </w:rPr>
            </w:pPr>
            <w:r>
              <w:rPr>
                <w:rFonts w:ascii="Times New Roman" w:hAnsi="宋体"/>
                <w:sz w:val="24"/>
                <w:szCs w:val="24"/>
              </w:rPr>
              <w:t>Li-</w:t>
            </w:r>
            <w:r>
              <w:rPr>
                <w:rFonts w:hint="eastAsia" w:ascii="Times New Roman" w:hAnsi="宋体"/>
                <w:sz w:val="24"/>
                <w:szCs w:val="24"/>
              </w:rPr>
              <w:t>各声源的噪声值</w:t>
            </w:r>
            <w:r>
              <w:rPr>
                <w:rFonts w:ascii="Times New Roman" w:hAnsi="宋体"/>
                <w:sz w:val="24"/>
                <w:szCs w:val="24"/>
              </w:rPr>
              <w:t>[dB(A)]</w:t>
            </w:r>
            <w:r>
              <w:rPr>
                <w:rFonts w:hint="eastAsia" w:ascii="Times New Roman" w:hAnsi="宋体"/>
                <w:sz w:val="24"/>
                <w:szCs w:val="24"/>
              </w:rPr>
              <w:t>；</w:t>
            </w:r>
          </w:p>
          <w:p>
            <w:pPr>
              <w:tabs>
                <w:tab w:val="left" w:pos="5670"/>
              </w:tabs>
              <w:spacing w:line="360" w:lineRule="auto"/>
              <w:ind w:firstLine="1200" w:firstLineChars="500"/>
              <w:rPr>
                <w:rFonts w:ascii="Times New Roman" w:hAnsi="宋体"/>
                <w:sz w:val="24"/>
                <w:szCs w:val="24"/>
              </w:rPr>
            </w:pPr>
            <w:r>
              <w:rPr>
                <w:rFonts w:ascii="Times New Roman" w:hAnsi="宋体"/>
                <w:sz w:val="24"/>
                <w:szCs w:val="24"/>
              </w:rPr>
              <w:t>n-</w:t>
            </w:r>
            <w:r>
              <w:rPr>
                <w:rFonts w:hint="eastAsia" w:ascii="Times New Roman" w:hAnsi="宋体"/>
                <w:sz w:val="24"/>
                <w:szCs w:val="24"/>
              </w:rPr>
              <w:t>声源个数。</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②噪声随距离衰减模式</w:t>
            </w:r>
          </w:p>
          <w:p>
            <w:pPr>
              <w:spacing w:line="360" w:lineRule="auto"/>
              <w:jc w:val="center"/>
              <w:rPr>
                <w:rFonts w:ascii="Times New Roman" w:hAnsi="Times New Roman"/>
                <w:i/>
                <w:sz w:val="24"/>
                <w:szCs w:val="24"/>
              </w:rPr>
            </w:pPr>
            <m:oMathPara>
              <m:oMath>
                <m:sSub>
                  <m:sSubPr>
                    <m:ctrlPr>
                      <w:rPr>
                        <w:rFonts w:ascii="Cambria Math" w:hAnsi="Cambria Math"/>
                        <w:i/>
                        <w:sz w:val="24"/>
                        <w:szCs w:val="24"/>
                      </w:rPr>
                    </m:ctrlPr>
                  </m:sSubPr>
                  <m:e>
                    <m:r>
                      <m:rPr>
                        <m:nor/>
                      </m:rPr>
                      <w:rPr>
                        <w:rFonts w:ascii="Times New Roman" w:hAnsi="Times New Roman"/>
                        <w:i/>
                        <w:sz w:val="24"/>
                        <w:szCs w:val="24"/>
                      </w:rPr>
                      <m:t>L</m:t>
                    </m:r>
                    <m:ctrlPr>
                      <w:rPr>
                        <w:rFonts w:ascii="Cambria Math" w:hAnsi="Cambria Math"/>
                        <w:i/>
                        <w:sz w:val="24"/>
                        <w:szCs w:val="24"/>
                      </w:rPr>
                    </m:ctrlPr>
                  </m:e>
                  <m:sub>
                    <m:r>
                      <m:rPr>
                        <m:nor/>
                      </m:rPr>
                      <w:rPr>
                        <w:rFonts w:ascii="Times New Roman" w:hAnsi="Times New Roman"/>
                        <w:i/>
                        <w:sz w:val="24"/>
                        <w:szCs w:val="24"/>
                      </w:rPr>
                      <m:t>p</m:t>
                    </m:r>
                    <m:ctrlPr>
                      <w:rPr>
                        <w:rFonts w:ascii="Cambria Math" w:hAnsi="Cambria Math"/>
                        <w:i/>
                        <w:sz w:val="24"/>
                        <w:szCs w:val="24"/>
                      </w:rPr>
                    </m:ctrlP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L</m:t>
                    </m:r>
                    <m:ctrlPr>
                      <w:rPr>
                        <w:rFonts w:ascii="Cambria Math" w:hAnsi="Cambria Math"/>
                        <w:i/>
                        <w:sz w:val="24"/>
                        <w:szCs w:val="24"/>
                      </w:rPr>
                    </m:ctrlPr>
                  </m:e>
                  <m:sub>
                    <m:r>
                      <m:rPr>
                        <m:nor/>
                      </m:rPr>
                      <w:rPr>
                        <w:rFonts w:ascii="Times New Roman" w:hAnsi="Times New Roman"/>
                        <w:i/>
                        <w:sz w:val="24"/>
                        <w:szCs w:val="24"/>
                      </w:rPr>
                      <m:t>po</m:t>
                    </m:r>
                    <m:ctrlPr>
                      <w:rPr>
                        <w:rFonts w:ascii="Cambria Math" w:hAnsi="Cambria Math"/>
                        <w:i/>
                        <w:sz w:val="24"/>
                        <w:szCs w:val="24"/>
                      </w:rPr>
                    </m:ctrlPr>
                  </m:sub>
                </m:sSub>
                <m:r>
                  <m:rPr>
                    <m:nor/>
                  </m:rPr>
                  <w:rPr>
                    <w:rFonts w:ascii="Times New Roman" w:hAnsi="Times New Roman"/>
                    <w:i/>
                    <w:sz w:val="24"/>
                    <w:szCs w:val="24"/>
                  </w:rPr>
                  <m:t>-20lg（r/</m:t>
                </m:r>
                <m:sSub>
                  <m:sSubPr>
                    <m:ctrlPr>
                      <w:rPr>
                        <w:rFonts w:ascii="Cambria Math" w:hAnsi="Cambria Math"/>
                        <w:i/>
                        <w:sz w:val="24"/>
                        <w:szCs w:val="24"/>
                      </w:rPr>
                    </m:ctrlPr>
                  </m:sSubPr>
                  <m:e>
                    <m:r>
                      <m:rPr>
                        <m:nor/>
                      </m:rPr>
                      <w:rPr>
                        <w:rFonts w:ascii="Times New Roman" w:hAnsi="Times New Roman"/>
                        <w:i/>
                        <w:sz w:val="24"/>
                        <w:szCs w:val="24"/>
                      </w:rPr>
                      <m:t>r</m:t>
                    </m:r>
                    <m:ctrlPr>
                      <w:rPr>
                        <w:rFonts w:ascii="Cambria Math" w:hAnsi="Cambria Math"/>
                        <w:i/>
                        <w:sz w:val="24"/>
                        <w:szCs w:val="24"/>
                      </w:rPr>
                    </m:ctrlPr>
                  </m:e>
                  <m:sub>
                    <m:r>
                      <m:rPr>
                        <m:nor/>
                      </m:rPr>
                      <w:rPr>
                        <w:rFonts w:ascii="Times New Roman" w:hAnsi="Times New Roman"/>
                        <w:i/>
                        <w:sz w:val="24"/>
                        <w:szCs w:val="24"/>
                      </w:rPr>
                      <m:t>0</m:t>
                    </m:r>
                    <m:ctrlPr>
                      <w:rPr>
                        <w:rFonts w:ascii="Cambria Math" w:hAnsi="Cambria Math"/>
                        <w:i/>
                        <w:sz w:val="24"/>
                        <w:szCs w:val="24"/>
                      </w:rPr>
                    </m:ctrlPr>
                  </m:sub>
                </m:sSub>
                <m:r>
                  <m:rPr>
                    <m:nor/>
                  </m:rPr>
                  <w:rPr>
                    <w:rFonts w:ascii="Times New Roman" w:hAnsi="Times New Roman"/>
                    <w:i/>
                    <w:sz w:val="24"/>
                    <w:szCs w:val="24"/>
                  </w:rPr>
                  <m:t>）</m:t>
                </m:r>
              </m:oMath>
            </m:oMathPara>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式中：</w:t>
            </w:r>
            <w:r>
              <w:rPr>
                <w:rFonts w:ascii="Times New Roman" w:hAnsi="宋体"/>
                <w:sz w:val="24"/>
                <w:szCs w:val="24"/>
              </w:rPr>
              <w:t>L</w:t>
            </w:r>
            <w:r>
              <w:rPr>
                <w:rFonts w:ascii="Times New Roman" w:hAnsi="宋体"/>
                <w:sz w:val="24"/>
                <w:szCs w:val="24"/>
                <w:vertAlign w:val="subscript"/>
              </w:rPr>
              <w:t>p</w:t>
            </w:r>
            <w:r>
              <w:rPr>
                <w:rFonts w:hint="eastAsia" w:ascii="Times New Roman" w:hAnsi="宋体"/>
                <w:sz w:val="24"/>
                <w:szCs w:val="24"/>
              </w:rPr>
              <w:t>——距声源</w:t>
            </w:r>
            <w:r>
              <w:rPr>
                <w:rFonts w:ascii="Times New Roman" w:hAnsi="宋体"/>
                <w:sz w:val="24"/>
                <w:szCs w:val="24"/>
              </w:rPr>
              <w:t>r</w:t>
            </w:r>
            <w:r>
              <w:rPr>
                <w:rFonts w:hint="eastAsia" w:ascii="Times New Roman" w:hAnsi="宋体"/>
                <w:sz w:val="24"/>
                <w:szCs w:val="24"/>
              </w:rPr>
              <w:t>米处的施工噪声预测值，</w:t>
            </w:r>
            <w:r>
              <w:rPr>
                <w:rFonts w:ascii="Times New Roman" w:hAnsi="宋体"/>
                <w:sz w:val="24"/>
                <w:szCs w:val="24"/>
              </w:rPr>
              <w:t>dB</w:t>
            </w:r>
            <w:r>
              <w:rPr>
                <w:rFonts w:hint="eastAsia" w:ascii="Times New Roman" w:hAnsi="宋体"/>
                <w:sz w:val="24"/>
                <w:szCs w:val="24"/>
              </w:rPr>
              <w:t>（</w:t>
            </w:r>
            <w:r>
              <w:rPr>
                <w:rFonts w:ascii="Times New Roman" w:hAnsi="宋体"/>
                <w:sz w:val="24"/>
                <w:szCs w:val="24"/>
              </w:rPr>
              <w:t>A</w:t>
            </w:r>
            <w:r>
              <w:rPr>
                <w:rFonts w:hint="eastAsia" w:ascii="Times New Roman" w:hAnsi="宋体"/>
                <w:sz w:val="24"/>
                <w:szCs w:val="24"/>
              </w:rPr>
              <w:t>）；</w:t>
            </w:r>
          </w:p>
          <w:p>
            <w:pPr>
              <w:tabs>
                <w:tab w:val="left" w:pos="5670"/>
              </w:tabs>
              <w:spacing w:line="360" w:lineRule="auto"/>
              <w:ind w:firstLine="1200" w:firstLineChars="500"/>
              <w:rPr>
                <w:rFonts w:ascii="Times New Roman" w:hAnsi="宋体"/>
                <w:sz w:val="24"/>
                <w:szCs w:val="24"/>
              </w:rPr>
            </w:pPr>
            <w:r>
              <w:rPr>
                <w:rFonts w:ascii="Times New Roman" w:hAnsi="宋体"/>
                <w:sz w:val="24"/>
                <w:szCs w:val="24"/>
              </w:rPr>
              <w:t>L</w:t>
            </w:r>
            <w:r>
              <w:rPr>
                <w:rFonts w:ascii="Times New Roman" w:hAnsi="宋体"/>
                <w:sz w:val="24"/>
                <w:szCs w:val="24"/>
                <w:vertAlign w:val="subscript"/>
              </w:rPr>
              <w:t>po</w:t>
            </w:r>
            <w:r>
              <w:rPr>
                <w:rFonts w:hint="eastAsia" w:ascii="Times New Roman" w:hAnsi="宋体"/>
                <w:sz w:val="24"/>
                <w:szCs w:val="24"/>
              </w:rPr>
              <w:t>——距声源</w:t>
            </w:r>
            <w:r>
              <w:rPr>
                <w:rFonts w:ascii="Times New Roman" w:hAnsi="宋体"/>
                <w:sz w:val="24"/>
                <w:szCs w:val="24"/>
              </w:rPr>
              <w:t>r</w:t>
            </w:r>
            <w:r>
              <w:rPr>
                <w:rFonts w:ascii="Times New Roman" w:hAnsi="宋体"/>
                <w:sz w:val="24"/>
                <w:szCs w:val="24"/>
                <w:vertAlign w:val="subscript"/>
              </w:rPr>
              <w:t>o</w:t>
            </w:r>
            <w:r>
              <w:rPr>
                <w:rFonts w:hint="eastAsia" w:ascii="Times New Roman" w:hAnsi="宋体"/>
                <w:sz w:val="24"/>
                <w:szCs w:val="24"/>
              </w:rPr>
              <w:t>米处的参考声级，</w:t>
            </w:r>
            <w:r>
              <w:rPr>
                <w:rFonts w:ascii="Times New Roman" w:hAnsi="宋体"/>
                <w:sz w:val="24"/>
                <w:szCs w:val="24"/>
              </w:rPr>
              <w:t>dB</w:t>
            </w:r>
            <w:r>
              <w:rPr>
                <w:rFonts w:hint="eastAsia" w:ascii="Times New Roman" w:hAnsi="宋体"/>
                <w:sz w:val="24"/>
                <w:szCs w:val="24"/>
              </w:rPr>
              <w:t>（</w:t>
            </w:r>
            <w:r>
              <w:rPr>
                <w:rFonts w:ascii="Times New Roman" w:hAnsi="宋体"/>
                <w:sz w:val="24"/>
                <w:szCs w:val="24"/>
              </w:rPr>
              <w:t>A</w:t>
            </w:r>
            <w:r>
              <w:rPr>
                <w:rFonts w:hint="eastAsia" w:ascii="Times New Roman" w:hAnsi="宋体"/>
                <w:sz w:val="24"/>
                <w:szCs w:val="24"/>
              </w:rPr>
              <w:t>）；</w:t>
            </w:r>
          </w:p>
          <w:p>
            <w:pPr>
              <w:tabs>
                <w:tab w:val="left" w:pos="5670"/>
              </w:tabs>
              <w:spacing w:line="360" w:lineRule="auto"/>
              <w:ind w:firstLine="1200" w:firstLineChars="500"/>
              <w:rPr>
                <w:rFonts w:ascii="Times New Roman" w:hAnsi="宋体"/>
                <w:sz w:val="24"/>
                <w:szCs w:val="24"/>
              </w:rPr>
            </w:pPr>
            <w:r>
              <w:rPr>
                <w:rFonts w:ascii="Times New Roman" w:hAnsi="宋体"/>
                <w:sz w:val="24"/>
                <w:szCs w:val="24"/>
              </w:rPr>
              <w:t>r</w:t>
            </w:r>
            <w:r>
              <w:rPr>
                <w:rFonts w:ascii="Times New Roman" w:hAnsi="宋体"/>
                <w:sz w:val="24"/>
                <w:szCs w:val="24"/>
                <w:vertAlign w:val="subscript"/>
              </w:rPr>
              <w:t>o</w:t>
            </w:r>
            <w:r>
              <w:rPr>
                <w:rFonts w:hint="eastAsia" w:ascii="Times New Roman" w:hAnsi="宋体"/>
                <w:sz w:val="24"/>
                <w:szCs w:val="24"/>
              </w:rPr>
              <w:t>——</w:t>
            </w:r>
            <w:r>
              <w:rPr>
                <w:rFonts w:ascii="Times New Roman" w:hAnsi="宋体"/>
                <w:sz w:val="24"/>
                <w:szCs w:val="24"/>
              </w:rPr>
              <w:t>L</w:t>
            </w:r>
            <w:r>
              <w:rPr>
                <w:rFonts w:ascii="Times New Roman" w:hAnsi="宋体"/>
                <w:sz w:val="24"/>
                <w:szCs w:val="24"/>
                <w:vertAlign w:val="subscript"/>
              </w:rPr>
              <w:t>po</w:t>
            </w:r>
            <w:r>
              <w:rPr>
                <w:rFonts w:hint="eastAsia" w:ascii="Times New Roman" w:hAnsi="宋体"/>
                <w:sz w:val="24"/>
                <w:szCs w:val="24"/>
              </w:rPr>
              <w:t>噪声的测点距离（</w:t>
            </w:r>
            <w:r>
              <w:rPr>
                <w:rFonts w:ascii="Times New Roman" w:hAnsi="宋体"/>
                <w:sz w:val="24"/>
                <w:szCs w:val="24"/>
              </w:rPr>
              <w:t>5</w:t>
            </w:r>
            <w:r>
              <w:rPr>
                <w:rFonts w:hint="eastAsia" w:ascii="Times New Roman" w:hAnsi="宋体"/>
                <w:sz w:val="24"/>
                <w:szCs w:val="24"/>
              </w:rPr>
              <w:t>米或</w:t>
            </w:r>
            <w:r>
              <w:rPr>
                <w:rFonts w:ascii="Times New Roman" w:hAnsi="宋体"/>
                <w:sz w:val="24"/>
                <w:szCs w:val="24"/>
              </w:rPr>
              <w:t>1</w:t>
            </w:r>
            <w:r>
              <w:rPr>
                <w:rFonts w:hint="eastAsia" w:ascii="Times New Roman" w:hAnsi="宋体"/>
                <w:sz w:val="24"/>
                <w:szCs w:val="24"/>
              </w:rPr>
              <w:t>米），</w:t>
            </w:r>
            <w:r>
              <w:rPr>
                <w:rFonts w:ascii="Times New Roman" w:hAnsi="宋体"/>
                <w:sz w:val="24"/>
                <w:szCs w:val="24"/>
              </w:rPr>
              <w:t>m</w:t>
            </w:r>
            <w:r>
              <w:rPr>
                <w:rFonts w:hint="eastAsia" w:ascii="Times New Roman" w:hAnsi="宋体"/>
                <w:sz w:val="24"/>
                <w:szCs w:val="24"/>
              </w:rPr>
              <w:t>；</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③预测结果</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本评价预测每台设备的噪声衰减，在实例中会出现多台设备的叠加，由于施工的分阶段性，加之周围</w:t>
            </w:r>
            <w:r>
              <w:rPr>
                <w:rFonts w:ascii="Times New Roman" w:hAnsi="宋体"/>
                <w:sz w:val="24"/>
                <w:szCs w:val="24"/>
              </w:rPr>
              <w:t>200~300</w:t>
            </w:r>
            <w:r>
              <w:rPr>
                <w:rFonts w:hint="eastAsia" w:ascii="Times New Roman" w:hAnsi="宋体"/>
                <w:sz w:val="24"/>
                <w:szCs w:val="24"/>
              </w:rPr>
              <w:t>米叠加影响的情况十分复杂，因此本环评不考虑这种复合影响。实际噪声值可能比本预测值高</w:t>
            </w:r>
            <w:r>
              <w:rPr>
                <w:rFonts w:ascii="Times New Roman" w:hAnsi="宋体"/>
                <w:sz w:val="24"/>
                <w:szCs w:val="24"/>
              </w:rPr>
              <w:t>3-10dB</w:t>
            </w:r>
            <w:r>
              <w:rPr>
                <w:rFonts w:hint="eastAsia" w:ascii="Times New Roman" w:hAnsi="宋体"/>
                <w:sz w:val="24"/>
                <w:szCs w:val="24"/>
              </w:rPr>
              <w:t>（A）。</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根据点源衰减预测模式，计算噪声随距离的衰减情况见下表。</w:t>
            </w:r>
          </w:p>
          <w:p>
            <w:pPr>
              <w:tabs>
                <w:tab w:val="left" w:pos="5670"/>
              </w:tabs>
              <w:spacing w:line="360" w:lineRule="auto"/>
              <w:jc w:val="center"/>
              <w:rPr>
                <w:rFonts w:ascii="Times New Roman" w:hAnsi="宋体"/>
                <w:b/>
                <w:sz w:val="24"/>
                <w:szCs w:val="24"/>
              </w:rPr>
            </w:pPr>
            <w:r>
              <w:rPr>
                <w:rFonts w:hint="eastAsia" w:ascii="Times New Roman" w:hAnsi="宋体"/>
                <w:b/>
                <w:sz w:val="24"/>
                <w:szCs w:val="24"/>
              </w:rPr>
              <w:t>表</w:t>
            </w:r>
            <w:r>
              <w:rPr>
                <w:rFonts w:ascii="Times New Roman" w:hAnsi="宋体"/>
                <w:b/>
                <w:sz w:val="24"/>
                <w:szCs w:val="24"/>
              </w:rPr>
              <w:t xml:space="preserve">6-3  </w:t>
            </w:r>
            <w:r>
              <w:rPr>
                <w:rFonts w:hint="eastAsia" w:ascii="Times New Roman" w:hAnsi="宋体"/>
                <w:b/>
                <w:sz w:val="24"/>
                <w:szCs w:val="24"/>
              </w:rPr>
              <w:t>项目主要施工机械在不同距离处的噪声预测值</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33"/>
              <w:gridCol w:w="1130"/>
              <w:gridCol w:w="1129"/>
              <w:gridCol w:w="1129"/>
              <w:gridCol w:w="1129"/>
              <w:gridCol w:w="1129"/>
              <w:gridCol w:w="1129"/>
              <w:gridCol w:w="113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vMerge w:val="restart"/>
                  <w:tcBorders>
                    <w:top w:val="single" w:color="000000" w:sz="12"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b/>
                      <w:szCs w:val="21"/>
                    </w:rPr>
                  </w:pPr>
                  <w:r>
                    <w:rPr>
                      <w:rFonts w:hint="eastAsia" w:ascii="Times New Roman" w:hAnsi="宋体"/>
                      <w:b/>
                      <w:szCs w:val="21"/>
                    </w:rPr>
                    <w:t>噪声源</w:t>
                  </w:r>
                </w:p>
              </w:tc>
              <w:tc>
                <w:tcPr>
                  <w:tcW w:w="1102" w:type="dxa"/>
                  <w:tcBorders>
                    <w:top w:val="single" w:color="000000" w:sz="12"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b/>
                      <w:szCs w:val="21"/>
                    </w:rPr>
                  </w:pPr>
                  <w:r>
                    <w:rPr>
                      <w:rFonts w:hint="eastAsia" w:ascii="Times New Roman" w:hAnsi="宋体"/>
                      <w:b/>
                      <w:szCs w:val="21"/>
                    </w:rPr>
                    <w:t>原噪声</w:t>
                  </w:r>
                </w:p>
              </w:tc>
              <w:tc>
                <w:tcPr>
                  <w:tcW w:w="6607" w:type="dxa"/>
                  <w:gridSpan w:val="6"/>
                  <w:tcBorders>
                    <w:top w:val="single" w:color="000000" w:sz="12" w:space="0"/>
                    <w:left w:val="single" w:color="000000" w:sz="6" w:space="0"/>
                    <w:bottom w:val="single" w:color="000000" w:sz="6" w:space="0"/>
                    <w:right w:val="single" w:color="000000" w:sz="12" w:space="0"/>
                  </w:tcBorders>
                  <w:vAlign w:val="center"/>
                </w:tcPr>
                <w:p>
                  <w:pPr>
                    <w:tabs>
                      <w:tab w:val="left" w:pos="5670"/>
                    </w:tabs>
                    <w:jc w:val="center"/>
                    <w:rPr>
                      <w:rFonts w:ascii="Times New Roman" w:hAnsi="Times New Roman"/>
                      <w:b/>
                      <w:szCs w:val="21"/>
                    </w:rPr>
                  </w:pPr>
                  <w:r>
                    <w:rPr>
                      <w:rFonts w:hint="eastAsia" w:ascii="Times New Roman" w:hAnsi="Times New Roman"/>
                      <w:b/>
                      <w:szCs w:val="21"/>
                    </w:rPr>
                    <w:t>衰减后的噪声</w:t>
                  </w:r>
                  <w:r>
                    <w:rPr>
                      <w:rFonts w:ascii="Times New Roman" w:hAnsi="Times New Roman"/>
                      <w:b/>
                      <w:szCs w:val="21"/>
                    </w:rPr>
                    <w:t>dB</w:t>
                  </w:r>
                  <w:r>
                    <w:rPr>
                      <w:rFonts w:hint="eastAsia" w:ascii="Times New Roman" w:hAnsi="Times New Roman"/>
                      <w:b/>
                      <w:szCs w:val="21"/>
                    </w:rPr>
                    <w:t>（</w:t>
                  </w:r>
                  <w:r>
                    <w:rPr>
                      <w:rFonts w:ascii="Times New Roman" w:hAnsi="Times New Roman"/>
                      <w:b/>
                      <w:szCs w:val="21"/>
                    </w:rPr>
                    <w:t>A</w:t>
                  </w:r>
                  <w:r>
                    <w:rPr>
                      <w:rFonts w:hint="eastAsia" w:ascii="Times New Roman" w:hAnsi="Times New Roman"/>
                      <w:b/>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vMerge w:val="continue"/>
                  <w:tcBorders>
                    <w:top w:val="single" w:color="000000" w:sz="12" w:space="0"/>
                    <w:left w:val="single" w:color="000000" w:sz="12" w:space="0"/>
                    <w:bottom w:val="single" w:color="000000" w:sz="6" w:space="0"/>
                    <w:right w:val="single" w:color="000000" w:sz="6" w:space="0"/>
                  </w:tcBorders>
                  <w:vAlign w:val="center"/>
                </w:tcPr>
                <w:p>
                  <w:pPr>
                    <w:widowControl/>
                    <w:jc w:val="left"/>
                    <w:rPr>
                      <w:rFonts w:ascii="Times New Roman" w:hAnsi="宋体"/>
                      <w:b/>
                      <w:szCs w:val="21"/>
                    </w:rPr>
                  </w:pPr>
                </w:p>
              </w:tc>
              <w:tc>
                <w:tcPr>
                  <w:tcW w:w="1102"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dB</w:t>
                  </w:r>
                  <w:r>
                    <w:rPr>
                      <w:rFonts w:hint="eastAsia" w:ascii="Times New Roman" w:hAnsi="宋体"/>
                      <w:szCs w:val="21"/>
                    </w:rPr>
                    <w:t>（</w:t>
                  </w:r>
                  <w:r>
                    <w:rPr>
                      <w:rFonts w:ascii="Times New Roman" w:hAnsi="宋体"/>
                      <w:szCs w:val="21"/>
                    </w:rPr>
                    <w:t>A</w:t>
                  </w:r>
                  <w:r>
                    <w:rPr>
                      <w:rFonts w:hint="eastAsia" w:ascii="Times New Roman" w:hAnsi="宋体"/>
                      <w:szCs w:val="21"/>
                    </w:rPr>
                    <w:t>）</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15m</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20m</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40m</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60m</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ascii="Times New Roman" w:hAnsi="宋体"/>
                      <w:szCs w:val="21"/>
                    </w:rPr>
                    <w:t>100m</w:t>
                  </w:r>
                </w:p>
              </w:tc>
              <w:tc>
                <w:tcPr>
                  <w:tcW w:w="1102"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宋体"/>
                      <w:szCs w:val="21"/>
                    </w:rPr>
                  </w:pPr>
                  <w:r>
                    <w:rPr>
                      <w:rFonts w:ascii="Times New Roman" w:hAnsi="宋体"/>
                      <w:szCs w:val="21"/>
                    </w:rPr>
                    <w:t>150m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tcBorders>
                    <w:top w:val="single" w:color="000000" w:sz="6"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推土机</w:t>
                  </w:r>
                </w:p>
              </w:tc>
              <w:tc>
                <w:tcPr>
                  <w:tcW w:w="110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96.0</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72.5</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69.9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63.9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60.4</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56</w:t>
                  </w:r>
                </w:p>
              </w:tc>
              <w:tc>
                <w:tcPr>
                  <w:tcW w:w="1102"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52.5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tcBorders>
                    <w:top w:val="single" w:color="000000" w:sz="6"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搅拌机、压缩机</w:t>
                  </w:r>
                </w:p>
              </w:tc>
              <w:tc>
                <w:tcPr>
                  <w:tcW w:w="110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88.0</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64.5</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61.9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55.9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52.4</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48</w:t>
                  </w:r>
                </w:p>
              </w:tc>
              <w:tc>
                <w:tcPr>
                  <w:tcW w:w="1102"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44.5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tcBorders>
                    <w:top w:val="single" w:color="000000" w:sz="6"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卷扬机</w:t>
                  </w:r>
                </w:p>
              </w:tc>
              <w:tc>
                <w:tcPr>
                  <w:tcW w:w="110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95.0</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71.5</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68.9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62.9</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59.4</w:t>
                  </w:r>
                </w:p>
              </w:tc>
              <w:tc>
                <w:tcPr>
                  <w:tcW w:w="1101"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55</w:t>
                  </w:r>
                </w:p>
              </w:tc>
              <w:tc>
                <w:tcPr>
                  <w:tcW w:w="1102"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tcBorders>
                    <w:top w:val="single" w:color="000000" w:sz="6" w:space="0"/>
                    <w:left w:val="single" w:color="000000" w:sz="12" w:space="0"/>
                    <w:bottom w:val="single" w:color="000000" w:sz="6"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重型汽车</w:t>
                  </w:r>
                </w:p>
              </w:tc>
              <w:tc>
                <w:tcPr>
                  <w:tcW w:w="1102"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89.0</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65.5</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62.9</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56.9</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53.4</w:t>
                  </w:r>
                </w:p>
              </w:tc>
              <w:tc>
                <w:tcPr>
                  <w:tcW w:w="1101" w:type="dxa"/>
                  <w:tcBorders>
                    <w:top w:val="single" w:color="000000" w:sz="6" w:space="0"/>
                    <w:left w:val="single" w:color="000000" w:sz="6" w:space="0"/>
                    <w:bottom w:val="single" w:color="000000" w:sz="6"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49</w:t>
                  </w:r>
                </w:p>
              </w:tc>
              <w:tc>
                <w:tcPr>
                  <w:tcW w:w="1102" w:type="dxa"/>
                  <w:tcBorders>
                    <w:top w:val="single" w:color="000000" w:sz="6" w:space="0"/>
                    <w:left w:val="single" w:color="000000" w:sz="6" w:space="0"/>
                    <w:bottom w:val="single" w:color="000000" w:sz="6" w:space="0"/>
                    <w:right w:val="single" w:color="000000" w:sz="12" w:space="0"/>
                  </w:tcBorders>
                  <w:vAlign w:val="center"/>
                </w:tcPr>
                <w:p>
                  <w:pPr>
                    <w:tabs>
                      <w:tab w:val="left" w:pos="5670"/>
                    </w:tabs>
                    <w:jc w:val="center"/>
                    <w:rPr>
                      <w:rFonts w:ascii="Times New Roman" w:hAnsi="Times New Roman"/>
                      <w:szCs w:val="21"/>
                    </w:rPr>
                  </w:pPr>
                  <w:r>
                    <w:rPr>
                      <w:rFonts w:ascii="Times New Roman" w:hAnsi="Times New Roman"/>
                      <w:szCs w:val="21"/>
                    </w:rPr>
                    <w:t>45.5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05" w:type="dxa"/>
                  <w:tcBorders>
                    <w:top w:val="single" w:color="000000" w:sz="6" w:space="0"/>
                    <w:left w:val="single" w:color="000000" w:sz="12" w:space="0"/>
                    <w:bottom w:val="single" w:color="000000" w:sz="12" w:space="0"/>
                    <w:right w:val="single" w:color="000000" w:sz="6" w:space="0"/>
                  </w:tcBorders>
                  <w:vAlign w:val="center"/>
                </w:tcPr>
                <w:p>
                  <w:pPr>
                    <w:tabs>
                      <w:tab w:val="left" w:pos="5670"/>
                    </w:tabs>
                    <w:jc w:val="center"/>
                    <w:rPr>
                      <w:rFonts w:ascii="Times New Roman" w:hAnsi="宋体"/>
                      <w:szCs w:val="21"/>
                    </w:rPr>
                  </w:pPr>
                  <w:r>
                    <w:rPr>
                      <w:rFonts w:hint="eastAsia" w:ascii="Times New Roman" w:hAnsi="宋体"/>
                      <w:szCs w:val="21"/>
                    </w:rPr>
                    <w:t>轻型汽车</w:t>
                  </w:r>
                </w:p>
              </w:tc>
              <w:tc>
                <w:tcPr>
                  <w:tcW w:w="1102"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85.0</w:t>
                  </w:r>
                </w:p>
              </w:tc>
              <w:tc>
                <w:tcPr>
                  <w:tcW w:w="110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61.5</w:t>
                  </w:r>
                </w:p>
              </w:tc>
              <w:tc>
                <w:tcPr>
                  <w:tcW w:w="110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58.9</w:t>
                  </w:r>
                </w:p>
              </w:tc>
              <w:tc>
                <w:tcPr>
                  <w:tcW w:w="110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52.9</w:t>
                  </w:r>
                </w:p>
              </w:tc>
              <w:tc>
                <w:tcPr>
                  <w:tcW w:w="110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49.4</w:t>
                  </w:r>
                </w:p>
              </w:tc>
              <w:tc>
                <w:tcPr>
                  <w:tcW w:w="1101" w:type="dxa"/>
                  <w:tcBorders>
                    <w:top w:val="single" w:color="000000" w:sz="6" w:space="0"/>
                    <w:left w:val="single" w:color="000000" w:sz="6" w:space="0"/>
                    <w:bottom w:val="single" w:color="000000" w:sz="12" w:space="0"/>
                    <w:right w:val="single" w:color="000000" w:sz="6" w:space="0"/>
                  </w:tcBorders>
                  <w:vAlign w:val="center"/>
                </w:tcPr>
                <w:p>
                  <w:pPr>
                    <w:tabs>
                      <w:tab w:val="left" w:pos="5670"/>
                    </w:tabs>
                    <w:jc w:val="center"/>
                    <w:rPr>
                      <w:rFonts w:ascii="Times New Roman" w:hAnsi="Times New Roman"/>
                      <w:szCs w:val="21"/>
                    </w:rPr>
                  </w:pPr>
                  <w:r>
                    <w:rPr>
                      <w:rFonts w:ascii="Times New Roman" w:hAnsi="Times New Roman"/>
                      <w:szCs w:val="21"/>
                    </w:rPr>
                    <w:t>45</w:t>
                  </w:r>
                </w:p>
              </w:tc>
              <w:tc>
                <w:tcPr>
                  <w:tcW w:w="1102" w:type="dxa"/>
                  <w:tcBorders>
                    <w:top w:val="single" w:color="000000" w:sz="6" w:space="0"/>
                    <w:left w:val="single" w:color="000000" w:sz="6" w:space="0"/>
                    <w:bottom w:val="single" w:color="000000" w:sz="12" w:space="0"/>
                    <w:right w:val="single" w:color="000000" w:sz="12" w:space="0"/>
                  </w:tcBorders>
                  <w:vAlign w:val="center"/>
                </w:tcPr>
                <w:p>
                  <w:pPr>
                    <w:tabs>
                      <w:tab w:val="left" w:pos="5670"/>
                    </w:tabs>
                    <w:jc w:val="center"/>
                    <w:rPr>
                      <w:rFonts w:ascii="Times New Roman" w:hAnsi="Times New Roman"/>
                      <w:szCs w:val="21"/>
                    </w:rPr>
                  </w:pPr>
                  <w:r>
                    <w:rPr>
                      <w:rFonts w:ascii="Times New Roman" w:hAnsi="Times New Roman"/>
                      <w:szCs w:val="21"/>
                    </w:rPr>
                    <w:t>41.5</w:t>
                  </w:r>
                </w:p>
              </w:tc>
            </w:tr>
          </w:tbl>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由上表可知在不采取隔声降噪措施的情况下，施工机械产生的噪声一般在</w:t>
            </w:r>
            <w:r>
              <w:rPr>
                <w:rFonts w:ascii="Times New Roman" w:hAnsi="宋体"/>
                <w:sz w:val="24"/>
                <w:szCs w:val="24"/>
              </w:rPr>
              <w:t>20m</w:t>
            </w:r>
            <w:r>
              <w:rPr>
                <w:rFonts w:hint="eastAsia" w:ascii="Times New Roman" w:hAnsi="宋体"/>
                <w:sz w:val="24"/>
                <w:szCs w:val="24"/>
              </w:rPr>
              <w:t>以外才能满足《建筑施工场界环境噪声排放标准》（</w:t>
            </w:r>
            <w:r>
              <w:rPr>
                <w:rFonts w:ascii="Times New Roman" w:hAnsi="宋体"/>
                <w:sz w:val="24"/>
                <w:szCs w:val="24"/>
              </w:rPr>
              <w:t>GB 12523-2011</w:t>
            </w:r>
            <w:r>
              <w:rPr>
                <w:rFonts w:hint="eastAsia" w:ascii="Times New Roman" w:hAnsi="宋体"/>
                <w:sz w:val="24"/>
                <w:szCs w:val="24"/>
              </w:rPr>
              <w:t>）的昼间标准，高噪声机械如打桩机在距离</w:t>
            </w:r>
            <w:r>
              <w:rPr>
                <w:rFonts w:ascii="Times New Roman" w:hAnsi="宋体"/>
                <w:sz w:val="24"/>
                <w:szCs w:val="24"/>
              </w:rPr>
              <w:t>60m</w:t>
            </w:r>
            <w:r>
              <w:rPr>
                <w:rFonts w:hint="eastAsia" w:ascii="Times New Roman" w:hAnsi="宋体"/>
                <w:sz w:val="24"/>
                <w:szCs w:val="24"/>
              </w:rPr>
              <w:t>以外才能达标。夜间要求较严，噪声低于</w:t>
            </w:r>
            <w:r>
              <w:rPr>
                <w:rFonts w:ascii="Times New Roman" w:hAnsi="宋体"/>
                <w:sz w:val="24"/>
                <w:szCs w:val="24"/>
              </w:rPr>
              <w:t>89dB</w:t>
            </w:r>
            <w:r>
              <w:rPr>
                <w:rFonts w:hint="eastAsia" w:ascii="Times New Roman" w:hAnsi="宋体"/>
                <w:sz w:val="24"/>
                <w:szCs w:val="24"/>
              </w:rPr>
              <w:t>（</w:t>
            </w:r>
            <w:r>
              <w:rPr>
                <w:rFonts w:ascii="Times New Roman" w:hAnsi="宋体"/>
                <w:sz w:val="24"/>
                <w:szCs w:val="24"/>
              </w:rPr>
              <w:t>A</w:t>
            </w:r>
            <w:r>
              <w:rPr>
                <w:rFonts w:hint="eastAsia" w:ascii="Times New Roman" w:hAnsi="宋体"/>
                <w:sz w:val="24"/>
                <w:szCs w:val="24"/>
              </w:rPr>
              <w:t>）的机械设备在距离噪声距离</w:t>
            </w:r>
            <w:r>
              <w:rPr>
                <w:rFonts w:ascii="Times New Roman" w:hAnsi="宋体"/>
                <w:sz w:val="24"/>
                <w:szCs w:val="24"/>
              </w:rPr>
              <w:t>60m</w:t>
            </w:r>
            <w:r>
              <w:rPr>
                <w:rFonts w:hint="eastAsia" w:ascii="Times New Roman" w:hAnsi="宋体"/>
                <w:sz w:val="24"/>
                <w:szCs w:val="24"/>
              </w:rPr>
              <w:t>以外，其设备噪声能满足《建筑施工场界环境噪声排放标准》（</w:t>
            </w:r>
            <w:r>
              <w:rPr>
                <w:rFonts w:ascii="Times New Roman" w:hAnsi="宋体"/>
                <w:sz w:val="24"/>
                <w:szCs w:val="24"/>
              </w:rPr>
              <w:t>GB 12523-2011</w:t>
            </w:r>
            <w:r>
              <w:rPr>
                <w:rFonts w:hint="eastAsia" w:ascii="Times New Roman" w:hAnsi="宋体"/>
                <w:sz w:val="24"/>
                <w:szCs w:val="24"/>
              </w:rPr>
              <w:t>）的夜间标准。</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本项目所在区域周围声环境现状良好，昼间噪声本底值较小。项目区域内及周边没有敏感点分布，本项目施工不会对周围造成影响。</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环评要求：①采取合理安排施工时间，禁止夜间施工，当因施工工艺需要必须进行夜间施工时，须办理夜间施工手续并公告周围群众；②在靠近敏感点侧施工时，设置施工围挡等临时隔声措施；③加强施工机械维修、保养，确保其处于最佳工作状态；④高噪声施工场所尽量布置在远离环境敏感点的区域。</w:t>
            </w:r>
          </w:p>
          <w:p>
            <w:pPr>
              <w:tabs>
                <w:tab w:val="left" w:pos="5670"/>
              </w:tabs>
              <w:spacing w:line="360" w:lineRule="auto"/>
              <w:ind w:firstLine="480" w:firstLineChars="200"/>
              <w:rPr>
                <w:rFonts w:ascii="Times New Roman" w:hAnsi="宋体"/>
                <w:sz w:val="24"/>
                <w:szCs w:val="24"/>
              </w:rPr>
            </w:pPr>
            <w:r>
              <w:rPr>
                <w:rFonts w:hint="eastAsia" w:ascii="Times New Roman" w:hAnsi="宋体"/>
                <w:sz w:val="24"/>
                <w:szCs w:val="24"/>
              </w:rPr>
              <w:t>施工期噪声对环境的影响是短期的，随着施工结束其影响将也随之消失。另外，施工期机械噪声对周围环境影响虽不大，但主要影响到作业人员和现场管理人员。在现场施工期间，高噪机械设备作业区的人员必须实施劳动卫生防护措施（如防噪耳套、耳塞等）。</w:t>
            </w:r>
          </w:p>
          <w:p>
            <w:pPr>
              <w:spacing w:line="360" w:lineRule="auto"/>
              <w:textAlignment w:val="baseline"/>
              <w:rPr>
                <w:rFonts w:ascii="Times New Roman" w:hAnsi="Times New Roman"/>
                <w:b/>
                <w:spacing w:val="8"/>
                <w:sz w:val="24"/>
                <w:szCs w:val="24"/>
              </w:rPr>
            </w:pPr>
            <w:r>
              <w:rPr>
                <w:rFonts w:ascii="Times New Roman" w:hAnsi="Times New Roman"/>
                <w:b/>
                <w:spacing w:val="8"/>
                <w:sz w:val="24"/>
                <w:szCs w:val="24"/>
              </w:rPr>
              <w:t xml:space="preserve">4 </w:t>
            </w:r>
            <w:r>
              <w:rPr>
                <w:rFonts w:hint="eastAsia" w:ascii="Times New Roman" w:hAnsi="Times New Roman"/>
                <w:b/>
                <w:spacing w:val="8"/>
                <w:sz w:val="24"/>
                <w:szCs w:val="24"/>
              </w:rPr>
              <w:t>固体废弃物环境影响分析</w:t>
            </w:r>
          </w:p>
          <w:p>
            <w:pPr>
              <w:overflowPunct w:val="0"/>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施工期的固体废弃物主要来自施工过程产生的土石方、建筑垃圾和建筑工人所产生的少部分生活垃圾。</w:t>
            </w:r>
          </w:p>
          <w:p>
            <w:pPr>
              <w:overflowPunct w:val="0"/>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本项目建设场地开挖土石方全部场地内平整，无弃方。施工过程将产生建筑废料，主要是丢弃的废建材、包装袋等建筑废料以及废土。建筑垃圾不及时妥善处理会引起扬尘、占有土地和影响景观等问题。对于施工产生的建筑垃圾、装修垃圾应进行分拣，对废木材、金属、玻璃、塑料等可以回收利用的部分应积极进行综合利用，对不能利用的建筑垃圾送至城管部门指定的地点堆放，严禁随意运输，随意倾倒。</w:t>
            </w:r>
          </w:p>
          <w:p>
            <w:pPr>
              <w:overflowPunct w:val="0"/>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施工过程中产生的生活垃圾须定点收集并及时清运，杜绝因乱堆乱放对环境产生的影响。因此，在严格采取以上防治措施后，施工期间的环境影响可大大降低。</w:t>
            </w:r>
          </w:p>
          <w:p>
            <w:pPr>
              <w:overflowPunct w:val="0"/>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总体而言，施工期的环境影响是短暂的，只要采取合理措施，管理得当，其影响可减少到最低程度，并随着施工期的结束而结束。</w:t>
            </w:r>
          </w:p>
          <w:p>
            <w:pPr>
              <w:overflowPunct w:val="0"/>
              <w:spacing w:line="360" w:lineRule="auto"/>
              <w:jc w:val="left"/>
              <w:textAlignment w:val="baseline"/>
              <w:outlineLvl w:val="1"/>
              <w:rPr>
                <w:rFonts w:ascii="Times New Roman" w:hAnsi="Times New Roman"/>
                <w:b/>
                <w:spacing w:val="8"/>
                <w:sz w:val="28"/>
                <w:szCs w:val="28"/>
              </w:rPr>
            </w:pPr>
            <w:bookmarkStart w:id="46" w:name="_Toc511833745"/>
            <w:bookmarkStart w:id="47" w:name="_Toc509910171"/>
            <w:bookmarkStart w:id="48" w:name="_Toc511833655"/>
            <w:bookmarkStart w:id="49" w:name="_Toc511833764"/>
            <w:r>
              <w:rPr>
                <w:rFonts w:ascii="Times New Roman" w:hAnsi="Times New Roman"/>
                <w:b/>
                <w:spacing w:val="8"/>
                <w:sz w:val="28"/>
                <w:szCs w:val="28"/>
              </w:rPr>
              <w:t>（二）营运期环境影响分析及防治措施分析</w:t>
            </w:r>
            <w:bookmarkEnd w:id="46"/>
            <w:bookmarkEnd w:id="47"/>
            <w:bookmarkEnd w:id="48"/>
            <w:bookmarkEnd w:id="49"/>
          </w:p>
          <w:p>
            <w:pPr>
              <w:spacing w:line="360" w:lineRule="auto"/>
              <w:textAlignment w:val="baseline"/>
              <w:rPr>
                <w:rFonts w:ascii="Times New Roman" w:hAnsi="Times New Roman"/>
                <w:b/>
                <w:spacing w:val="8"/>
                <w:sz w:val="24"/>
                <w:szCs w:val="24"/>
              </w:rPr>
            </w:pPr>
            <w:r>
              <w:rPr>
                <w:rFonts w:ascii="Times New Roman" w:hAnsi="Times New Roman"/>
                <w:b/>
                <w:spacing w:val="8"/>
                <w:sz w:val="24"/>
                <w:szCs w:val="24"/>
              </w:rPr>
              <w:t>1 大气环境影响分析</w:t>
            </w:r>
          </w:p>
          <w:p>
            <w:pPr>
              <w:pStyle w:val="68"/>
              <w:snapToGrid/>
              <w:spacing w:line="360" w:lineRule="auto"/>
              <w:ind w:firstLine="480"/>
              <w:rPr>
                <w:rFonts w:ascii="Times New Roman" w:hAnsi="Times New Roman"/>
                <w:bCs/>
                <w:kern w:val="10"/>
              </w:rPr>
            </w:pPr>
            <w:r>
              <w:rPr>
                <w:rFonts w:hint="eastAsia" w:ascii="Times New Roman" w:hAnsi="Times New Roman"/>
                <w:bCs/>
                <w:kern w:val="10"/>
              </w:rPr>
              <w:t>根据《环境影响评价导则</w:t>
            </w:r>
            <w:r>
              <w:rPr>
                <w:rFonts w:ascii="Times New Roman" w:hAnsi="Times New Roman"/>
                <w:bCs/>
                <w:kern w:val="10"/>
              </w:rPr>
              <w:t xml:space="preserve"> </w:t>
            </w:r>
            <w:r>
              <w:rPr>
                <w:rFonts w:hint="eastAsia" w:ascii="Times New Roman" w:hAnsi="Times New Roman"/>
                <w:bCs/>
                <w:kern w:val="10"/>
              </w:rPr>
              <w:t>大气环境》（</w:t>
            </w:r>
            <w:r>
              <w:rPr>
                <w:rFonts w:ascii="Times New Roman" w:hAnsi="Times New Roman"/>
                <w:bCs/>
                <w:kern w:val="10"/>
              </w:rPr>
              <w:t>HJ 2.2-2018</w:t>
            </w:r>
            <w:r>
              <w:rPr>
                <w:rFonts w:hint="eastAsia" w:ascii="Times New Roman" w:hAnsi="Times New Roman"/>
                <w:bCs/>
                <w:kern w:val="10"/>
              </w:rPr>
              <w:t>）中规定和推荐的模式，采用</w:t>
            </w:r>
            <w:r>
              <w:rPr>
                <w:rFonts w:ascii="Times New Roman" w:hAnsi="Times New Roman"/>
                <w:bCs/>
                <w:kern w:val="10"/>
              </w:rPr>
              <w:t xml:space="preserve">AERSCREEN </w:t>
            </w:r>
            <w:r>
              <w:rPr>
                <w:rFonts w:hint="eastAsia" w:ascii="Times New Roman" w:hAnsi="Times New Roman"/>
                <w:bCs/>
                <w:kern w:val="10"/>
              </w:rPr>
              <w:t>估算模式计算项目污染物最大</w:t>
            </w:r>
            <w:r>
              <w:rPr>
                <w:rFonts w:ascii="Times New Roman" w:hAnsi="Times New Roman"/>
                <w:bCs/>
                <w:kern w:val="10"/>
              </w:rPr>
              <w:t>1h</w:t>
            </w:r>
            <w:r>
              <w:rPr>
                <w:rFonts w:hint="eastAsia" w:ascii="Times New Roman" w:hAnsi="Times New Roman"/>
                <w:bCs/>
                <w:kern w:val="10"/>
              </w:rPr>
              <w:t>地面空气质量浓度，根据《环境影响评价导则</w:t>
            </w:r>
            <w:r>
              <w:rPr>
                <w:rFonts w:ascii="Times New Roman" w:hAnsi="Times New Roman"/>
                <w:bCs/>
                <w:kern w:val="10"/>
              </w:rPr>
              <w:t xml:space="preserve"> </w:t>
            </w:r>
            <w:r>
              <w:rPr>
                <w:rFonts w:hint="eastAsia" w:ascii="Times New Roman" w:hAnsi="Times New Roman"/>
                <w:bCs/>
                <w:kern w:val="10"/>
              </w:rPr>
              <w:t>大气环境》（</w:t>
            </w:r>
            <w:r>
              <w:rPr>
                <w:rFonts w:ascii="Times New Roman" w:hAnsi="Times New Roman"/>
                <w:bCs/>
                <w:kern w:val="10"/>
              </w:rPr>
              <w:t>HJ 2.2-2018</w:t>
            </w:r>
            <w:r>
              <w:rPr>
                <w:rFonts w:hint="eastAsia" w:ascii="Times New Roman" w:hAnsi="Times New Roman"/>
                <w:bCs/>
                <w:kern w:val="10"/>
              </w:rPr>
              <w:t>）中评价等级判定方法，判定项目评级等级，评价等级表见表</w:t>
            </w:r>
            <w:r>
              <w:rPr>
                <w:rFonts w:ascii="Times New Roman" w:hAnsi="Times New Roman"/>
                <w:bCs/>
                <w:kern w:val="10"/>
              </w:rPr>
              <w:t>6-4</w:t>
            </w:r>
            <w:r>
              <w:rPr>
                <w:rFonts w:hint="eastAsia" w:ascii="Times New Roman" w:hAnsi="Times New Roman"/>
                <w:bCs/>
                <w:kern w:val="10"/>
              </w:rPr>
              <w:t>。评价因子、估算模型、点源及面源参数见表</w:t>
            </w:r>
            <w:r>
              <w:rPr>
                <w:rFonts w:ascii="Times New Roman" w:hAnsi="Times New Roman"/>
                <w:bCs/>
                <w:kern w:val="10"/>
              </w:rPr>
              <w:t>6-5</w:t>
            </w:r>
            <w:r>
              <w:rPr>
                <w:rFonts w:hint="eastAsia" w:ascii="Times New Roman" w:hAnsi="Times New Roman"/>
                <w:bCs/>
                <w:kern w:val="10"/>
              </w:rPr>
              <w:t>~</w:t>
            </w:r>
            <w:r>
              <w:rPr>
                <w:rFonts w:ascii="Times New Roman" w:hAnsi="Times New Roman"/>
                <w:bCs/>
                <w:kern w:val="10"/>
              </w:rPr>
              <w:t>8</w:t>
            </w:r>
            <w:r>
              <w:rPr>
                <w:rFonts w:hint="eastAsia" w:ascii="Times New Roman" w:hAnsi="Times New Roman"/>
                <w:bCs/>
                <w:kern w:val="10"/>
              </w:rPr>
              <w:t>。主要污染物估算模型计算结果见表</w:t>
            </w:r>
            <w:r>
              <w:rPr>
                <w:rFonts w:ascii="Times New Roman" w:hAnsi="Times New Roman"/>
                <w:bCs/>
                <w:kern w:val="10"/>
              </w:rPr>
              <w:t>6-9</w:t>
            </w:r>
            <w:r>
              <w:rPr>
                <w:rFonts w:hint="eastAsia" w:ascii="Times New Roman" w:hAnsi="Times New Roman"/>
                <w:bCs/>
                <w:kern w:val="10"/>
              </w:rPr>
              <w:t>~10。</w:t>
            </w:r>
          </w:p>
          <w:p>
            <w:pPr>
              <w:pStyle w:val="68"/>
              <w:spacing w:line="360" w:lineRule="auto"/>
              <w:ind w:firstLine="0" w:firstLineChars="0"/>
              <w:jc w:val="center"/>
              <w:rPr>
                <w:rFonts w:ascii="Times New Roman" w:hAnsi="Times New Roman"/>
                <w:b/>
                <w:bCs/>
                <w:u w:val="single"/>
              </w:rPr>
            </w:pPr>
            <w:r>
              <w:rPr>
                <w:rFonts w:hint="eastAsia" w:ascii="Times New Roman" w:hAnsi="宋体"/>
                <w:b/>
                <w:bCs/>
                <w:u w:val="single"/>
              </w:rPr>
              <w:t>表</w:t>
            </w:r>
            <w:r>
              <w:rPr>
                <w:rFonts w:ascii="Times New Roman" w:hAnsi="Times New Roman"/>
                <w:b/>
                <w:bCs/>
                <w:u w:val="single"/>
              </w:rPr>
              <w:t xml:space="preserve">6-4  </w:t>
            </w:r>
            <w:r>
              <w:rPr>
                <w:rFonts w:hint="eastAsia" w:ascii="Times New Roman" w:hAnsi="宋体"/>
                <w:b/>
                <w:bCs/>
                <w:u w:val="single"/>
              </w:rPr>
              <w:t>评价等级判别表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20"/>
              <w:gridCol w:w="45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05" w:type="dxa"/>
                  <w:vAlign w:val="center"/>
                </w:tcPr>
                <w:p>
                  <w:pPr>
                    <w:snapToGrid w:val="0"/>
                    <w:jc w:val="center"/>
                    <w:rPr>
                      <w:rFonts w:ascii="Times New Roman" w:hAnsi="Times New Roman"/>
                      <w:b/>
                      <w:szCs w:val="21"/>
                      <w:u w:val="single"/>
                    </w:rPr>
                  </w:pPr>
                  <w:r>
                    <w:rPr>
                      <w:rFonts w:hint="eastAsia" w:ascii="Times New Roman" w:hAnsi="宋体"/>
                      <w:b/>
                      <w:szCs w:val="21"/>
                      <w:u w:val="single"/>
                    </w:rPr>
                    <w:t>评价工作等级</w:t>
                  </w:r>
                </w:p>
              </w:tc>
              <w:tc>
                <w:tcPr>
                  <w:tcW w:w="4305" w:type="dxa"/>
                  <w:vAlign w:val="center"/>
                </w:tcPr>
                <w:p>
                  <w:pPr>
                    <w:snapToGrid w:val="0"/>
                    <w:jc w:val="center"/>
                    <w:rPr>
                      <w:rFonts w:ascii="Times New Roman" w:hAnsi="Times New Roman"/>
                      <w:b/>
                      <w:szCs w:val="21"/>
                      <w:u w:val="single"/>
                    </w:rPr>
                  </w:pPr>
                  <w:r>
                    <w:rPr>
                      <w:rFonts w:hint="eastAsia" w:ascii="Times New Roman" w:hAnsi="宋体"/>
                      <w:b/>
                      <w:szCs w:val="21"/>
                      <w:u w:val="single"/>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05" w:type="dxa"/>
                  <w:vAlign w:val="center"/>
                </w:tcPr>
                <w:p>
                  <w:pPr>
                    <w:snapToGrid w:val="0"/>
                    <w:jc w:val="center"/>
                    <w:rPr>
                      <w:rFonts w:ascii="Times New Roman" w:hAnsi="Times New Roman"/>
                      <w:szCs w:val="21"/>
                      <w:u w:val="single"/>
                    </w:rPr>
                  </w:pPr>
                  <w:r>
                    <w:rPr>
                      <w:rFonts w:hint="eastAsia" w:ascii="Times New Roman" w:hAnsi="宋体"/>
                      <w:szCs w:val="21"/>
                      <w:u w:val="single"/>
                    </w:rPr>
                    <w:t>一级评价</w:t>
                  </w:r>
                </w:p>
              </w:tc>
              <w:tc>
                <w:tcPr>
                  <w:tcW w:w="4305" w:type="dxa"/>
                  <w:vAlign w:val="center"/>
                </w:tcPr>
                <w:p>
                  <w:pPr>
                    <w:snapToGrid w:val="0"/>
                    <w:jc w:val="center"/>
                    <w:rPr>
                      <w:rFonts w:ascii="Times New Roman" w:hAnsi="Times New Roman"/>
                      <w:szCs w:val="21"/>
                      <w:u w:val="single"/>
                    </w:rPr>
                  </w:pPr>
                  <w:r>
                    <w:rPr>
                      <w:rFonts w:ascii="Times New Roman" w:hAnsi="Times New Roman"/>
                      <w:szCs w:val="21"/>
                      <w:u w:val="single"/>
                    </w:rPr>
                    <w:t>P</w:t>
                  </w:r>
                  <w:r>
                    <w:rPr>
                      <w:rFonts w:ascii="Times New Roman" w:hAnsi="Times New Roman"/>
                      <w:szCs w:val="21"/>
                      <w:u w:val="single"/>
                      <w:vertAlign w:val="subscript"/>
                    </w:rPr>
                    <w:t>max</w:t>
                  </w:r>
                  <w:r>
                    <w:rPr>
                      <w:rFonts w:ascii="Times New Roman" w:hAnsi="Times New Roman"/>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05" w:type="dxa"/>
                  <w:vAlign w:val="center"/>
                </w:tcPr>
                <w:p>
                  <w:pPr>
                    <w:snapToGrid w:val="0"/>
                    <w:jc w:val="center"/>
                    <w:rPr>
                      <w:rFonts w:ascii="Times New Roman" w:hAnsi="Times New Roman"/>
                      <w:szCs w:val="21"/>
                      <w:u w:val="single"/>
                    </w:rPr>
                  </w:pPr>
                  <w:r>
                    <w:rPr>
                      <w:rFonts w:hint="eastAsia" w:ascii="Times New Roman" w:hAnsi="宋体"/>
                      <w:szCs w:val="21"/>
                      <w:u w:val="single"/>
                    </w:rPr>
                    <w:t>二级评价</w:t>
                  </w:r>
                </w:p>
              </w:tc>
              <w:tc>
                <w:tcPr>
                  <w:tcW w:w="4305" w:type="dxa"/>
                  <w:vAlign w:val="center"/>
                </w:tcPr>
                <w:p>
                  <w:pPr>
                    <w:snapToGrid w:val="0"/>
                    <w:jc w:val="center"/>
                    <w:rPr>
                      <w:rFonts w:ascii="Times New Roman" w:hAnsi="Times New Roman"/>
                      <w:szCs w:val="21"/>
                      <w:u w:val="single"/>
                    </w:rPr>
                  </w:pPr>
                  <w:r>
                    <w:rPr>
                      <w:rFonts w:ascii="Times New Roman" w:hAnsi="Times New Roman"/>
                      <w:szCs w:val="21"/>
                      <w:u w:val="single"/>
                    </w:rPr>
                    <w:t>1%≤P</w:t>
                  </w:r>
                  <w:r>
                    <w:rPr>
                      <w:rFonts w:ascii="Times New Roman" w:hAnsi="Times New Roman"/>
                      <w:szCs w:val="21"/>
                      <w:u w:val="single"/>
                      <w:vertAlign w:val="subscript"/>
                    </w:rPr>
                    <w:t>max</w:t>
                  </w:r>
                  <w:r>
                    <w:rPr>
                      <w:rFonts w:ascii="Times New Roman" w:hAnsi="Times New Roman"/>
                      <w:szCs w:val="21"/>
                      <w:u w:val="single"/>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05" w:type="dxa"/>
                  <w:vAlign w:val="center"/>
                </w:tcPr>
                <w:p>
                  <w:pPr>
                    <w:snapToGrid w:val="0"/>
                    <w:jc w:val="center"/>
                    <w:rPr>
                      <w:rFonts w:ascii="Times New Roman" w:hAnsi="Times New Roman"/>
                      <w:szCs w:val="21"/>
                      <w:u w:val="single"/>
                    </w:rPr>
                  </w:pPr>
                  <w:r>
                    <w:rPr>
                      <w:rFonts w:hint="eastAsia" w:ascii="Times New Roman" w:hAnsi="宋体"/>
                      <w:szCs w:val="21"/>
                      <w:u w:val="single"/>
                    </w:rPr>
                    <w:t>三级评级</w:t>
                  </w:r>
                </w:p>
              </w:tc>
              <w:tc>
                <w:tcPr>
                  <w:tcW w:w="4305" w:type="dxa"/>
                  <w:vAlign w:val="center"/>
                </w:tcPr>
                <w:p>
                  <w:pPr>
                    <w:snapToGrid w:val="0"/>
                    <w:jc w:val="center"/>
                    <w:rPr>
                      <w:rFonts w:ascii="Times New Roman" w:hAnsi="Times New Roman"/>
                      <w:szCs w:val="21"/>
                      <w:u w:val="single"/>
                    </w:rPr>
                  </w:pPr>
                  <w:r>
                    <w:rPr>
                      <w:rFonts w:ascii="Times New Roman" w:hAnsi="Times New Roman"/>
                      <w:szCs w:val="21"/>
                      <w:u w:val="single"/>
                    </w:rPr>
                    <w:t>P</w:t>
                  </w:r>
                  <w:r>
                    <w:rPr>
                      <w:rFonts w:ascii="Times New Roman" w:hAnsi="Times New Roman"/>
                      <w:szCs w:val="21"/>
                      <w:u w:val="single"/>
                      <w:vertAlign w:val="subscript"/>
                    </w:rPr>
                    <w:t>max</w:t>
                  </w:r>
                  <w:r>
                    <w:rPr>
                      <w:rFonts w:ascii="Times New Roman" w:hAnsi="Times New Roman"/>
                      <w:szCs w:val="21"/>
                      <w:u w:val="single"/>
                    </w:rPr>
                    <w:t>&lt;1%</w:t>
                  </w:r>
                </w:p>
              </w:tc>
            </w:tr>
          </w:tbl>
          <w:p>
            <w:pPr>
              <w:overflowPunct w:val="0"/>
              <w:spacing w:line="360" w:lineRule="auto"/>
              <w:jc w:val="center"/>
              <w:rPr>
                <w:rFonts w:ascii="Times New Roman" w:hAnsi="Times New Roman"/>
                <w:b/>
                <w:kern w:val="10"/>
                <w:sz w:val="24"/>
                <w:u w:val="single"/>
              </w:rPr>
            </w:pPr>
            <w:r>
              <w:rPr>
                <w:rFonts w:hint="eastAsia" w:ascii="Times New Roman" w:hAnsi="Times New Roman"/>
                <w:b/>
                <w:kern w:val="10"/>
                <w:sz w:val="24"/>
                <w:u w:val="single"/>
              </w:rPr>
              <w:t>表</w:t>
            </w:r>
            <w:r>
              <w:rPr>
                <w:rFonts w:ascii="Times New Roman" w:hAnsi="Times New Roman"/>
                <w:b/>
                <w:kern w:val="10"/>
                <w:sz w:val="24"/>
                <w:u w:val="single"/>
              </w:rPr>
              <w:t xml:space="preserve">6-5  </w:t>
            </w:r>
            <w:r>
              <w:rPr>
                <w:rFonts w:hint="eastAsia" w:ascii="Times New Roman" w:hAnsi="Times New Roman"/>
                <w:b/>
                <w:kern w:val="10"/>
                <w:sz w:val="24"/>
                <w:u w:val="single"/>
              </w:rPr>
              <w:t>评价因子及评价标准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745"/>
              <w:gridCol w:w="1890"/>
              <w:gridCol w:w="3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dxa"/>
                  <w:vAlign w:val="center"/>
                </w:tcPr>
                <w:p>
                  <w:pPr>
                    <w:snapToGrid w:val="0"/>
                    <w:jc w:val="center"/>
                    <w:rPr>
                      <w:rFonts w:ascii="Times New Roman" w:hAnsi="Times New Roman"/>
                      <w:b/>
                      <w:szCs w:val="21"/>
                      <w:u w:val="single"/>
                    </w:rPr>
                  </w:pPr>
                  <w:r>
                    <w:rPr>
                      <w:rFonts w:hint="eastAsia" w:ascii="Times New Roman" w:hAnsi="宋体"/>
                      <w:b/>
                      <w:szCs w:val="21"/>
                      <w:u w:val="single"/>
                    </w:rPr>
                    <w:t>评价因子</w:t>
                  </w:r>
                </w:p>
              </w:tc>
              <w:tc>
                <w:tcPr>
                  <w:tcW w:w="1701" w:type="dxa"/>
                  <w:vAlign w:val="center"/>
                </w:tcPr>
                <w:p>
                  <w:pPr>
                    <w:autoSpaceDE w:val="0"/>
                    <w:autoSpaceDN w:val="0"/>
                    <w:snapToGrid w:val="0"/>
                    <w:jc w:val="center"/>
                    <w:rPr>
                      <w:rFonts w:ascii="Times New Roman" w:hAnsi="Times New Roman"/>
                      <w:b/>
                      <w:szCs w:val="21"/>
                      <w:u w:val="single"/>
                    </w:rPr>
                  </w:pPr>
                  <w:r>
                    <w:rPr>
                      <w:rFonts w:hint="eastAsia" w:ascii="Times New Roman" w:hAnsi="宋体"/>
                      <w:b/>
                      <w:szCs w:val="21"/>
                      <w:u w:val="single"/>
                    </w:rPr>
                    <w:t>平均时段</w:t>
                  </w:r>
                </w:p>
              </w:tc>
              <w:tc>
                <w:tcPr>
                  <w:tcW w:w="1843" w:type="dxa"/>
                  <w:vAlign w:val="center"/>
                </w:tcPr>
                <w:p>
                  <w:pPr>
                    <w:autoSpaceDE w:val="0"/>
                    <w:autoSpaceDN w:val="0"/>
                    <w:snapToGrid w:val="0"/>
                    <w:jc w:val="center"/>
                    <w:rPr>
                      <w:rFonts w:ascii="Times New Roman" w:hAnsi="Times New Roman"/>
                      <w:b/>
                      <w:szCs w:val="21"/>
                      <w:u w:val="single"/>
                    </w:rPr>
                  </w:pPr>
                  <w:r>
                    <w:rPr>
                      <w:rFonts w:hint="eastAsia" w:ascii="Times New Roman" w:hAnsi="宋体"/>
                      <w:b/>
                      <w:szCs w:val="21"/>
                      <w:u w:val="single"/>
                    </w:rPr>
                    <w:t>评价标准</w:t>
                  </w:r>
                  <w:r>
                    <w:rPr>
                      <w:rFonts w:ascii="Times New Roman" w:hAnsi="Times New Roman"/>
                      <w:b/>
                      <w:szCs w:val="21"/>
                      <w:u w:val="single"/>
                    </w:rPr>
                    <w:t>(ug/m</w:t>
                  </w:r>
                  <w:r>
                    <w:rPr>
                      <w:rFonts w:ascii="Times New Roman" w:hAnsi="Times New Roman"/>
                      <w:b/>
                      <w:szCs w:val="21"/>
                      <w:u w:val="single"/>
                      <w:vertAlign w:val="superscript"/>
                    </w:rPr>
                    <w:t>3</w:t>
                  </w:r>
                  <w:r>
                    <w:rPr>
                      <w:rFonts w:ascii="Times New Roman" w:hAnsi="Times New Roman"/>
                      <w:b/>
                      <w:szCs w:val="21"/>
                      <w:u w:val="single"/>
                    </w:rPr>
                    <w:t>)</w:t>
                  </w:r>
                </w:p>
              </w:tc>
              <w:tc>
                <w:tcPr>
                  <w:tcW w:w="3562" w:type="dxa"/>
                  <w:vAlign w:val="center"/>
                </w:tcPr>
                <w:p>
                  <w:pPr>
                    <w:autoSpaceDE w:val="0"/>
                    <w:autoSpaceDN w:val="0"/>
                    <w:snapToGrid w:val="0"/>
                    <w:jc w:val="center"/>
                    <w:rPr>
                      <w:rFonts w:ascii="Times New Roman" w:hAnsi="Times New Roman"/>
                      <w:b/>
                      <w:szCs w:val="21"/>
                      <w:u w:val="single"/>
                    </w:rPr>
                  </w:pPr>
                  <w:r>
                    <w:rPr>
                      <w:rFonts w:hint="eastAsia" w:ascii="Times New Roman" w:hAnsi="宋体"/>
                      <w:b/>
                      <w:szCs w:val="21"/>
                      <w:u w:val="singl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bCs/>
                      <w:kern w:val="0"/>
                      <w:szCs w:val="21"/>
                      <w:u w:val="single"/>
                    </w:rPr>
                    <w:t>TSP</w:t>
                  </w:r>
                </w:p>
              </w:tc>
              <w:tc>
                <w:tcPr>
                  <w:tcW w:w="1701"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日均值（三倍）</w:t>
                  </w:r>
                </w:p>
              </w:tc>
              <w:tc>
                <w:tcPr>
                  <w:tcW w:w="1843" w:type="dxa"/>
                  <w:vAlign w:val="center"/>
                </w:tcPr>
                <w:p>
                  <w:pPr>
                    <w:autoSpaceDE w:val="0"/>
                    <w:autoSpaceDN w:val="0"/>
                    <w:snapToGrid w:val="0"/>
                    <w:jc w:val="center"/>
                    <w:rPr>
                      <w:rFonts w:ascii="Times New Roman" w:hAnsi="Times New Roman"/>
                      <w:szCs w:val="21"/>
                      <w:u w:val="single"/>
                    </w:rPr>
                  </w:pPr>
                  <w:r>
                    <w:rPr>
                      <w:rFonts w:ascii="Times New Roman" w:hAnsi="Times New Roman"/>
                      <w:szCs w:val="21"/>
                      <w:u w:val="single"/>
                    </w:rPr>
                    <w:t>900</w:t>
                  </w:r>
                </w:p>
              </w:tc>
              <w:tc>
                <w:tcPr>
                  <w:tcW w:w="3562" w:type="dxa"/>
                  <w:vMerge w:val="restart"/>
                  <w:tcMar>
                    <w:top w:w="0" w:type="dxa"/>
                    <w:left w:w="0" w:type="dxa"/>
                    <w:bottom w:w="0" w:type="dxa"/>
                    <w:right w:w="0" w:type="dxa"/>
                  </w:tcMar>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《环境空气质量标准》</w:t>
                  </w:r>
                </w:p>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w:t>
                  </w:r>
                  <w:r>
                    <w:rPr>
                      <w:rFonts w:ascii="Times New Roman" w:hAnsi="Times New Roman"/>
                      <w:szCs w:val="21"/>
                      <w:u w:val="single"/>
                    </w:rPr>
                    <w:t>GB 3095-2012</w:t>
                  </w:r>
                  <w:r>
                    <w:rPr>
                      <w:rFonts w:hint="eastAsia" w:ascii="Times New Roman" w:hAnsi="Times New Roman"/>
                      <w:szCs w:val="21"/>
                      <w:u w:val="single"/>
                    </w:rPr>
                    <w:t>）</w:t>
                  </w:r>
                  <w:r>
                    <w:rPr>
                      <w:u w:val="single"/>
                    </w:rPr>
                    <w:t>表1中二级标准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dxa"/>
                  <w:vAlign w:val="center"/>
                </w:tcPr>
                <w:p>
                  <w:pPr>
                    <w:autoSpaceDE w:val="0"/>
                    <w:autoSpaceDN w:val="0"/>
                    <w:snapToGrid w:val="0"/>
                    <w:jc w:val="center"/>
                    <w:rPr>
                      <w:rFonts w:ascii="Times New Roman" w:hAnsi="Times New Roman"/>
                      <w:bCs/>
                      <w:kern w:val="0"/>
                      <w:szCs w:val="21"/>
                      <w:u w:val="single"/>
                    </w:rPr>
                  </w:pPr>
                  <w:r>
                    <w:rPr>
                      <w:rFonts w:hint="eastAsia" w:ascii="Times New Roman" w:hAnsi="Times New Roman"/>
                      <w:bCs/>
                      <w:kern w:val="0"/>
                      <w:szCs w:val="21"/>
                      <w:u w:val="single"/>
                    </w:rPr>
                    <w:t>SO</w:t>
                  </w:r>
                  <w:r>
                    <w:rPr>
                      <w:rFonts w:ascii="Times New Roman" w:hAnsi="Times New Roman"/>
                      <w:bCs/>
                      <w:kern w:val="0"/>
                      <w:szCs w:val="21"/>
                      <w:u w:val="single"/>
                      <w:vertAlign w:val="subscript"/>
                    </w:rPr>
                    <w:t>2</w:t>
                  </w:r>
                </w:p>
              </w:tc>
              <w:tc>
                <w:tcPr>
                  <w:tcW w:w="1701"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小时均值</w:t>
                  </w:r>
                </w:p>
              </w:tc>
              <w:tc>
                <w:tcPr>
                  <w:tcW w:w="1843"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5</w:t>
                  </w:r>
                  <w:r>
                    <w:rPr>
                      <w:rFonts w:ascii="Times New Roman" w:hAnsi="Times New Roman"/>
                      <w:szCs w:val="21"/>
                      <w:u w:val="single"/>
                    </w:rPr>
                    <w:t>00</w:t>
                  </w:r>
                </w:p>
              </w:tc>
              <w:tc>
                <w:tcPr>
                  <w:tcW w:w="3562" w:type="dxa"/>
                  <w:vMerge w:val="continue"/>
                  <w:tcMar>
                    <w:top w:w="0" w:type="dxa"/>
                    <w:left w:w="0" w:type="dxa"/>
                    <w:bottom w:w="0" w:type="dxa"/>
                    <w:right w:w="0" w:type="dxa"/>
                  </w:tcMar>
                  <w:vAlign w:val="center"/>
                </w:tcPr>
                <w:p>
                  <w:pPr>
                    <w:autoSpaceDE w:val="0"/>
                    <w:autoSpaceDN w:val="0"/>
                    <w:snapToGrid w:val="0"/>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dxa"/>
                  <w:vAlign w:val="center"/>
                </w:tcPr>
                <w:p>
                  <w:pPr>
                    <w:autoSpaceDE w:val="0"/>
                    <w:autoSpaceDN w:val="0"/>
                    <w:snapToGrid w:val="0"/>
                    <w:jc w:val="center"/>
                    <w:rPr>
                      <w:rFonts w:ascii="Times New Roman" w:hAnsi="Times New Roman"/>
                      <w:bCs/>
                      <w:kern w:val="0"/>
                      <w:szCs w:val="21"/>
                      <w:u w:val="single"/>
                      <w:vertAlign w:val="subscript"/>
                    </w:rPr>
                  </w:pPr>
                  <w:r>
                    <w:rPr>
                      <w:rFonts w:hint="eastAsia" w:ascii="Times New Roman" w:hAnsi="Times New Roman"/>
                      <w:bCs/>
                      <w:kern w:val="0"/>
                      <w:szCs w:val="21"/>
                      <w:u w:val="single"/>
                    </w:rPr>
                    <w:t>NO</w:t>
                  </w:r>
                  <w:r>
                    <w:rPr>
                      <w:rFonts w:hint="eastAsia" w:ascii="Times New Roman" w:hAnsi="Times New Roman"/>
                      <w:bCs/>
                      <w:kern w:val="0"/>
                      <w:szCs w:val="21"/>
                      <w:u w:val="single"/>
                      <w:vertAlign w:val="subscript"/>
                    </w:rPr>
                    <w:t>X</w:t>
                  </w:r>
                </w:p>
              </w:tc>
              <w:tc>
                <w:tcPr>
                  <w:tcW w:w="1701"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小时均值</w:t>
                  </w:r>
                </w:p>
              </w:tc>
              <w:tc>
                <w:tcPr>
                  <w:tcW w:w="1843" w:type="dxa"/>
                  <w:vAlign w:val="center"/>
                </w:tcPr>
                <w:p>
                  <w:pPr>
                    <w:autoSpaceDE w:val="0"/>
                    <w:autoSpaceDN w:val="0"/>
                    <w:snapToGrid w:val="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50</w:t>
                  </w:r>
                </w:p>
              </w:tc>
              <w:tc>
                <w:tcPr>
                  <w:tcW w:w="3562" w:type="dxa"/>
                  <w:vMerge w:val="continue"/>
                  <w:tcMar>
                    <w:top w:w="0" w:type="dxa"/>
                    <w:left w:w="0" w:type="dxa"/>
                    <w:bottom w:w="0" w:type="dxa"/>
                    <w:right w:w="0" w:type="dxa"/>
                  </w:tcMar>
                  <w:vAlign w:val="center"/>
                </w:tcPr>
                <w:p>
                  <w:pPr>
                    <w:autoSpaceDE w:val="0"/>
                    <w:autoSpaceDN w:val="0"/>
                    <w:snapToGrid w:val="0"/>
                    <w:jc w:val="center"/>
                    <w:rPr>
                      <w:rFonts w:ascii="Times New Roman" w:hAnsi="Times New Roman"/>
                      <w:szCs w:val="21"/>
                      <w:u w:val="single"/>
                    </w:rPr>
                  </w:pPr>
                </w:p>
              </w:tc>
            </w:tr>
          </w:tbl>
          <w:p>
            <w:pPr>
              <w:overflowPunct w:val="0"/>
              <w:spacing w:line="360" w:lineRule="auto"/>
              <w:jc w:val="center"/>
              <w:rPr>
                <w:rFonts w:ascii="Times New Roman" w:hAnsi="Times New Roman"/>
                <w:b/>
                <w:bCs/>
                <w:kern w:val="10"/>
                <w:sz w:val="24"/>
                <w:u w:val="single"/>
              </w:rPr>
            </w:pPr>
            <w:r>
              <w:rPr>
                <w:rFonts w:hint="eastAsia" w:ascii="Times New Roman" w:hAnsi="Times New Roman"/>
                <w:b/>
                <w:bCs/>
                <w:kern w:val="10"/>
                <w:sz w:val="24"/>
                <w:u w:val="single"/>
              </w:rPr>
              <w:t>表</w:t>
            </w:r>
            <w:r>
              <w:rPr>
                <w:rFonts w:ascii="Times New Roman" w:hAnsi="Times New Roman"/>
                <w:b/>
                <w:bCs/>
                <w:kern w:val="10"/>
                <w:sz w:val="24"/>
                <w:u w:val="single"/>
              </w:rPr>
              <w:t xml:space="preserve">6-6  </w:t>
            </w:r>
            <w:r>
              <w:rPr>
                <w:rFonts w:hint="eastAsia" w:ascii="Times New Roman" w:hAnsi="Times New Roman"/>
                <w:b/>
                <w:bCs/>
                <w:kern w:val="10"/>
                <w:sz w:val="24"/>
                <w:u w:val="single"/>
              </w:rPr>
              <w:t>估算模型参数表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10"/>
              <w:gridCol w:w="2965"/>
              <w:gridCol w:w="29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880" w:type="dxa"/>
                  <w:gridSpan w:val="2"/>
                  <w:tcBorders>
                    <w:top w:val="single" w:color="auto" w:sz="12"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参数</w:t>
                  </w:r>
                </w:p>
              </w:tc>
              <w:tc>
                <w:tcPr>
                  <w:tcW w:w="2870" w:type="dxa"/>
                  <w:tcBorders>
                    <w:top w:val="single" w:color="auto" w:sz="12"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restart"/>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城市</w:t>
                  </w:r>
                  <w:r>
                    <w:rPr>
                      <w:rFonts w:ascii="Times New Roman" w:hAnsi="Times New Roman"/>
                      <w:bCs/>
                      <w:kern w:val="2"/>
                      <w:sz w:val="21"/>
                      <w:szCs w:val="21"/>
                      <w:u w:val="single"/>
                    </w:rPr>
                    <w:t>/</w:t>
                  </w:r>
                  <w:r>
                    <w:rPr>
                      <w:rFonts w:hint="eastAsia" w:ascii="Times New Roman" w:hAnsi="Times New Roman"/>
                      <w:bCs/>
                      <w:kern w:val="2"/>
                      <w:sz w:val="21"/>
                      <w:szCs w:val="21"/>
                      <w:u w:val="single"/>
                    </w:rPr>
                    <w:t>农村选项</w:t>
                  </w: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城市</w:t>
                  </w:r>
                  <w:r>
                    <w:rPr>
                      <w:rFonts w:ascii="Times New Roman" w:hAnsi="Times New Roman"/>
                      <w:bCs/>
                      <w:kern w:val="2"/>
                      <w:sz w:val="21"/>
                      <w:szCs w:val="21"/>
                      <w:u w:val="single"/>
                    </w:rPr>
                    <w:t>/</w:t>
                  </w:r>
                  <w:r>
                    <w:rPr>
                      <w:rFonts w:hint="eastAsia" w:ascii="Times New Roman" w:hAnsi="Times New Roman"/>
                      <w:bCs/>
                      <w:kern w:val="2"/>
                      <w:sz w:val="21"/>
                      <w:szCs w:val="21"/>
                      <w:u w:val="single"/>
                    </w:rPr>
                    <w:t>农村</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bCs/>
                      <w:szCs w:val="21"/>
                      <w:u w:val="single"/>
                    </w:rPr>
                  </w:pP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人口数（城市选项时）</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80" w:type="dxa"/>
                  <w:gridSpan w:val="2"/>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最高环境温度/℃</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80" w:type="dxa"/>
                  <w:gridSpan w:val="2"/>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最低环境温度/℃</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w:t>
                  </w:r>
                  <w:r>
                    <w:rPr>
                      <w:rFonts w:ascii="Times New Roman" w:hAnsi="Times New Roman"/>
                      <w:bCs/>
                      <w:kern w:val="2"/>
                      <w:sz w:val="21"/>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80" w:type="dxa"/>
                  <w:gridSpan w:val="2"/>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土地利用类型</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工矿用地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80" w:type="dxa"/>
                  <w:gridSpan w:val="2"/>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区域湿度条件</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restart"/>
                  <w:tcBorders>
                    <w:top w:val="single" w:color="auto" w:sz="6" w:space="0"/>
                    <w:left w:val="single" w:color="auto" w:sz="12"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是否考虑地形</w:t>
                  </w: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考虑地形</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sym w:font="Wingdings" w:char="00FE"/>
                  </w:r>
                  <w:r>
                    <w:rPr>
                      <w:rFonts w:hint="eastAsia" w:ascii="Times New Roman" w:hAnsi="Times New Roman"/>
                      <w:bCs/>
                      <w:kern w:val="2"/>
                      <w:sz w:val="21"/>
                      <w:szCs w:val="21"/>
                      <w:u w:val="single"/>
                    </w:rPr>
                    <w:t>是</w:t>
                  </w:r>
                  <w:r>
                    <w:rPr>
                      <w:rFonts w:ascii="Times New Roman" w:hAnsi="Times New Roman"/>
                      <w:bCs/>
                      <w:kern w:val="2"/>
                      <w:sz w:val="21"/>
                      <w:szCs w:val="21"/>
                      <w:u w:val="single"/>
                    </w:rPr>
                    <w:t xml:space="preserve">  </w:t>
                  </w:r>
                  <w:r>
                    <w:rPr>
                      <w:rFonts w:ascii="Times New Roman" w:hAnsi="Times New Roman"/>
                      <w:bCs/>
                      <w:kern w:val="2"/>
                      <w:sz w:val="21"/>
                      <w:szCs w:val="21"/>
                      <w:u w:val="single"/>
                    </w:rPr>
                    <w:sym w:font="Wingdings" w:char="00A8"/>
                  </w:r>
                  <w:r>
                    <w:rPr>
                      <w:rFonts w:hint="eastAsia" w:ascii="Times New Roman" w:hAnsi="Times New Roman"/>
                      <w:bCs/>
                      <w:kern w:val="2"/>
                      <w:sz w:val="21"/>
                      <w:szCs w:val="21"/>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bCs/>
                      <w:szCs w:val="21"/>
                      <w:u w:val="single"/>
                    </w:rPr>
                  </w:pP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地形数据分辨率</w:t>
                  </w:r>
                  <w:r>
                    <w:rPr>
                      <w:rFonts w:ascii="Times New Roman" w:hAnsi="Times New Roman"/>
                      <w:bCs/>
                      <w:kern w:val="2"/>
                      <w:sz w:val="21"/>
                      <w:szCs w:val="21"/>
                      <w:u w:val="single"/>
                    </w:rPr>
                    <w:t>/m</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90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restart"/>
                  <w:tcBorders>
                    <w:top w:val="single" w:color="auto" w:sz="6" w:space="0"/>
                    <w:left w:val="single" w:color="auto" w:sz="12" w:space="0"/>
                    <w:bottom w:val="single" w:color="auto" w:sz="12"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是否考虑岸线熏烟</w:t>
                  </w: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考虑岸线熏烟</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sym w:font="Wingdings" w:char="00A8"/>
                  </w:r>
                  <w:r>
                    <w:rPr>
                      <w:rFonts w:hint="eastAsia" w:ascii="Times New Roman" w:hAnsi="Times New Roman"/>
                      <w:bCs/>
                      <w:kern w:val="2"/>
                      <w:sz w:val="21"/>
                      <w:szCs w:val="21"/>
                      <w:u w:val="single"/>
                    </w:rPr>
                    <w:t>是</w:t>
                  </w:r>
                  <w:r>
                    <w:rPr>
                      <w:rFonts w:ascii="Times New Roman" w:hAnsi="Times New Roman"/>
                      <w:bCs/>
                      <w:kern w:val="2"/>
                      <w:sz w:val="21"/>
                      <w:szCs w:val="21"/>
                      <w:u w:val="single"/>
                    </w:rPr>
                    <w:t xml:space="preserve">  </w:t>
                  </w:r>
                  <w:r>
                    <w:rPr>
                      <w:rFonts w:ascii="Times New Roman" w:hAnsi="Times New Roman"/>
                      <w:bCs/>
                      <w:kern w:val="2"/>
                      <w:sz w:val="21"/>
                      <w:szCs w:val="21"/>
                      <w:u w:val="single"/>
                    </w:rPr>
                    <w:sym w:font="Wingdings" w:char="00FE"/>
                  </w:r>
                  <w:r>
                    <w:rPr>
                      <w:rFonts w:hint="eastAsia" w:ascii="Times New Roman" w:hAnsi="Times New Roman"/>
                      <w:bCs/>
                      <w:kern w:val="2"/>
                      <w:sz w:val="21"/>
                      <w:szCs w:val="21"/>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ascii="Times New Roman" w:hAnsi="Times New Roman"/>
                      <w:bCs/>
                      <w:szCs w:val="21"/>
                      <w:u w:val="single"/>
                    </w:rPr>
                  </w:pPr>
                </w:p>
              </w:tc>
              <w:tc>
                <w:tcPr>
                  <w:tcW w:w="2870" w:type="dxa"/>
                  <w:tcBorders>
                    <w:top w:val="single" w:color="auto" w:sz="6" w:space="0"/>
                    <w:left w:val="single" w:color="auto" w:sz="6" w:space="0"/>
                    <w:bottom w:val="single" w:color="auto" w:sz="6"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岸线距离</w:t>
                  </w:r>
                  <w:r>
                    <w:rPr>
                      <w:rFonts w:ascii="Times New Roman" w:hAnsi="Times New Roman"/>
                      <w:bCs/>
                      <w:kern w:val="2"/>
                      <w:sz w:val="21"/>
                      <w:szCs w:val="21"/>
                      <w:u w:val="single"/>
                    </w:rPr>
                    <w:t>/km</w:t>
                  </w:r>
                </w:p>
              </w:tc>
              <w:tc>
                <w:tcPr>
                  <w:tcW w:w="2870" w:type="dxa"/>
                  <w:tcBorders>
                    <w:top w:val="single" w:color="auto" w:sz="6" w:space="0"/>
                    <w:left w:val="single" w:color="auto" w:sz="6" w:space="0"/>
                    <w:bottom w:val="single" w:color="auto" w:sz="6"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ascii="Times New Roman" w:hAnsi="Times New Roman"/>
                      <w:bCs/>
                      <w:szCs w:val="21"/>
                      <w:u w:val="single"/>
                    </w:rPr>
                  </w:pPr>
                </w:p>
              </w:tc>
              <w:tc>
                <w:tcPr>
                  <w:tcW w:w="2870" w:type="dxa"/>
                  <w:tcBorders>
                    <w:top w:val="single" w:color="auto" w:sz="6" w:space="0"/>
                    <w:left w:val="single" w:color="auto" w:sz="6" w:space="0"/>
                    <w:bottom w:val="single" w:color="auto" w:sz="12" w:space="0"/>
                    <w:right w:val="single" w:color="auto" w:sz="6"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hint="eastAsia" w:ascii="Times New Roman" w:hAnsi="Times New Roman"/>
                      <w:bCs/>
                      <w:kern w:val="2"/>
                      <w:sz w:val="21"/>
                      <w:szCs w:val="21"/>
                      <w:u w:val="single"/>
                    </w:rPr>
                    <w:t>岸线方向</w:t>
                  </w:r>
                  <w:r>
                    <w:rPr>
                      <w:rFonts w:ascii="Times New Roman" w:hAnsi="Times New Roman"/>
                      <w:bCs/>
                      <w:kern w:val="2"/>
                      <w:sz w:val="21"/>
                      <w:szCs w:val="21"/>
                      <w:u w:val="single"/>
                    </w:rPr>
                    <w:t>/°</w:t>
                  </w:r>
                </w:p>
              </w:tc>
              <w:tc>
                <w:tcPr>
                  <w:tcW w:w="2870" w:type="dxa"/>
                  <w:tcBorders>
                    <w:top w:val="single" w:color="auto" w:sz="6" w:space="0"/>
                    <w:left w:val="single" w:color="auto" w:sz="6" w:space="0"/>
                    <w:bottom w:val="single" w:color="auto" w:sz="12" w:space="0"/>
                    <w:right w:val="single" w:color="auto" w:sz="12" w:space="0"/>
                  </w:tcBorders>
                  <w:vAlign w:val="center"/>
                </w:tcPr>
                <w:p>
                  <w:pPr>
                    <w:pStyle w:val="68"/>
                    <w:spacing w:line="240" w:lineRule="auto"/>
                    <w:ind w:firstLine="0" w:firstLineChars="0"/>
                    <w:jc w:val="center"/>
                    <w:rPr>
                      <w:rFonts w:ascii="Times New Roman" w:hAnsi="Times New Roman"/>
                      <w:bCs/>
                      <w:kern w:val="2"/>
                      <w:sz w:val="21"/>
                      <w:szCs w:val="21"/>
                      <w:u w:val="single"/>
                    </w:rPr>
                  </w:pPr>
                  <w:r>
                    <w:rPr>
                      <w:rFonts w:ascii="Times New Roman" w:hAnsi="Times New Roman"/>
                      <w:bCs/>
                      <w:kern w:val="2"/>
                      <w:sz w:val="21"/>
                      <w:szCs w:val="21"/>
                      <w:u w:val="single"/>
                    </w:rPr>
                    <w:t>/</w:t>
                  </w:r>
                </w:p>
              </w:tc>
            </w:tr>
          </w:tbl>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r>
              <w:rPr>
                <w:rFonts w:hint="eastAsia" w:ascii="Times New Roman"/>
                <w:b/>
                <w:bCs/>
                <w:sz w:val="24"/>
                <w:u w:val="single"/>
              </w:rPr>
              <w:t>表6-</w:t>
            </w:r>
            <w:r>
              <w:rPr>
                <w:rFonts w:ascii="Times New Roman"/>
                <w:b/>
                <w:bCs/>
                <w:sz w:val="24"/>
                <w:u w:val="single"/>
              </w:rPr>
              <w:t>7</w:t>
            </w:r>
            <w:r>
              <w:rPr>
                <w:rFonts w:hint="eastAsia" w:ascii="Times New Roman"/>
                <w:b/>
                <w:bCs/>
                <w:sz w:val="24"/>
                <w:u w:val="single"/>
              </w:rPr>
              <w:t xml:space="preserve">  点源参数表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4"/>
              <w:gridCol w:w="870"/>
              <w:gridCol w:w="581"/>
              <w:gridCol w:w="581"/>
              <w:gridCol w:w="1017"/>
              <w:gridCol w:w="581"/>
              <w:gridCol w:w="725"/>
              <w:gridCol w:w="872"/>
              <w:gridCol w:w="581"/>
              <w:gridCol w:w="798"/>
              <w:gridCol w:w="799"/>
              <w:gridCol w:w="90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716"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编号</w:t>
                  </w:r>
                </w:p>
              </w:tc>
              <w:tc>
                <w:tcPr>
                  <w:tcW w:w="848" w:type="dxa"/>
                  <w:vMerge w:val="restart"/>
                  <w:vAlign w:val="center"/>
                </w:tcPr>
                <w:p>
                  <w:pPr>
                    <w:overflowPunct w:val="0"/>
                    <w:jc w:val="center"/>
                    <w:rPr>
                      <w:rFonts w:ascii="Times New Roman"/>
                      <w:b/>
                      <w:bCs/>
                      <w:szCs w:val="21"/>
                      <w:u w:val="single"/>
                    </w:rPr>
                  </w:pPr>
                  <w:r>
                    <w:rPr>
                      <w:rFonts w:hint="eastAsia" w:ascii="Times New Roman"/>
                      <w:b/>
                      <w:bCs/>
                      <w:szCs w:val="21"/>
                      <w:u w:val="single"/>
                    </w:rPr>
                    <w:t>名称</w:t>
                  </w:r>
                </w:p>
              </w:tc>
              <w:tc>
                <w:tcPr>
                  <w:tcW w:w="1132" w:type="dxa"/>
                  <w:gridSpan w:val="2"/>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排气筒底部中心坐标</w:t>
                  </w:r>
                  <w:r>
                    <w:rPr>
                      <w:rFonts w:ascii="Times New Roman"/>
                      <w:b/>
                      <w:bCs/>
                      <w:szCs w:val="21"/>
                      <w:u w:val="single"/>
                    </w:rPr>
                    <w:t>/m</w:t>
                  </w:r>
                </w:p>
              </w:tc>
              <w:tc>
                <w:tcPr>
                  <w:tcW w:w="992"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排气筒底部海拔高度</w:t>
                  </w:r>
                  <w:r>
                    <w:rPr>
                      <w:rFonts w:ascii="Times New Roman"/>
                      <w:b/>
                      <w:bCs/>
                      <w:szCs w:val="21"/>
                      <w:u w:val="single"/>
                    </w:rPr>
                    <w:t>/m</w:t>
                  </w:r>
                </w:p>
              </w:tc>
              <w:tc>
                <w:tcPr>
                  <w:tcW w:w="566"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排气筒高度</w:t>
                  </w:r>
                  <w:r>
                    <w:rPr>
                      <w:rFonts w:ascii="Times New Roman"/>
                      <w:b/>
                      <w:bCs/>
                      <w:szCs w:val="21"/>
                      <w:u w:val="single"/>
                    </w:rPr>
                    <w:t>/m</w:t>
                  </w:r>
                </w:p>
              </w:tc>
              <w:tc>
                <w:tcPr>
                  <w:tcW w:w="707"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排气筒出口内径</w:t>
                  </w:r>
                  <w:r>
                    <w:rPr>
                      <w:rFonts w:ascii="Times New Roman"/>
                      <w:b/>
                      <w:bCs/>
                      <w:szCs w:val="21"/>
                      <w:u w:val="single"/>
                    </w:rPr>
                    <w:t>/m</w:t>
                  </w:r>
                </w:p>
              </w:tc>
              <w:tc>
                <w:tcPr>
                  <w:tcW w:w="850"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烟气流速</w:t>
                  </w:r>
                  <w:r>
                    <w:rPr>
                      <w:rFonts w:ascii="Times New Roman"/>
                      <w:b/>
                      <w:bCs/>
                      <w:szCs w:val="21"/>
                      <w:u w:val="single"/>
                    </w:rPr>
                    <w:t>/</w:t>
                  </w:r>
                  <w:r>
                    <w:rPr>
                      <w:rFonts w:hint="eastAsia" w:ascii="Times New Roman"/>
                      <w:b/>
                      <w:bCs/>
                      <w:szCs w:val="21"/>
                      <w:u w:val="single"/>
                    </w:rPr>
                    <w:t>（m/s）</w:t>
                  </w:r>
                </w:p>
              </w:tc>
              <w:tc>
                <w:tcPr>
                  <w:tcW w:w="566" w:type="dxa"/>
                  <w:vMerge w:val="restart"/>
                  <w:tcMar>
                    <w:top w:w="0" w:type="dxa"/>
                    <w:left w:w="0" w:type="dxa"/>
                    <w:bottom w:w="0" w:type="dxa"/>
                    <w:right w:w="0" w:type="dxa"/>
                  </w:tcMar>
                  <w:vAlign w:val="center"/>
                </w:tcPr>
                <w:p>
                  <w:pPr>
                    <w:overflowPunct w:val="0"/>
                    <w:jc w:val="center"/>
                    <w:rPr>
                      <w:rFonts w:ascii="宋体" w:hAnsi="宋体" w:cs="宋体"/>
                      <w:b/>
                      <w:bCs/>
                      <w:szCs w:val="21"/>
                      <w:u w:val="single"/>
                    </w:rPr>
                  </w:pPr>
                  <w:r>
                    <w:rPr>
                      <w:rFonts w:hint="eastAsia" w:ascii="Times New Roman"/>
                      <w:b/>
                      <w:bCs/>
                      <w:szCs w:val="21"/>
                      <w:u w:val="single"/>
                    </w:rPr>
                    <w:t>烟气温度</w:t>
                  </w:r>
                  <w:r>
                    <w:rPr>
                      <w:rFonts w:ascii="Times New Roman" w:hAnsi="Times New Roman"/>
                      <w:b/>
                      <w:bCs/>
                      <w:szCs w:val="21"/>
                      <w:u w:val="single"/>
                    </w:rPr>
                    <w:t>/℃</w:t>
                  </w:r>
                </w:p>
              </w:tc>
              <w:tc>
                <w:tcPr>
                  <w:tcW w:w="778"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年排放小时数</w:t>
                  </w:r>
                  <w:r>
                    <w:rPr>
                      <w:rFonts w:ascii="Times New Roman"/>
                      <w:b/>
                      <w:bCs/>
                      <w:szCs w:val="21"/>
                      <w:u w:val="single"/>
                    </w:rPr>
                    <w:t>/h</w:t>
                  </w:r>
                </w:p>
              </w:tc>
              <w:tc>
                <w:tcPr>
                  <w:tcW w:w="779" w:type="dxa"/>
                  <w:vMerge w:val="restart"/>
                  <w:vAlign w:val="center"/>
                </w:tcPr>
                <w:p>
                  <w:pPr>
                    <w:overflowPunct w:val="0"/>
                    <w:jc w:val="center"/>
                    <w:rPr>
                      <w:rFonts w:ascii="Times New Roman"/>
                      <w:b/>
                      <w:bCs/>
                      <w:szCs w:val="21"/>
                      <w:u w:val="single"/>
                    </w:rPr>
                  </w:pPr>
                  <w:r>
                    <w:rPr>
                      <w:rFonts w:hint="eastAsia" w:ascii="Times New Roman"/>
                      <w:b/>
                      <w:bCs/>
                      <w:szCs w:val="21"/>
                      <w:u w:val="single"/>
                    </w:rPr>
                    <w:t>排放工况</w:t>
                  </w:r>
                </w:p>
              </w:tc>
              <w:tc>
                <w:tcPr>
                  <w:tcW w:w="880"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污染物排放速率</w:t>
                  </w:r>
                  <w:r>
                    <w:rPr>
                      <w:rFonts w:ascii="Times New Roman"/>
                      <w:b/>
                      <w:bCs/>
                      <w:szCs w:val="21"/>
                      <w:u w:val="single"/>
                    </w:rPr>
                    <w:t>/</w:t>
                  </w:r>
                  <w:r>
                    <w:rPr>
                      <w:rFonts w:hint="eastAsia" w:ascii="Times New Roman"/>
                      <w:b/>
                      <w:bCs/>
                      <w:szCs w:val="21"/>
                      <w:u w:val="single"/>
                    </w:rPr>
                    <w:t>（</w:t>
                  </w:r>
                  <w:r>
                    <w:rPr>
                      <w:rFonts w:ascii="Times New Roman"/>
                      <w:b/>
                      <w:bCs/>
                      <w:szCs w:val="21"/>
                      <w:u w:val="single"/>
                    </w:rPr>
                    <w:t>kg/h</w:t>
                  </w:r>
                  <w:r>
                    <w:rPr>
                      <w:rFonts w:hint="eastAsia" w:ascii="Times New Roman"/>
                      <w:b/>
                      <w:bCs/>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6" w:type="dxa"/>
                  <w:vMerge w:val="continue"/>
                  <w:vAlign w:val="center"/>
                </w:tcPr>
                <w:p>
                  <w:pPr>
                    <w:widowControl/>
                    <w:jc w:val="left"/>
                    <w:rPr>
                      <w:rFonts w:ascii="Times New Roman"/>
                      <w:b/>
                      <w:bCs/>
                      <w:szCs w:val="21"/>
                      <w:u w:val="single"/>
                    </w:rPr>
                  </w:pPr>
                </w:p>
              </w:tc>
              <w:tc>
                <w:tcPr>
                  <w:tcW w:w="848" w:type="dxa"/>
                  <w:vMerge w:val="continue"/>
                  <w:vAlign w:val="center"/>
                </w:tcPr>
                <w:p>
                  <w:pPr>
                    <w:widowControl/>
                    <w:jc w:val="left"/>
                    <w:rPr>
                      <w:rFonts w:ascii="Times New Roman"/>
                      <w:b/>
                      <w:bCs/>
                      <w:szCs w:val="21"/>
                      <w:u w:val="single"/>
                    </w:rPr>
                  </w:pPr>
                </w:p>
              </w:tc>
              <w:tc>
                <w:tcPr>
                  <w:tcW w:w="566" w:type="dxa"/>
                  <w:vAlign w:val="center"/>
                </w:tcPr>
                <w:p>
                  <w:pPr>
                    <w:overflowPunct w:val="0"/>
                    <w:jc w:val="center"/>
                    <w:rPr>
                      <w:rFonts w:ascii="Times New Roman"/>
                      <w:b/>
                      <w:bCs/>
                      <w:szCs w:val="21"/>
                      <w:u w:val="single"/>
                    </w:rPr>
                  </w:pPr>
                  <w:r>
                    <w:rPr>
                      <w:rFonts w:ascii="Times New Roman"/>
                      <w:b/>
                      <w:bCs/>
                      <w:szCs w:val="21"/>
                      <w:u w:val="single"/>
                    </w:rPr>
                    <w:t>X</w:t>
                  </w:r>
                </w:p>
              </w:tc>
              <w:tc>
                <w:tcPr>
                  <w:tcW w:w="566" w:type="dxa"/>
                  <w:vAlign w:val="center"/>
                </w:tcPr>
                <w:p>
                  <w:pPr>
                    <w:overflowPunct w:val="0"/>
                    <w:jc w:val="center"/>
                    <w:rPr>
                      <w:rFonts w:ascii="Times New Roman"/>
                      <w:b/>
                      <w:bCs/>
                      <w:szCs w:val="21"/>
                      <w:u w:val="single"/>
                    </w:rPr>
                  </w:pPr>
                  <w:r>
                    <w:rPr>
                      <w:rFonts w:ascii="Times New Roman"/>
                      <w:b/>
                      <w:bCs/>
                      <w:szCs w:val="21"/>
                      <w:u w:val="single"/>
                    </w:rPr>
                    <w:t>Y</w:t>
                  </w:r>
                </w:p>
              </w:tc>
              <w:tc>
                <w:tcPr>
                  <w:tcW w:w="992" w:type="dxa"/>
                  <w:vMerge w:val="continue"/>
                  <w:vAlign w:val="center"/>
                </w:tcPr>
                <w:p>
                  <w:pPr>
                    <w:widowControl/>
                    <w:jc w:val="left"/>
                    <w:rPr>
                      <w:rFonts w:ascii="Times New Roman"/>
                      <w:b/>
                      <w:bCs/>
                      <w:szCs w:val="21"/>
                      <w:u w:val="single"/>
                    </w:rPr>
                  </w:pPr>
                </w:p>
              </w:tc>
              <w:tc>
                <w:tcPr>
                  <w:tcW w:w="566" w:type="dxa"/>
                  <w:vMerge w:val="continue"/>
                  <w:vAlign w:val="center"/>
                </w:tcPr>
                <w:p>
                  <w:pPr>
                    <w:widowControl/>
                    <w:jc w:val="left"/>
                    <w:rPr>
                      <w:rFonts w:ascii="Times New Roman"/>
                      <w:b/>
                      <w:bCs/>
                      <w:szCs w:val="21"/>
                      <w:u w:val="single"/>
                    </w:rPr>
                  </w:pPr>
                </w:p>
              </w:tc>
              <w:tc>
                <w:tcPr>
                  <w:tcW w:w="707" w:type="dxa"/>
                  <w:vMerge w:val="continue"/>
                  <w:vAlign w:val="center"/>
                </w:tcPr>
                <w:p>
                  <w:pPr>
                    <w:widowControl/>
                    <w:jc w:val="left"/>
                    <w:rPr>
                      <w:rFonts w:ascii="Times New Roman"/>
                      <w:b/>
                      <w:bCs/>
                      <w:szCs w:val="21"/>
                      <w:u w:val="single"/>
                    </w:rPr>
                  </w:pPr>
                </w:p>
              </w:tc>
              <w:tc>
                <w:tcPr>
                  <w:tcW w:w="850" w:type="dxa"/>
                  <w:vMerge w:val="continue"/>
                  <w:vAlign w:val="center"/>
                </w:tcPr>
                <w:p>
                  <w:pPr>
                    <w:widowControl/>
                    <w:jc w:val="left"/>
                    <w:rPr>
                      <w:rFonts w:ascii="Times New Roman"/>
                      <w:b/>
                      <w:bCs/>
                      <w:szCs w:val="21"/>
                      <w:u w:val="single"/>
                    </w:rPr>
                  </w:pPr>
                </w:p>
              </w:tc>
              <w:tc>
                <w:tcPr>
                  <w:tcW w:w="566" w:type="dxa"/>
                  <w:vMerge w:val="continue"/>
                  <w:vAlign w:val="center"/>
                </w:tcPr>
                <w:p>
                  <w:pPr>
                    <w:widowControl/>
                    <w:jc w:val="left"/>
                    <w:rPr>
                      <w:rFonts w:ascii="Times New Roman"/>
                      <w:b/>
                      <w:bCs/>
                      <w:szCs w:val="21"/>
                      <w:u w:val="single"/>
                    </w:rPr>
                  </w:pPr>
                </w:p>
              </w:tc>
              <w:tc>
                <w:tcPr>
                  <w:tcW w:w="778" w:type="dxa"/>
                  <w:vMerge w:val="continue"/>
                  <w:vAlign w:val="center"/>
                </w:tcPr>
                <w:p>
                  <w:pPr>
                    <w:widowControl/>
                    <w:jc w:val="left"/>
                    <w:rPr>
                      <w:rFonts w:ascii="Times New Roman"/>
                      <w:b/>
                      <w:bCs/>
                      <w:szCs w:val="21"/>
                      <w:u w:val="single"/>
                    </w:rPr>
                  </w:pPr>
                </w:p>
              </w:tc>
              <w:tc>
                <w:tcPr>
                  <w:tcW w:w="779" w:type="dxa"/>
                  <w:vMerge w:val="continue"/>
                  <w:vAlign w:val="center"/>
                </w:tcPr>
                <w:p>
                  <w:pPr>
                    <w:widowControl/>
                    <w:jc w:val="left"/>
                    <w:rPr>
                      <w:rFonts w:ascii="Times New Roman"/>
                      <w:b/>
                      <w:bCs/>
                      <w:szCs w:val="21"/>
                      <w:u w:val="single"/>
                    </w:rPr>
                  </w:pPr>
                </w:p>
              </w:tc>
              <w:tc>
                <w:tcPr>
                  <w:tcW w:w="880" w:type="dxa"/>
                  <w:vMerge w:val="continue"/>
                  <w:vAlign w:val="center"/>
                </w:tcPr>
                <w:p>
                  <w:pPr>
                    <w:widowControl/>
                    <w:jc w:val="left"/>
                    <w:rPr>
                      <w:rFonts w:ascii="Times New Roman"/>
                      <w:b/>
                      <w:bCs/>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6" w:type="dxa"/>
                  <w:vMerge w:val="restart"/>
                  <w:tcMar>
                    <w:top w:w="0" w:type="dxa"/>
                    <w:left w:w="0" w:type="dxa"/>
                    <w:bottom w:w="0" w:type="dxa"/>
                    <w:right w:w="0" w:type="dxa"/>
                  </w:tcMar>
                  <w:vAlign w:val="center"/>
                </w:tcPr>
                <w:p>
                  <w:pPr>
                    <w:overflowPunct w:val="0"/>
                    <w:jc w:val="center"/>
                    <w:rPr>
                      <w:rFonts w:ascii="Times New Roman"/>
                      <w:bCs/>
                      <w:szCs w:val="21"/>
                      <w:u w:val="single"/>
                    </w:rPr>
                  </w:pPr>
                  <w:r>
                    <w:rPr>
                      <w:rFonts w:hint="eastAsia" w:ascii="Times New Roman"/>
                      <w:bCs/>
                      <w:szCs w:val="21"/>
                      <w:u w:val="single"/>
                    </w:rPr>
                    <w:t>DA</w:t>
                  </w:r>
                  <w:r>
                    <w:rPr>
                      <w:rFonts w:ascii="Times New Roman"/>
                      <w:bCs/>
                      <w:szCs w:val="21"/>
                      <w:u w:val="single"/>
                    </w:rPr>
                    <w:t>001</w:t>
                  </w:r>
                </w:p>
                <w:p>
                  <w:pPr>
                    <w:overflowPunct w:val="0"/>
                    <w:jc w:val="center"/>
                    <w:rPr>
                      <w:rFonts w:ascii="Times New Roman"/>
                      <w:bCs/>
                      <w:szCs w:val="21"/>
                      <w:u w:val="single"/>
                    </w:rPr>
                  </w:pPr>
                  <w:r>
                    <w:rPr>
                      <w:rFonts w:hint="eastAsia" w:ascii="Times New Roman"/>
                      <w:bCs/>
                      <w:szCs w:val="21"/>
                      <w:u w:val="single"/>
                    </w:rPr>
                    <w:t>（窑炉烟气）</w:t>
                  </w:r>
                </w:p>
              </w:tc>
              <w:tc>
                <w:tcPr>
                  <w:tcW w:w="848" w:type="dxa"/>
                  <w:vAlign w:val="center"/>
                </w:tcPr>
                <w:p>
                  <w:pPr>
                    <w:overflowPunct w:val="0"/>
                    <w:jc w:val="center"/>
                    <w:rPr>
                      <w:rFonts w:ascii="Times New Roman"/>
                      <w:bCs/>
                      <w:szCs w:val="21"/>
                      <w:u w:val="single"/>
                    </w:rPr>
                  </w:pPr>
                  <w:r>
                    <w:rPr>
                      <w:rFonts w:hint="eastAsia" w:ascii="Times New Roman"/>
                      <w:bCs/>
                      <w:szCs w:val="21"/>
                      <w:u w:val="single"/>
                    </w:rPr>
                    <w:t>TSP</w:t>
                  </w:r>
                </w:p>
              </w:tc>
              <w:tc>
                <w:tcPr>
                  <w:tcW w:w="566" w:type="dxa"/>
                  <w:vAlign w:val="center"/>
                </w:tcPr>
                <w:p>
                  <w:pPr>
                    <w:overflowPunct w:val="0"/>
                    <w:jc w:val="center"/>
                    <w:rPr>
                      <w:rFonts w:ascii="Times New Roman"/>
                      <w:bCs/>
                      <w:szCs w:val="21"/>
                      <w:u w:val="single"/>
                    </w:rPr>
                  </w:pPr>
                  <w:r>
                    <w:rPr>
                      <w:rFonts w:ascii="Times New Roman"/>
                      <w:bCs/>
                      <w:szCs w:val="21"/>
                      <w:u w:val="single"/>
                    </w:rPr>
                    <w:t>-7</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0</w:t>
                  </w:r>
                </w:p>
              </w:tc>
              <w:tc>
                <w:tcPr>
                  <w:tcW w:w="992" w:type="dxa"/>
                  <w:vAlign w:val="center"/>
                </w:tcPr>
                <w:p>
                  <w:pPr>
                    <w:overflowPunct w:val="0"/>
                    <w:jc w:val="center"/>
                    <w:rPr>
                      <w:rFonts w:ascii="Times New Roman"/>
                      <w:bCs/>
                      <w:szCs w:val="21"/>
                      <w:u w:val="single"/>
                    </w:rPr>
                  </w:pPr>
                  <w:r>
                    <w:rPr>
                      <w:rFonts w:ascii="Times New Roman"/>
                      <w:bCs/>
                      <w:szCs w:val="21"/>
                      <w:u w:val="single"/>
                    </w:rPr>
                    <w:t>122</w:t>
                  </w:r>
                </w:p>
              </w:tc>
              <w:tc>
                <w:tcPr>
                  <w:tcW w:w="566" w:type="dxa"/>
                  <w:vAlign w:val="center"/>
                </w:tcPr>
                <w:p>
                  <w:pPr>
                    <w:overflowPunct w:val="0"/>
                    <w:jc w:val="center"/>
                    <w:rPr>
                      <w:rFonts w:ascii="Times New Roman"/>
                      <w:bCs/>
                      <w:szCs w:val="21"/>
                      <w:u w:val="single"/>
                    </w:rPr>
                  </w:pPr>
                  <w:r>
                    <w:rPr>
                      <w:rFonts w:ascii="Times New Roman"/>
                      <w:bCs/>
                      <w:szCs w:val="21"/>
                      <w:u w:val="single"/>
                    </w:rPr>
                    <w:t>65</w:t>
                  </w:r>
                </w:p>
              </w:tc>
              <w:tc>
                <w:tcPr>
                  <w:tcW w:w="707" w:type="dxa"/>
                  <w:vAlign w:val="center"/>
                </w:tcPr>
                <w:p>
                  <w:pPr>
                    <w:overflowPunct w:val="0"/>
                    <w:jc w:val="center"/>
                    <w:rPr>
                      <w:rFonts w:ascii="Times New Roman"/>
                      <w:bCs/>
                      <w:szCs w:val="21"/>
                      <w:u w:val="single"/>
                    </w:rPr>
                  </w:pPr>
                  <w:r>
                    <w:rPr>
                      <w:rFonts w:ascii="Times New Roman"/>
                      <w:bCs/>
                      <w:szCs w:val="21"/>
                      <w:u w:val="single"/>
                    </w:rPr>
                    <w:t>10</w:t>
                  </w:r>
                </w:p>
              </w:tc>
              <w:tc>
                <w:tcPr>
                  <w:tcW w:w="850" w:type="dxa"/>
                  <w:vAlign w:val="center"/>
                </w:tcPr>
                <w:p>
                  <w:pPr>
                    <w:overflowPunct w:val="0"/>
                    <w:jc w:val="center"/>
                    <w:rPr>
                      <w:rFonts w:ascii="Times New Roman"/>
                      <w:bCs/>
                      <w:szCs w:val="21"/>
                      <w:u w:val="single"/>
                    </w:rPr>
                  </w:pPr>
                  <w:r>
                    <w:rPr>
                      <w:rFonts w:ascii="Times New Roman"/>
                      <w:bCs/>
                      <w:szCs w:val="21"/>
                      <w:u w:val="single"/>
                    </w:rPr>
                    <w:t>5.65</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50</w:t>
                  </w:r>
                </w:p>
              </w:tc>
              <w:tc>
                <w:tcPr>
                  <w:tcW w:w="778" w:type="dxa"/>
                  <w:vAlign w:val="center"/>
                </w:tcPr>
                <w:p>
                  <w:pPr>
                    <w:overflowPunct w:val="0"/>
                    <w:jc w:val="center"/>
                    <w:rPr>
                      <w:rFonts w:ascii="Times New Roman"/>
                      <w:bCs/>
                      <w:szCs w:val="21"/>
                      <w:u w:val="single"/>
                    </w:rPr>
                  </w:pPr>
                  <w:r>
                    <w:rPr>
                      <w:rFonts w:ascii="Times New Roman"/>
                      <w:bCs/>
                      <w:szCs w:val="21"/>
                      <w:u w:val="single"/>
                    </w:rPr>
                    <w:t>5760</w:t>
                  </w:r>
                </w:p>
              </w:tc>
              <w:tc>
                <w:tcPr>
                  <w:tcW w:w="779" w:type="dxa"/>
                  <w:vAlign w:val="center"/>
                </w:tcPr>
                <w:p>
                  <w:pPr>
                    <w:overflowPunct w:val="0"/>
                    <w:jc w:val="center"/>
                    <w:rPr>
                      <w:rFonts w:ascii="Times New Roman"/>
                      <w:bCs/>
                      <w:szCs w:val="21"/>
                      <w:u w:val="single"/>
                    </w:rPr>
                  </w:pPr>
                  <w:r>
                    <w:rPr>
                      <w:rFonts w:hint="eastAsia" w:ascii="Times New Roman"/>
                      <w:bCs/>
                      <w:szCs w:val="21"/>
                      <w:u w:val="single"/>
                    </w:rPr>
                    <w:t>正常</w:t>
                  </w:r>
                </w:p>
              </w:tc>
              <w:tc>
                <w:tcPr>
                  <w:tcW w:w="880" w:type="dxa"/>
                  <w:vAlign w:val="center"/>
                </w:tcPr>
                <w:p>
                  <w:pPr>
                    <w:overflowPunct w:val="0"/>
                    <w:jc w:val="center"/>
                    <w:rPr>
                      <w:rFonts w:ascii="Times New Roman"/>
                      <w:bCs/>
                      <w:szCs w:val="21"/>
                      <w:u w:val="single"/>
                    </w:rPr>
                  </w:pPr>
                  <w:r>
                    <w:rPr>
                      <w:rFonts w:ascii="Times New Roman"/>
                      <w:bCs/>
                      <w:szCs w:val="21"/>
                      <w:u w:val="single"/>
                    </w:rPr>
                    <w:t>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6" w:type="dxa"/>
                  <w:vMerge w:val="continue"/>
                  <w:tcMar>
                    <w:top w:w="0" w:type="dxa"/>
                    <w:left w:w="0" w:type="dxa"/>
                    <w:bottom w:w="0" w:type="dxa"/>
                    <w:right w:w="0" w:type="dxa"/>
                  </w:tcMar>
                  <w:vAlign w:val="center"/>
                </w:tcPr>
                <w:p>
                  <w:pPr>
                    <w:overflowPunct w:val="0"/>
                    <w:jc w:val="center"/>
                    <w:rPr>
                      <w:rFonts w:ascii="Times New Roman"/>
                      <w:bCs/>
                      <w:szCs w:val="21"/>
                      <w:u w:val="single"/>
                    </w:rPr>
                  </w:pPr>
                </w:p>
              </w:tc>
              <w:tc>
                <w:tcPr>
                  <w:tcW w:w="848" w:type="dxa"/>
                  <w:vAlign w:val="center"/>
                </w:tcPr>
                <w:p>
                  <w:pPr>
                    <w:overflowPunct w:val="0"/>
                    <w:jc w:val="center"/>
                    <w:rPr>
                      <w:rFonts w:ascii="Times New Roman"/>
                      <w:bCs/>
                      <w:szCs w:val="21"/>
                      <w:u w:val="single"/>
                    </w:rPr>
                  </w:pPr>
                  <w:r>
                    <w:rPr>
                      <w:rFonts w:hint="eastAsia" w:ascii="Times New Roman"/>
                      <w:bCs/>
                      <w:szCs w:val="21"/>
                      <w:u w:val="single"/>
                    </w:rPr>
                    <w:t>SO</w:t>
                  </w:r>
                  <w:r>
                    <w:rPr>
                      <w:rFonts w:ascii="Times New Roman"/>
                      <w:bCs/>
                      <w:szCs w:val="21"/>
                      <w:u w:val="single"/>
                      <w:vertAlign w:val="subscript"/>
                    </w:rPr>
                    <w:t>2</w:t>
                  </w:r>
                </w:p>
              </w:tc>
              <w:tc>
                <w:tcPr>
                  <w:tcW w:w="566" w:type="dxa"/>
                  <w:vAlign w:val="center"/>
                </w:tcPr>
                <w:p>
                  <w:pPr>
                    <w:overflowPunct w:val="0"/>
                    <w:jc w:val="center"/>
                    <w:rPr>
                      <w:rFonts w:ascii="Times New Roman"/>
                      <w:bCs/>
                      <w:szCs w:val="21"/>
                      <w:u w:val="single"/>
                    </w:rPr>
                  </w:pPr>
                  <w:r>
                    <w:rPr>
                      <w:rFonts w:ascii="Times New Roman"/>
                      <w:bCs/>
                      <w:szCs w:val="21"/>
                      <w:u w:val="single"/>
                    </w:rPr>
                    <w:t>-7</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0</w:t>
                  </w:r>
                </w:p>
              </w:tc>
              <w:tc>
                <w:tcPr>
                  <w:tcW w:w="992" w:type="dxa"/>
                  <w:vAlign w:val="center"/>
                </w:tcPr>
                <w:p>
                  <w:pPr>
                    <w:overflowPunct w:val="0"/>
                    <w:jc w:val="center"/>
                    <w:rPr>
                      <w:rFonts w:ascii="Times New Roman"/>
                      <w:bCs/>
                      <w:szCs w:val="21"/>
                      <w:u w:val="single"/>
                    </w:rPr>
                  </w:pPr>
                  <w:r>
                    <w:rPr>
                      <w:rFonts w:ascii="Times New Roman"/>
                      <w:bCs/>
                      <w:szCs w:val="21"/>
                      <w:u w:val="single"/>
                    </w:rPr>
                    <w:t>122</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6</w:t>
                  </w:r>
                  <w:r>
                    <w:rPr>
                      <w:rFonts w:ascii="Times New Roman"/>
                      <w:bCs/>
                      <w:szCs w:val="21"/>
                      <w:u w:val="single"/>
                    </w:rPr>
                    <w:t>5</w:t>
                  </w:r>
                </w:p>
              </w:tc>
              <w:tc>
                <w:tcPr>
                  <w:tcW w:w="707" w:type="dxa"/>
                  <w:vAlign w:val="center"/>
                </w:tcPr>
                <w:p>
                  <w:pPr>
                    <w:overflowPunct w:val="0"/>
                    <w:jc w:val="center"/>
                    <w:rPr>
                      <w:rFonts w:ascii="Times New Roman"/>
                      <w:bCs/>
                      <w:szCs w:val="21"/>
                      <w:u w:val="single"/>
                    </w:rPr>
                  </w:pPr>
                  <w:r>
                    <w:rPr>
                      <w:rFonts w:hint="eastAsia" w:ascii="Times New Roman"/>
                      <w:bCs/>
                      <w:szCs w:val="21"/>
                      <w:u w:val="single"/>
                    </w:rPr>
                    <w:t>1</w:t>
                  </w:r>
                  <w:r>
                    <w:rPr>
                      <w:rFonts w:ascii="Times New Roman"/>
                      <w:bCs/>
                      <w:szCs w:val="21"/>
                      <w:u w:val="single"/>
                    </w:rPr>
                    <w:t>0</w:t>
                  </w:r>
                </w:p>
              </w:tc>
              <w:tc>
                <w:tcPr>
                  <w:tcW w:w="850" w:type="dxa"/>
                  <w:vAlign w:val="center"/>
                </w:tcPr>
                <w:p>
                  <w:pPr>
                    <w:overflowPunct w:val="0"/>
                    <w:jc w:val="center"/>
                    <w:rPr>
                      <w:rFonts w:ascii="Times New Roman"/>
                      <w:bCs/>
                      <w:szCs w:val="21"/>
                      <w:u w:val="single"/>
                    </w:rPr>
                  </w:pPr>
                  <w:r>
                    <w:rPr>
                      <w:rFonts w:ascii="Times New Roman"/>
                      <w:bCs/>
                      <w:szCs w:val="21"/>
                      <w:u w:val="single"/>
                    </w:rPr>
                    <w:t>5.65</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5</w:t>
                  </w:r>
                  <w:r>
                    <w:rPr>
                      <w:rFonts w:ascii="Times New Roman"/>
                      <w:bCs/>
                      <w:szCs w:val="21"/>
                      <w:u w:val="single"/>
                    </w:rPr>
                    <w:t>0</w:t>
                  </w:r>
                </w:p>
              </w:tc>
              <w:tc>
                <w:tcPr>
                  <w:tcW w:w="778" w:type="dxa"/>
                  <w:vAlign w:val="center"/>
                </w:tcPr>
                <w:p>
                  <w:pPr>
                    <w:overflowPunct w:val="0"/>
                    <w:jc w:val="center"/>
                    <w:rPr>
                      <w:rFonts w:ascii="Times New Roman"/>
                      <w:bCs/>
                      <w:szCs w:val="21"/>
                      <w:u w:val="single"/>
                    </w:rPr>
                  </w:pPr>
                  <w:r>
                    <w:rPr>
                      <w:rFonts w:ascii="Times New Roman"/>
                      <w:bCs/>
                      <w:szCs w:val="21"/>
                      <w:u w:val="single"/>
                    </w:rPr>
                    <w:t>5760</w:t>
                  </w:r>
                </w:p>
              </w:tc>
              <w:tc>
                <w:tcPr>
                  <w:tcW w:w="779" w:type="dxa"/>
                  <w:vAlign w:val="center"/>
                </w:tcPr>
                <w:p>
                  <w:pPr>
                    <w:overflowPunct w:val="0"/>
                    <w:jc w:val="center"/>
                    <w:rPr>
                      <w:rFonts w:ascii="Times New Roman"/>
                      <w:bCs/>
                      <w:szCs w:val="21"/>
                      <w:u w:val="single"/>
                    </w:rPr>
                  </w:pPr>
                  <w:r>
                    <w:rPr>
                      <w:rFonts w:hint="eastAsia" w:ascii="Times New Roman"/>
                      <w:bCs/>
                      <w:szCs w:val="21"/>
                      <w:u w:val="single"/>
                    </w:rPr>
                    <w:t>正常</w:t>
                  </w:r>
                </w:p>
              </w:tc>
              <w:tc>
                <w:tcPr>
                  <w:tcW w:w="880" w:type="dxa"/>
                  <w:vAlign w:val="center"/>
                </w:tcPr>
                <w:p>
                  <w:pPr>
                    <w:overflowPunct w:val="0"/>
                    <w:jc w:val="center"/>
                    <w:rPr>
                      <w:rFonts w:ascii="Times New Roman"/>
                      <w:bCs/>
                      <w:szCs w:val="21"/>
                      <w:u w:val="single"/>
                    </w:rPr>
                  </w:pPr>
                  <w:r>
                    <w:rPr>
                      <w:rFonts w:hint="eastAsia" w:ascii="Times New Roman"/>
                      <w:bCs/>
                      <w:szCs w:val="21"/>
                      <w:u w:val="single"/>
                    </w:rPr>
                    <w:t>2</w:t>
                  </w:r>
                  <w:r>
                    <w:rPr>
                      <w:rFonts w:ascii="Times New Roman"/>
                      <w:bCs/>
                      <w:szCs w:val="21"/>
                      <w:u w:val="single"/>
                    </w:rPr>
                    <w:t>.51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6" w:type="dxa"/>
                  <w:vMerge w:val="continue"/>
                  <w:tcMar>
                    <w:top w:w="0" w:type="dxa"/>
                    <w:left w:w="0" w:type="dxa"/>
                    <w:bottom w:w="0" w:type="dxa"/>
                    <w:right w:w="0" w:type="dxa"/>
                  </w:tcMar>
                  <w:vAlign w:val="center"/>
                </w:tcPr>
                <w:p>
                  <w:pPr>
                    <w:overflowPunct w:val="0"/>
                    <w:jc w:val="center"/>
                    <w:rPr>
                      <w:rFonts w:ascii="Times New Roman"/>
                      <w:bCs/>
                      <w:szCs w:val="21"/>
                      <w:u w:val="single"/>
                    </w:rPr>
                  </w:pPr>
                </w:p>
              </w:tc>
              <w:tc>
                <w:tcPr>
                  <w:tcW w:w="848" w:type="dxa"/>
                  <w:vAlign w:val="center"/>
                </w:tcPr>
                <w:p>
                  <w:pPr>
                    <w:overflowPunct w:val="0"/>
                    <w:jc w:val="center"/>
                    <w:rPr>
                      <w:rFonts w:ascii="Times New Roman"/>
                      <w:bCs/>
                      <w:szCs w:val="21"/>
                      <w:u w:val="single"/>
                      <w:vertAlign w:val="subscript"/>
                    </w:rPr>
                  </w:pPr>
                  <w:r>
                    <w:rPr>
                      <w:rFonts w:hint="eastAsia" w:ascii="Times New Roman"/>
                      <w:bCs/>
                      <w:szCs w:val="21"/>
                      <w:u w:val="single"/>
                    </w:rPr>
                    <w:t>NO</w:t>
                  </w:r>
                  <w:r>
                    <w:rPr>
                      <w:rFonts w:hint="eastAsia" w:ascii="Times New Roman"/>
                      <w:bCs/>
                      <w:szCs w:val="21"/>
                      <w:u w:val="single"/>
                      <w:vertAlign w:val="subscript"/>
                    </w:rPr>
                    <w:t>X</w:t>
                  </w:r>
                </w:p>
              </w:tc>
              <w:tc>
                <w:tcPr>
                  <w:tcW w:w="566" w:type="dxa"/>
                  <w:vAlign w:val="center"/>
                </w:tcPr>
                <w:p>
                  <w:pPr>
                    <w:overflowPunct w:val="0"/>
                    <w:jc w:val="center"/>
                    <w:rPr>
                      <w:rFonts w:ascii="Times New Roman"/>
                      <w:bCs/>
                      <w:szCs w:val="21"/>
                      <w:u w:val="single"/>
                    </w:rPr>
                  </w:pPr>
                  <w:r>
                    <w:rPr>
                      <w:rFonts w:ascii="Times New Roman"/>
                      <w:bCs/>
                      <w:szCs w:val="21"/>
                      <w:u w:val="single"/>
                    </w:rPr>
                    <w:t>-7</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0</w:t>
                  </w:r>
                </w:p>
              </w:tc>
              <w:tc>
                <w:tcPr>
                  <w:tcW w:w="992" w:type="dxa"/>
                  <w:vAlign w:val="center"/>
                </w:tcPr>
                <w:p>
                  <w:pPr>
                    <w:overflowPunct w:val="0"/>
                    <w:jc w:val="center"/>
                    <w:rPr>
                      <w:rFonts w:ascii="Times New Roman"/>
                      <w:bCs/>
                      <w:szCs w:val="21"/>
                      <w:u w:val="single"/>
                    </w:rPr>
                  </w:pPr>
                  <w:r>
                    <w:rPr>
                      <w:rFonts w:ascii="Times New Roman"/>
                      <w:bCs/>
                      <w:szCs w:val="21"/>
                      <w:u w:val="single"/>
                    </w:rPr>
                    <w:t>122</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6</w:t>
                  </w:r>
                  <w:r>
                    <w:rPr>
                      <w:rFonts w:ascii="Times New Roman"/>
                      <w:bCs/>
                      <w:szCs w:val="21"/>
                      <w:u w:val="single"/>
                    </w:rPr>
                    <w:t>5</w:t>
                  </w:r>
                </w:p>
              </w:tc>
              <w:tc>
                <w:tcPr>
                  <w:tcW w:w="707" w:type="dxa"/>
                  <w:vAlign w:val="center"/>
                </w:tcPr>
                <w:p>
                  <w:pPr>
                    <w:overflowPunct w:val="0"/>
                    <w:jc w:val="center"/>
                    <w:rPr>
                      <w:rFonts w:ascii="Times New Roman"/>
                      <w:bCs/>
                      <w:szCs w:val="21"/>
                      <w:u w:val="single"/>
                    </w:rPr>
                  </w:pPr>
                  <w:r>
                    <w:rPr>
                      <w:rFonts w:hint="eastAsia" w:ascii="Times New Roman"/>
                      <w:bCs/>
                      <w:szCs w:val="21"/>
                      <w:u w:val="single"/>
                    </w:rPr>
                    <w:t>1</w:t>
                  </w:r>
                  <w:r>
                    <w:rPr>
                      <w:rFonts w:ascii="Times New Roman"/>
                      <w:bCs/>
                      <w:szCs w:val="21"/>
                      <w:u w:val="single"/>
                    </w:rPr>
                    <w:t>0</w:t>
                  </w:r>
                </w:p>
              </w:tc>
              <w:tc>
                <w:tcPr>
                  <w:tcW w:w="850" w:type="dxa"/>
                  <w:vAlign w:val="center"/>
                </w:tcPr>
                <w:p>
                  <w:pPr>
                    <w:overflowPunct w:val="0"/>
                    <w:jc w:val="center"/>
                    <w:rPr>
                      <w:rFonts w:ascii="Times New Roman"/>
                      <w:bCs/>
                      <w:szCs w:val="21"/>
                      <w:u w:val="single"/>
                    </w:rPr>
                  </w:pPr>
                  <w:r>
                    <w:rPr>
                      <w:rFonts w:ascii="Times New Roman"/>
                      <w:bCs/>
                      <w:szCs w:val="21"/>
                      <w:u w:val="single"/>
                    </w:rPr>
                    <w:t>5.65</w:t>
                  </w:r>
                </w:p>
              </w:tc>
              <w:tc>
                <w:tcPr>
                  <w:tcW w:w="566" w:type="dxa"/>
                  <w:vAlign w:val="center"/>
                </w:tcPr>
                <w:p>
                  <w:pPr>
                    <w:overflowPunct w:val="0"/>
                    <w:jc w:val="center"/>
                    <w:rPr>
                      <w:rFonts w:ascii="Times New Roman"/>
                      <w:bCs/>
                      <w:szCs w:val="21"/>
                      <w:u w:val="single"/>
                    </w:rPr>
                  </w:pPr>
                  <w:r>
                    <w:rPr>
                      <w:rFonts w:hint="eastAsia" w:ascii="Times New Roman"/>
                      <w:bCs/>
                      <w:szCs w:val="21"/>
                      <w:u w:val="single"/>
                    </w:rPr>
                    <w:t>5</w:t>
                  </w:r>
                  <w:r>
                    <w:rPr>
                      <w:rFonts w:ascii="Times New Roman"/>
                      <w:bCs/>
                      <w:szCs w:val="21"/>
                      <w:u w:val="single"/>
                    </w:rPr>
                    <w:t>0</w:t>
                  </w:r>
                </w:p>
              </w:tc>
              <w:tc>
                <w:tcPr>
                  <w:tcW w:w="778" w:type="dxa"/>
                  <w:vAlign w:val="center"/>
                </w:tcPr>
                <w:p>
                  <w:pPr>
                    <w:overflowPunct w:val="0"/>
                    <w:jc w:val="center"/>
                    <w:rPr>
                      <w:rFonts w:ascii="Times New Roman"/>
                      <w:bCs/>
                      <w:szCs w:val="21"/>
                      <w:u w:val="single"/>
                    </w:rPr>
                  </w:pPr>
                  <w:r>
                    <w:rPr>
                      <w:rFonts w:ascii="Times New Roman"/>
                      <w:bCs/>
                      <w:szCs w:val="21"/>
                      <w:u w:val="single"/>
                    </w:rPr>
                    <w:t>5760</w:t>
                  </w:r>
                </w:p>
              </w:tc>
              <w:tc>
                <w:tcPr>
                  <w:tcW w:w="779" w:type="dxa"/>
                  <w:vAlign w:val="center"/>
                </w:tcPr>
                <w:p>
                  <w:pPr>
                    <w:overflowPunct w:val="0"/>
                    <w:jc w:val="center"/>
                    <w:rPr>
                      <w:rFonts w:ascii="Times New Roman"/>
                      <w:bCs/>
                      <w:szCs w:val="21"/>
                      <w:u w:val="single"/>
                    </w:rPr>
                  </w:pPr>
                  <w:r>
                    <w:rPr>
                      <w:rFonts w:hint="eastAsia" w:ascii="Times New Roman"/>
                      <w:bCs/>
                      <w:szCs w:val="21"/>
                      <w:u w:val="single"/>
                    </w:rPr>
                    <w:t>正常</w:t>
                  </w:r>
                </w:p>
              </w:tc>
              <w:tc>
                <w:tcPr>
                  <w:tcW w:w="880" w:type="dxa"/>
                  <w:vAlign w:val="center"/>
                </w:tcPr>
                <w:p>
                  <w:pPr>
                    <w:overflowPunct w:val="0"/>
                    <w:jc w:val="center"/>
                    <w:rPr>
                      <w:rFonts w:ascii="Times New Roman"/>
                      <w:bCs/>
                      <w:szCs w:val="21"/>
                      <w:u w:val="single"/>
                    </w:rPr>
                  </w:pPr>
                  <w:r>
                    <w:rPr>
                      <w:rFonts w:hint="eastAsia" w:ascii="Times New Roman"/>
                      <w:bCs/>
                      <w:szCs w:val="21"/>
                      <w:u w:val="single"/>
                    </w:rPr>
                    <w:t>1</w:t>
                  </w:r>
                  <w:r>
                    <w:rPr>
                      <w:rFonts w:ascii="Times New Roman"/>
                      <w:bCs/>
                      <w:szCs w:val="21"/>
                      <w:u w:val="single"/>
                    </w:rPr>
                    <w:t>.73</w:t>
                  </w:r>
                </w:p>
              </w:tc>
            </w:tr>
          </w:tbl>
          <w:p>
            <w:pPr>
              <w:overflowPunct w:val="0"/>
              <w:spacing w:line="360" w:lineRule="auto"/>
              <w:jc w:val="center"/>
              <w:rPr>
                <w:rFonts w:ascii="Times New Roman"/>
                <w:b/>
                <w:bCs/>
                <w:sz w:val="24"/>
                <w:u w:val="single"/>
              </w:rPr>
            </w:pPr>
            <w:r>
              <w:rPr>
                <w:rFonts w:hint="eastAsia" w:ascii="Times New Roman"/>
                <w:b/>
                <w:bCs/>
                <w:sz w:val="24"/>
                <w:u w:val="single"/>
              </w:rPr>
              <w:t>表6</w:t>
            </w:r>
            <w:r>
              <w:rPr>
                <w:rFonts w:ascii="Times New Roman"/>
                <w:b/>
                <w:bCs/>
                <w:sz w:val="24"/>
                <w:u w:val="single"/>
              </w:rPr>
              <w:t xml:space="preserve">-8  </w:t>
            </w:r>
            <w:r>
              <w:rPr>
                <w:rFonts w:hint="eastAsia" w:ascii="Times New Roman"/>
                <w:b/>
                <w:bCs/>
                <w:sz w:val="24"/>
                <w:u w:val="single"/>
              </w:rPr>
              <w:t>面源参数表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3"/>
              <w:gridCol w:w="871"/>
              <w:gridCol w:w="872"/>
              <w:gridCol w:w="871"/>
              <w:gridCol w:w="726"/>
              <w:gridCol w:w="581"/>
              <w:gridCol w:w="581"/>
              <w:gridCol w:w="733"/>
              <w:gridCol w:w="768"/>
              <w:gridCol w:w="701"/>
              <w:gridCol w:w="702"/>
              <w:gridCol w:w="90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5"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编号</w:t>
                  </w:r>
                </w:p>
              </w:tc>
              <w:tc>
                <w:tcPr>
                  <w:tcW w:w="849" w:type="dxa"/>
                  <w:vMerge w:val="restart"/>
                  <w:vAlign w:val="center"/>
                </w:tcPr>
                <w:p>
                  <w:pPr>
                    <w:overflowPunct w:val="0"/>
                    <w:jc w:val="center"/>
                    <w:rPr>
                      <w:rFonts w:ascii="Times New Roman"/>
                      <w:b/>
                      <w:bCs/>
                      <w:szCs w:val="21"/>
                      <w:u w:val="single"/>
                    </w:rPr>
                  </w:pPr>
                  <w:r>
                    <w:rPr>
                      <w:rFonts w:hint="eastAsia" w:ascii="Times New Roman"/>
                      <w:b/>
                      <w:bCs/>
                      <w:szCs w:val="21"/>
                      <w:u w:val="single"/>
                    </w:rPr>
                    <w:t>名称</w:t>
                  </w:r>
                </w:p>
              </w:tc>
              <w:tc>
                <w:tcPr>
                  <w:tcW w:w="1699" w:type="dxa"/>
                  <w:gridSpan w:val="2"/>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面源起点坐标</w:t>
                  </w:r>
                  <w:r>
                    <w:rPr>
                      <w:rFonts w:ascii="Times New Roman"/>
                      <w:b/>
                      <w:bCs/>
                      <w:szCs w:val="21"/>
                      <w:u w:val="single"/>
                    </w:rPr>
                    <w:t>/m</w:t>
                  </w:r>
                </w:p>
              </w:tc>
              <w:tc>
                <w:tcPr>
                  <w:tcW w:w="708"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面源海拔高度</w:t>
                  </w:r>
                  <w:r>
                    <w:rPr>
                      <w:rFonts w:ascii="Times New Roman"/>
                      <w:b/>
                      <w:bCs/>
                      <w:szCs w:val="21"/>
                      <w:u w:val="single"/>
                    </w:rPr>
                    <w:t>/m</w:t>
                  </w:r>
                </w:p>
              </w:tc>
              <w:tc>
                <w:tcPr>
                  <w:tcW w:w="566"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面源长度</w:t>
                  </w:r>
                  <w:r>
                    <w:rPr>
                      <w:rFonts w:ascii="Times New Roman"/>
                      <w:b/>
                      <w:bCs/>
                      <w:szCs w:val="21"/>
                      <w:u w:val="single"/>
                    </w:rPr>
                    <w:t>/m</w:t>
                  </w:r>
                </w:p>
              </w:tc>
              <w:tc>
                <w:tcPr>
                  <w:tcW w:w="566"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面源宽度</w:t>
                  </w:r>
                  <w:r>
                    <w:rPr>
                      <w:rFonts w:ascii="Times New Roman"/>
                      <w:b/>
                      <w:bCs/>
                      <w:szCs w:val="21"/>
                      <w:u w:val="single"/>
                    </w:rPr>
                    <w:t>/m</w:t>
                  </w:r>
                </w:p>
              </w:tc>
              <w:tc>
                <w:tcPr>
                  <w:tcW w:w="715"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与正北向夹角</w:t>
                  </w:r>
                  <w:r>
                    <w:rPr>
                      <w:rFonts w:ascii="Times New Roman"/>
                      <w:b/>
                      <w:bCs/>
                      <w:szCs w:val="21"/>
                      <w:u w:val="single"/>
                    </w:rPr>
                    <w:t>/</w:t>
                  </w:r>
                  <w:r>
                    <w:rPr>
                      <w:rFonts w:hint="eastAsia" w:ascii="Times New Roman"/>
                      <w:b/>
                      <w:bCs/>
                      <w:szCs w:val="21"/>
                      <w:u w:val="single"/>
                    </w:rPr>
                    <w:t>°</w:t>
                  </w:r>
                </w:p>
              </w:tc>
              <w:tc>
                <w:tcPr>
                  <w:tcW w:w="749"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面源有效排放高度</w:t>
                  </w:r>
                  <w:r>
                    <w:rPr>
                      <w:rFonts w:ascii="Times New Roman"/>
                      <w:b/>
                      <w:bCs/>
                      <w:szCs w:val="21"/>
                      <w:u w:val="single"/>
                    </w:rPr>
                    <w:t>/</w:t>
                  </w:r>
                  <w:r>
                    <w:rPr>
                      <w:rFonts w:ascii="Times New Roman" w:hAnsi="Times New Roman"/>
                      <w:b/>
                      <w:bCs/>
                      <w:szCs w:val="21"/>
                      <w:u w:val="single"/>
                    </w:rPr>
                    <w:t>m</w:t>
                  </w:r>
                </w:p>
              </w:tc>
              <w:tc>
                <w:tcPr>
                  <w:tcW w:w="683"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年排放小时数</w:t>
                  </w:r>
                  <w:r>
                    <w:rPr>
                      <w:rFonts w:ascii="Times New Roman"/>
                      <w:b/>
                      <w:bCs/>
                      <w:szCs w:val="21"/>
                      <w:u w:val="single"/>
                    </w:rPr>
                    <w:t>/h</w:t>
                  </w:r>
                </w:p>
              </w:tc>
              <w:tc>
                <w:tcPr>
                  <w:tcW w:w="684" w:type="dxa"/>
                  <w:vMerge w:val="restart"/>
                  <w:vAlign w:val="center"/>
                </w:tcPr>
                <w:p>
                  <w:pPr>
                    <w:overflowPunct w:val="0"/>
                    <w:jc w:val="center"/>
                    <w:rPr>
                      <w:rFonts w:ascii="Times New Roman"/>
                      <w:b/>
                      <w:bCs/>
                      <w:szCs w:val="21"/>
                      <w:u w:val="single"/>
                    </w:rPr>
                  </w:pPr>
                  <w:r>
                    <w:rPr>
                      <w:rFonts w:hint="eastAsia" w:ascii="Times New Roman"/>
                      <w:b/>
                      <w:bCs/>
                      <w:szCs w:val="21"/>
                      <w:u w:val="single"/>
                    </w:rPr>
                    <w:t>排放工况</w:t>
                  </w:r>
                </w:p>
              </w:tc>
              <w:tc>
                <w:tcPr>
                  <w:tcW w:w="880" w:type="dxa"/>
                  <w:vMerge w:val="restart"/>
                  <w:tcMar>
                    <w:top w:w="0" w:type="dxa"/>
                    <w:left w:w="0" w:type="dxa"/>
                    <w:bottom w:w="0" w:type="dxa"/>
                    <w:right w:w="0" w:type="dxa"/>
                  </w:tcMar>
                  <w:vAlign w:val="center"/>
                </w:tcPr>
                <w:p>
                  <w:pPr>
                    <w:overflowPunct w:val="0"/>
                    <w:jc w:val="center"/>
                    <w:rPr>
                      <w:rFonts w:ascii="Times New Roman"/>
                      <w:b/>
                      <w:bCs/>
                      <w:szCs w:val="21"/>
                      <w:u w:val="single"/>
                    </w:rPr>
                  </w:pPr>
                  <w:r>
                    <w:rPr>
                      <w:rFonts w:hint="eastAsia" w:ascii="Times New Roman"/>
                      <w:b/>
                      <w:bCs/>
                      <w:szCs w:val="21"/>
                      <w:u w:val="single"/>
                    </w:rPr>
                    <w:t>污染物排放速率</w:t>
                  </w:r>
                  <w:r>
                    <w:rPr>
                      <w:rFonts w:ascii="Times New Roman"/>
                      <w:b/>
                      <w:bCs/>
                      <w:szCs w:val="21"/>
                      <w:u w:val="single"/>
                    </w:rPr>
                    <w:t>/</w:t>
                  </w:r>
                  <w:r>
                    <w:rPr>
                      <w:rFonts w:hint="eastAsia" w:ascii="Times New Roman"/>
                      <w:b/>
                      <w:bCs/>
                      <w:szCs w:val="21"/>
                      <w:u w:val="single"/>
                    </w:rPr>
                    <w:t>（</w:t>
                  </w:r>
                  <w:r>
                    <w:rPr>
                      <w:rFonts w:ascii="Times New Roman"/>
                      <w:b/>
                      <w:bCs/>
                      <w:szCs w:val="21"/>
                      <w:u w:val="single"/>
                    </w:rPr>
                    <w:t>kg/h</w:t>
                  </w:r>
                  <w:r>
                    <w:rPr>
                      <w:rFonts w:hint="eastAsia" w:ascii="Times New Roman"/>
                      <w:b/>
                      <w:bCs/>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5" w:type="dxa"/>
                  <w:vMerge w:val="continue"/>
                  <w:vAlign w:val="center"/>
                </w:tcPr>
                <w:p>
                  <w:pPr>
                    <w:widowControl/>
                    <w:jc w:val="left"/>
                    <w:rPr>
                      <w:rFonts w:ascii="Times New Roman"/>
                      <w:b/>
                      <w:bCs/>
                      <w:szCs w:val="21"/>
                      <w:u w:val="single"/>
                    </w:rPr>
                  </w:pPr>
                </w:p>
              </w:tc>
              <w:tc>
                <w:tcPr>
                  <w:tcW w:w="849" w:type="dxa"/>
                  <w:vMerge w:val="continue"/>
                  <w:vAlign w:val="center"/>
                </w:tcPr>
                <w:p>
                  <w:pPr>
                    <w:widowControl/>
                    <w:jc w:val="left"/>
                    <w:rPr>
                      <w:rFonts w:ascii="Times New Roman"/>
                      <w:b/>
                      <w:bCs/>
                      <w:szCs w:val="21"/>
                      <w:u w:val="single"/>
                    </w:rPr>
                  </w:pPr>
                </w:p>
              </w:tc>
              <w:tc>
                <w:tcPr>
                  <w:tcW w:w="850" w:type="dxa"/>
                  <w:vAlign w:val="center"/>
                </w:tcPr>
                <w:p>
                  <w:pPr>
                    <w:overflowPunct w:val="0"/>
                    <w:jc w:val="center"/>
                    <w:rPr>
                      <w:rFonts w:ascii="Times New Roman"/>
                      <w:b/>
                      <w:bCs/>
                      <w:szCs w:val="21"/>
                      <w:u w:val="single"/>
                    </w:rPr>
                  </w:pPr>
                  <w:r>
                    <w:rPr>
                      <w:rFonts w:ascii="Times New Roman"/>
                      <w:b/>
                      <w:bCs/>
                      <w:szCs w:val="21"/>
                      <w:u w:val="single"/>
                    </w:rPr>
                    <w:t>X</w:t>
                  </w:r>
                </w:p>
              </w:tc>
              <w:tc>
                <w:tcPr>
                  <w:tcW w:w="849" w:type="dxa"/>
                  <w:vAlign w:val="center"/>
                </w:tcPr>
                <w:p>
                  <w:pPr>
                    <w:overflowPunct w:val="0"/>
                    <w:jc w:val="center"/>
                    <w:rPr>
                      <w:rFonts w:ascii="Times New Roman"/>
                      <w:b/>
                      <w:bCs/>
                      <w:szCs w:val="21"/>
                      <w:u w:val="single"/>
                    </w:rPr>
                  </w:pPr>
                  <w:r>
                    <w:rPr>
                      <w:rFonts w:ascii="Times New Roman"/>
                      <w:b/>
                      <w:bCs/>
                      <w:szCs w:val="21"/>
                      <w:u w:val="single"/>
                    </w:rPr>
                    <w:t>Y</w:t>
                  </w:r>
                </w:p>
              </w:tc>
              <w:tc>
                <w:tcPr>
                  <w:tcW w:w="708" w:type="dxa"/>
                  <w:vMerge w:val="continue"/>
                  <w:vAlign w:val="center"/>
                </w:tcPr>
                <w:p>
                  <w:pPr>
                    <w:widowControl/>
                    <w:jc w:val="left"/>
                    <w:rPr>
                      <w:rFonts w:ascii="Times New Roman"/>
                      <w:b/>
                      <w:bCs/>
                      <w:szCs w:val="21"/>
                      <w:u w:val="single"/>
                    </w:rPr>
                  </w:pPr>
                </w:p>
              </w:tc>
              <w:tc>
                <w:tcPr>
                  <w:tcW w:w="566" w:type="dxa"/>
                  <w:vMerge w:val="continue"/>
                  <w:vAlign w:val="center"/>
                </w:tcPr>
                <w:p>
                  <w:pPr>
                    <w:widowControl/>
                    <w:jc w:val="left"/>
                    <w:rPr>
                      <w:rFonts w:ascii="Times New Roman"/>
                      <w:b/>
                      <w:bCs/>
                      <w:szCs w:val="21"/>
                      <w:u w:val="single"/>
                    </w:rPr>
                  </w:pPr>
                </w:p>
              </w:tc>
              <w:tc>
                <w:tcPr>
                  <w:tcW w:w="566" w:type="dxa"/>
                  <w:vMerge w:val="continue"/>
                  <w:vAlign w:val="center"/>
                </w:tcPr>
                <w:p>
                  <w:pPr>
                    <w:widowControl/>
                    <w:jc w:val="left"/>
                    <w:rPr>
                      <w:rFonts w:ascii="Times New Roman"/>
                      <w:b/>
                      <w:bCs/>
                      <w:szCs w:val="21"/>
                      <w:u w:val="single"/>
                    </w:rPr>
                  </w:pPr>
                </w:p>
              </w:tc>
              <w:tc>
                <w:tcPr>
                  <w:tcW w:w="715" w:type="dxa"/>
                  <w:vMerge w:val="continue"/>
                  <w:vAlign w:val="center"/>
                </w:tcPr>
                <w:p>
                  <w:pPr>
                    <w:widowControl/>
                    <w:jc w:val="left"/>
                    <w:rPr>
                      <w:rFonts w:ascii="Times New Roman"/>
                      <w:b/>
                      <w:bCs/>
                      <w:szCs w:val="21"/>
                      <w:u w:val="single"/>
                    </w:rPr>
                  </w:pPr>
                </w:p>
              </w:tc>
              <w:tc>
                <w:tcPr>
                  <w:tcW w:w="749" w:type="dxa"/>
                  <w:vMerge w:val="continue"/>
                  <w:vAlign w:val="center"/>
                </w:tcPr>
                <w:p>
                  <w:pPr>
                    <w:widowControl/>
                    <w:jc w:val="left"/>
                    <w:rPr>
                      <w:rFonts w:ascii="Times New Roman"/>
                      <w:b/>
                      <w:bCs/>
                      <w:szCs w:val="21"/>
                      <w:u w:val="single"/>
                    </w:rPr>
                  </w:pPr>
                </w:p>
              </w:tc>
              <w:tc>
                <w:tcPr>
                  <w:tcW w:w="683" w:type="dxa"/>
                  <w:vMerge w:val="continue"/>
                  <w:vAlign w:val="center"/>
                </w:tcPr>
                <w:p>
                  <w:pPr>
                    <w:widowControl/>
                    <w:jc w:val="left"/>
                    <w:rPr>
                      <w:rFonts w:ascii="Times New Roman"/>
                      <w:b/>
                      <w:bCs/>
                      <w:szCs w:val="21"/>
                      <w:u w:val="single"/>
                    </w:rPr>
                  </w:pPr>
                </w:p>
              </w:tc>
              <w:tc>
                <w:tcPr>
                  <w:tcW w:w="684" w:type="dxa"/>
                  <w:vMerge w:val="continue"/>
                  <w:vAlign w:val="center"/>
                </w:tcPr>
                <w:p>
                  <w:pPr>
                    <w:widowControl/>
                    <w:jc w:val="left"/>
                    <w:rPr>
                      <w:rFonts w:ascii="Times New Roman"/>
                      <w:b/>
                      <w:bCs/>
                      <w:szCs w:val="21"/>
                      <w:u w:val="single"/>
                    </w:rPr>
                  </w:pPr>
                </w:p>
              </w:tc>
              <w:tc>
                <w:tcPr>
                  <w:tcW w:w="880" w:type="dxa"/>
                  <w:vMerge w:val="continue"/>
                  <w:vAlign w:val="center"/>
                </w:tcPr>
                <w:p>
                  <w:pPr>
                    <w:widowControl/>
                    <w:jc w:val="left"/>
                    <w:rPr>
                      <w:rFonts w:ascii="Times New Roman"/>
                      <w:b/>
                      <w:bCs/>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5" w:type="dxa"/>
                  <w:tcMar>
                    <w:top w:w="0" w:type="dxa"/>
                    <w:left w:w="0" w:type="dxa"/>
                    <w:bottom w:w="0" w:type="dxa"/>
                    <w:right w:w="0" w:type="dxa"/>
                  </w:tcMar>
                  <w:vAlign w:val="center"/>
                </w:tcPr>
                <w:p>
                  <w:pPr>
                    <w:overflowPunct w:val="0"/>
                    <w:jc w:val="center"/>
                    <w:rPr>
                      <w:rFonts w:ascii="Times New Roman"/>
                      <w:bCs/>
                      <w:szCs w:val="21"/>
                      <w:u w:val="single"/>
                    </w:rPr>
                  </w:pPr>
                  <w:r>
                    <w:rPr>
                      <w:rFonts w:ascii="Times New Roman" w:hAnsi="Times New Roman"/>
                      <w:bCs/>
                      <w:kern w:val="0"/>
                      <w:szCs w:val="21"/>
                      <w:u w:val="single"/>
                    </w:rPr>
                    <w:t>1</w:t>
                  </w:r>
                </w:p>
              </w:tc>
              <w:tc>
                <w:tcPr>
                  <w:tcW w:w="849" w:type="dxa"/>
                  <w:vAlign w:val="center"/>
                </w:tcPr>
                <w:p>
                  <w:pPr>
                    <w:overflowPunct w:val="0"/>
                    <w:jc w:val="center"/>
                    <w:rPr>
                      <w:rFonts w:ascii="Times New Roman"/>
                      <w:bCs/>
                      <w:szCs w:val="21"/>
                      <w:u w:val="single"/>
                    </w:rPr>
                  </w:pPr>
                  <w:r>
                    <w:rPr>
                      <w:rFonts w:hint="eastAsia" w:ascii="Times New Roman" w:hAnsi="Times New Roman"/>
                      <w:bCs/>
                      <w:kern w:val="0"/>
                      <w:szCs w:val="21"/>
                      <w:u w:val="single"/>
                    </w:rPr>
                    <w:t>TSP</w:t>
                  </w:r>
                </w:p>
              </w:tc>
              <w:tc>
                <w:tcPr>
                  <w:tcW w:w="850" w:type="dxa"/>
                  <w:vAlign w:val="center"/>
                </w:tcPr>
                <w:p>
                  <w:pPr>
                    <w:overflowPunct w:val="0"/>
                    <w:jc w:val="center"/>
                    <w:rPr>
                      <w:rFonts w:ascii="Times New Roman"/>
                      <w:bCs/>
                      <w:szCs w:val="21"/>
                      <w:u w:val="single"/>
                    </w:rPr>
                  </w:pPr>
                  <w:r>
                    <w:rPr>
                      <w:rFonts w:ascii="Times New Roman"/>
                      <w:bCs/>
                      <w:szCs w:val="21"/>
                      <w:u w:val="single"/>
                    </w:rPr>
                    <w:t>0</w:t>
                  </w:r>
                </w:p>
              </w:tc>
              <w:tc>
                <w:tcPr>
                  <w:tcW w:w="849" w:type="dxa"/>
                  <w:vAlign w:val="center"/>
                </w:tcPr>
                <w:p>
                  <w:pPr>
                    <w:overflowPunct w:val="0"/>
                    <w:jc w:val="center"/>
                    <w:rPr>
                      <w:rFonts w:ascii="Times New Roman"/>
                      <w:bCs/>
                      <w:szCs w:val="21"/>
                      <w:u w:val="single"/>
                    </w:rPr>
                  </w:pPr>
                  <w:r>
                    <w:rPr>
                      <w:rFonts w:ascii="Times New Roman"/>
                      <w:bCs/>
                      <w:szCs w:val="21"/>
                      <w:u w:val="single"/>
                    </w:rPr>
                    <w:t>0</w:t>
                  </w:r>
                </w:p>
              </w:tc>
              <w:tc>
                <w:tcPr>
                  <w:tcW w:w="708" w:type="dxa"/>
                  <w:vAlign w:val="center"/>
                </w:tcPr>
                <w:p>
                  <w:pPr>
                    <w:overflowPunct w:val="0"/>
                    <w:jc w:val="center"/>
                    <w:rPr>
                      <w:rFonts w:ascii="Times New Roman"/>
                      <w:bCs/>
                      <w:szCs w:val="21"/>
                      <w:u w:val="single"/>
                    </w:rPr>
                  </w:pPr>
                  <w:r>
                    <w:rPr>
                      <w:rFonts w:ascii="Times New Roman"/>
                      <w:bCs/>
                      <w:szCs w:val="21"/>
                      <w:u w:val="single"/>
                    </w:rPr>
                    <w:t>122</w:t>
                  </w:r>
                </w:p>
              </w:tc>
              <w:tc>
                <w:tcPr>
                  <w:tcW w:w="566" w:type="dxa"/>
                  <w:vAlign w:val="center"/>
                </w:tcPr>
                <w:p>
                  <w:pPr>
                    <w:overflowPunct w:val="0"/>
                    <w:jc w:val="center"/>
                    <w:rPr>
                      <w:rFonts w:ascii="Times New Roman"/>
                      <w:bCs/>
                      <w:szCs w:val="21"/>
                      <w:u w:val="single"/>
                    </w:rPr>
                  </w:pPr>
                  <w:r>
                    <w:rPr>
                      <w:rFonts w:ascii="Times New Roman"/>
                      <w:bCs/>
                      <w:szCs w:val="21"/>
                      <w:u w:val="single"/>
                    </w:rPr>
                    <w:t>200</w:t>
                  </w:r>
                </w:p>
              </w:tc>
              <w:tc>
                <w:tcPr>
                  <w:tcW w:w="566" w:type="dxa"/>
                  <w:vAlign w:val="center"/>
                </w:tcPr>
                <w:p>
                  <w:pPr>
                    <w:overflowPunct w:val="0"/>
                    <w:jc w:val="center"/>
                    <w:rPr>
                      <w:rFonts w:ascii="Times New Roman"/>
                      <w:bCs/>
                      <w:szCs w:val="21"/>
                      <w:u w:val="single"/>
                    </w:rPr>
                  </w:pPr>
                  <w:r>
                    <w:rPr>
                      <w:rFonts w:ascii="Times New Roman"/>
                      <w:bCs/>
                      <w:szCs w:val="21"/>
                      <w:u w:val="single"/>
                    </w:rPr>
                    <w:t>100</w:t>
                  </w:r>
                </w:p>
              </w:tc>
              <w:tc>
                <w:tcPr>
                  <w:tcW w:w="715" w:type="dxa"/>
                  <w:vAlign w:val="center"/>
                </w:tcPr>
                <w:p>
                  <w:pPr>
                    <w:overflowPunct w:val="0"/>
                    <w:jc w:val="center"/>
                    <w:rPr>
                      <w:rFonts w:ascii="Times New Roman"/>
                      <w:bCs/>
                      <w:szCs w:val="21"/>
                      <w:u w:val="single"/>
                    </w:rPr>
                  </w:pPr>
                  <w:r>
                    <w:rPr>
                      <w:rFonts w:ascii="Times New Roman"/>
                      <w:bCs/>
                      <w:szCs w:val="21"/>
                      <w:u w:val="single"/>
                    </w:rPr>
                    <w:t>10</w:t>
                  </w:r>
                </w:p>
              </w:tc>
              <w:tc>
                <w:tcPr>
                  <w:tcW w:w="749" w:type="dxa"/>
                  <w:vAlign w:val="center"/>
                </w:tcPr>
                <w:p>
                  <w:pPr>
                    <w:overflowPunct w:val="0"/>
                    <w:jc w:val="center"/>
                    <w:rPr>
                      <w:rFonts w:ascii="Times New Roman"/>
                      <w:bCs/>
                      <w:szCs w:val="21"/>
                      <w:u w:val="single"/>
                    </w:rPr>
                  </w:pPr>
                  <w:r>
                    <w:rPr>
                      <w:rFonts w:ascii="Times New Roman"/>
                      <w:bCs/>
                      <w:szCs w:val="21"/>
                      <w:u w:val="single"/>
                    </w:rPr>
                    <w:t>8</w:t>
                  </w:r>
                </w:p>
              </w:tc>
              <w:tc>
                <w:tcPr>
                  <w:tcW w:w="683" w:type="dxa"/>
                  <w:vAlign w:val="center"/>
                </w:tcPr>
                <w:p>
                  <w:pPr>
                    <w:overflowPunct w:val="0"/>
                    <w:jc w:val="center"/>
                    <w:rPr>
                      <w:rFonts w:ascii="Times New Roman"/>
                      <w:bCs/>
                      <w:szCs w:val="21"/>
                      <w:u w:val="single"/>
                    </w:rPr>
                  </w:pPr>
                  <w:r>
                    <w:rPr>
                      <w:rFonts w:ascii="Times New Roman"/>
                      <w:bCs/>
                      <w:szCs w:val="21"/>
                      <w:u w:val="single"/>
                    </w:rPr>
                    <w:t>5760</w:t>
                  </w:r>
                </w:p>
              </w:tc>
              <w:tc>
                <w:tcPr>
                  <w:tcW w:w="684" w:type="dxa"/>
                  <w:vAlign w:val="center"/>
                </w:tcPr>
                <w:p>
                  <w:pPr>
                    <w:overflowPunct w:val="0"/>
                    <w:jc w:val="center"/>
                    <w:rPr>
                      <w:rFonts w:ascii="Times New Roman"/>
                      <w:bCs/>
                      <w:szCs w:val="21"/>
                      <w:u w:val="single"/>
                    </w:rPr>
                  </w:pPr>
                  <w:r>
                    <w:rPr>
                      <w:rFonts w:hint="eastAsia" w:ascii="Times New Roman"/>
                      <w:bCs/>
                      <w:szCs w:val="21"/>
                      <w:u w:val="single"/>
                    </w:rPr>
                    <w:t>正常</w:t>
                  </w:r>
                </w:p>
              </w:tc>
              <w:tc>
                <w:tcPr>
                  <w:tcW w:w="880" w:type="dxa"/>
                  <w:vAlign w:val="center"/>
                </w:tcPr>
                <w:p>
                  <w:pPr>
                    <w:overflowPunct w:val="0"/>
                    <w:jc w:val="center"/>
                    <w:rPr>
                      <w:rFonts w:ascii="Times New Roman"/>
                      <w:bCs/>
                      <w:szCs w:val="21"/>
                      <w:u w:val="single"/>
                    </w:rPr>
                  </w:pPr>
                  <w:r>
                    <w:rPr>
                      <w:rFonts w:ascii="Times New Roman"/>
                      <w:bCs/>
                      <w:szCs w:val="21"/>
                      <w:u w:val="single"/>
                    </w:rPr>
                    <w:t>2.04</w:t>
                  </w:r>
                </w:p>
              </w:tc>
            </w:tr>
          </w:tbl>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hint="eastAsia" w:ascii="Times New Roman"/>
                <w:b/>
                <w:bCs/>
                <w:sz w:val="24"/>
                <w:u w:val="single"/>
              </w:rPr>
            </w:pPr>
          </w:p>
          <w:p>
            <w:pPr>
              <w:overflowPunct w:val="0"/>
              <w:spacing w:line="360" w:lineRule="auto"/>
              <w:jc w:val="center"/>
              <w:rPr>
                <w:rFonts w:ascii="Times New Roman"/>
                <w:b/>
                <w:bCs/>
                <w:sz w:val="24"/>
                <w:u w:val="single"/>
              </w:rPr>
            </w:pPr>
            <w:r>
              <w:rPr>
                <w:rFonts w:hint="eastAsia" w:ascii="Times New Roman"/>
                <w:b/>
                <w:bCs/>
                <w:sz w:val="24"/>
                <w:u w:val="single"/>
              </w:rPr>
              <w:t>表6</w:t>
            </w:r>
            <w:r>
              <w:rPr>
                <w:rFonts w:ascii="Times New Roman"/>
                <w:b/>
                <w:bCs/>
                <w:sz w:val="24"/>
                <w:u w:val="single"/>
              </w:rPr>
              <w:t>-</w:t>
            </w:r>
            <w:r>
              <w:rPr>
                <w:rFonts w:hint="eastAsia" w:ascii="Times New Roman"/>
                <w:b/>
                <w:bCs/>
                <w:sz w:val="24"/>
                <w:u w:val="single"/>
              </w:rPr>
              <w:t>9</w:t>
            </w:r>
            <w:r>
              <w:rPr>
                <w:rFonts w:ascii="Times New Roman"/>
                <w:b/>
                <w:bCs/>
                <w:sz w:val="24"/>
                <w:u w:val="single"/>
              </w:rPr>
              <w:t xml:space="preserve">  </w:t>
            </w:r>
            <w:r>
              <w:rPr>
                <w:rFonts w:hint="eastAsia" w:ascii="Times New Roman"/>
                <w:b/>
                <w:bCs/>
                <w:sz w:val="24"/>
                <w:u w:val="single"/>
              </w:rPr>
              <w:t>点源（窑炉烟气）正常工况估算模式计算结果表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01"/>
              <w:gridCol w:w="1242"/>
              <w:gridCol w:w="1299"/>
              <w:gridCol w:w="1299"/>
              <w:gridCol w:w="1299"/>
              <w:gridCol w:w="1299"/>
              <w:gridCol w:w="12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268" w:type="dxa"/>
                  <w:vMerge w:val="restart"/>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下风向距离（</w:t>
                  </w:r>
                  <w:r>
                    <w:rPr>
                      <w:rFonts w:ascii="Times New Roman" w:hAnsi="Times New Roman"/>
                      <w:b/>
                      <w:bCs/>
                      <w:kern w:val="2"/>
                      <w:sz w:val="21"/>
                      <w:szCs w:val="21"/>
                      <w:u w:val="single"/>
                    </w:rPr>
                    <w:t>m</w:t>
                  </w:r>
                  <w:r>
                    <w:rPr>
                      <w:rFonts w:hint="eastAsia" w:ascii="Times New Roman" w:hAnsi="Times New Roman"/>
                      <w:b/>
                      <w:bCs/>
                      <w:kern w:val="2"/>
                      <w:sz w:val="21"/>
                      <w:szCs w:val="21"/>
                      <w:u w:val="single"/>
                    </w:rPr>
                    <w:t>）</w:t>
                  </w:r>
                </w:p>
              </w:tc>
              <w:tc>
                <w:tcPr>
                  <w:tcW w:w="2478" w:type="dxa"/>
                  <w:gridSpan w:val="2"/>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烟尘（TSP）</w:t>
                  </w:r>
                </w:p>
              </w:tc>
              <w:tc>
                <w:tcPr>
                  <w:tcW w:w="2534" w:type="dxa"/>
                  <w:gridSpan w:val="2"/>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SO</w:t>
                  </w:r>
                  <w:r>
                    <w:rPr>
                      <w:rFonts w:ascii="Times New Roman" w:hAnsi="Times New Roman"/>
                      <w:b/>
                      <w:bCs/>
                      <w:kern w:val="2"/>
                      <w:sz w:val="21"/>
                      <w:szCs w:val="21"/>
                      <w:u w:val="single"/>
                      <w:vertAlign w:val="subscript"/>
                    </w:rPr>
                    <w:t>2</w:t>
                  </w:r>
                </w:p>
              </w:tc>
              <w:tc>
                <w:tcPr>
                  <w:tcW w:w="2534" w:type="dxa"/>
                  <w:gridSpan w:val="2"/>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NO</w:t>
                  </w:r>
                  <w:r>
                    <w:rPr>
                      <w:rFonts w:hint="eastAsia" w:ascii="Times New Roman" w:hAnsi="Times New Roman"/>
                      <w:b/>
                      <w:bCs/>
                      <w:kern w:val="2"/>
                      <w:sz w:val="21"/>
                      <w:szCs w:val="21"/>
                      <w:u w:val="single"/>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Merge w:val="continue"/>
                  <w:vAlign w:val="center"/>
                </w:tcPr>
                <w:p>
                  <w:pPr>
                    <w:widowControl/>
                    <w:jc w:val="left"/>
                    <w:rPr>
                      <w:rFonts w:ascii="Times New Roman" w:hAnsi="Times New Roman"/>
                      <w:b/>
                      <w:bCs/>
                      <w:szCs w:val="21"/>
                      <w:u w:val="single"/>
                    </w:rPr>
                  </w:pPr>
                </w:p>
              </w:tc>
              <w:tc>
                <w:tcPr>
                  <w:tcW w:w="1211" w:type="dxa"/>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Cij</w:t>
                  </w:r>
                  <w:r>
                    <w:rPr>
                      <w:rFonts w:ascii="Times New Roman" w:hAnsi="Times New Roman"/>
                      <w:b/>
                      <w:bCs/>
                      <w:kern w:val="2"/>
                      <w:sz w:val="21"/>
                      <w:szCs w:val="21"/>
                      <w:u w:val="single"/>
                    </w:rPr>
                    <w:t>(μg/m</w:t>
                  </w:r>
                  <w:r>
                    <w:rPr>
                      <w:rFonts w:ascii="Times New Roman" w:hAnsi="Times New Roman"/>
                      <w:b/>
                      <w:bCs/>
                      <w:kern w:val="2"/>
                      <w:sz w:val="21"/>
                      <w:szCs w:val="21"/>
                      <w:u w:val="single"/>
                      <w:vertAlign w:val="superscript"/>
                    </w:rPr>
                    <w:t>3</w:t>
                  </w:r>
                  <w:r>
                    <w:rPr>
                      <w:rFonts w:ascii="Times New Roman" w:hAnsi="Times New Roman"/>
                      <w:b/>
                      <w:bCs/>
                      <w:kern w:val="2"/>
                      <w:sz w:val="21"/>
                      <w:szCs w:val="21"/>
                      <w:u w:val="single"/>
                    </w:rPr>
                    <w:t>)</w:t>
                  </w:r>
                </w:p>
              </w:tc>
              <w:tc>
                <w:tcPr>
                  <w:tcW w:w="1267" w:type="dxa"/>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Pij（</w:t>
                  </w:r>
                  <w:r>
                    <w:rPr>
                      <w:rFonts w:ascii="Times New Roman" w:hAnsi="Times New Roman"/>
                      <w:b/>
                      <w:kern w:val="2"/>
                      <w:sz w:val="21"/>
                      <w:szCs w:val="21"/>
                      <w:u w:val="single"/>
                    </w:rPr>
                    <w:t>%</w:t>
                  </w:r>
                  <w:r>
                    <w:rPr>
                      <w:rFonts w:hint="eastAsia" w:ascii="Times New Roman" w:hAnsi="Times New Roman"/>
                      <w:b/>
                      <w:bCs/>
                      <w:kern w:val="2"/>
                      <w:sz w:val="21"/>
                      <w:szCs w:val="21"/>
                      <w:u w:val="single"/>
                    </w:rPr>
                    <w:t>）</w:t>
                  </w:r>
                </w:p>
              </w:tc>
              <w:tc>
                <w:tcPr>
                  <w:tcW w:w="1267" w:type="dxa"/>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Cij</w:t>
                  </w:r>
                  <w:r>
                    <w:rPr>
                      <w:rFonts w:ascii="Times New Roman" w:hAnsi="Times New Roman"/>
                      <w:b/>
                      <w:bCs/>
                      <w:kern w:val="2"/>
                      <w:sz w:val="21"/>
                      <w:szCs w:val="21"/>
                      <w:u w:val="single"/>
                    </w:rPr>
                    <w:t>(μg/m</w:t>
                  </w:r>
                  <w:r>
                    <w:rPr>
                      <w:rFonts w:ascii="Times New Roman" w:hAnsi="Times New Roman"/>
                      <w:b/>
                      <w:bCs/>
                      <w:kern w:val="2"/>
                      <w:sz w:val="21"/>
                      <w:szCs w:val="21"/>
                      <w:u w:val="single"/>
                      <w:vertAlign w:val="superscript"/>
                    </w:rPr>
                    <w:t>3</w:t>
                  </w:r>
                  <w:r>
                    <w:rPr>
                      <w:rFonts w:ascii="Times New Roman" w:hAnsi="Times New Roman"/>
                      <w:b/>
                      <w:bCs/>
                      <w:kern w:val="2"/>
                      <w:sz w:val="21"/>
                      <w:szCs w:val="21"/>
                      <w:u w:val="single"/>
                    </w:rPr>
                    <w:t>)</w:t>
                  </w:r>
                </w:p>
              </w:tc>
              <w:tc>
                <w:tcPr>
                  <w:tcW w:w="1267" w:type="dxa"/>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Pij（</w:t>
                  </w:r>
                  <w:r>
                    <w:rPr>
                      <w:rFonts w:ascii="Times New Roman" w:hAnsi="Times New Roman"/>
                      <w:b/>
                      <w:kern w:val="2"/>
                      <w:sz w:val="21"/>
                      <w:szCs w:val="21"/>
                      <w:u w:val="single"/>
                    </w:rPr>
                    <w:t>%</w:t>
                  </w:r>
                  <w:r>
                    <w:rPr>
                      <w:rFonts w:hint="eastAsia" w:ascii="Times New Roman" w:hAnsi="Times New Roman"/>
                      <w:b/>
                      <w:bCs/>
                      <w:kern w:val="2"/>
                      <w:sz w:val="21"/>
                      <w:szCs w:val="21"/>
                      <w:u w:val="single"/>
                    </w:rPr>
                    <w:t>）</w:t>
                  </w:r>
                </w:p>
              </w:tc>
              <w:tc>
                <w:tcPr>
                  <w:tcW w:w="1267" w:type="dxa"/>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Cij</w:t>
                  </w:r>
                  <w:r>
                    <w:rPr>
                      <w:rFonts w:ascii="Times New Roman" w:hAnsi="Times New Roman"/>
                      <w:b/>
                      <w:bCs/>
                      <w:kern w:val="2"/>
                      <w:sz w:val="21"/>
                      <w:szCs w:val="21"/>
                      <w:u w:val="single"/>
                    </w:rPr>
                    <w:t>(μg/m</w:t>
                  </w:r>
                  <w:r>
                    <w:rPr>
                      <w:rFonts w:ascii="Times New Roman" w:hAnsi="Times New Roman"/>
                      <w:b/>
                      <w:bCs/>
                      <w:kern w:val="2"/>
                      <w:sz w:val="21"/>
                      <w:szCs w:val="21"/>
                      <w:u w:val="single"/>
                      <w:vertAlign w:val="superscript"/>
                    </w:rPr>
                    <w:t>3</w:t>
                  </w:r>
                  <w:r>
                    <w:rPr>
                      <w:rFonts w:ascii="Times New Roman" w:hAnsi="Times New Roman"/>
                      <w:b/>
                      <w:bCs/>
                      <w:kern w:val="2"/>
                      <w:sz w:val="21"/>
                      <w:szCs w:val="21"/>
                      <w:u w:val="single"/>
                    </w:rPr>
                    <w:t>)</w:t>
                  </w:r>
                </w:p>
              </w:tc>
              <w:tc>
                <w:tcPr>
                  <w:tcW w:w="1267" w:type="dxa"/>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Pij（</w:t>
                  </w:r>
                  <w:r>
                    <w:rPr>
                      <w:rFonts w:ascii="Times New Roman" w:hAnsi="Times New Roman"/>
                      <w:b/>
                      <w:kern w:val="2"/>
                      <w:sz w:val="21"/>
                      <w:szCs w:val="21"/>
                      <w:u w:val="single"/>
                    </w:rPr>
                    <w:t>%</w:t>
                  </w:r>
                  <w:r>
                    <w:rPr>
                      <w:rFonts w:hint="eastAsia" w:ascii="Times New Roman" w:hAnsi="Times New Roman"/>
                      <w:b/>
                      <w:bCs/>
                      <w:kern w:val="2"/>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100</w:t>
                  </w:r>
                </w:p>
              </w:tc>
              <w:tc>
                <w:tcPr>
                  <w:tcW w:w="1211" w:type="dxa"/>
                  <w:vAlign w:val="center"/>
                </w:tcPr>
                <w:p>
                  <w:pPr>
                    <w:jc w:val="center"/>
                    <w:rPr>
                      <w:rFonts w:ascii="Times New Roman" w:hAnsi="Times New Roman" w:eastAsiaTheme="minorEastAsia"/>
                      <w:b/>
                      <w:bCs/>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eastAsiaTheme="minorEastAsia"/>
                      <w:b/>
                      <w:bCs/>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bCs/>
                      <w:u w:val="single"/>
                    </w:rPr>
                  </w:pPr>
                  <w:r>
                    <w:rPr>
                      <w:rFonts w:ascii="Times New Roman" w:hAnsi="Times New Roman"/>
                      <w:color w:val="000000" w:themeColor="text1"/>
                      <w:szCs w:val="21"/>
                      <w:u w:val="single"/>
                      <w14:textFill>
                        <w14:solidFill>
                          <w14:schemeClr w14:val="tx1"/>
                        </w14:solidFill>
                      </w14:textFill>
                    </w:rPr>
                    <w:t>200</w:t>
                  </w:r>
                </w:p>
              </w:tc>
              <w:tc>
                <w:tcPr>
                  <w:tcW w:w="1211" w:type="dxa"/>
                  <w:vAlign w:val="center"/>
                </w:tcPr>
                <w:p>
                  <w:pPr>
                    <w:jc w:val="center"/>
                    <w:rPr>
                      <w:rFonts w:ascii="Times New Roman" w:hAnsi="Times New Roman" w:eastAsiaTheme="minorEastAsia"/>
                      <w:bCs/>
                      <w:u w:val="single"/>
                    </w:rPr>
                  </w:pPr>
                  <w:r>
                    <w:rPr>
                      <w:rFonts w:ascii="Times New Roman" w:hAnsi="Times New Roman"/>
                      <w:color w:val="000000" w:themeColor="text1"/>
                      <w:szCs w:val="21"/>
                      <w:u w:val="single"/>
                      <w14:textFill>
                        <w14:solidFill>
                          <w14:schemeClr w14:val="tx1"/>
                        </w14:solidFill>
                      </w14:textFill>
                    </w:rPr>
                    <w:t>0.000008</w:t>
                  </w:r>
                </w:p>
              </w:tc>
              <w:tc>
                <w:tcPr>
                  <w:tcW w:w="1267" w:type="dxa"/>
                  <w:vAlign w:val="center"/>
                </w:tcPr>
                <w:p>
                  <w:pPr>
                    <w:jc w:val="center"/>
                    <w:rPr>
                      <w:rFonts w:ascii="Times New Roman" w:hAnsi="Times New Roman" w:eastAsiaTheme="minorEastAsia"/>
                      <w:bCs/>
                      <w:u w:val="single"/>
                    </w:rPr>
                  </w:pPr>
                  <w:r>
                    <w:rPr>
                      <w:rFonts w:ascii="Times New Roman" w:hAnsi="Times New Roman"/>
                      <w:color w:val="000000" w:themeColor="text1"/>
                      <w:szCs w:val="21"/>
                      <w:u w:val="single"/>
                      <w14:textFill>
                        <w14:solidFill>
                          <w14:schemeClr w14:val="tx1"/>
                        </w14:solidFill>
                      </w14:textFill>
                    </w:rPr>
                    <w:t>0</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0.00012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0.00054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300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0.000176</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0.0024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0.48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0.010772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400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0.000372</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0.005094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1.02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0.02286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500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0.000458</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0.006244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1.24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0.02802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7.25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600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0.000518</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0.007088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1.42</w:t>
                  </w:r>
                </w:p>
              </w:tc>
              <w:tc>
                <w:tcPr>
                  <w:tcW w:w="1267" w:type="dxa"/>
                  <w:vAlign w:val="center"/>
                </w:tcPr>
                <w:p>
                  <w:pPr>
                    <w:jc w:val="center"/>
                    <w:rPr>
                      <w:rFonts w:ascii="Times New Roman" w:hAnsi="Times New Roman"/>
                      <w:szCs w:val="21"/>
                      <w:u w:val="single"/>
                    </w:rPr>
                  </w:pPr>
                  <w:r>
                    <w:rPr>
                      <w:rFonts w:ascii="Times New Roman" w:hAnsi="Times New Roman"/>
                      <w:u w:val="single"/>
                    </w:rPr>
                    <w:t>0.03336</w:t>
                  </w:r>
                </w:p>
              </w:tc>
              <w:tc>
                <w:tcPr>
                  <w:tcW w:w="1267" w:type="dxa"/>
                  <w:vAlign w:val="center"/>
                </w:tcPr>
                <w:p>
                  <w:pPr>
                    <w:jc w:val="center"/>
                    <w:rPr>
                      <w:rFonts w:ascii="Times New Roman" w:hAnsi="Times New Roman"/>
                      <w:szCs w:val="21"/>
                      <w:u w:val="single"/>
                    </w:rPr>
                  </w:pPr>
                  <w:r>
                    <w:rPr>
                      <w:rFonts w:ascii="Times New Roman" w:hAnsi="Times New Roman"/>
                      <w:u w:val="single"/>
                    </w:rPr>
                    <w:t>7.41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700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0.000568</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0.007766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1.56</w:t>
                  </w:r>
                </w:p>
              </w:tc>
              <w:tc>
                <w:tcPr>
                  <w:tcW w:w="1267" w:type="dxa"/>
                  <w:vAlign w:val="center"/>
                </w:tcPr>
                <w:p>
                  <w:pPr>
                    <w:jc w:val="center"/>
                    <w:rPr>
                      <w:rFonts w:ascii="Times New Roman" w:hAnsi="Times New Roman"/>
                      <w:szCs w:val="21"/>
                      <w:u w:val="single"/>
                    </w:rPr>
                  </w:pPr>
                  <w:r>
                    <w:rPr>
                      <w:rFonts w:ascii="Times New Roman" w:hAnsi="Times New Roman"/>
                      <w:u w:val="single"/>
                    </w:rPr>
                    <w:t>0.03794</w:t>
                  </w:r>
                </w:p>
              </w:tc>
              <w:tc>
                <w:tcPr>
                  <w:tcW w:w="1267" w:type="dxa"/>
                  <w:vAlign w:val="center"/>
                </w:tcPr>
                <w:p>
                  <w:pPr>
                    <w:jc w:val="center"/>
                    <w:rPr>
                      <w:rFonts w:ascii="Times New Roman" w:hAnsi="Times New Roman"/>
                      <w:szCs w:val="21"/>
                      <w:u w:val="single"/>
                    </w:rPr>
                  </w:pPr>
                  <w:r>
                    <w:rPr>
                      <w:rFonts w:ascii="Times New Roman" w:hAnsi="Times New Roman"/>
                      <w:u w:val="single"/>
                    </w:rPr>
                    <w:t>8.43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b/>
                      <w:bCs/>
                      <w:u w:val="single"/>
                    </w:rPr>
                  </w:pPr>
                  <w:r>
                    <w:rPr>
                      <w:rFonts w:ascii="Times New Roman" w:hAnsi="Times New Roman"/>
                      <w:b/>
                      <w:bCs/>
                      <w:color w:val="000000" w:themeColor="text1"/>
                      <w:szCs w:val="21"/>
                      <w:u w:val="single"/>
                      <w14:textFill>
                        <w14:solidFill>
                          <w14:schemeClr w14:val="tx1"/>
                        </w14:solidFill>
                      </w14:textFill>
                    </w:rPr>
                    <w:t>713</w:t>
                  </w:r>
                </w:p>
              </w:tc>
              <w:tc>
                <w:tcPr>
                  <w:tcW w:w="1211" w:type="dxa"/>
                  <w:vAlign w:val="center"/>
                </w:tcPr>
                <w:p>
                  <w:pPr>
                    <w:jc w:val="center"/>
                    <w:rPr>
                      <w:rFonts w:ascii="Times New Roman" w:hAnsi="Times New Roman" w:eastAsiaTheme="minorEastAsia"/>
                      <w:b/>
                      <w:bCs/>
                      <w:u w:val="single"/>
                    </w:rPr>
                  </w:pPr>
                  <w:r>
                    <w:rPr>
                      <w:rFonts w:ascii="Times New Roman" w:hAnsi="Times New Roman"/>
                      <w:b/>
                      <w:bCs/>
                      <w:color w:val="000000" w:themeColor="text1"/>
                      <w:szCs w:val="21"/>
                      <w:u w:val="single"/>
                      <w14:textFill>
                        <w14:solidFill>
                          <w14:schemeClr w14:val="tx1"/>
                        </w14:solidFill>
                      </w14:textFill>
                    </w:rPr>
                    <w:t>0.000568</w:t>
                  </w:r>
                </w:p>
              </w:tc>
              <w:tc>
                <w:tcPr>
                  <w:tcW w:w="1267" w:type="dxa"/>
                  <w:vAlign w:val="center"/>
                </w:tcPr>
                <w:p>
                  <w:pPr>
                    <w:jc w:val="center"/>
                    <w:rPr>
                      <w:rFonts w:ascii="Times New Roman" w:hAnsi="Times New Roman" w:eastAsiaTheme="minorEastAsia"/>
                      <w:b/>
                      <w:bCs/>
                      <w:u w:val="single"/>
                    </w:rPr>
                  </w:pPr>
                  <w:r>
                    <w:rPr>
                      <w:rFonts w:ascii="Times New Roman" w:hAnsi="Times New Roman"/>
                      <w:b/>
                      <w:bCs/>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b/>
                      <w:bCs/>
                      <w:szCs w:val="21"/>
                      <w:u w:val="single"/>
                    </w:rPr>
                  </w:pPr>
                  <w:r>
                    <w:rPr>
                      <w:rFonts w:ascii="Times New Roman" w:hAnsi="Times New Roman"/>
                      <w:b/>
                      <w:bCs/>
                      <w:color w:val="000000" w:themeColor="text1"/>
                      <w:szCs w:val="21"/>
                      <w:u w:val="single"/>
                      <w14:textFill>
                        <w14:solidFill>
                          <w14:schemeClr w14:val="tx1"/>
                        </w14:solidFill>
                      </w14:textFill>
                    </w:rPr>
                    <w:t>0.007774</w:t>
                  </w:r>
                </w:p>
              </w:tc>
              <w:tc>
                <w:tcPr>
                  <w:tcW w:w="1267" w:type="dxa"/>
                  <w:vAlign w:val="center"/>
                </w:tcPr>
                <w:p>
                  <w:pPr>
                    <w:jc w:val="center"/>
                    <w:rPr>
                      <w:rFonts w:ascii="Times New Roman" w:hAnsi="Times New Roman"/>
                      <w:b/>
                      <w:bCs/>
                      <w:szCs w:val="21"/>
                      <w:u w:val="single"/>
                    </w:rPr>
                  </w:pPr>
                  <w:r>
                    <w:rPr>
                      <w:rFonts w:ascii="Times New Roman" w:hAnsi="Times New Roman"/>
                      <w:b/>
                      <w:bCs/>
                      <w:color w:val="000000" w:themeColor="text1"/>
                      <w:szCs w:val="21"/>
                      <w:u w:val="single"/>
                      <w14:textFill>
                        <w14:solidFill>
                          <w14:schemeClr w14:val="tx1"/>
                        </w14:solidFill>
                      </w14:textFill>
                    </w:rPr>
                    <w:t>1.56</w:t>
                  </w:r>
                </w:p>
              </w:tc>
              <w:tc>
                <w:tcPr>
                  <w:tcW w:w="1267" w:type="dxa"/>
                  <w:vAlign w:val="center"/>
                </w:tcPr>
                <w:p>
                  <w:pPr>
                    <w:jc w:val="center"/>
                    <w:rPr>
                      <w:rFonts w:ascii="Times New Roman" w:hAnsi="Times New Roman"/>
                      <w:b/>
                      <w:bCs/>
                      <w:szCs w:val="21"/>
                      <w:u w:val="single"/>
                    </w:rPr>
                  </w:pPr>
                  <w:r>
                    <w:rPr>
                      <w:rFonts w:ascii="Times New Roman" w:hAnsi="Times New Roman"/>
                      <w:b/>
                      <w:bCs/>
                      <w:u w:val="single"/>
                    </w:rPr>
                    <w:t>0.038</w:t>
                  </w:r>
                </w:p>
              </w:tc>
              <w:tc>
                <w:tcPr>
                  <w:tcW w:w="1267" w:type="dxa"/>
                  <w:vAlign w:val="center"/>
                </w:tcPr>
                <w:p>
                  <w:pPr>
                    <w:jc w:val="center"/>
                    <w:rPr>
                      <w:rFonts w:ascii="Times New Roman" w:hAnsi="Times New Roman"/>
                      <w:b/>
                      <w:bCs/>
                      <w:szCs w:val="21"/>
                      <w:u w:val="single"/>
                    </w:rPr>
                  </w:pPr>
                  <w:r>
                    <w:rPr>
                      <w:rFonts w:ascii="Times New Roman" w:hAnsi="Times New Roman"/>
                      <w:b/>
                      <w:bCs/>
                      <w:u w:val="single"/>
                    </w:rPr>
                    <w:t>8.44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800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0.00055</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0.007512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1.5</w:t>
                  </w:r>
                </w:p>
              </w:tc>
              <w:tc>
                <w:tcPr>
                  <w:tcW w:w="1267" w:type="dxa"/>
                  <w:vAlign w:val="center"/>
                </w:tcPr>
                <w:p>
                  <w:pPr>
                    <w:jc w:val="center"/>
                    <w:rPr>
                      <w:rFonts w:ascii="Times New Roman" w:hAnsi="Times New Roman"/>
                      <w:szCs w:val="21"/>
                      <w:u w:val="single"/>
                    </w:rPr>
                  </w:pPr>
                  <w:r>
                    <w:rPr>
                      <w:rFonts w:ascii="Times New Roman" w:hAnsi="Times New Roman"/>
                      <w:u w:val="single"/>
                    </w:rPr>
                    <w:t>0.03764</w:t>
                  </w:r>
                </w:p>
              </w:tc>
              <w:tc>
                <w:tcPr>
                  <w:tcW w:w="1267" w:type="dxa"/>
                  <w:vAlign w:val="center"/>
                </w:tcPr>
                <w:p>
                  <w:pPr>
                    <w:jc w:val="center"/>
                    <w:rPr>
                      <w:rFonts w:ascii="Times New Roman" w:hAnsi="Times New Roman"/>
                      <w:szCs w:val="21"/>
                      <w:u w:val="single"/>
                    </w:rPr>
                  </w:pPr>
                  <w:r>
                    <w:rPr>
                      <w:rFonts w:ascii="Times New Roman" w:hAnsi="Times New Roman"/>
                      <w:u w:val="single"/>
                    </w:rPr>
                    <w:t>8.36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900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0.000506</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0.006912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1.38</w:t>
                  </w:r>
                </w:p>
              </w:tc>
              <w:tc>
                <w:tcPr>
                  <w:tcW w:w="1267" w:type="dxa"/>
                  <w:vAlign w:val="center"/>
                </w:tcPr>
                <w:p>
                  <w:pPr>
                    <w:jc w:val="center"/>
                    <w:rPr>
                      <w:rFonts w:ascii="Times New Roman" w:hAnsi="Times New Roman"/>
                      <w:szCs w:val="21"/>
                      <w:u w:val="single"/>
                    </w:rPr>
                  </w:pPr>
                  <w:r>
                    <w:rPr>
                      <w:rFonts w:ascii="Times New Roman" w:hAnsi="Times New Roman"/>
                      <w:u w:val="single"/>
                    </w:rPr>
                    <w:t>0.03491</w:t>
                  </w:r>
                </w:p>
              </w:tc>
              <w:tc>
                <w:tcPr>
                  <w:tcW w:w="1267" w:type="dxa"/>
                  <w:vAlign w:val="center"/>
                </w:tcPr>
                <w:p>
                  <w:pPr>
                    <w:jc w:val="center"/>
                    <w:rPr>
                      <w:rFonts w:ascii="Times New Roman" w:hAnsi="Times New Roman"/>
                      <w:szCs w:val="21"/>
                      <w:u w:val="single"/>
                    </w:rPr>
                  </w:pPr>
                  <w:r>
                    <w:rPr>
                      <w:rFonts w:ascii="Times New Roman" w:hAnsi="Times New Roman"/>
                      <w:u w:val="single"/>
                    </w:rPr>
                    <w:t>7.76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1000</w:t>
                  </w:r>
                </w:p>
              </w:tc>
              <w:tc>
                <w:tcPr>
                  <w:tcW w:w="1211"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0.000464</w:t>
                  </w:r>
                </w:p>
              </w:tc>
              <w:tc>
                <w:tcPr>
                  <w:tcW w:w="1267" w:type="dxa"/>
                  <w:vAlign w:val="center"/>
                </w:tcPr>
                <w:p>
                  <w:pPr>
                    <w:jc w:val="center"/>
                    <w:rPr>
                      <w:rFonts w:ascii="Times New Roman" w:hAnsi="Times New Roman" w:eastAsiaTheme="minorEastAsia"/>
                      <w:u w:val="single"/>
                    </w:rPr>
                  </w:pPr>
                  <w:r>
                    <w:rPr>
                      <w:rFonts w:ascii="Times New Roman" w:hAnsi="Times New Roman"/>
                      <w:color w:val="000000" w:themeColor="text1"/>
                      <w:szCs w:val="21"/>
                      <w:u w:val="single"/>
                      <w14:textFill>
                        <w14:solidFill>
                          <w14:schemeClr w14:val="tx1"/>
                        </w14:solidFill>
                      </w14:textFill>
                    </w:rPr>
                    <w:t>0.06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0.00633</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1.26</w:t>
                  </w:r>
                </w:p>
              </w:tc>
              <w:tc>
                <w:tcPr>
                  <w:tcW w:w="1267" w:type="dxa"/>
                  <w:vAlign w:val="center"/>
                </w:tcPr>
                <w:p>
                  <w:pPr>
                    <w:jc w:val="center"/>
                    <w:rPr>
                      <w:rFonts w:ascii="Times New Roman" w:hAnsi="Times New Roman"/>
                      <w:szCs w:val="21"/>
                      <w:u w:val="single"/>
                    </w:rPr>
                  </w:pPr>
                  <w:r>
                    <w:rPr>
                      <w:rFonts w:ascii="Times New Roman" w:hAnsi="Times New Roman"/>
                      <w:u w:val="single"/>
                    </w:rPr>
                    <w:t>0.03633</w:t>
                  </w:r>
                </w:p>
              </w:tc>
              <w:tc>
                <w:tcPr>
                  <w:tcW w:w="1267" w:type="dxa"/>
                  <w:vAlign w:val="center"/>
                </w:tcPr>
                <w:p>
                  <w:pPr>
                    <w:jc w:val="center"/>
                    <w:rPr>
                      <w:rFonts w:ascii="Times New Roman" w:hAnsi="Times New Roman"/>
                      <w:szCs w:val="21"/>
                      <w:u w:val="single"/>
                    </w:rPr>
                  </w:pPr>
                  <w:r>
                    <w:rPr>
                      <w:rFonts w:ascii="Times New Roman" w:hAnsi="Times New Roman"/>
                      <w:u w:val="single"/>
                    </w:rPr>
                    <w:t>8.07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1100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0.000428</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0.005838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1.16</w:t>
                  </w:r>
                </w:p>
              </w:tc>
              <w:tc>
                <w:tcPr>
                  <w:tcW w:w="1267" w:type="dxa"/>
                  <w:vAlign w:val="center"/>
                </w:tcPr>
                <w:p>
                  <w:pPr>
                    <w:jc w:val="center"/>
                    <w:rPr>
                      <w:rFonts w:ascii="Times New Roman" w:hAnsi="Times New Roman"/>
                      <w:szCs w:val="21"/>
                      <w:u w:val="single"/>
                    </w:rPr>
                  </w:pPr>
                  <w:r>
                    <w:rPr>
                      <w:rFonts w:ascii="Times New Roman" w:hAnsi="Times New Roman"/>
                      <w:u w:val="single"/>
                    </w:rPr>
                    <w:t>0.03427</w:t>
                  </w:r>
                </w:p>
              </w:tc>
              <w:tc>
                <w:tcPr>
                  <w:tcW w:w="1267" w:type="dxa"/>
                  <w:vAlign w:val="center"/>
                </w:tcPr>
                <w:p>
                  <w:pPr>
                    <w:jc w:val="center"/>
                    <w:rPr>
                      <w:rFonts w:ascii="Times New Roman" w:hAnsi="Times New Roman"/>
                      <w:szCs w:val="21"/>
                      <w:u w:val="single"/>
                    </w:rPr>
                  </w:pPr>
                  <w:r>
                    <w:rPr>
                      <w:rFonts w:ascii="Times New Roman" w:hAnsi="Times New Roman"/>
                      <w:u w:val="single"/>
                    </w:rPr>
                    <w:t>7.62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1200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0.000396</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0.005418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1.08</w:t>
                  </w:r>
                </w:p>
              </w:tc>
              <w:tc>
                <w:tcPr>
                  <w:tcW w:w="1267" w:type="dxa"/>
                  <w:vAlign w:val="center"/>
                </w:tcPr>
                <w:p>
                  <w:pPr>
                    <w:jc w:val="center"/>
                    <w:rPr>
                      <w:rFonts w:ascii="Times New Roman" w:hAnsi="Times New Roman"/>
                      <w:szCs w:val="21"/>
                      <w:u w:val="single"/>
                    </w:rPr>
                  </w:pPr>
                  <w:r>
                    <w:rPr>
                      <w:rFonts w:ascii="Times New Roman" w:hAnsi="Times New Roman"/>
                      <w:u w:val="single"/>
                    </w:rPr>
                    <w:t>0.03107</w:t>
                  </w:r>
                </w:p>
              </w:tc>
              <w:tc>
                <w:tcPr>
                  <w:tcW w:w="1267" w:type="dxa"/>
                  <w:vAlign w:val="center"/>
                </w:tcPr>
                <w:p>
                  <w:pPr>
                    <w:jc w:val="center"/>
                    <w:rPr>
                      <w:rFonts w:ascii="Times New Roman" w:hAnsi="Times New Roman"/>
                      <w:szCs w:val="21"/>
                      <w:u w:val="single"/>
                    </w:rPr>
                  </w:pPr>
                  <w:r>
                    <w:rPr>
                      <w:rFonts w:ascii="Times New Roman" w:hAnsi="Times New Roman"/>
                      <w:u w:val="single"/>
                    </w:rPr>
                    <w:t>6.90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1300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0.00037</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0.005058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1.02</w:t>
                  </w:r>
                </w:p>
              </w:tc>
              <w:tc>
                <w:tcPr>
                  <w:tcW w:w="1267" w:type="dxa"/>
                  <w:vAlign w:val="center"/>
                </w:tcPr>
                <w:p>
                  <w:pPr>
                    <w:jc w:val="center"/>
                    <w:rPr>
                      <w:rFonts w:ascii="Times New Roman" w:hAnsi="Times New Roman"/>
                      <w:szCs w:val="21"/>
                      <w:u w:val="single"/>
                    </w:rPr>
                  </w:pPr>
                  <w:r>
                    <w:rPr>
                      <w:rFonts w:ascii="Times New Roman" w:hAnsi="Times New Roman"/>
                      <w:u w:val="single"/>
                    </w:rPr>
                    <w:t>0.02783</w:t>
                  </w:r>
                </w:p>
              </w:tc>
              <w:tc>
                <w:tcPr>
                  <w:tcW w:w="1267" w:type="dxa"/>
                  <w:vAlign w:val="center"/>
                </w:tcPr>
                <w:p>
                  <w:pPr>
                    <w:jc w:val="center"/>
                    <w:rPr>
                      <w:rFonts w:ascii="Times New Roman" w:hAnsi="Times New Roman"/>
                      <w:szCs w:val="21"/>
                      <w:u w:val="single"/>
                    </w:rPr>
                  </w:pPr>
                  <w:r>
                    <w:rPr>
                      <w:rFonts w:ascii="Times New Roman" w:hAnsi="Times New Roman"/>
                      <w:u w:val="single"/>
                    </w:rPr>
                    <w:t>6.18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1400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0.000348</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0.004756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0.96</w:t>
                  </w:r>
                </w:p>
              </w:tc>
              <w:tc>
                <w:tcPr>
                  <w:tcW w:w="1267" w:type="dxa"/>
                  <w:vAlign w:val="center"/>
                </w:tcPr>
                <w:p>
                  <w:pPr>
                    <w:jc w:val="center"/>
                    <w:rPr>
                      <w:rFonts w:ascii="Times New Roman" w:hAnsi="Times New Roman"/>
                      <w:szCs w:val="21"/>
                      <w:u w:val="single"/>
                    </w:rPr>
                  </w:pPr>
                  <w:r>
                    <w:rPr>
                      <w:rFonts w:ascii="Times New Roman" w:hAnsi="Times New Roman"/>
                      <w:u w:val="single"/>
                    </w:rPr>
                    <w:t>0.02487</w:t>
                  </w:r>
                </w:p>
              </w:tc>
              <w:tc>
                <w:tcPr>
                  <w:tcW w:w="1267" w:type="dxa"/>
                  <w:vAlign w:val="center"/>
                </w:tcPr>
                <w:p>
                  <w:pPr>
                    <w:jc w:val="center"/>
                    <w:rPr>
                      <w:rFonts w:ascii="Times New Roman" w:hAnsi="Times New Roman"/>
                      <w:szCs w:val="21"/>
                      <w:u w:val="single"/>
                    </w:rPr>
                  </w:pPr>
                  <w:r>
                    <w:rPr>
                      <w:rFonts w:ascii="Times New Roman" w:hAnsi="Times New Roman"/>
                      <w:u w:val="single"/>
                    </w:rPr>
                    <w:t>5.53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1500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0.000348</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0.004766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0.96</w:t>
                  </w:r>
                </w:p>
              </w:tc>
              <w:tc>
                <w:tcPr>
                  <w:tcW w:w="1267" w:type="dxa"/>
                  <w:vAlign w:val="center"/>
                </w:tcPr>
                <w:p>
                  <w:pPr>
                    <w:jc w:val="center"/>
                    <w:rPr>
                      <w:rFonts w:ascii="Times New Roman" w:hAnsi="Times New Roman"/>
                      <w:szCs w:val="21"/>
                      <w:u w:val="single"/>
                    </w:rPr>
                  </w:pPr>
                  <w:r>
                    <w:rPr>
                      <w:rFonts w:ascii="Times New Roman" w:hAnsi="Times New Roman"/>
                      <w:u w:val="single"/>
                    </w:rPr>
                    <w:t>0.02227</w:t>
                  </w:r>
                </w:p>
              </w:tc>
              <w:tc>
                <w:tcPr>
                  <w:tcW w:w="1267" w:type="dxa"/>
                  <w:vAlign w:val="center"/>
                </w:tcPr>
                <w:p>
                  <w:pPr>
                    <w:jc w:val="center"/>
                    <w:rPr>
                      <w:rFonts w:ascii="Times New Roman" w:hAnsi="Times New Roman"/>
                      <w:szCs w:val="21"/>
                      <w:u w:val="single"/>
                    </w:rPr>
                  </w:pPr>
                  <w:r>
                    <w:rPr>
                      <w:rFonts w:ascii="Times New Roman" w:hAnsi="Times New Roman"/>
                      <w:u w:val="single"/>
                    </w:rPr>
                    <w:t>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1600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0.000346</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0.004736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0.02126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1700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0.000342</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0.004676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0.02098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1800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0.000336</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0.004596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0.02062</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1900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0.00033</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0.004498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0.9</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0.02018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2000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0.000322</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0.00439</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0.88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0.019704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2100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0.000312</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0.004276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0.86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0.019186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2200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0.000304</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0.004156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0.84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0.018648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3.86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2300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0.000296</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0.004034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0.018104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3.77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2400</w:t>
                  </w:r>
                </w:p>
              </w:tc>
              <w:tc>
                <w:tcPr>
                  <w:tcW w:w="1211"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0.000286</w:t>
                  </w:r>
                </w:p>
              </w:tc>
              <w:tc>
                <w:tcPr>
                  <w:tcW w:w="1267" w:type="dxa"/>
                  <w:vAlign w:val="center"/>
                </w:tcPr>
                <w:p>
                  <w:pPr>
                    <w:jc w:val="center"/>
                    <w:rPr>
                      <w:rFonts w:ascii="Times New Roman" w:hAnsi="Times New Roman"/>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0.003914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0.78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0.017564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3.62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68"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2500</w:t>
                  </w:r>
                </w:p>
              </w:tc>
              <w:tc>
                <w:tcPr>
                  <w:tcW w:w="1211"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0.000278</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0.003796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0.76</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0.017034</w:t>
                  </w:r>
                </w:p>
              </w:tc>
              <w:tc>
                <w:tcPr>
                  <w:tcW w:w="1267" w:type="dxa"/>
                  <w:vAlign w:val="center"/>
                </w:tcPr>
                <w:p>
                  <w:pPr>
                    <w:jc w:val="center"/>
                    <w:rPr>
                      <w:rFonts w:ascii="Times New Roman" w:hAnsi="Times New Roman"/>
                      <w:szCs w:val="21"/>
                      <w:u w:val="single"/>
                    </w:rPr>
                  </w:pPr>
                  <w:r>
                    <w:rPr>
                      <w:rFonts w:ascii="Times New Roman" w:hAnsi="Times New Roman"/>
                      <w:color w:val="000000" w:themeColor="text1"/>
                      <w:szCs w:val="21"/>
                      <w:u w:val="single"/>
                      <w14:textFill>
                        <w14:solidFill>
                          <w14:schemeClr w14:val="tx1"/>
                        </w14:solidFill>
                      </w14:textFill>
                    </w:rPr>
                    <w:t>3.49</w:t>
                  </w:r>
                </w:p>
              </w:tc>
            </w:tr>
          </w:tbl>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p>
          <w:p>
            <w:pPr>
              <w:overflowPunct w:val="0"/>
              <w:spacing w:line="360" w:lineRule="auto"/>
              <w:jc w:val="center"/>
              <w:rPr>
                <w:rFonts w:ascii="Times New Roman"/>
                <w:b/>
                <w:bCs/>
                <w:sz w:val="24"/>
                <w:u w:val="single"/>
              </w:rPr>
            </w:pPr>
            <w:r>
              <w:rPr>
                <w:rFonts w:hint="eastAsia" w:ascii="Times New Roman"/>
                <w:b/>
                <w:bCs/>
                <w:sz w:val="24"/>
                <w:u w:val="single"/>
              </w:rPr>
              <w:t>表</w:t>
            </w:r>
            <w:r>
              <w:rPr>
                <w:rFonts w:ascii="Times New Roman"/>
                <w:b/>
                <w:bCs/>
                <w:sz w:val="24"/>
                <w:u w:val="single"/>
              </w:rPr>
              <w:t>6-1</w:t>
            </w:r>
            <w:r>
              <w:rPr>
                <w:rFonts w:hint="eastAsia" w:ascii="Times New Roman"/>
                <w:b/>
                <w:bCs/>
                <w:sz w:val="24"/>
                <w:u w:val="single"/>
              </w:rPr>
              <w:t xml:space="preserve">0 </w:t>
            </w:r>
            <w:r>
              <w:rPr>
                <w:rFonts w:ascii="Times New Roman"/>
                <w:b/>
                <w:bCs/>
                <w:sz w:val="24"/>
                <w:u w:val="single"/>
              </w:rPr>
              <w:t xml:space="preserve"> </w:t>
            </w:r>
            <w:r>
              <w:rPr>
                <w:rFonts w:hint="eastAsia" w:ascii="Times New Roman"/>
                <w:b/>
                <w:bCs/>
                <w:sz w:val="24"/>
                <w:u w:val="single"/>
              </w:rPr>
              <w:t>面源估算模型计算结果表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062"/>
              <w:gridCol w:w="2919"/>
              <w:gridCol w:w="3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985" w:type="dxa"/>
                  <w:vMerge w:val="restart"/>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下风向距离（</w:t>
                  </w:r>
                  <w:r>
                    <w:rPr>
                      <w:rFonts w:ascii="Times New Roman" w:hAnsi="Times New Roman"/>
                      <w:b/>
                      <w:bCs/>
                      <w:kern w:val="2"/>
                      <w:sz w:val="21"/>
                      <w:szCs w:val="21"/>
                      <w:u w:val="single"/>
                    </w:rPr>
                    <w:t>m</w:t>
                  </w:r>
                  <w:r>
                    <w:rPr>
                      <w:rFonts w:hint="eastAsia" w:ascii="Times New Roman" w:hAnsi="Times New Roman"/>
                      <w:b/>
                      <w:bCs/>
                      <w:kern w:val="2"/>
                      <w:sz w:val="21"/>
                      <w:szCs w:val="21"/>
                      <w:u w:val="single"/>
                    </w:rPr>
                    <w:t>）</w:t>
                  </w:r>
                </w:p>
              </w:tc>
              <w:tc>
                <w:tcPr>
                  <w:tcW w:w="5829" w:type="dxa"/>
                  <w:gridSpan w:val="2"/>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矩形面源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Merge w:val="continue"/>
                  <w:vAlign w:val="center"/>
                </w:tcPr>
                <w:p>
                  <w:pPr>
                    <w:widowControl/>
                    <w:jc w:val="left"/>
                    <w:rPr>
                      <w:rFonts w:ascii="Times New Roman" w:hAnsi="Times New Roman"/>
                      <w:b/>
                      <w:bCs/>
                      <w:szCs w:val="21"/>
                      <w:u w:val="single"/>
                    </w:rPr>
                  </w:pPr>
                </w:p>
              </w:tc>
              <w:tc>
                <w:tcPr>
                  <w:tcW w:w="2846" w:type="dxa"/>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Cij</w:t>
                  </w:r>
                  <w:r>
                    <w:rPr>
                      <w:rFonts w:ascii="Times New Roman" w:hAnsi="Times New Roman"/>
                      <w:b/>
                      <w:bCs/>
                      <w:kern w:val="2"/>
                      <w:sz w:val="21"/>
                      <w:szCs w:val="21"/>
                      <w:u w:val="single"/>
                    </w:rPr>
                    <w:t>(μg/m</w:t>
                  </w:r>
                  <w:r>
                    <w:rPr>
                      <w:rFonts w:ascii="Times New Roman" w:hAnsi="Times New Roman"/>
                      <w:b/>
                      <w:bCs/>
                      <w:kern w:val="2"/>
                      <w:sz w:val="21"/>
                      <w:szCs w:val="21"/>
                      <w:u w:val="single"/>
                      <w:vertAlign w:val="superscript"/>
                    </w:rPr>
                    <w:t>3</w:t>
                  </w:r>
                  <w:r>
                    <w:rPr>
                      <w:rFonts w:ascii="Times New Roman" w:hAnsi="Times New Roman"/>
                      <w:b/>
                      <w:bCs/>
                      <w:kern w:val="2"/>
                      <w:sz w:val="21"/>
                      <w:szCs w:val="21"/>
                      <w:u w:val="single"/>
                    </w:rPr>
                    <w:t>)</w:t>
                  </w:r>
                </w:p>
              </w:tc>
              <w:tc>
                <w:tcPr>
                  <w:tcW w:w="2983" w:type="dxa"/>
                  <w:tcMar>
                    <w:top w:w="0" w:type="dxa"/>
                    <w:left w:w="0" w:type="dxa"/>
                    <w:bottom w:w="0" w:type="dxa"/>
                    <w:right w:w="0" w:type="dxa"/>
                  </w:tcMar>
                  <w:vAlign w:val="center"/>
                </w:tcPr>
                <w:p>
                  <w:pPr>
                    <w:pStyle w:val="68"/>
                    <w:spacing w:line="240" w:lineRule="auto"/>
                    <w:ind w:firstLine="0" w:firstLineChars="0"/>
                    <w:jc w:val="center"/>
                    <w:rPr>
                      <w:rFonts w:ascii="Times New Roman" w:hAnsi="Times New Roman"/>
                      <w:b/>
                      <w:bCs/>
                      <w:kern w:val="2"/>
                      <w:sz w:val="21"/>
                      <w:szCs w:val="21"/>
                      <w:u w:val="single"/>
                    </w:rPr>
                  </w:pPr>
                  <w:r>
                    <w:rPr>
                      <w:rFonts w:hint="eastAsia" w:ascii="Times New Roman" w:hAnsi="Times New Roman"/>
                      <w:b/>
                      <w:bCs/>
                      <w:kern w:val="2"/>
                      <w:sz w:val="21"/>
                      <w:szCs w:val="21"/>
                      <w:u w:val="single"/>
                    </w:rPr>
                    <w:t>Pij（</w:t>
                  </w:r>
                  <w:r>
                    <w:rPr>
                      <w:rFonts w:ascii="Times New Roman" w:hAnsi="Times New Roman"/>
                      <w:b/>
                      <w:kern w:val="2"/>
                      <w:sz w:val="21"/>
                      <w:szCs w:val="21"/>
                      <w:u w:val="single"/>
                    </w:rPr>
                    <w:t>%</w:t>
                  </w:r>
                  <w:r>
                    <w:rPr>
                      <w:rFonts w:hint="eastAsia" w:ascii="Times New Roman" w:hAnsi="Times New Roman"/>
                      <w:b/>
                      <w:bCs/>
                      <w:kern w:val="2"/>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100</w:t>
                  </w:r>
                </w:p>
              </w:tc>
              <w:tc>
                <w:tcPr>
                  <w:tcW w:w="2846" w:type="dxa"/>
                  <w:vAlign w:val="center"/>
                </w:tcPr>
                <w:p>
                  <w:pPr>
                    <w:jc w:val="center"/>
                    <w:rPr>
                      <w:rFonts w:ascii="Times New Roman" w:hAnsi="Times New Roman" w:eastAsiaTheme="minorEastAsia"/>
                      <w:b/>
                      <w:bCs/>
                      <w:u w:val="single"/>
                    </w:rPr>
                  </w:pPr>
                  <w:r>
                    <w:rPr>
                      <w:rFonts w:ascii="Times New Roman" w:hAnsi="Times New Roman"/>
                      <w:szCs w:val="21"/>
                      <w:u w:val="single"/>
                    </w:rPr>
                    <w:t>1.20</w:t>
                  </w:r>
                </w:p>
              </w:tc>
              <w:tc>
                <w:tcPr>
                  <w:tcW w:w="2983" w:type="dxa"/>
                  <w:vAlign w:val="center"/>
                </w:tcPr>
                <w:p>
                  <w:pPr>
                    <w:jc w:val="center"/>
                    <w:rPr>
                      <w:rFonts w:ascii="Times New Roman" w:hAnsi="Times New Roman" w:eastAsiaTheme="minorEastAsia"/>
                      <w:b/>
                      <w:bCs/>
                      <w:u w:val="single"/>
                    </w:rPr>
                  </w:pPr>
                  <w:r>
                    <w:rPr>
                      <w:rFonts w:ascii="Times New Roman" w:hAnsi="Times New Roman"/>
                      <w:szCs w:val="21"/>
                      <w:u w:val="single"/>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bCs/>
                      <w:u w:val="single"/>
                    </w:rPr>
                  </w:pPr>
                  <w:r>
                    <w:rPr>
                      <w:rFonts w:ascii="Times New Roman" w:hAnsi="Times New Roman"/>
                      <w:szCs w:val="21"/>
                      <w:u w:val="single"/>
                    </w:rPr>
                    <w:t>200</w:t>
                  </w:r>
                </w:p>
              </w:tc>
              <w:tc>
                <w:tcPr>
                  <w:tcW w:w="2846" w:type="dxa"/>
                  <w:vAlign w:val="center"/>
                </w:tcPr>
                <w:p>
                  <w:pPr>
                    <w:jc w:val="center"/>
                    <w:rPr>
                      <w:rFonts w:ascii="Times New Roman" w:hAnsi="Times New Roman" w:eastAsiaTheme="minorEastAsia"/>
                      <w:bCs/>
                      <w:u w:val="single"/>
                    </w:rPr>
                  </w:pPr>
                  <w:r>
                    <w:rPr>
                      <w:rFonts w:ascii="Times New Roman" w:hAnsi="Times New Roman"/>
                      <w:szCs w:val="21"/>
                      <w:u w:val="single"/>
                    </w:rPr>
                    <w:t>1.17</w:t>
                  </w:r>
                </w:p>
              </w:tc>
              <w:tc>
                <w:tcPr>
                  <w:tcW w:w="2983" w:type="dxa"/>
                  <w:vAlign w:val="center"/>
                </w:tcPr>
                <w:p>
                  <w:pPr>
                    <w:jc w:val="center"/>
                    <w:rPr>
                      <w:rFonts w:ascii="Times New Roman" w:hAnsi="Times New Roman" w:eastAsiaTheme="minorEastAsia"/>
                      <w:bCs/>
                      <w:u w:val="single"/>
                    </w:rPr>
                  </w:pPr>
                  <w:r>
                    <w:rPr>
                      <w:rFonts w:ascii="Times New Roman" w:hAnsi="Times New Roman"/>
                      <w:szCs w:val="21"/>
                      <w:u w:val="single"/>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300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1.09</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400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1.08</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500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0.94</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600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0.81</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700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0.69</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b/>
                      <w:bCs/>
                      <w:u w:val="single"/>
                    </w:rPr>
                  </w:pPr>
                  <w:r>
                    <w:rPr>
                      <w:rFonts w:ascii="Times New Roman" w:hAnsi="Times New Roman"/>
                      <w:szCs w:val="21"/>
                      <w:u w:val="single"/>
                    </w:rPr>
                    <w:t>800</w:t>
                  </w:r>
                </w:p>
              </w:tc>
              <w:tc>
                <w:tcPr>
                  <w:tcW w:w="2846" w:type="dxa"/>
                  <w:vAlign w:val="center"/>
                </w:tcPr>
                <w:p>
                  <w:pPr>
                    <w:jc w:val="center"/>
                    <w:rPr>
                      <w:rFonts w:ascii="Times New Roman" w:hAnsi="Times New Roman" w:eastAsiaTheme="minorEastAsia"/>
                      <w:b/>
                      <w:bCs/>
                      <w:u w:val="single"/>
                    </w:rPr>
                  </w:pPr>
                  <w:r>
                    <w:rPr>
                      <w:rFonts w:ascii="Times New Roman" w:hAnsi="Times New Roman"/>
                      <w:szCs w:val="21"/>
                      <w:u w:val="single"/>
                    </w:rPr>
                    <w:t>0.59</w:t>
                  </w:r>
                </w:p>
              </w:tc>
              <w:tc>
                <w:tcPr>
                  <w:tcW w:w="2983" w:type="dxa"/>
                  <w:vAlign w:val="center"/>
                </w:tcPr>
                <w:p>
                  <w:pPr>
                    <w:jc w:val="center"/>
                    <w:rPr>
                      <w:rFonts w:ascii="Times New Roman" w:hAnsi="Times New Roman" w:eastAsiaTheme="minorEastAsia"/>
                      <w:b/>
                      <w:bCs/>
                      <w:u w:val="single"/>
                    </w:rPr>
                  </w:pPr>
                  <w:r>
                    <w:rPr>
                      <w:rFonts w:ascii="Times New Roman" w:hAnsi="Times New Roman"/>
                      <w:szCs w:val="21"/>
                      <w:u w:val="single"/>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900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0.52</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1000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0.44</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eastAsiaTheme="minorEastAsia"/>
                      <w:u w:val="single"/>
                    </w:rPr>
                  </w:pPr>
                  <w:r>
                    <w:rPr>
                      <w:rFonts w:ascii="Times New Roman" w:hAnsi="Times New Roman"/>
                      <w:szCs w:val="21"/>
                      <w:u w:val="single"/>
                    </w:rPr>
                    <w:t>1100</w:t>
                  </w:r>
                </w:p>
              </w:tc>
              <w:tc>
                <w:tcPr>
                  <w:tcW w:w="2846" w:type="dxa"/>
                  <w:vAlign w:val="center"/>
                </w:tcPr>
                <w:p>
                  <w:pPr>
                    <w:jc w:val="center"/>
                    <w:rPr>
                      <w:rFonts w:ascii="Times New Roman" w:hAnsi="Times New Roman" w:eastAsiaTheme="minorEastAsia"/>
                      <w:u w:val="single"/>
                    </w:rPr>
                  </w:pPr>
                  <w:r>
                    <w:rPr>
                      <w:rFonts w:ascii="Times New Roman" w:hAnsi="Times New Roman"/>
                      <w:szCs w:val="21"/>
                      <w:u w:val="single"/>
                    </w:rPr>
                    <w:t>0.40</w:t>
                  </w:r>
                </w:p>
              </w:tc>
              <w:tc>
                <w:tcPr>
                  <w:tcW w:w="2983" w:type="dxa"/>
                  <w:vAlign w:val="center"/>
                </w:tcPr>
                <w:p>
                  <w:pPr>
                    <w:jc w:val="center"/>
                    <w:rPr>
                      <w:rFonts w:ascii="Times New Roman" w:hAnsi="Times New Roman" w:eastAsiaTheme="minorEastAsia"/>
                      <w:u w:val="single"/>
                    </w:rPr>
                  </w:pPr>
                  <w:r>
                    <w:rPr>
                      <w:rFonts w:ascii="Times New Roman" w:hAnsi="Times New Roman"/>
                      <w:szCs w:val="21"/>
                      <w:u w:val="singl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1200</w:t>
                  </w:r>
                </w:p>
              </w:tc>
              <w:tc>
                <w:tcPr>
                  <w:tcW w:w="2846" w:type="dxa"/>
                  <w:vAlign w:val="center"/>
                </w:tcPr>
                <w:p>
                  <w:pPr>
                    <w:jc w:val="center"/>
                    <w:rPr>
                      <w:rFonts w:ascii="Times New Roman" w:hAnsi="Times New Roman"/>
                      <w:u w:val="single"/>
                    </w:rPr>
                  </w:pPr>
                  <w:r>
                    <w:rPr>
                      <w:rFonts w:ascii="Times New Roman" w:hAnsi="Times New Roman"/>
                      <w:szCs w:val="21"/>
                      <w:u w:val="single"/>
                    </w:rPr>
                    <w:t>0.35</w:t>
                  </w:r>
                </w:p>
              </w:tc>
              <w:tc>
                <w:tcPr>
                  <w:tcW w:w="2983" w:type="dxa"/>
                  <w:vAlign w:val="center"/>
                </w:tcPr>
                <w:p>
                  <w:pPr>
                    <w:jc w:val="center"/>
                    <w:rPr>
                      <w:rFonts w:ascii="Times New Roman" w:hAnsi="Times New Roman"/>
                      <w:u w:val="single"/>
                    </w:rPr>
                  </w:pPr>
                  <w:r>
                    <w:rPr>
                      <w:rFonts w:ascii="Times New Roman" w:hAnsi="Times New Roman"/>
                      <w:szCs w:val="21"/>
                      <w:u w:val="singl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1300</w:t>
                  </w:r>
                </w:p>
              </w:tc>
              <w:tc>
                <w:tcPr>
                  <w:tcW w:w="2846" w:type="dxa"/>
                  <w:vAlign w:val="center"/>
                </w:tcPr>
                <w:p>
                  <w:pPr>
                    <w:jc w:val="center"/>
                    <w:rPr>
                      <w:rFonts w:ascii="Times New Roman" w:hAnsi="Times New Roman"/>
                      <w:u w:val="single"/>
                    </w:rPr>
                  </w:pPr>
                  <w:r>
                    <w:rPr>
                      <w:rFonts w:ascii="Times New Roman" w:hAnsi="Times New Roman"/>
                      <w:szCs w:val="21"/>
                      <w:u w:val="single"/>
                    </w:rPr>
                    <w:t>0.32</w:t>
                  </w:r>
                </w:p>
              </w:tc>
              <w:tc>
                <w:tcPr>
                  <w:tcW w:w="2983" w:type="dxa"/>
                  <w:vAlign w:val="center"/>
                </w:tcPr>
                <w:p>
                  <w:pPr>
                    <w:jc w:val="center"/>
                    <w:rPr>
                      <w:rFonts w:ascii="Times New Roman" w:hAnsi="Times New Roman"/>
                      <w:u w:val="single"/>
                    </w:rPr>
                  </w:pPr>
                  <w:r>
                    <w:rPr>
                      <w:rFonts w:ascii="Times New Roman" w:hAnsi="Times New Roman"/>
                      <w:szCs w:val="21"/>
                      <w:u w:val="singl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1400</w:t>
                  </w:r>
                </w:p>
              </w:tc>
              <w:tc>
                <w:tcPr>
                  <w:tcW w:w="2846" w:type="dxa"/>
                  <w:vAlign w:val="center"/>
                </w:tcPr>
                <w:p>
                  <w:pPr>
                    <w:jc w:val="center"/>
                    <w:rPr>
                      <w:rFonts w:ascii="Times New Roman" w:hAnsi="Times New Roman"/>
                      <w:u w:val="single"/>
                    </w:rPr>
                  </w:pPr>
                  <w:r>
                    <w:rPr>
                      <w:rFonts w:ascii="Times New Roman" w:hAnsi="Times New Roman"/>
                      <w:szCs w:val="21"/>
                      <w:u w:val="single"/>
                    </w:rPr>
                    <w:t>0.30</w:t>
                  </w:r>
                </w:p>
              </w:tc>
              <w:tc>
                <w:tcPr>
                  <w:tcW w:w="2983" w:type="dxa"/>
                  <w:vAlign w:val="center"/>
                </w:tcPr>
                <w:p>
                  <w:pPr>
                    <w:jc w:val="center"/>
                    <w:rPr>
                      <w:rFonts w:ascii="Times New Roman" w:hAnsi="Times New Roman"/>
                      <w:u w:val="single"/>
                    </w:rPr>
                  </w:pPr>
                  <w:r>
                    <w:rPr>
                      <w:rFonts w:ascii="Times New Roman" w:hAnsi="Times New Roman"/>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1500</w:t>
                  </w:r>
                </w:p>
              </w:tc>
              <w:tc>
                <w:tcPr>
                  <w:tcW w:w="2846" w:type="dxa"/>
                  <w:vAlign w:val="center"/>
                </w:tcPr>
                <w:p>
                  <w:pPr>
                    <w:jc w:val="center"/>
                    <w:rPr>
                      <w:rFonts w:ascii="Times New Roman" w:hAnsi="Times New Roman"/>
                      <w:u w:val="single"/>
                    </w:rPr>
                  </w:pPr>
                  <w:r>
                    <w:rPr>
                      <w:rFonts w:ascii="Times New Roman" w:hAnsi="Times New Roman"/>
                      <w:szCs w:val="21"/>
                      <w:u w:val="single"/>
                    </w:rPr>
                    <w:t>0.27</w:t>
                  </w:r>
                </w:p>
              </w:tc>
              <w:tc>
                <w:tcPr>
                  <w:tcW w:w="2983" w:type="dxa"/>
                  <w:vAlign w:val="center"/>
                </w:tcPr>
                <w:p>
                  <w:pPr>
                    <w:jc w:val="center"/>
                    <w:rPr>
                      <w:rFonts w:ascii="Times New Roman" w:hAnsi="Times New Roman"/>
                      <w:u w:val="single"/>
                    </w:rPr>
                  </w:pPr>
                  <w:r>
                    <w:rPr>
                      <w:rFonts w:ascii="Times New Roman" w:hAnsi="Times New Roman"/>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1600</w:t>
                  </w:r>
                </w:p>
              </w:tc>
              <w:tc>
                <w:tcPr>
                  <w:tcW w:w="2846" w:type="dxa"/>
                  <w:vAlign w:val="center"/>
                </w:tcPr>
                <w:p>
                  <w:pPr>
                    <w:jc w:val="center"/>
                    <w:rPr>
                      <w:rFonts w:ascii="Times New Roman" w:hAnsi="Times New Roman"/>
                      <w:u w:val="single"/>
                    </w:rPr>
                  </w:pPr>
                  <w:r>
                    <w:rPr>
                      <w:rFonts w:ascii="Times New Roman" w:hAnsi="Times New Roman"/>
                      <w:szCs w:val="21"/>
                      <w:u w:val="single"/>
                    </w:rPr>
                    <w:t>0.24</w:t>
                  </w:r>
                </w:p>
              </w:tc>
              <w:tc>
                <w:tcPr>
                  <w:tcW w:w="2983" w:type="dxa"/>
                  <w:vAlign w:val="center"/>
                </w:tcPr>
                <w:p>
                  <w:pPr>
                    <w:jc w:val="center"/>
                    <w:rPr>
                      <w:rFonts w:ascii="Times New Roman" w:hAnsi="Times New Roman"/>
                      <w:u w:val="single"/>
                    </w:rPr>
                  </w:pPr>
                  <w:r>
                    <w:rPr>
                      <w:rFonts w:ascii="Times New Roman" w:hAnsi="Times New Roman"/>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1700</w:t>
                  </w:r>
                </w:p>
              </w:tc>
              <w:tc>
                <w:tcPr>
                  <w:tcW w:w="2846" w:type="dxa"/>
                  <w:vAlign w:val="center"/>
                </w:tcPr>
                <w:p>
                  <w:pPr>
                    <w:jc w:val="center"/>
                    <w:rPr>
                      <w:rFonts w:ascii="Times New Roman" w:hAnsi="Times New Roman"/>
                      <w:u w:val="single"/>
                    </w:rPr>
                  </w:pPr>
                  <w:r>
                    <w:rPr>
                      <w:rFonts w:ascii="Times New Roman" w:hAnsi="Times New Roman"/>
                      <w:szCs w:val="21"/>
                      <w:u w:val="single"/>
                    </w:rPr>
                    <w:t>0.22</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1800</w:t>
                  </w:r>
                </w:p>
              </w:tc>
              <w:tc>
                <w:tcPr>
                  <w:tcW w:w="2846" w:type="dxa"/>
                  <w:vAlign w:val="center"/>
                </w:tcPr>
                <w:p>
                  <w:pPr>
                    <w:jc w:val="center"/>
                    <w:rPr>
                      <w:rFonts w:ascii="Times New Roman" w:hAnsi="Times New Roman"/>
                      <w:u w:val="single"/>
                    </w:rPr>
                  </w:pPr>
                  <w:r>
                    <w:rPr>
                      <w:rFonts w:ascii="Times New Roman" w:hAnsi="Times New Roman"/>
                      <w:szCs w:val="21"/>
                      <w:u w:val="single"/>
                    </w:rPr>
                    <w:t>0.21</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1900</w:t>
                  </w:r>
                </w:p>
              </w:tc>
              <w:tc>
                <w:tcPr>
                  <w:tcW w:w="2846" w:type="dxa"/>
                  <w:vAlign w:val="center"/>
                </w:tcPr>
                <w:p>
                  <w:pPr>
                    <w:jc w:val="center"/>
                    <w:rPr>
                      <w:rFonts w:ascii="Times New Roman" w:hAnsi="Times New Roman"/>
                      <w:u w:val="single"/>
                    </w:rPr>
                  </w:pPr>
                  <w:r>
                    <w:rPr>
                      <w:rFonts w:ascii="Times New Roman" w:hAnsi="Times New Roman"/>
                      <w:szCs w:val="21"/>
                      <w:u w:val="single"/>
                    </w:rPr>
                    <w:t>0.19</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2000</w:t>
                  </w:r>
                </w:p>
              </w:tc>
              <w:tc>
                <w:tcPr>
                  <w:tcW w:w="2846" w:type="dxa"/>
                  <w:vAlign w:val="center"/>
                </w:tcPr>
                <w:p>
                  <w:pPr>
                    <w:jc w:val="center"/>
                    <w:rPr>
                      <w:rFonts w:ascii="Times New Roman" w:hAnsi="Times New Roman"/>
                      <w:u w:val="single"/>
                    </w:rPr>
                  </w:pPr>
                  <w:r>
                    <w:rPr>
                      <w:rFonts w:ascii="Times New Roman" w:hAnsi="Times New Roman"/>
                      <w:szCs w:val="21"/>
                      <w:u w:val="single"/>
                    </w:rPr>
                    <w:t>0.18</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2100</w:t>
                  </w:r>
                </w:p>
              </w:tc>
              <w:tc>
                <w:tcPr>
                  <w:tcW w:w="2846" w:type="dxa"/>
                  <w:vAlign w:val="center"/>
                </w:tcPr>
                <w:p>
                  <w:pPr>
                    <w:jc w:val="center"/>
                    <w:rPr>
                      <w:rFonts w:ascii="Times New Roman" w:hAnsi="Times New Roman"/>
                      <w:u w:val="single"/>
                    </w:rPr>
                  </w:pPr>
                  <w:r>
                    <w:rPr>
                      <w:rFonts w:ascii="Times New Roman" w:hAnsi="Times New Roman"/>
                      <w:szCs w:val="21"/>
                      <w:u w:val="single"/>
                    </w:rPr>
                    <w:t>0.16</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2200</w:t>
                  </w:r>
                </w:p>
              </w:tc>
              <w:tc>
                <w:tcPr>
                  <w:tcW w:w="2846" w:type="dxa"/>
                  <w:vAlign w:val="center"/>
                </w:tcPr>
                <w:p>
                  <w:pPr>
                    <w:jc w:val="center"/>
                    <w:rPr>
                      <w:rFonts w:ascii="Times New Roman" w:hAnsi="Times New Roman"/>
                      <w:u w:val="single"/>
                    </w:rPr>
                  </w:pPr>
                  <w:r>
                    <w:rPr>
                      <w:rFonts w:ascii="Times New Roman" w:hAnsi="Times New Roman"/>
                      <w:szCs w:val="21"/>
                      <w:u w:val="single"/>
                    </w:rPr>
                    <w:t>0.15</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2300</w:t>
                  </w:r>
                </w:p>
              </w:tc>
              <w:tc>
                <w:tcPr>
                  <w:tcW w:w="2846" w:type="dxa"/>
                  <w:vAlign w:val="center"/>
                </w:tcPr>
                <w:p>
                  <w:pPr>
                    <w:jc w:val="center"/>
                    <w:rPr>
                      <w:rFonts w:ascii="Times New Roman" w:hAnsi="Times New Roman"/>
                      <w:u w:val="single"/>
                    </w:rPr>
                  </w:pPr>
                  <w:r>
                    <w:rPr>
                      <w:rFonts w:ascii="Times New Roman" w:hAnsi="Times New Roman"/>
                      <w:szCs w:val="21"/>
                      <w:u w:val="single"/>
                    </w:rPr>
                    <w:t>0.15</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2400</w:t>
                  </w:r>
                </w:p>
              </w:tc>
              <w:tc>
                <w:tcPr>
                  <w:tcW w:w="2846" w:type="dxa"/>
                  <w:vAlign w:val="center"/>
                </w:tcPr>
                <w:p>
                  <w:pPr>
                    <w:jc w:val="center"/>
                    <w:rPr>
                      <w:rFonts w:ascii="Times New Roman" w:hAnsi="Times New Roman"/>
                      <w:u w:val="single"/>
                    </w:rPr>
                  </w:pPr>
                  <w:r>
                    <w:rPr>
                      <w:rFonts w:ascii="Times New Roman" w:hAnsi="Times New Roman"/>
                      <w:szCs w:val="21"/>
                      <w:u w:val="single"/>
                    </w:rPr>
                    <w:t>0.13</w:t>
                  </w:r>
                </w:p>
              </w:tc>
              <w:tc>
                <w:tcPr>
                  <w:tcW w:w="2983" w:type="dxa"/>
                  <w:vAlign w:val="center"/>
                </w:tcPr>
                <w:p>
                  <w:pPr>
                    <w:jc w:val="center"/>
                    <w:rPr>
                      <w:rFonts w:ascii="Times New Roman" w:hAnsi="Times New Roman"/>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985" w:type="dxa"/>
                  <w:vAlign w:val="center"/>
                </w:tcPr>
                <w:p>
                  <w:pPr>
                    <w:jc w:val="center"/>
                    <w:rPr>
                      <w:rFonts w:ascii="Times New Roman" w:hAnsi="Times New Roman"/>
                      <w:u w:val="single"/>
                    </w:rPr>
                  </w:pPr>
                  <w:r>
                    <w:rPr>
                      <w:rFonts w:ascii="Times New Roman" w:hAnsi="Times New Roman"/>
                      <w:szCs w:val="21"/>
                      <w:u w:val="single"/>
                    </w:rPr>
                    <w:t>2500</w:t>
                  </w:r>
                </w:p>
              </w:tc>
              <w:tc>
                <w:tcPr>
                  <w:tcW w:w="2846" w:type="dxa"/>
                  <w:vAlign w:val="center"/>
                </w:tcPr>
                <w:p>
                  <w:pPr>
                    <w:jc w:val="center"/>
                    <w:rPr>
                      <w:rFonts w:ascii="Times New Roman" w:hAnsi="Times New Roman"/>
                      <w:u w:val="single"/>
                    </w:rPr>
                  </w:pPr>
                  <w:r>
                    <w:rPr>
                      <w:rFonts w:ascii="Times New Roman" w:hAnsi="Times New Roman"/>
                      <w:szCs w:val="21"/>
                      <w:u w:val="single"/>
                    </w:rPr>
                    <w:t>0.13</w:t>
                  </w:r>
                </w:p>
              </w:tc>
              <w:tc>
                <w:tcPr>
                  <w:tcW w:w="2983" w:type="dxa"/>
                  <w:vAlign w:val="center"/>
                </w:tcPr>
                <w:p>
                  <w:pPr>
                    <w:jc w:val="center"/>
                    <w:rPr>
                      <w:rFonts w:ascii="Times New Roman" w:hAnsi="Times New Roman"/>
                      <w:u w:val="single"/>
                    </w:rPr>
                  </w:pPr>
                  <w:r>
                    <w:rPr>
                      <w:rFonts w:ascii="Times New Roman" w:hAnsi="Times New Roman"/>
                      <w:szCs w:val="21"/>
                      <w:u w:val="single"/>
                    </w:rPr>
                    <w:t>0.01</w:t>
                  </w:r>
                </w:p>
              </w:tc>
            </w:tr>
          </w:tbl>
          <w:p>
            <w:pPr>
              <w:overflowPunct w:val="0"/>
              <w:spacing w:line="360" w:lineRule="auto"/>
              <w:ind w:firstLine="480" w:firstLineChars="200"/>
              <w:rPr>
                <w:rFonts w:ascii="Times New Roman" w:hAnsi="Times New Roman"/>
                <w:bCs/>
                <w:kern w:val="10"/>
                <w:sz w:val="24"/>
              </w:rPr>
            </w:pPr>
            <w:r>
              <w:rPr>
                <w:rFonts w:hint="eastAsia" w:ascii="Times New Roman" w:hAnsi="Times New Roman"/>
                <w:bCs/>
                <w:kern w:val="10"/>
                <w:sz w:val="24"/>
                <w:u w:val="single"/>
              </w:rPr>
              <w:t>根据表</w:t>
            </w:r>
            <w:r>
              <w:rPr>
                <w:rFonts w:ascii="Times New Roman" w:hAnsi="Times New Roman"/>
                <w:bCs/>
                <w:kern w:val="10"/>
                <w:sz w:val="24"/>
                <w:u w:val="single"/>
              </w:rPr>
              <w:t>6-4</w:t>
            </w:r>
            <w:r>
              <w:rPr>
                <w:rFonts w:hint="eastAsia" w:ascii="Times New Roman" w:hAnsi="Times New Roman"/>
                <w:bCs/>
                <w:kern w:val="10"/>
                <w:sz w:val="24"/>
                <w:u w:val="single"/>
              </w:rPr>
              <w:t>评价等级判定表，本项目评价等级为二级，不需对项目污染物粉尘进行进一步预测</w:t>
            </w:r>
            <w:r>
              <w:rPr>
                <w:rFonts w:hint="eastAsia" w:ascii="Times New Roman" w:hAnsi="Times New Roman"/>
                <w:bCs/>
                <w:kern w:val="10"/>
                <w:sz w:val="24"/>
              </w:rPr>
              <w:t>。</w:t>
            </w:r>
          </w:p>
          <w:p>
            <w:pPr>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根据工程分析，本项目营运期大气污染源主要为</w:t>
            </w:r>
            <w:r>
              <w:rPr>
                <w:rFonts w:hint="eastAsia" w:ascii="Times New Roman" w:hAnsi="Times New Roman"/>
                <w:kern w:val="10"/>
                <w:sz w:val="24"/>
              </w:rPr>
              <w:t>采装粉尘、装卸及堆放扬尘、运输车辆扬尘、碎石生产破碎筛分粉尘、页岩砖生产破碎搅拌粉尘、窑炉烟气以及食堂油烟废气</w:t>
            </w:r>
            <w:r>
              <w:rPr>
                <w:rFonts w:ascii="Times New Roman" w:hAnsi="Times New Roman"/>
                <w:sz w:val="24"/>
                <w:szCs w:val="24"/>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（1）露天采场粉尘</w:t>
            </w:r>
          </w:p>
          <w:p>
            <w:pPr>
              <w:spacing w:line="360" w:lineRule="auto"/>
              <w:ind w:firstLine="480" w:firstLineChars="200"/>
              <w:textAlignment w:val="baseline"/>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露天采场表土采装、装载、运输过程作业中均会产生粉尘的无组织排放，工程采用定期或不定期在产尘区洒水降尘的措施，抑制粉尘的产生和飞扬，根据工程分析可知，采取洒水抑尘措施后排放量为1.44t/a。</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kern w:val="10"/>
                <w:sz w:val="24"/>
              </w:rPr>
              <w:t>装卸及堆放扬尘</w:t>
            </w:r>
          </w:p>
          <w:p>
            <w:pPr>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产品堆场主要的大气环境影响是粒径较小的砂砾、灰渣在风力作用下起动输送，会对下风向大气环境造成污染。</w:t>
            </w:r>
          </w:p>
          <w:p>
            <w:pPr>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为减少</w:t>
            </w:r>
            <w:r>
              <w:rPr>
                <w:rFonts w:hint="eastAsia" w:ascii="Times New Roman" w:hAnsi="Times New Roman"/>
                <w:color w:val="000000" w:themeColor="text1"/>
                <w:sz w:val="24"/>
                <w:szCs w:val="24"/>
                <w14:textFill>
                  <w14:solidFill>
                    <w14:schemeClr w14:val="tx1"/>
                  </w14:solidFill>
                </w14:textFill>
              </w:rPr>
              <w:t>石料</w:t>
            </w:r>
            <w:r>
              <w:rPr>
                <w:rFonts w:ascii="Times New Roman" w:hAnsi="Times New Roman"/>
                <w:color w:val="000000" w:themeColor="text1"/>
                <w:sz w:val="24"/>
                <w:szCs w:val="24"/>
                <w14:textFill>
                  <w14:solidFill>
                    <w14:schemeClr w14:val="tx1"/>
                  </w14:solidFill>
                </w14:textFill>
              </w:rPr>
              <w:t>料场因大风天气造成严重的风力扬尘污染空气环境，建议建设单位采取如下措施：</w:t>
            </w:r>
          </w:p>
          <w:p>
            <w:pPr>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1 \* GB3 \* MERGEFORMAT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①</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产品堆场要按照规范加盖防尘网；</w:t>
            </w:r>
          </w:p>
          <w:p>
            <w:pPr>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2 \* GB3 \* MERGEFORMAT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②</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堆场内设置喷洒水设施，定期对</w:t>
            </w:r>
            <w:r>
              <w:rPr>
                <w:rFonts w:hint="eastAsia" w:ascii="Times New Roman" w:hAnsi="Times New Roman"/>
                <w:color w:val="000000" w:themeColor="text1"/>
                <w:sz w:val="24"/>
                <w:szCs w:val="24"/>
                <w14:textFill>
                  <w14:solidFill>
                    <w14:schemeClr w14:val="tx1"/>
                  </w14:solidFill>
                </w14:textFill>
              </w:rPr>
              <w:t>碎石</w:t>
            </w:r>
            <w:r>
              <w:rPr>
                <w:rFonts w:ascii="Times New Roman" w:hAnsi="Times New Roman"/>
                <w:color w:val="000000" w:themeColor="text1"/>
                <w:sz w:val="24"/>
                <w:szCs w:val="24"/>
                <w14:textFill>
                  <w14:solidFill>
                    <w14:schemeClr w14:val="tx1"/>
                  </w14:solidFill>
                </w14:textFill>
              </w:rPr>
              <w:t>堆表层洒水，使物料表层含水率达到10%以上，以保证</w:t>
            </w:r>
            <w:r>
              <w:rPr>
                <w:rFonts w:hint="eastAsia" w:ascii="Times New Roman" w:hAnsi="Times New Roman"/>
                <w:color w:val="000000" w:themeColor="text1"/>
                <w:sz w:val="24"/>
                <w:szCs w:val="24"/>
                <w14:textFill>
                  <w14:solidFill>
                    <w14:schemeClr w14:val="tx1"/>
                  </w14:solidFill>
                </w14:textFill>
              </w:rPr>
              <w:t>碎石</w:t>
            </w:r>
            <w:r>
              <w:rPr>
                <w:rFonts w:ascii="Times New Roman" w:hAnsi="Times New Roman"/>
                <w:color w:val="000000" w:themeColor="text1"/>
                <w:sz w:val="24"/>
                <w:szCs w:val="24"/>
                <w14:textFill>
                  <w14:solidFill>
                    <w14:schemeClr w14:val="tx1"/>
                  </w14:solidFill>
                </w14:textFill>
              </w:rPr>
              <w:t>堆面层湿润，减少风力起尘；</w:t>
            </w:r>
          </w:p>
          <w:p>
            <w:pPr>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3 \* GB3 \* MERGEFORMAT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③</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转运装卸物料时进行洒水抑尘，同时在大风天气不进行装卸作业。</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在采取上述措施后，</w:t>
            </w:r>
            <w:r>
              <w:rPr>
                <w:rFonts w:hint="eastAsia" w:ascii="Times New Roman" w:hAnsi="Times New Roman"/>
                <w:color w:val="000000" w:themeColor="text1"/>
                <w:sz w:val="24"/>
                <w:szCs w:val="24"/>
                <w14:textFill>
                  <w14:solidFill>
                    <w14:schemeClr w14:val="tx1"/>
                  </w14:solidFill>
                </w14:textFill>
              </w:rPr>
              <w:t>碎石</w:t>
            </w:r>
            <w:r>
              <w:rPr>
                <w:rFonts w:ascii="Times New Roman" w:hAnsi="Times New Roman"/>
                <w:color w:val="000000" w:themeColor="text1"/>
                <w:sz w:val="24"/>
                <w:szCs w:val="24"/>
                <w14:textFill>
                  <w14:solidFill>
                    <w14:schemeClr w14:val="tx1"/>
                  </w14:solidFill>
                </w14:textFill>
              </w:rPr>
              <w:t>产品堆场的总扬尘量大大降低，堆场无组织粉尘排放量约0.73t/a。</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kern w:val="10"/>
                <w:sz w:val="24"/>
              </w:rPr>
              <w:t>运输车辆扬尘</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车辆行驶产生的扬尘，在道路完全干燥的情况下会对下风向大气环境造成污染。主要采取的措施为硬化场区道路，对场区道路地面进行定期洒水，以减少道路扬尘，对机动车运输过程严加防范，以防洒落，运输车辆必须采用篷布覆盖，对汽车行驶路面勤洒水，可使空气中的扬尘量减少85%左右，收到很好的降尘效果。</w:t>
            </w:r>
          </w:p>
          <w:p>
            <w:pPr>
              <w:spacing w:line="360" w:lineRule="auto"/>
              <w:ind w:firstLine="480" w:firstLineChars="200"/>
              <w:rPr>
                <w:rFonts w:ascii="Times New Roman" w:hAnsi="Times New Roman"/>
                <w:kern w:val="24"/>
                <w:sz w:val="24"/>
              </w:rPr>
            </w:pPr>
            <w:r>
              <w:rPr>
                <w:rFonts w:hint="eastAsia" w:ascii="Times New Roman" w:hAnsi="Times New Roman"/>
                <w:color w:val="000000" w:themeColor="text1"/>
                <w:kern w:val="24"/>
                <w:sz w:val="24"/>
                <w:szCs w:val="24"/>
                <w14:textFill>
                  <w14:solidFill>
                    <w14:schemeClr w14:val="tx1"/>
                  </w14:solidFill>
                </w14:textFill>
              </w:rPr>
              <w:t>（</w:t>
            </w:r>
            <w:r>
              <w:rPr>
                <w:rFonts w:ascii="Times New Roman" w:hAnsi="Times New Roman"/>
                <w:color w:val="000000" w:themeColor="text1"/>
                <w:kern w:val="24"/>
                <w:sz w:val="24"/>
                <w:szCs w:val="24"/>
                <w14:textFill>
                  <w14:solidFill>
                    <w14:schemeClr w14:val="tx1"/>
                  </w14:solidFill>
                </w14:textFill>
              </w:rPr>
              <w:t>4</w:t>
            </w:r>
            <w:r>
              <w:rPr>
                <w:rFonts w:hint="eastAsia" w:ascii="Times New Roman" w:hAnsi="Times New Roman"/>
                <w:color w:val="000000" w:themeColor="text1"/>
                <w:kern w:val="24"/>
                <w:sz w:val="24"/>
                <w:szCs w:val="24"/>
                <w14:textFill>
                  <w14:solidFill>
                    <w14:schemeClr w14:val="tx1"/>
                  </w14:solidFill>
                </w14:textFill>
              </w:rPr>
              <w:t>）</w:t>
            </w:r>
            <w:r>
              <w:rPr>
                <w:rFonts w:hint="eastAsia" w:ascii="Times New Roman" w:hAnsi="Times New Roman"/>
                <w:kern w:val="10"/>
                <w:sz w:val="24"/>
              </w:rPr>
              <w:t>碎石生产破碎筛分粉尘</w:t>
            </w:r>
          </w:p>
          <w:p>
            <w:pPr>
              <w:spacing w:line="360" w:lineRule="auto"/>
              <w:ind w:firstLine="480" w:firstLineChars="200"/>
              <w:rPr>
                <w:rFonts w:ascii="Times New Roman" w:hAnsi="Times New Roman"/>
                <w:kern w:val="24"/>
                <w:sz w:val="24"/>
                <w:szCs w:val="24"/>
              </w:rPr>
            </w:pPr>
            <w:r>
              <w:rPr>
                <w:rFonts w:ascii="Times New Roman" w:hAnsi="Times New Roman"/>
                <w:color w:val="000000" w:themeColor="text1"/>
                <w:kern w:val="24"/>
                <w:sz w:val="24"/>
                <w:szCs w:val="24"/>
                <w14:textFill>
                  <w14:solidFill>
                    <w14:schemeClr w14:val="tx1"/>
                  </w14:solidFill>
                </w14:textFill>
              </w:rPr>
              <w:t>项目加工粉尘主要来自破碎、筛分等工序。根据经验系数，石料生产过程中无控制措施情况下：破碎过程中粉尘产生量约为总破碎量的0</w:t>
            </w:r>
            <w:r>
              <w:rPr>
                <w:rFonts w:hint="eastAsia" w:ascii="Times New Roman" w:hAnsi="Times New Roman"/>
                <w:color w:val="000000" w:themeColor="text1"/>
                <w:kern w:val="24"/>
                <w:sz w:val="24"/>
                <w:szCs w:val="24"/>
                <w14:textFill>
                  <w14:solidFill>
                    <w14:schemeClr w14:val="tx1"/>
                  </w14:solidFill>
                </w14:textFill>
              </w:rPr>
              <w:t>.</w:t>
            </w:r>
            <w:r>
              <w:rPr>
                <w:rFonts w:ascii="Times New Roman" w:hAnsi="Times New Roman"/>
                <w:color w:val="000000" w:themeColor="text1"/>
                <w:kern w:val="24"/>
                <w:sz w:val="24"/>
                <w:szCs w:val="24"/>
                <w14:textFill>
                  <w14:solidFill>
                    <w14:schemeClr w14:val="tx1"/>
                  </w14:solidFill>
                </w14:textFill>
              </w:rPr>
              <w:t>006%，本项目原料为10万t/a</w:t>
            </w:r>
            <w:r>
              <w:rPr>
                <w:rFonts w:ascii="Times New Roman" w:hAnsi="Times New Roman"/>
                <w:kern w:val="24"/>
                <w:sz w:val="24"/>
                <w:szCs w:val="24"/>
              </w:rPr>
              <w:t>，则粉尘产生量约6t/a。</w:t>
            </w:r>
          </w:p>
          <w:p>
            <w:pPr>
              <w:spacing w:line="360" w:lineRule="auto"/>
              <w:ind w:firstLine="480" w:firstLineChars="200"/>
              <w:rPr>
                <w:rFonts w:ascii="Times New Roman" w:hAnsi="Times New Roman"/>
                <w:kern w:val="24"/>
                <w:sz w:val="24"/>
                <w:szCs w:val="24"/>
              </w:rPr>
            </w:pPr>
            <w:r>
              <w:rPr>
                <w:rFonts w:ascii="Times New Roman" w:hAnsi="Times New Roman"/>
                <w:sz w:val="24"/>
              </w:rPr>
              <w:t>破碎、筛分粉尘采用</w:t>
            </w:r>
            <w:r>
              <w:rPr>
                <w:rFonts w:hint="eastAsia" w:ascii="Times New Roman" w:hAnsi="Times New Roman"/>
                <w:sz w:val="24"/>
              </w:rPr>
              <w:t>水雾喷淋装置降尘对</w:t>
            </w:r>
            <w:r>
              <w:rPr>
                <w:rFonts w:ascii="Times New Roman" w:hAnsi="Times New Roman"/>
                <w:sz w:val="24"/>
              </w:rPr>
              <w:t>粉尘</w:t>
            </w:r>
            <w:r>
              <w:rPr>
                <w:rFonts w:hint="eastAsia" w:ascii="Times New Roman" w:hAnsi="Times New Roman"/>
                <w:sz w:val="24"/>
              </w:rPr>
              <w:t>进行</w:t>
            </w:r>
            <w:r>
              <w:rPr>
                <w:rFonts w:ascii="Times New Roman" w:hAnsi="Times New Roman"/>
                <w:sz w:val="24"/>
              </w:rPr>
              <w:t>控制</w:t>
            </w:r>
            <w:r>
              <w:rPr>
                <w:rFonts w:hint="eastAsia" w:ascii="Times New Roman" w:hAnsi="Times New Roman"/>
                <w:sz w:val="24"/>
              </w:rPr>
              <w:t>，</w:t>
            </w:r>
            <w:r>
              <w:rPr>
                <w:rFonts w:ascii="Times New Roman" w:hAnsi="Times New Roman"/>
                <w:bCs/>
                <w:sz w:val="24"/>
              </w:rPr>
              <w:t>经</w:t>
            </w:r>
            <w:r>
              <w:rPr>
                <w:rFonts w:hint="eastAsia" w:ascii="Times New Roman" w:hAnsi="Times New Roman"/>
                <w:sz w:val="24"/>
              </w:rPr>
              <w:t>水雾喷淋装置降尘</w:t>
            </w:r>
            <w:r>
              <w:rPr>
                <w:rFonts w:ascii="Times New Roman" w:hAnsi="Times New Roman"/>
                <w:sz w:val="24"/>
              </w:rPr>
              <w:t>处理后，除尘效率为9</w:t>
            </w:r>
            <w:r>
              <w:rPr>
                <w:rFonts w:hint="eastAsia" w:ascii="Times New Roman" w:hAnsi="Times New Roman"/>
                <w:sz w:val="24"/>
              </w:rPr>
              <w:t>0</w:t>
            </w:r>
            <w:r>
              <w:rPr>
                <w:rFonts w:ascii="Times New Roman" w:hAnsi="Times New Roman"/>
                <w:sz w:val="24"/>
              </w:rPr>
              <w:t>%，废气</w:t>
            </w:r>
            <w:r>
              <w:rPr>
                <w:rFonts w:hint="eastAsia" w:ascii="Times New Roman" w:hAnsi="Times New Roman"/>
                <w:sz w:val="24"/>
              </w:rPr>
              <w:t>无组织</w:t>
            </w:r>
            <w:r>
              <w:rPr>
                <w:rFonts w:ascii="Times New Roman" w:hAnsi="Times New Roman"/>
                <w:sz w:val="24"/>
              </w:rPr>
              <w:t>外排，则</w:t>
            </w:r>
            <w:r>
              <w:rPr>
                <w:rFonts w:hint="eastAsia" w:ascii="Times New Roman" w:hAnsi="Times New Roman"/>
                <w:kern w:val="10"/>
                <w:sz w:val="24"/>
              </w:rPr>
              <w:t>碎石生产破碎筛分粉尘</w:t>
            </w:r>
            <w:r>
              <w:rPr>
                <w:rFonts w:hint="eastAsia" w:ascii="Times New Roman" w:hAnsi="Times New Roman"/>
                <w:sz w:val="24"/>
              </w:rPr>
              <w:t>无</w:t>
            </w:r>
            <w:r>
              <w:rPr>
                <w:rFonts w:ascii="Times New Roman" w:hAnsi="Times New Roman"/>
                <w:sz w:val="24"/>
              </w:rPr>
              <w:t>组织排放量为0.6t/a。</w:t>
            </w:r>
            <w:r>
              <w:rPr>
                <w:rFonts w:ascii="Times New Roman" w:hAnsi="Times New Roman"/>
                <w:kern w:val="24"/>
                <w:sz w:val="24"/>
                <w:szCs w:val="24"/>
              </w:rPr>
              <w:t>在采取上述措施后，对破碎筛分工序四周</w:t>
            </w:r>
            <w:r>
              <w:rPr>
                <w:rFonts w:hint="eastAsia" w:ascii="Times New Roman" w:hAnsi="Times New Roman"/>
                <w:kern w:val="24"/>
                <w:sz w:val="24"/>
                <w:szCs w:val="24"/>
              </w:rPr>
              <w:t>颗粒物</w:t>
            </w:r>
            <w:r>
              <w:rPr>
                <w:rFonts w:ascii="Times New Roman" w:hAnsi="Times New Roman"/>
                <w:kern w:val="24"/>
                <w:sz w:val="24"/>
                <w:szCs w:val="24"/>
              </w:rPr>
              <w:t>无组织排放大大减少</w:t>
            </w:r>
            <w:r>
              <w:rPr>
                <w:rFonts w:hint="eastAsia" w:ascii="Times New Roman" w:hAnsi="Times New Roman"/>
                <w:kern w:val="24"/>
                <w:sz w:val="24"/>
                <w:szCs w:val="24"/>
              </w:rPr>
              <w:t>，颗粒物</w:t>
            </w:r>
            <w:r>
              <w:rPr>
                <w:rFonts w:ascii="Times New Roman" w:hAnsi="Times New Roman"/>
                <w:kern w:val="24"/>
                <w:sz w:val="24"/>
                <w:szCs w:val="24"/>
              </w:rPr>
              <w:t>《砖瓦工业大气污染物排放标准》（GB29620-2013）</w:t>
            </w:r>
            <w:r>
              <w:rPr>
                <w:rFonts w:hint="eastAsia" w:ascii="Times New Roman" w:hAnsi="Times New Roman"/>
                <w:kern w:val="24"/>
                <w:sz w:val="24"/>
                <w:szCs w:val="24"/>
              </w:rPr>
              <w:t>表3中无组织排放限值标准</w:t>
            </w:r>
            <w:r>
              <w:rPr>
                <w:rFonts w:ascii="Times New Roman" w:hAnsi="Times New Roman"/>
                <w:kern w:val="24"/>
                <w:sz w:val="24"/>
                <w:szCs w:val="24"/>
              </w:rPr>
              <w:t>。则项目破碎、筛分</w:t>
            </w:r>
            <w:r>
              <w:rPr>
                <w:rFonts w:hint="eastAsia" w:ascii="Times New Roman" w:hAnsi="Times New Roman"/>
                <w:kern w:val="24"/>
                <w:sz w:val="24"/>
                <w:szCs w:val="24"/>
              </w:rPr>
              <w:t>颗粒物</w:t>
            </w:r>
            <w:r>
              <w:rPr>
                <w:rFonts w:ascii="Times New Roman" w:hAnsi="Times New Roman"/>
                <w:kern w:val="24"/>
                <w:sz w:val="24"/>
                <w:szCs w:val="24"/>
              </w:rPr>
              <w:t>对项目区域大气环境质量造成影响较小。</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5</w:t>
            </w:r>
            <w:r>
              <w:rPr>
                <w:rFonts w:hint="eastAsia" w:ascii="Times New Roman" w:hAnsi="Times New Roman"/>
                <w:sz w:val="24"/>
                <w:szCs w:val="24"/>
              </w:rPr>
              <w:t>）</w:t>
            </w:r>
            <w:r>
              <w:rPr>
                <w:rFonts w:hint="eastAsia" w:ascii="Times New Roman" w:hAnsi="Times New Roman"/>
                <w:kern w:val="10"/>
                <w:sz w:val="24"/>
              </w:rPr>
              <w:t>页岩砖生产破碎搅拌</w:t>
            </w:r>
            <w:r>
              <w:rPr>
                <w:rFonts w:hint="eastAsia" w:ascii="Times New Roman" w:hAnsi="Times New Roman"/>
                <w:kern w:val="24"/>
                <w:sz w:val="24"/>
                <w:szCs w:val="24"/>
              </w:rPr>
              <w:t>颗粒物</w:t>
            </w:r>
          </w:p>
          <w:p>
            <w:pPr>
              <w:spacing w:line="360" w:lineRule="auto"/>
              <w:ind w:firstLine="480" w:firstLineChars="200"/>
              <w:rPr>
                <w:rFonts w:ascii="Times New Roman" w:hAnsi="Times New Roman"/>
                <w:kern w:val="24"/>
                <w:sz w:val="24"/>
                <w:szCs w:val="24"/>
              </w:rPr>
            </w:pPr>
            <w:r>
              <w:rPr>
                <w:rFonts w:hint="eastAsia" w:ascii="Times New Roman" w:hAnsi="Times New Roman"/>
                <w:color w:val="000000" w:themeColor="text1"/>
                <w:sz w:val="24"/>
                <w:szCs w:val="24"/>
                <w14:textFill>
                  <w14:solidFill>
                    <w14:schemeClr w14:val="tx1"/>
                  </w14:solidFill>
                </w14:textFill>
              </w:rPr>
              <w:t>根据工程分析，</w:t>
            </w:r>
            <w:r>
              <w:rPr>
                <w:rFonts w:ascii="Times New Roman" w:hAnsi="Times New Roman"/>
                <w:color w:val="000000" w:themeColor="text1"/>
                <w:sz w:val="24"/>
                <w:szCs w:val="24"/>
                <w14:textFill>
                  <w14:solidFill>
                    <w14:schemeClr w14:val="tx1"/>
                  </w14:solidFill>
                </w14:textFill>
              </w:rPr>
              <w:t>项目设置</w:t>
            </w:r>
            <w:r>
              <w:rPr>
                <w:rFonts w:hint="eastAsia" w:ascii="Times New Roman" w:hAnsi="Times New Roman"/>
                <w:sz w:val="24"/>
              </w:rPr>
              <w:t>水雾喷淋装置降尘</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sz w:val="24"/>
              </w:rPr>
              <w:t>降尘</w:t>
            </w:r>
            <w:r>
              <w:rPr>
                <w:rFonts w:ascii="Times New Roman" w:hAnsi="Times New Roman"/>
                <w:color w:val="000000" w:themeColor="text1"/>
                <w:sz w:val="24"/>
                <w:szCs w:val="24"/>
                <w14:textFill>
                  <w14:solidFill>
                    <w14:schemeClr w14:val="tx1"/>
                  </w14:solidFill>
                </w14:textFill>
              </w:rPr>
              <w:t>效率以9</w:t>
            </w:r>
            <w:r>
              <w:rPr>
                <w:rFonts w:hint="eastAsia"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%计，无组织粉尘排放量为0.74t/a</w:t>
            </w:r>
            <w:r>
              <w:rPr>
                <w:rFonts w:hint="eastAsia" w:ascii="Times New Roman" w:hAnsi="Times New Roman"/>
                <w:kern w:val="24"/>
                <w:sz w:val="24"/>
                <w:szCs w:val="24"/>
              </w:rPr>
              <w:t>。根据估算结果，颗粒物排放浓度满足</w:t>
            </w:r>
            <w:r>
              <w:rPr>
                <w:rFonts w:ascii="Times New Roman" w:hAnsi="Times New Roman"/>
                <w:kern w:val="24"/>
                <w:sz w:val="24"/>
                <w:szCs w:val="24"/>
              </w:rPr>
              <w:t>《砖瓦工业大气污染物排放标准》（GB29620-2013）</w:t>
            </w:r>
            <w:r>
              <w:rPr>
                <w:rFonts w:hint="eastAsia" w:ascii="Times New Roman" w:hAnsi="Times New Roman"/>
                <w:kern w:val="24"/>
                <w:sz w:val="24"/>
                <w:szCs w:val="24"/>
              </w:rPr>
              <w:t>表3中无组织排放限值标准</w:t>
            </w:r>
            <w:r>
              <w:rPr>
                <w:rFonts w:ascii="Times New Roman" w:hAnsi="Times New Roman"/>
                <w:kern w:val="24"/>
                <w:sz w:val="24"/>
                <w:szCs w:val="24"/>
              </w:rPr>
              <w:t>。</w:t>
            </w:r>
          </w:p>
          <w:p>
            <w:pPr>
              <w:spacing w:line="360" w:lineRule="auto"/>
              <w:ind w:firstLine="480" w:firstLineChars="200"/>
              <w:rPr>
                <w:rFonts w:ascii="Times New Roman" w:hAnsi="Times New Roman"/>
                <w:kern w:val="10"/>
                <w:sz w:val="24"/>
              </w:rPr>
            </w:pPr>
            <w:r>
              <w:rPr>
                <w:rFonts w:hint="eastAsia" w:ascii="Times New Roman" w:hAnsi="Times New Roman"/>
                <w:kern w:val="24"/>
                <w:sz w:val="24"/>
                <w:szCs w:val="24"/>
              </w:rPr>
              <w:t>（6）</w:t>
            </w:r>
            <w:r>
              <w:rPr>
                <w:rFonts w:hint="eastAsia" w:ascii="Times New Roman" w:hAnsi="Times New Roman"/>
                <w:kern w:val="10"/>
                <w:sz w:val="24"/>
              </w:rPr>
              <w:t>窑炉烟气</w:t>
            </w:r>
          </w:p>
          <w:p>
            <w:pPr>
              <w:spacing w:line="360" w:lineRule="auto"/>
              <w:ind w:firstLine="480" w:firstLineChars="200"/>
              <w:rPr>
                <w:rFonts w:ascii="Times New Roman" w:hAnsi="Times New Roman"/>
                <w:sz w:val="24"/>
                <w:szCs w:val="24"/>
              </w:rPr>
            </w:pPr>
            <w:r>
              <w:rPr>
                <w:rFonts w:ascii="Times New Roman" w:hAnsi="Times New Roman"/>
                <w:sz w:val="24"/>
                <w:szCs w:val="24"/>
              </w:rPr>
              <w:t>隧道窑烟气中污染物主要为SO</w:t>
            </w:r>
            <w:r>
              <w:rPr>
                <w:rFonts w:ascii="Times New Roman" w:hAnsi="Times New Roman"/>
                <w:sz w:val="24"/>
                <w:szCs w:val="24"/>
                <w:vertAlign w:val="subscript"/>
              </w:rPr>
              <w:t>2</w:t>
            </w:r>
            <w:r>
              <w:rPr>
                <w:rFonts w:ascii="Times New Roman" w:hAnsi="Times New Roman"/>
                <w:sz w:val="24"/>
                <w:szCs w:val="24"/>
              </w:rPr>
              <w:t>、烟尘、氮氧化物、氟化物等。建设方通过引风机将本工程焙烧过程中产生的隧道窑烟气引至</w:t>
            </w:r>
            <w:r>
              <w:rPr>
                <w:rFonts w:hint="eastAsia" w:ascii="Times New Roman" w:hAnsi="Times New Roman"/>
                <w:sz w:val="24"/>
                <w:szCs w:val="24"/>
              </w:rPr>
              <w:t>“</w:t>
            </w:r>
            <w:r>
              <w:rPr>
                <w:rFonts w:ascii="Times New Roman" w:hAnsi="Times New Roman"/>
                <w:sz w:val="24"/>
                <w:szCs w:val="24"/>
              </w:rPr>
              <w:t>双碱法</w:t>
            </w:r>
            <w:r>
              <w:rPr>
                <w:rFonts w:hint="eastAsia" w:ascii="Times New Roman" w:hAnsi="Times New Roman"/>
                <w:sz w:val="24"/>
                <w:szCs w:val="24"/>
              </w:rPr>
              <w:t>”</w:t>
            </w:r>
            <w:r>
              <w:rPr>
                <w:rFonts w:ascii="Times New Roman" w:hAnsi="Times New Roman"/>
                <w:sz w:val="24"/>
                <w:szCs w:val="24"/>
              </w:rPr>
              <w:t>脱硫除尘器进行处理。</w:t>
            </w:r>
          </w:p>
          <w:p>
            <w:pPr>
              <w:spacing w:line="360" w:lineRule="auto"/>
              <w:ind w:firstLine="482" w:firstLineChars="200"/>
              <w:rPr>
                <w:rFonts w:ascii="Times New Roman" w:hAnsi="Times New Roman"/>
                <w:b/>
                <w:bCs/>
                <w:sz w:val="24"/>
                <w:szCs w:val="24"/>
                <w:u w:val="single"/>
              </w:rPr>
            </w:pPr>
            <w:r>
              <w:rPr>
                <w:rFonts w:ascii="Times New Roman" w:hAnsi="Times New Roman"/>
                <w:b/>
                <w:bCs/>
                <w:sz w:val="24"/>
                <w:szCs w:val="24"/>
                <w:u w:val="single"/>
              </w:rPr>
              <w:t>烟气处理达标可行性分析：</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在总量控制要求的前提下，为减少对环境的污染，本评价要求旋转窑废气经处理后排放，建议采用脱硫效率较高的双碱法进行脱硫处理。</w:t>
            </w:r>
            <w:r>
              <w:rPr>
                <w:rFonts w:hint="eastAsia" w:ascii="Times New Roman" w:hAnsi="Times New Roman"/>
                <w:sz w:val="24"/>
                <w:szCs w:val="24"/>
                <w:u w:val="single"/>
              </w:rPr>
              <w:t>“</w:t>
            </w:r>
            <w:r>
              <w:rPr>
                <w:rFonts w:ascii="Times New Roman" w:hAnsi="Times New Roman"/>
                <w:sz w:val="24"/>
                <w:szCs w:val="24"/>
                <w:u w:val="single"/>
              </w:rPr>
              <w:t>双碱法</w:t>
            </w:r>
            <w:r>
              <w:rPr>
                <w:rFonts w:hint="eastAsia" w:ascii="Times New Roman" w:hAnsi="Times New Roman"/>
                <w:sz w:val="24"/>
                <w:szCs w:val="24"/>
                <w:u w:val="single"/>
              </w:rPr>
              <w:t>”</w:t>
            </w:r>
            <w:r>
              <w:rPr>
                <w:rFonts w:ascii="Times New Roman" w:hAnsi="Times New Roman"/>
                <w:sz w:val="24"/>
                <w:szCs w:val="24"/>
                <w:u w:val="single"/>
              </w:rPr>
              <w:t>脱硫除尘处理后通过65m高烟囱排放。脱硫除尘工艺流程见图6-1</w:t>
            </w:r>
            <w:r>
              <w:rPr>
                <w:rFonts w:hint="eastAsia" w:ascii="Times New Roman" w:hAnsi="Times New Roman"/>
                <w:sz w:val="24"/>
                <w:szCs w:val="24"/>
                <w:u w:val="single"/>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为更好的实时监控</w:t>
            </w:r>
            <w:r>
              <w:rPr>
                <w:rFonts w:ascii="Times New Roman" w:hAnsi="Times New Roman"/>
                <w:sz w:val="24"/>
                <w:szCs w:val="24"/>
              </w:rPr>
              <w:t>烟气</w:t>
            </w:r>
            <w:r>
              <w:rPr>
                <w:rFonts w:hint="eastAsia" w:ascii="Times New Roman" w:hAnsi="Times New Roman"/>
                <w:sz w:val="24"/>
                <w:szCs w:val="24"/>
              </w:rPr>
              <w:t>达标排放，需要在隧道窑排气筒处安装自动在线监测系统，并与益阳市生态环境局连网运营。</w:t>
            </w:r>
          </w:p>
          <w:p>
            <w:pPr>
              <w:spacing w:line="360" w:lineRule="auto"/>
              <w:jc w:val="center"/>
              <w:rPr>
                <w:rFonts w:ascii="Times New Roman" w:hAnsi="Times New Roman"/>
                <w:color w:val="000000" w:themeColor="text1"/>
                <w:kern w:val="24"/>
                <w:sz w:val="24"/>
                <w:szCs w:val="24"/>
                <w:u w:val="single"/>
                <w14:textFill>
                  <w14:solidFill>
                    <w14:schemeClr w14:val="tx1"/>
                  </w14:solidFill>
                </w14:textFill>
              </w:rPr>
            </w:pPr>
            <w:r>
              <w:rPr>
                <w:rFonts w:ascii="Times New Roman" w:hAnsi="Times New Roman"/>
                <w:color w:val="000000" w:themeColor="text1"/>
                <w:kern w:val="24"/>
                <w:sz w:val="24"/>
                <w:szCs w:val="24"/>
                <w:u w:val="single"/>
                <w14:textFill>
                  <w14:solidFill>
                    <w14:schemeClr w14:val="tx1"/>
                  </w14:solidFill>
                </w14:textFill>
              </w:rPr>
              <w:drawing>
                <wp:inline distT="0" distB="0" distL="0" distR="0">
                  <wp:extent cx="4552950" cy="310261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58597" cy="3106874"/>
                          </a:xfrm>
                          <a:prstGeom prst="rect">
                            <a:avLst/>
                          </a:prstGeom>
                          <a:noFill/>
                          <a:ln>
                            <a:noFill/>
                          </a:ln>
                        </pic:spPr>
                      </pic:pic>
                    </a:graphicData>
                  </a:graphic>
                </wp:inline>
              </w:drawing>
            </w:r>
          </w:p>
          <w:p>
            <w:pPr>
              <w:spacing w:line="360" w:lineRule="auto"/>
              <w:jc w:val="center"/>
              <w:rPr>
                <w:rFonts w:ascii="Times New Roman" w:hAnsi="Times New Roman"/>
                <w:b/>
                <w:bCs/>
                <w:color w:val="000000" w:themeColor="text1"/>
                <w:kern w:val="24"/>
                <w:sz w:val="24"/>
                <w:szCs w:val="24"/>
                <w:u w:val="single"/>
                <w14:textFill>
                  <w14:solidFill>
                    <w14:schemeClr w14:val="tx1"/>
                  </w14:solidFill>
                </w14:textFill>
              </w:rPr>
            </w:pPr>
            <w:r>
              <w:rPr>
                <w:rFonts w:hint="eastAsia" w:ascii="Times New Roman" w:hAnsi="Times New Roman"/>
                <w:b/>
                <w:bCs/>
                <w:color w:val="000000" w:themeColor="text1"/>
                <w:kern w:val="24"/>
                <w:sz w:val="24"/>
                <w:szCs w:val="24"/>
                <w:u w:val="single"/>
                <w14:textFill>
                  <w14:solidFill>
                    <w14:schemeClr w14:val="tx1"/>
                  </w14:solidFill>
                </w14:textFill>
              </w:rPr>
              <w:t>图6</w:t>
            </w:r>
            <w:r>
              <w:rPr>
                <w:rFonts w:ascii="Times New Roman" w:hAnsi="Times New Roman"/>
                <w:b/>
                <w:bCs/>
                <w:color w:val="000000" w:themeColor="text1"/>
                <w:kern w:val="24"/>
                <w:sz w:val="24"/>
                <w:szCs w:val="24"/>
                <w:u w:val="single"/>
                <w14:textFill>
                  <w14:solidFill>
                    <w14:schemeClr w14:val="tx1"/>
                  </w14:solidFill>
                </w14:textFill>
              </w:rPr>
              <w:t xml:space="preserve">-1  </w:t>
            </w:r>
            <w:r>
              <w:rPr>
                <w:rFonts w:hint="eastAsia" w:ascii="Times New Roman" w:hAnsi="Times New Roman"/>
                <w:b/>
                <w:bCs/>
                <w:color w:val="000000" w:themeColor="text1"/>
                <w:kern w:val="24"/>
                <w:sz w:val="24"/>
                <w:szCs w:val="24"/>
                <w:u w:val="single"/>
                <w14:textFill>
                  <w14:solidFill>
                    <w14:schemeClr w14:val="tx1"/>
                  </w14:solidFill>
                </w14:textFill>
              </w:rPr>
              <w:t>烟气脱硫除尘工艺流程图</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①烟气脱硫工作原理</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双碱法是先用可溶性的碱性清液作为吸收剂吸收SO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然后再用电石渣或石灰浆液对吸收液进行再生，由于在吸收和吸收液处理中，使用了两种不同类型的碱，故称为双碱法。双碱法的明显优点是，由于采用液相吸收，从而不存在结垢和浆料堵塞等问题。钠——钙碱法是以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CO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或NaOH溶液为第一碱吸收烟气SO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，然后再用石灰作为第二碱，对吸收液进行再生。再生后的吸收液可循环使用。其主要反应为烟气中的SO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先溶解于吸收液中，然后离解成H+和HSO</w:t>
            </w:r>
            <w:r>
              <w:rPr>
                <w:rFonts w:ascii="Times New Roman" w:hAnsi="Times New Roman"/>
                <w:color w:val="000000" w:themeColor="text1"/>
                <w:sz w:val="24"/>
                <w:szCs w:val="24"/>
                <w:u w:val="single"/>
                <w:vertAlign w:val="super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；使用Na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CO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或NaOH液吸收烟气中的SO2，生成HSO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vertAlign w:val="super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vertAlign w:val="super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与SO</w:t>
            </w:r>
            <w:r>
              <w:rPr>
                <w:rFonts w:ascii="Times New Roman" w:hAnsi="Times New Roman"/>
                <w:color w:val="000000" w:themeColor="text1"/>
                <w:sz w:val="24"/>
                <w:szCs w:val="24"/>
                <w:u w:val="single"/>
                <w:vertAlign w:val="subscript"/>
                <w14:textFill>
                  <w14:solidFill>
                    <w14:schemeClr w14:val="tx1"/>
                  </w14:solidFill>
                </w14:textFill>
              </w:rPr>
              <w:t>4</w:t>
            </w:r>
            <w:r>
              <w:rPr>
                <w:rFonts w:ascii="Times New Roman" w:hAnsi="Times New Roman"/>
                <w:color w:val="000000" w:themeColor="text1"/>
                <w:sz w:val="24"/>
                <w:szCs w:val="24"/>
                <w:u w:val="single"/>
                <w:vertAlign w:val="super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，反应方程式如下：主要反应原理如下：</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A）脱硫反应</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CO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+CO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2NaOH+SO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w:t>
            </w:r>
          </w:p>
          <w:p>
            <w:pPr>
              <w:spacing w:line="360" w:lineRule="auto"/>
              <w:jc w:val="center"/>
              <w:rPr>
                <w:rFonts w:ascii="Times New Roman" w:hAnsi="Times New Roman"/>
                <w:color w:val="000000" w:themeColor="text1"/>
                <w:sz w:val="24"/>
                <w:szCs w:val="24"/>
                <w:u w:val="single"/>
                <w:vertAlign w:val="subscript"/>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O=2NaHSO</w:t>
            </w:r>
            <w:r>
              <w:rPr>
                <w:rFonts w:ascii="Times New Roman" w:hAnsi="Times New Roman"/>
                <w:color w:val="000000" w:themeColor="text1"/>
                <w:sz w:val="24"/>
                <w:szCs w:val="24"/>
                <w:u w:val="single"/>
                <w:vertAlign w:val="subscript"/>
                <w14:textFill>
                  <w14:solidFill>
                    <w14:schemeClr w14:val="tx1"/>
                  </w14:solidFill>
                </w14:textFill>
              </w:rPr>
              <w:t>3</w:t>
            </w:r>
          </w:p>
          <w:p>
            <w:pPr>
              <w:spacing w:line="360" w:lineRule="auto"/>
              <w:ind w:firstLine="480"/>
              <w:jc w:val="left"/>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B）再生过程</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+2NaHSO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+CaSO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•1/2H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O↓+3/2H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=2NaOH+CaSO3↓</w:t>
            </w:r>
          </w:p>
          <w:p>
            <w:pPr>
              <w:spacing w:line="360" w:lineRule="auto"/>
              <w:ind w:firstLine="480" w:firstLineChars="200"/>
              <w:rPr>
                <w:color w:val="000000" w:themeColor="text1"/>
                <w:sz w:val="24"/>
                <w:szCs w:val="24"/>
                <w:u w:val="single"/>
                <w14:textFill>
                  <w14:solidFill>
                    <w14:schemeClr w14:val="tx1"/>
                  </w14:solidFill>
                </w14:textFill>
              </w:rPr>
            </w:pPr>
            <w:r>
              <w:rPr>
                <w:color w:val="000000" w:themeColor="text1"/>
                <w:sz w:val="24"/>
                <w:szCs w:val="24"/>
                <w:u w:val="single"/>
                <w14:textFill>
                  <w14:solidFill>
                    <w14:schemeClr w14:val="tx1"/>
                  </w14:solidFill>
                </w14:textFill>
              </w:rPr>
              <w:t>存在氧气的条件下，还会发生以下反应：</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Ca(OH)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+Na</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+1/2O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O=2NaOH+CaSO4•H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在Ca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浆液达到过饱和状态时，NaHSO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很快和Ca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反应从而稀释出[Na</w:t>
            </w:r>
            <w:r>
              <w:rPr>
                <w:rFonts w:ascii="Times New Roman" w:hAnsi="Times New Roman"/>
                <w:color w:val="000000" w:themeColor="text1"/>
                <w:sz w:val="24"/>
                <w:szCs w:val="24"/>
                <w:u w:val="single"/>
                <w:vertAlign w:val="superscript"/>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]，随后生成的[SO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vertAlign w:val="super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]继续与Ca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反应，生成的亚硫酸钙以半水化合物形式慢慢沉淀下来，从而使得到再生，吸收液恢复对SO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的吸收能力，循环使用。</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脱硫工艺说明</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1）脱硫剂制备系统：由成品石灰（粒径小于10mm（100</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）的粉状石灰）运至厂里后手工加入石灰消化池进行消化，消化后的石灰浆液自流至再生池中进行脱硫液再生反应。</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2）烟气系统：热烟气自窑炉出来后进入吸收塔，向上流动穿过喷淋层，在此烟气被冷却到饱和温度，烟气中的SO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等污染物被脱硫液吸收。经过喷淋洗涤后的饱和烟气，经除雾器除去水雾后，通过烟道进入烟囱排空。</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3）SO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吸收系统：在吸收塔内，脱硫液中的氢氧化钙与从烟气中捕获的SO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、HF、HCl等发生化学反应，生成亚硫酸钙和亚硫酸氢钙等物质。脱硫后的净烟气通过除雾器除去气流中夹带的雾滴后排出吸收塔。</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4）脱硫液循环系统与脱硫渣处理系统：泵前池的脱硫液通过循环水泵泵送到脱硫塔内与烟气接触反应后，从脱硫装置底部排出，排出的含有CaSO</w:t>
            </w:r>
            <w:r>
              <w:rPr>
                <w:rFonts w:ascii="Times New Roman" w:hAnsi="Times New Roman"/>
                <w:color w:val="000000" w:themeColor="text1"/>
                <w:sz w:val="24"/>
                <w:szCs w:val="24"/>
                <w:u w:val="single"/>
                <w:vertAlign w:val="subscript"/>
                <w14:textFill>
                  <w14:solidFill>
                    <w14:schemeClr w14:val="tx1"/>
                  </w14:solidFill>
                </w14:textFill>
              </w:rPr>
              <w:t>4</w:t>
            </w:r>
            <w:r>
              <w:rPr>
                <w:rFonts w:ascii="Times New Roman" w:hAnsi="Times New Roman"/>
                <w:color w:val="000000" w:themeColor="text1"/>
                <w:sz w:val="24"/>
                <w:szCs w:val="24"/>
                <w:u w:val="single"/>
                <w14:textFill>
                  <w14:solidFill>
                    <w14:schemeClr w14:val="tx1"/>
                  </w14:solidFill>
                </w14:textFill>
              </w:rPr>
              <w:t>、CaSO</w:t>
            </w:r>
            <w:r>
              <w:rPr>
                <w:rFonts w:ascii="Times New Roman" w:hAnsi="Times New Roman"/>
                <w:color w:val="000000" w:themeColor="text1"/>
                <w:sz w:val="24"/>
                <w:szCs w:val="24"/>
                <w:u w:val="single"/>
                <w:vertAlign w:val="subscript"/>
                <w14:textFill>
                  <w14:solidFill>
                    <w14:schemeClr w14:val="tx1"/>
                  </w14:solidFill>
                </w14:textFill>
              </w:rPr>
              <w:t>3</w:t>
            </w:r>
            <w:r>
              <w:rPr>
                <w:rFonts w:ascii="Times New Roman" w:hAnsi="Times New Roman"/>
                <w:color w:val="000000" w:themeColor="text1"/>
                <w:sz w:val="24"/>
                <w:szCs w:val="24"/>
                <w:u w:val="single"/>
                <w14:textFill>
                  <w14:solidFill>
                    <w14:schemeClr w14:val="tx1"/>
                  </w14:solidFill>
                </w14:textFill>
              </w:rPr>
              <w:t>及粉尘渣的混合渣浆液体进入再生池、沉淀池，与从石灰浆液池过来的石灰浆液发生再生反应，并进行脱硫副产物的沉淀，上清液流进泵前池，经沉淀后的池底渣浆清出并进行干化处理，滤液返流回泵前池，由循环水泵抽送到脱硫装置进行脱硫循环利用。</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②脱氟原理</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NaOH+HF=NaF+H</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O</w:t>
            </w:r>
          </w:p>
          <w:p>
            <w:pPr>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Ca</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OH</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+NaF=CaF</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+2NaOH</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该设备总除尘效率约为95%，二氧化硫去除效率约为80%，总除F效率约为90%。</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隧道窑废气经脱硫除尘处理后经65m高排气筒进行排放，各项污染物浓度均能达到《砖瓦工业大气污染物排放标准》（GB29620-2013）中表2标准的要求。</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（7）食堂油烟废气</w:t>
            </w:r>
          </w:p>
          <w:p>
            <w:pPr>
              <w:spacing w:line="360" w:lineRule="auto"/>
              <w:ind w:firstLine="480" w:firstLineChars="200"/>
              <w:rPr>
                <w:rFonts w:ascii="Times New Roman" w:hAnsi="宋体"/>
                <w:sz w:val="24"/>
                <w:szCs w:val="24"/>
              </w:rPr>
            </w:pPr>
            <w:r>
              <w:rPr>
                <w:rFonts w:hint="eastAsia" w:ascii="Times New Roman" w:hAnsi="Times New Roman"/>
                <w:sz w:val="24"/>
                <w:szCs w:val="24"/>
              </w:rPr>
              <w:t>根据工程分析，本项目要求安装油烟净化装置对油烟进行净化处理，</w:t>
            </w:r>
            <w:r>
              <w:rPr>
                <w:rFonts w:hint="eastAsia" w:ascii="Times New Roman" w:hAnsi="宋体"/>
                <w:sz w:val="24"/>
                <w:szCs w:val="24"/>
              </w:rPr>
              <w:t>处理后的油烟废气通过高于屋顶的排气筒排放，不侧排。经上述措施处理后，企业油烟废气排放总量约为</w:t>
            </w:r>
            <w:r>
              <w:rPr>
                <w:rFonts w:ascii="Times New Roman" w:hAnsi="宋体"/>
                <w:sz w:val="24"/>
                <w:szCs w:val="24"/>
              </w:rPr>
              <w:t>2.07</w:t>
            </w:r>
            <w:r>
              <w:rPr>
                <w:rFonts w:hint="eastAsia" w:ascii="Times New Roman" w:hAnsi="宋体"/>
                <w:sz w:val="24"/>
                <w:szCs w:val="24"/>
              </w:rPr>
              <w:t>kg/a，排放浓度为</w:t>
            </w:r>
            <w:r>
              <w:rPr>
                <w:rFonts w:ascii="Times New Roman" w:hAnsi="宋体"/>
                <w:sz w:val="24"/>
                <w:szCs w:val="24"/>
              </w:rPr>
              <w:t>1.08mg/m</w:t>
            </w:r>
            <w:r>
              <w:rPr>
                <w:rFonts w:ascii="Times New Roman" w:hAnsi="宋体"/>
                <w:sz w:val="24"/>
                <w:szCs w:val="24"/>
                <w:vertAlign w:val="superscript"/>
              </w:rPr>
              <w:t>3</w:t>
            </w:r>
            <w:r>
              <w:rPr>
                <w:rFonts w:hint="eastAsia" w:ascii="Times New Roman" w:hAnsi="宋体"/>
                <w:sz w:val="24"/>
                <w:szCs w:val="24"/>
              </w:rPr>
              <w:t>，达到《饮食业油烟排放标准（试行）》（</w:t>
            </w:r>
            <w:r>
              <w:rPr>
                <w:rFonts w:ascii="Times New Roman" w:hAnsi="宋体"/>
                <w:sz w:val="24"/>
                <w:szCs w:val="24"/>
              </w:rPr>
              <w:t>GB 18483-2001</w:t>
            </w:r>
            <w:r>
              <w:rPr>
                <w:rFonts w:hint="eastAsia" w:ascii="Times New Roman" w:hAnsi="宋体"/>
                <w:sz w:val="24"/>
                <w:szCs w:val="24"/>
              </w:rPr>
              <w:t>）中</w:t>
            </w:r>
            <w:r>
              <w:rPr>
                <w:rFonts w:ascii="Times New Roman" w:hAnsi="宋体"/>
                <w:sz w:val="24"/>
                <w:szCs w:val="24"/>
              </w:rPr>
              <w:t>2mg/m</w:t>
            </w:r>
            <w:r>
              <w:rPr>
                <w:rFonts w:ascii="Times New Roman" w:hAnsi="宋体"/>
                <w:sz w:val="24"/>
                <w:szCs w:val="24"/>
                <w:vertAlign w:val="superscript"/>
              </w:rPr>
              <w:t>3</w:t>
            </w:r>
            <w:r>
              <w:rPr>
                <w:rFonts w:hint="eastAsia" w:ascii="Times New Roman" w:hAnsi="宋体"/>
                <w:sz w:val="24"/>
                <w:szCs w:val="24"/>
              </w:rPr>
              <w:t>的最高允许排放浓度值，采取上述措施后，废气对周边环境空气影响较小。</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2 水环境影响分析</w:t>
            </w:r>
          </w:p>
          <w:p>
            <w:pPr>
              <w:widowControl/>
              <w:spacing w:line="360" w:lineRule="auto"/>
              <w:ind w:firstLine="482" w:firstLineChars="200"/>
              <w:rPr>
                <w:rFonts w:ascii="Times New Roman"/>
                <w:b/>
                <w:bCs/>
                <w:sz w:val="24"/>
                <w:u w:val="single"/>
              </w:rPr>
            </w:pPr>
            <w:r>
              <w:rPr>
                <w:rFonts w:hint="eastAsia" w:ascii="Times New Roman"/>
                <w:b/>
                <w:bCs/>
                <w:sz w:val="24"/>
                <w:u w:val="single"/>
              </w:rPr>
              <w:t>地表水评价等级判定：</w:t>
            </w:r>
          </w:p>
          <w:p>
            <w:pPr>
              <w:widowControl/>
              <w:spacing w:line="360" w:lineRule="auto"/>
              <w:ind w:firstLine="480" w:firstLineChars="200"/>
              <w:rPr>
                <w:rFonts w:ascii="Times New Roman"/>
                <w:sz w:val="24"/>
                <w:u w:val="single"/>
              </w:rPr>
            </w:pPr>
            <w:r>
              <w:rPr>
                <w:rFonts w:hint="eastAsia" w:ascii="Times New Roman"/>
                <w:sz w:val="24"/>
                <w:u w:val="single"/>
              </w:rPr>
              <w:t>根据《环境影响评价技术导则 地表水环境》（HJ</w:t>
            </w:r>
            <w:r>
              <w:rPr>
                <w:rFonts w:ascii="Times New Roman"/>
                <w:sz w:val="24"/>
                <w:u w:val="single"/>
              </w:rPr>
              <w:t xml:space="preserve"> </w:t>
            </w:r>
            <w:r>
              <w:rPr>
                <w:rFonts w:hint="eastAsia" w:ascii="Times New Roman"/>
                <w:sz w:val="24"/>
                <w:u w:val="single"/>
              </w:rPr>
              <w:t>2.3-2018）中评价等级要求，水污染影响型建设项目根据排放方式和废水排放量划分评价等级详见表6-</w:t>
            </w:r>
            <w:r>
              <w:rPr>
                <w:rFonts w:ascii="Times New Roman"/>
                <w:sz w:val="24"/>
                <w:u w:val="single"/>
              </w:rPr>
              <w:t>1</w:t>
            </w:r>
            <w:r>
              <w:rPr>
                <w:rFonts w:hint="eastAsia" w:ascii="Times New Roman"/>
                <w:sz w:val="24"/>
                <w:u w:val="single"/>
              </w:rPr>
              <w:t>1。</w:t>
            </w:r>
          </w:p>
          <w:p>
            <w:pPr>
              <w:widowControl/>
              <w:spacing w:line="360" w:lineRule="auto"/>
              <w:jc w:val="center"/>
              <w:rPr>
                <w:rFonts w:ascii="Times New Roman"/>
                <w:b/>
                <w:bCs/>
                <w:sz w:val="24"/>
                <w:u w:val="single"/>
              </w:rPr>
            </w:pPr>
            <w:r>
              <w:rPr>
                <w:rFonts w:hint="eastAsia" w:ascii="Times New Roman"/>
                <w:b/>
                <w:bCs/>
                <w:sz w:val="24"/>
                <w:u w:val="single"/>
              </w:rPr>
              <w:t>表6-</w:t>
            </w:r>
            <w:r>
              <w:rPr>
                <w:rFonts w:ascii="Times New Roman"/>
                <w:b/>
                <w:bCs/>
                <w:sz w:val="24"/>
                <w:u w:val="single"/>
              </w:rPr>
              <w:t>1</w:t>
            </w:r>
            <w:r>
              <w:rPr>
                <w:rFonts w:hint="eastAsia" w:ascii="Times New Roman"/>
                <w:b/>
                <w:bCs/>
                <w:sz w:val="24"/>
                <w:u w:val="single"/>
              </w:rPr>
              <w:t>1  水污染影响型建设项目评价等级判定</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86"/>
              <w:gridCol w:w="1285"/>
              <w:gridCol w:w="64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1" w:type="pct"/>
                  <w:vMerge w:val="restart"/>
                  <w:vAlign w:val="center"/>
                </w:tcPr>
                <w:p>
                  <w:pPr>
                    <w:widowControl/>
                    <w:jc w:val="center"/>
                    <w:rPr>
                      <w:rFonts w:ascii="Times New Roman" w:hAnsi="Times New Roman"/>
                      <w:b/>
                      <w:kern w:val="21"/>
                      <w:u w:val="single"/>
                    </w:rPr>
                  </w:pPr>
                  <w:r>
                    <w:rPr>
                      <w:rFonts w:ascii="Times New Roman" w:hAnsi="Times New Roman"/>
                      <w:b/>
                      <w:kern w:val="21"/>
                      <w:u w:val="single"/>
                    </w:rPr>
                    <w:t>评价等级</w:t>
                  </w:r>
                </w:p>
              </w:tc>
              <w:tc>
                <w:tcPr>
                  <w:tcW w:w="4289" w:type="pct"/>
                  <w:gridSpan w:val="2"/>
                  <w:vAlign w:val="center"/>
                </w:tcPr>
                <w:p>
                  <w:pPr>
                    <w:widowControl/>
                    <w:jc w:val="center"/>
                    <w:rPr>
                      <w:rFonts w:ascii="Times New Roman" w:hAnsi="Times New Roman"/>
                      <w:b/>
                      <w:kern w:val="21"/>
                      <w:u w:val="single"/>
                    </w:rPr>
                  </w:pPr>
                  <w:r>
                    <w:rPr>
                      <w:rFonts w:ascii="Times New Roman" w:hAnsi="Times New Roman"/>
                      <w:b/>
                      <w:kern w:val="21"/>
                      <w:u w:val="single"/>
                    </w:rPr>
                    <w:t>判定依据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widowControl/>
                    <w:jc w:val="center"/>
                    <w:rPr>
                      <w:rFonts w:ascii="Times New Roman" w:hAnsi="Times New Roman"/>
                      <w:b/>
                      <w:kern w:val="21"/>
                      <w:u w:val="single"/>
                    </w:rPr>
                  </w:pPr>
                </w:p>
              </w:tc>
              <w:tc>
                <w:tcPr>
                  <w:tcW w:w="711" w:type="pct"/>
                  <w:vAlign w:val="center"/>
                </w:tcPr>
                <w:p>
                  <w:pPr>
                    <w:widowControl/>
                    <w:jc w:val="center"/>
                    <w:rPr>
                      <w:rFonts w:ascii="Times New Roman" w:hAnsi="Times New Roman"/>
                      <w:b/>
                      <w:kern w:val="21"/>
                      <w:u w:val="single"/>
                    </w:rPr>
                  </w:pPr>
                  <w:r>
                    <w:rPr>
                      <w:rFonts w:ascii="Times New Roman" w:hAnsi="Times New Roman"/>
                      <w:b/>
                      <w:kern w:val="21"/>
                      <w:u w:val="single"/>
                    </w:rPr>
                    <w:t>排放方式</w:t>
                  </w:r>
                </w:p>
              </w:tc>
              <w:tc>
                <w:tcPr>
                  <w:tcW w:w="3578" w:type="pct"/>
                  <w:vAlign w:val="center"/>
                </w:tcPr>
                <w:p>
                  <w:pPr>
                    <w:widowControl/>
                    <w:jc w:val="center"/>
                    <w:rPr>
                      <w:rFonts w:ascii="Times New Roman" w:hAnsi="Times New Roman"/>
                      <w:b/>
                      <w:kern w:val="21"/>
                      <w:u w:val="single"/>
                    </w:rPr>
                  </w:pPr>
                  <w:r>
                    <w:rPr>
                      <w:rFonts w:ascii="Times New Roman" w:hAnsi="Times New Roman"/>
                      <w:b/>
                      <w:kern w:val="21"/>
                      <w:u w:val="single"/>
                    </w:rPr>
                    <w:t>废水排放量Q/（m</w:t>
                  </w:r>
                  <w:r>
                    <w:rPr>
                      <w:rFonts w:ascii="Times New Roman" w:hAnsi="Times New Roman"/>
                      <w:b/>
                      <w:kern w:val="21"/>
                      <w:u w:val="single"/>
                      <w:vertAlign w:val="superscript"/>
                    </w:rPr>
                    <w:t>3</w:t>
                  </w:r>
                  <w:r>
                    <w:rPr>
                      <w:rFonts w:ascii="Times New Roman" w:hAnsi="Times New Roman"/>
                      <w:b/>
                      <w:kern w:val="21"/>
                      <w:u w:val="single"/>
                    </w:rPr>
                    <w:t>/d）；水污染物当量数W/（无量纲）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一级</w:t>
                  </w:r>
                </w:p>
              </w:tc>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直接排放</w:t>
                  </w:r>
                </w:p>
              </w:tc>
              <w:tc>
                <w:tcPr>
                  <w:tcW w:w="3578" w:type="pct"/>
                  <w:vAlign w:val="center"/>
                </w:tcPr>
                <w:p>
                  <w:pPr>
                    <w:widowControl/>
                    <w:jc w:val="center"/>
                    <w:rPr>
                      <w:rFonts w:ascii="Times New Roman" w:hAnsi="Times New Roman"/>
                      <w:kern w:val="21"/>
                      <w:u w:val="single"/>
                    </w:rPr>
                  </w:pPr>
                  <w:r>
                    <w:rPr>
                      <w:rFonts w:ascii="Times New Roman" w:hAnsi="Times New Roman"/>
                      <w:kern w:val="21"/>
                      <w:u w:val="single"/>
                    </w:rPr>
                    <w:t>Q≥20000或W≥600000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二级</w:t>
                  </w:r>
                </w:p>
              </w:tc>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直接排放</w:t>
                  </w:r>
                </w:p>
              </w:tc>
              <w:tc>
                <w:tcPr>
                  <w:tcW w:w="3578" w:type="pct"/>
                  <w:vAlign w:val="center"/>
                </w:tcPr>
                <w:p>
                  <w:pPr>
                    <w:widowControl/>
                    <w:jc w:val="center"/>
                    <w:rPr>
                      <w:rFonts w:ascii="Times New Roman" w:hAnsi="Times New Roman"/>
                      <w:kern w:val="21"/>
                      <w:u w:val="single"/>
                    </w:rPr>
                  </w:pPr>
                  <w:r>
                    <w:rPr>
                      <w:rFonts w:ascii="Times New Roman" w:hAnsi="Times New Roman"/>
                      <w:kern w:val="21"/>
                      <w:u w:val="single"/>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三级A</w:t>
                  </w:r>
                </w:p>
              </w:tc>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直接排放</w:t>
                  </w:r>
                </w:p>
              </w:tc>
              <w:tc>
                <w:tcPr>
                  <w:tcW w:w="3578" w:type="pct"/>
                  <w:vAlign w:val="center"/>
                </w:tcPr>
                <w:p>
                  <w:pPr>
                    <w:widowControl/>
                    <w:jc w:val="center"/>
                    <w:rPr>
                      <w:rFonts w:ascii="Times New Roman" w:hAnsi="Times New Roman"/>
                      <w:kern w:val="21"/>
                      <w:u w:val="single"/>
                    </w:rPr>
                  </w:pPr>
                  <w:r>
                    <w:rPr>
                      <w:rFonts w:ascii="Times New Roman" w:hAnsi="Times New Roman"/>
                      <w:kern w:val="21"/>
                      <w:u w:val="single"/>
                    </w:rPr>
                    <w:t>Q＜200且W＜6000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三级B</w:t>
                  </w:r>
                </w:p>
              </w:tc>
              <w:tc>
                <w:tcPr>
                  <w:tcW w:w="711" w:type="pct"/>
                  <w:vAlign w:val="center"/>
                </w:tcPr>
                <w:p>
                  <w:pPr>
                    <w:widowControl/>
                    <w:jc w:val="center"/>
                    <w:rPr>
                      <w:rFonts w:ascii="Times New Roman" w:hAnsi="Times New Roman"/>
                      <w:kern w:val="21"/>
                      <w:u w:val="single"/>
                    </w:rPr>
                  </w:pPr>
                  <w:r>
                    <w:rPr>
                      <w:rFonts w:ascii="Times New Roman" w:hAnsi="Times New Roman"/>
                      <w:kern w:val="21"/>
                      <w:u w:val="single"/>
                    </w:rPr>
                    <w:t>间接排放</w:t>
                  </w:r>
                </w:p>
              </w:tc>
              <w:tc>
                <w:tcPr>
                  <w:tcW w:w="3578" w:type="pct"/>
                  <w:vAlign w:val="center"/>
                </w:tcPr>
                <w:p>
                  <w:pPr>
                    <w:widowControl/>
                    <w:jc w:val="center"/>
                    <w:rPr>
                      <w:rFonts w:ascii="Times New Roman" w:hAnsi="Times New Roman"/>
                      <w:kern w:val="21"/>
                      <w:u w:val="single"/>
                    </w:rPr>
                  </w:pPr>
                  <w:r>
                    <w:rPr>
                      <w:rFonts w:ascii="Times New Roman" w:hAnsi="Times New Roman"/>
                      <w:kern w:val="21"/>
                      <w:u w:val="single"/>
                    </w:rPr>
                    <w:t>—</w:t>
                  </w:r>
                </w:p>
              </w:tc>
            </w:tr>
          </w:tbl>
          <w:p>
            <w:pPr>
              <w:spacing w:line="360" w:lineRule="auto"/>
              <w:ind w:firstLine="480" w:firstLineChars="200"/>
              <w:rPr>
                <w:rFonts w:ascii="Times New Roman" w:hAnsi="Times New Roman"/>
                <w:sz w:val="24"/>
              </w:rPr>
            </w:pPr>
            <w:r>
              <w:rPr>
                <w:rFonts w:ascii="Times New Roman" w:hAnsi="Times New Roman"/>
                <w:color w:val="000000"/>
                <w:sz w:val="24"/>
              </w:rPr>
              <w:t>本项目的废水为</w:t>
            </w:r>
            <w:r>
              <w:rPr>
                <w:rFonts w:hint="eastAsia" w:ascii="Times New Roman" w:hAnsi="Times New Roman"/>
                <w:color w:val="000000"/>
                <w:sz w:val="24"/>
              </w:rPr>
              <w:t>搅拌机清洗废水、喷淋废水、初期雨水、脱硫废水</w:t>
            </w:r>
            <w:r>
              <w:rPr>
                <w:rFonts w:ascii="Times New Roman" w:hAnsi="Times New Roman"/>
                <w:color w:val="000000"/>
                <w:sz w:val="24"/>
              </w:rPr>
              <w:t>和生活污水</w:t>
            </w:r>
            <w:r>
              <w:rPr>
                <w:rFonts w:hint="eastAsia" w:ascii="Times New Roman" w:hAnsi="Times New Roman"/>
                <w:color w:val="000000"/>
                <w:sz w:val="24"/>
              </w:rPr>
              <w:t>。</w:t>
            </w:r>
            <w:r>
              <w:rPr>
                <w:rFonts w:hint="eastAsia" w:ascii="Times New Roman"/>
                <w:sz w:val="24"/>
              </w:rPr>
              <w:t>生活污水</w:t>
            </w:r>
            <w:r>
              <w:rPr>
                <w:rFonts w:ascii="Times New Roman" w:hAnsi="Times New Roman"/>
                <w:color w:val="000000" w:themeColor="text1"/>
                <w:sz w:val="24"/>
                <w14:textFill>
                  <w14:solidFill>
                    <w14:schemeClr w14:val="tx1"/>
                  </w14:solidFill>
                </w14:textFill>
              </w:rPr>
              <w:t>经</w:t>
            </w:r>
            <w:r>
              <w:rPr>
                <w:rFonts w:hint="eastAsia" w:ascii="Times New Roman" w:hAnsi="Times New Roman"/>
                <w:color w:val="000000" w:themeColor="text1"/>
                <w:sz w:val="24"/>
                <w14:textFill>
                  <w14:solidFill>
                    <w14:schemeClr w14:val="tx1"/>
                  </w14:solidFill>
                </w14:textFill>
              </w:rPr>
              <w:t>隔油池+</w:t>
            </w:r>
            <w:r>
              <w:rPr>
                <w:rFonts w:ascii="Times New Roman" w:hAnsi="Times New Roman"/>
                <w:color w:val="000000" w:themeColor="text1"/>
                <w:sz w:val="24"/>
                <w14:textFill>
                  <w14:solidFill>
                    <w14:schemeClr w14:val="tx1"/>
                  </w14:solidFill>
                </w14:textFill>
              </w:rPr>
              <w:t>化粪池处理后，用于周边</w:t>
            </w:r>
            <w:r>
              <w:rPr>
                <w:rFonts w:hint="eastAsia" w:ascii="Times New Roman" w:hAnsi="Times New Roman"/>
                <w:color w:val="000000" w:themeColor="text1"/>
                <w:sz w:val="24"/>
                <w14:textFill>
                  <w14:solidFill>
                    <w14:schemeClr w14:val="tx1"/>
                  </w14:solidFill>
                </w14:textFill>
              </w:rPr>
              <w:t>菜地</w:t>
            </w:r>
            <w:r>
              <w:rPr>
                <w:rFonts w:ascii="Times New Roman" w:hAnsi="Times New Roman"/>
                <w:color w:val="000000" w:themeColor="text1"/>
                <w:sz w:val="24"/>
                <w14:textFill>
                  <w14:solidFill>
                    <w14:schemeClr w14:val="tx1"/>
                  </w14:solidFill>
                </w14:textFill>
              </w:rPr>
              <w:t>施肥，综合消纳</w:t>
            </w:r>
            <w:r>
              <w:rPr>
                <w:rFonts w:hint="eastAsia" w:ascii="Times New Roman" w:hAnsi="Times New Roman"/>
                <w:color w:val="000000"/>
                <w:sz w:val="24"/>
              </w:rPr>
              <w:t>；</w:t>
            </w:r>
            <w:r>
              <w:rPr>
                <w:rFonts w:ascii="Times New Roman" w:hAnsi="Times New Roman"/>
                <w:color w:val="000000" w:themeColor="text1"/>
                <w:sz w:val="24"/>
                <w:szCs w:val="24"/>
                <w14:textFill>
                  <w14:solidFill>
                    <w14:schemeClr w14:val="tx1"/>
                  </w14:solidFill>
                </w14:textFill>
              </w:rPr>
              <w:t>项目</w:t>
            </w:r>
            <w:r>
              <w:rPr>
                <w:rFonts w:hint="eastAsia" w:ascii="Times New Roman" w:hAnsi="Times New Roman"/>
                <w:color w:val="000000" w:themeColor="text1"/>
                <w:sz w:val="24"/>
                <w:szCs w:val="24"/>
                <w14:textFill>
                  <w14:solidFill>
                    <w14:schemeClr w14:val="tx1"/>
                  </w14:solidFill>
                </w14:textFill>
              </w:rPr>
              <w:t>喷淋</w:t>
            </w:r>
            <w:r>
              <w:rPr>
                <w:rFonts w:ascii="Times New Roman" w:hAnsi="Times New Roman"/>
                <w:color w:val="000000" w:themeColor="text1"/>
                <w:sz w:val="24"/>
                <w:szCs w:val="24"/>
                <w14:textFill>
                  <w14:solidFill>
                    <w14:schemeClr w14:val="tx1"/>
                  </w14:solidFill>
                </w14:textFill>
              </w:rPr>
              <w:t>废水经沉淀后循环使用，不外排</w:t>
            </w:r>
            <w:r>
              <w:rPr>
                <w:rFonts w:hint="eastAsia" w:ascii="Times New Roman" w:hAnsi="Times New Roman"/>
                <w:color w:val="000000" w:themeColor="text1"/>
                <w:sz w:val="24"/>
                <w:szCs w:val="24"/>
                <w14:textFill>
                  <w14:solidFill>
                    <w14:schemeClr w14:val="tx1"/>
                  </w14:solidFill>
                </w14:textFill>
              </w:rPr>
              <w:t>；初期雨水以及</w:t>
            </w:r>
            <w:r>
              <w:rPr>
                <w:rFonts w:hint="eastAsia" w:ascii="Times New Roman" w:hAnsi="Times New Roman"/>
                <w:color w:val="000000"/>
                <w:sz w:val="24"/>
              </w:rPr>
              <w:t>搅拌机清洗废水经沉淀处理后回用于搅拌用水以及降尘洒水，不外排</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sz w:val="24"/>
              </w:rPr>
              <w:t>因此本项目废水属于间接排放，</w:t>
            </w:r>
            <w:r>
              <w:rPr>
                <w:rFonts w:ascii="Times New Roman" w:hAnsi="Times New Roman"/>
                <w:sz w:val="24"/>
              </w:rPr>
              <w:t>本</w:t>
            </w:r>
            <w:r>
              <w:rPr>
                <w:rFonts w:ascii="Times New Roman" w:hAnsi="Times New Roman"/>
                <w:kern w:val="0"/>
                <w:sz w:val="24"/>
              </w:rPr>
              <w:t>项目地表水环境影响评价等级为三级B</w:t>
            </w:r>
            <w:r>
              <w:rPr>
                <w:rFonts w:ascii="Times New Roman" w:hAnsi="Times New Roman"/>
                <w:sz w:val="24"/>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上述废水主要污染物均为悬浮物。</w:t>
            </w:r>
            <w:r>
              <w:rPr>
                <w:rFonts w:hint="eastAsia" w:ascii="Times New Roman" w:hAnsi="Times New Roman"/>
                <w:color w:val="000000" w:themeColor="text1"/>
                <w:sz w:val="24"/>
                <w:szCs w:val="24"/>
                <w14:textFill>
                  <w14:solidFill>
                    <w14:schemeClr w14:val="tx1"/>
                  </w14:solidFill>
                </w14:textFill>
              </w:rPr>
              <w:t>搅拌</w:t>
            </w:r>
            <w:r>
              <w:rPr>
                <w:rFonts w:ascii="Times New Roman" w:hAnsi="Times New Roman"/>
                <w:color w:val="000000" w:themeColor="text1"/>
                <w:sz w:val="24"/>
                <w:szCs w:val="24"/>
                <w14:textFill>
                  <w14:solidFill>
                    <w14:schemeClr w14:val="tx1"/>
                  </w14:solidFill>
                </w14:textFill>
              </w:rPr>
              <w:t>工序用水对水质无要求，因此废水经沉淀，降低泥水中的SS含量后，上清液水质即可回用，参考国内同类型项目，大部分采用沉淀法处理含泥废水，该法技术成熟，处理效率良好，本项目选用此工艺处理生产废水是可行的。项目废水经沉淀后循环使用不仅能提高生产用水的循环使用率，减少用水量，降低生产成本，更大大减轻废水外排对周边环境的影响。</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由于生产场地是露天的，雨水量较大时产生的雨水含有较多的泥沙。</w:t>
            </w:r>
            <w:r>
              <w:rPr>
                <w:rFonts w:hint="eastAsia" w:ascii="Times New Roman" w:hAnsi="Times New Roman"/>
                <w:color w:val="000000" w:themeColor="text1"/>
                <w:sz w:val="24"/>
                <w:szCs w:val="24"/>
                <w14:textFill>
                  <w14:solidFill>
                    <w14:schemeClr w14:val="tx1"/>
                  </w14:solidFill>
                </w14:textFill>
              </w:rPr>
              <w:t>厂区东北</w:t>
            </w:r>
            <w:r>
              <w:rPr>
                <w:rFonts w:ascii="Times New Roman" w:hAnsi="Times New Roman"/>
                <w:color w:val="000000" w:themeColor="text1"/>
                <w:sz w:val="24"/>
                <w:szCs w:val="24"/>
                <w14:textFill>
                  <w14:solidFill>
                    <w14:schemeClr w14:val="tx1"/>
                  </w14:solidFill>
                </w14:textFill>
              </w:rPr>
              <w:t>侧建有1个雨水收集沉淀池，雨水经</w:t>
            </w:r>
            <w:r>
              <w:rPr>
                <w:rFonts w:hint="eastAsia" w:ascii="Times New Roman" w:hAnsi="Times New Roman"/>
                <w:color w:val="000000" w:themeColor="text1"/>
                <w:sz w:val="24"/>
                <w:szCs w:val="24"/>
                <w14:textFill>
                  <w14:solidFill>
                    <w14:schemeClr w14:val="tx1"/>
                  </w14:solidFill>
                </w14:textFill>
              </w:rPr>
              <w:t>雨水</w:t>
            </w:r>
            <w:r>
              <w:rPr>
                <w:rFonts w:ascii="Times New Roman" w:hAnsi="Times New Roman"/>
                <w:color w:val="000000" w:themeColor="text1"/>
                <w:sz w:val="24"/>
                <w:szCs w:val="24"/>
                <w14:textFill>
                  <w14:solidFill>
                    <w14:schemeClr w14:val="tx1"/>
                  </w14:solidFill>
                </w14:textFill>
              </w:rPr>
              <w:t>收集沉淀池沉淀处理后</w:t>
            </w:r>
            <w:r>
              <w:rPr>
                <w:rFonts w:hint="eastAsia" w:ascii="Times New Roman" w:hAnsi="Times New Roman"/>
                <w:color w:val="000000" w:themeColor="text1"/>
                <w:sz w:val="24"/>
                <w:szCs w:val="24"/>
                <w14:textFill>
                  <w14:solidFill>
                    <w14:schemeClr w14:val="tx1"/>
                  </w14:solidFill>
                </w14:textFill>
              </w:rPr>
              <w:t>用于搅拌用水、降尘</w:t>
            </w:r>
            <w:r>
              <w:rPr>
                <w:rFonts w:ascii="Times New Roman" w:hAns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根据分析可知，本项目生产废水处理工艺简单、设备少，在后期运行当中，仅需使用混凝剂和电即可，根据同类型项目的实际经验，运行成本约1元/m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废水。因此，该工艺在经济上是可行的。</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本项目厂区</w:t>
            </w:r>
            <w:r>
              <w:rPr>
                <w:rFonts w:hint="eastAsia" w:ascii="Times New Roman" w:hAnsi="Times New Roman"/>
                <w:color w:val="000000" w:themeColor="text1"/>
                <w:sz w:val="24"/>
                <w:szCs w:val="24"/>
                <w:u w:val="single"/>
                <w14:textFill>
                  <w14:solidFill>
                    <w14:schemeClr w14:val="tx1"/>
                  </w14:solidFill>
                </w14:textFill>
              </w:rPr>
              <w:t>多面</w:t>
            </w:r>
            <w:r>
              <w:rPr>
                <w:rFonts w:ascii="Times New Roman" w:hAnsi="Times New Roman"/>
                <w:color w:val="000000" w:themeColor="text1"/>
                <w:sz w:val="24"/>
                <w:szCs w:val="24"/>
                <w:u w:val="single"/>
                <w14:textFill>
                  <w14:solidFill>
                    <w14:schemeClr w14:val="tx1"/>
                  </w14:solidFill>
                </w14:textFill>
              </w:rPr>
              <w:t>环山，厂区四周及生产车间四周建设截洪沟和排水沟，四周山坡及生产车间四周汇集的雨水经截洪沟和排水沟收集后与厂区道路及裸露地表的汇集的雨水经截排水沟收集后进入</w:t>
            </w:r>
            <w:r>
              <w:rPr>
                <w:rFonts w:hint="eastAsia" w:ascii="Times New Roman" w:hAnsi="Times New Roman"/>
                <w:color w:val="000000" w:themeColor="text1"/>
                <w:sz w:val="24"/>
                <w:szCs w:val="24"/>
                <w:u w:val="single"/>
                <w14:textFill>
                  <w14:solidFill>
                    <w14:schemeClr w14:val="tx1"/>
                  </w14:solidFill>
                </w14:textFill>
              </w:rPr>
              <w:t>沉淀池</w:t>
            </w:r>
            <w:r>
              <w:rPr>
                <w:rFonts w:ascii="Times New Roman" w:hAnsi="Times New Roman"/>
                <w:color w:val="000000" w:themeColor="text1"/>
                <w:sz w:val="24"/>
                <w:szCs w:val="24"/>
                <w:u w:val="single"/>
                <w14:textFill>
                  <w14:solidFill>
                    <w14:schemeClr w14:val="tx1"/>
                  </w14:solidFill>
                </w14:textFill>
              </w:rPr>
              <w:t>。初期雨水沉淀池工艺见图6-2。</w:t>
            </w:r>
          </w:p>
          <w:p>
            <w:pPr>
              <w:spacing w:line="360" w:lineRule="auto"/>
              <w:jc w:val="center"/>
              <w:rPr>
                <w:rFonts w:ascii="Times New Roman" w:hAnsi="Times New Roman"/>
                <w:sz w:val="24"/>
                <w:u w:val="single"/>
              </w:rPr>
            </w:pPr>
            <w:r>
              <w:rPr>
                <w:rFonts w:ascii="Times New Roman" w:hAnsi="Times New Roman"/>
                <w:u w:val="single"/>
              </w:rPr>
              <w:drawing>
                <wp:inline distT="0" distB="0" distL="114300" distR="114300">
                  <wp:extent cx="4940300" cy="3705225"/>
                  <wp:effectExtent l="0" t="0" r="0" b="952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20" cstate="print"/>
                          <a:stretch>
                            <a:fillRect/>
                          </a:stretch>
                        </pic:blipFill>
                        <pic:spPr>
                          <a:xfrm>
                            <a:off x="0" y="0"/>
                            <a:ext cx="4940300" cy="3705225"/>
                          </a:xfrm>
                          <a:prstGeom prst="rect">
                            <a:avLst/>
                          </a:prstGeom>
                          <a:noFill/>
                          <a:ln>
                            <a:noFill/>
                          </a:ln>
                        </pic:spPr>
                      </pic:pic>
                    </a:graphicData>
                  </a:graphic>
                </wp:inline>
              </w:drawing>
            </w:r>
          </w:p>
          <w:p>
            <w:pPr>
              <w:spacing w:line="360" w:lineRule="auto"/>
              <w:jc w:val="center"/>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图</w:t>
            </w:r>
            <w:r>
              <w:rPr>
                <w:rFonts w:hint="eastAsia" w:ascii="Times New Roman" w:hAnsi="Times New Roman"/>
                <w:b/>
                <w:bCs/>
                <w:color w:val="000000" w:themeColor="text1"/>
                <w:sz w:val="24"/>
                <w:szCs w:val="24"/>
                <w:u w:val="single"/>
                <w14:textFill>
                  <w14:solidFill>
                    <w14:schemeClr w14:val="tx1"/>
                  </w14:solidFill>
                </w14:textFill>
              </w:rPr>
              <w:t>6</w:t>
            </w:r>
            <w:r>
              <w:rPr>
                <w:rFonts w:ascii="Times New Roman" w:hAnsi="Times New Roman"/>
                <w:b/>
                <w:bCs/>
                <w:color w:val="000000" w:themeColor="text1"/>
                <w:sz w:val="24"/>
                <w:szCs w:val="24"/>
                <w:u w:val="single"/>
                <w14:textFill>
                  <w14:solidFill>
                    <w14:schemeClr w14:val="tx1"/>
                  </w14:solidFill>
                </w14:textFill>
              </w:rPr>
              <w:t>-2  初期雨水沉淀池示意图</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项目初期雨水沉淀池由沉淀池、冲洗集砂槽、储水池、岔道井、出水井、溢流堰及相应控制闸门等组成，储水池主要用来储存水对沉淀池底进行冲洗。沉淀池用于正常情况初期雨水污染物沉淀，上清液储存至储水池，回用作</w:t>
            </w:r>
            <w:r>
              <w:rPr>
                <w:rFonts w:hint="eastAsia" w:ascii="Times New Roman" w:hAnsi="Times New Roman"/>
                <w:color w:val="000000" w:themeColor="text1"/>
                <w:sz w:val="24"/>
                <w:szCs w:val="24"/>
                <w:u w:val="single"/>
                <w14:textFill>
                  <w14:solidFill>
                    <w14:schemeClr w14:val="tx1"/>
                  </w14:solidFill>
                </w14:textFill>
              </w:rPr>
              <w:t>搅拌用水</w:t>
            </w:r>
            <w:r>
              <w:rPr>
                <w:rFonts w:ascii="Times New Roman" w:hAnsi="Times New Roman"/>
                <w:color w:val="000000" w:themeColor="text1"/>
                <w:sz w:val="24"/>
                <w:szCs w:val="24"/>
                <w:u w:val="single"/>
                <w14:textFill>
                  <w14:solidFill>
                    <w14:schemeClr w14:val="tx1"/>
                  </w14:solidFill>
                </w14:textFill>
              </w:rPr>
              <w:t>和场地抑尘用水；泥沙沉于池底，经冲洗进入冲洗集砂槽，定期清理外运处置</w:t>
            </w:r>
            <w:r>
              <w:rPr>
                <w:rFonts w:ascii="Times New Roman" w:hAnsi="Times New Roman"/>
                <w:color w:val="000000" w:themeColor="text1"/>
                <w:sz w:val="24"/>
                <w:szCs w:val="24"/>
                <w14:textFill>
                  <w14:solidFill>
                    <w14:schemeClr w14:val="tx1"/>
                  </w14:solidFill>
                </w14:textFill>
              </w:rPr>
              <w:t>。如出现事故情况则用来蓄纳事故废水。设计和建设溢流堰时应注意以下几点：</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a、为防止漂浮物溢出，溢流堰可设浮渣档板或撇渣器。</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b、应有足够的水位差以备雨天有额外的事故容量。</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c、溢流堰负荷应按最大进水量设计。</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废水收集管道和沉淀池防渗要求：</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防止地下水污染应遵循源头控制、防止渗漏、污染监测及事故应急处理的主动与被动防渗相结合，以及分区防控的设计原则。主动防渗措施即源头控制措施，主要包括在工艺、管道、设备、控制等方面采取相应措施，防止污染物泄漏；被动防渗措施即末端防渗措施，当污染物发生泄漏后，采取相应措施防止污染物进入地下。本评价主要对源头控制措施，即废水收集管道和沉淀池防渗要求。</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管材的选择可选用U-PVC这种材质，选用这种材质主要是因为其具有较强的抗腐蚀性，强度较大的U-PVC管道，这类材质的造价比较低，而且抗腐蚀性更强，可以有效的延长污水管道的使用寿命。</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沉淀池防渗可以结合实际现场情况选用水泥土搅拌压实防渗措施，即利用常规标号水泥与天然土壤进行拌和，然后利用压路机进行碾压，在地表形成一层不透水盖层，达到地基防渗之功效。施工程序：水泥：土混合比例量为3</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7，将地表天然土壤搅拌均匀，然后分层利用压路机碾压或夯实。水泥土结构致密，其渗透系数可小于1×10</w:t>
            </w:r>
            <w:r>
              <w:rPr>
                <w:rFonts w:ascii="Times New Roman" w:hAnsi="Times New Roman"/>
                <w:color w:val="000000" w:themeColor="text1"/>
                <w:sz w:val="24"/>
                <w:szCs w:val="24"/>
                <w:u w:val="single"/>
                <w:vertAlign w:val="superscript"/>
                <w14:textFill>
                  <w14:solidFill>
                    <w14:schemeClr w14:val="tx1"/>
                  </w14:solidFill>
                </w14:textFill>
              </w:rPr>
              <w:t>-9</w:t>
            </w:r>
            <w:r>
              <w:rPr>
                <w:rFonts w:ascii="Times New Roman" w:hAnsi="Times New Roman"/>
                <w:color w:val="000000" w:themeColor="text1"/>
                <w:sz w:val="24"/>
                <w:szCs w:val="24"/>
                <w:u w:val="single"/>
                <w14:textFill>
                  <w14:solidFill>
                    <w14:schemeClr w14:val="tx1"/>
                  </w14:solidFill>
                </w14:textFill>
              </w:rPr>
              <w:t>~1×10</w:t>
            </w:r>
            <w:r>
              <w:rPr>
                <w:rFonts w:ascii="Times New Roman" w:hAnsi="Times New Roman"/>
                <w:color w:val="000000" w:themeColor="text1"/>
                <w:sz w:val="24"/>
                <w:szCs w:val="24"/>
                <w:u w:val="single"/>
                <w:vertAlign w:val="superscript"/>
                <w14:textFill>
                  <w14:solidFill>
                    <w14:schemeClr w14:val="tx1"/>
                  </w14:solidFill>
                </w14:textFill>
              </w:rPr>
              <w:t>-11</w:t>
            </w:r>
            <w:r>
              <w:rPr>
                <w:rFonts w:ascii="Times New Roman" w:hAnsi="Times New Roman"/>
                <w:color w:val="000000" w:themeColor="text1"/>
                <w:sz w:val="24"/>
                <w:szCs w:val="24"/>
                <w:u w:val="single"/>
                <w14:textFill>
                  <w14:solidFill>
                    <w14:schemeClr w14:val="tx1"/>
                  </w14:solidFill>
                </w14:textFill>
              </w:rPr>
              <w:t>cm/s（《地基处理手册》第二版），防渗效果甚佳，再加上其他防渗措施，整个沉淀池各部分防渗系数均能够满足1×10</w:t>
            </w:r>
            <w:r>
              <w:rPr>
                <w:rFonts w:ascii="Times New Roman" w:hAnsi="Times New Roman"/>
                <w:color w:val="000000" w:themeColor="text1"/>
                <w:sz w:val="24"/>
                <w:szCs w:val="24"/>
                <w:u w:val="single"/>
                <w:vertAlign w:val="superscript"/>
                <w14:textFill>
                  <w14:solidFill>
                    <w14:schemeClr w14:val="tx1"/>
                  </w14:solidFill>
                </w14:textFill>
              </w:rPr>
              <w:t>-7</w:t>
            </w:r>
            <w:r>
              <w:rPr>
                <w:rFonts w:ascii="Times New Roman" w:hAnsi="Times New Roman"/>
                <w:color w:val="000000" w:themeColor="text1"/>
                <w:sz w:val="24"/>
                <w:szCs w:val="24"/>
                <w:u w:val="single"/>
                <w14:textFill>
                  <w14:solidFill>
                    <w14:schemeClr w14:val="tx1"/>
                  </w14:solidFill>
                </w14:textFill>
              </w:rPr>
              <w:t>cm/s。水泥土施工过程中特别加强含水量、施工缝、密实度的质量控制，在回填时注意按规范施工、配比，错层设置，加强养护管理，及时取样检验压路机碾压或夯实密实度，若有问题及时整改。</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废水处理事故防范措施：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本项目废水中SS的含量较高，若未经处理直接排放或废水渗漏将造成周边水体和土壤的污染。为防止生产废水事故排放，本环评要求建设单位采取以下措施：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a、为了防止含泥废水下渗引起地下水和土壤的污染问题，或者废水溢出沉淀池及循环水池，环评要求项目建设单位做好场区地面硬化措施，并且对沉淀池以及循环水池 采取防渗漏防溢出措施。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b、及时清理排水沟(管)和沉淀池中的淤泥，以保障废水处理系统的处理效果；废水处理池缘要高于地面10cm，防止雨水灌入导致污染物外溢。</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窑炉烟气处理拟设计采用湿式双碱法工艺，脱硫废液拟经沉淀再生处理后，全部循</w:t>
            </w:r>
            <w:r>
              <w:rPr>
                <w:rFonts w:ascii="Times New Roman" w:hAnsi="Times New Roman"/>
                <w:color w:val="000000" w:themeColor="text1"/>
                <w:sz w:val="24"/>
                <w:szCs w:val="24"/>
                <w14:textFill>
                  <w14:solidFill>
                    <w14:schemeClr w14:val="tx1"/>
                  </w14:solidFill>
                </w14:textFill>
              </w:rPr>
              <w:t>环使用，不外排，仅需补充因蒸发和淤泥存留损失的新鲜水。循环再生沉淀池最小容积为100</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，池内分三格（体池按规范要求进行防渗、防溢处理，池周边设围栏围挡及警示标志）。</w:t>
            </w:r>
          </w:p>
          <w:p>
            <w:pPr>
              <w:spacing w:line="360" w:lineRule="auto"/>
              <w:ind w:firstLine="480" w:firstLineChars="200"/>
              <w:rPr>
                <w:rFonts w:ascii="Times New Roman" w:hAnsi="Times New Roman"/>
                <w:sz w:val="24"/>
              </w:rPr>
            </w:pPr>
            <w:r>
              <w:rPr>
                <w:rFonts w:ascii="Times New Roman" w:hAnsi="Times New Roman"/>
                <w:color w:val="000000" w:themeColor="text1"/>
                <w:sz w:val="24"/>
                <w:szCs w:val="24"/>
                <w14:textFill>
                  <w14:solidFill>
                    <w14:schemeClr w14:val="tx1"/>
                  </w14:solidFill>
                </w14:textFill>
              </w:rPr>
              <w:t>采取上述措施后，项目的建设不会对区域内水体产生明显不利影响。</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3 声环境影响分析</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1）预测模型</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对某受声点的声压级，然后再叠加，即得到该点的总声压级。预测公式如下：</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①</w:t>
            </w:r>
            <w:r>
              <w:rPr>
                <w:rFonts w:ascii="Times New Roman" w:hAnsi="Times New Roman"/>
                <w:color w:val="000000" w:themeColor="text1"/>
                <w:sz w:val="24"/>
                <w:szCs w:val="24"/>
                <w14:textFill>
                  <w14:solidFill>
                    <w14:schemeClr w14:val="tx1"/>
                  </w14:solidFill>
                </w14:textFill>
              </w:rPr>
              <w:t>点源传播衰减模式：</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po</w:t>
            </w:r>
            <w:r>
              <w:rPr>
                <w:rFonts w:ascii="Times New Roman" w:hAnsi="Times New Roman"/>
                <w:color w:val="000000" w:themeColor="text1"/>
                <w:sz w:val="24"/>
                <w:szCs w:val="24"/>
                <w14:textFill>
                  <w14:solidFill>
                    <w14:schemeClr w14:val="tx1"/>
                  </w14:solidFill>
                </w14:textFill>
              </w:rPr>
              <w:t>-20lg（r/r</w:t>
            </w:r>
            <w:r>
              <w:rPr>
                <w:rFonts w:ascii="Times New Roman" w:hAnsi="Times New Roman"/>
                <w:color w:val="000000" w:themeColor="text1"/>
                <w:sz w:val="24"/>
                <w:szCs w:val="24"/>
                <w:vertAlign w:val="subscript"/>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）-∆L</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式中：L</w:t>
            </w:r>
            <w:r>
              <w:rPr>
                <w:rFonts w:ascii="Times New Roman" w:hAnsi="Times New Roman"/>
                <w:color w:val="000000" w:themeColor="text1"/>
                <w:sz w:val="24"/>
                <w:szCs w:val="24"/>
                <w:vertAlign w:val="subscript"/>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——距声源r米处声压级，dB(A)；</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po</w:t>
            </w:r>
            <w:r>
              <w:rPr>
                <w:rFonts w:ascii="Times New Roman" w:hAnsi="Times New Roman"/>
                <w:color w:val="000000" w:themeColor="text1"/>
                <w:sz w:val="24"/>
                <w:szCs w:val="24"/>
                <w14:textFill>
                  <w14:solidFill>
                    <w14:schemeClr w14:val="tx1"/>
                  </w14:solidFill>
                </w14:textFill>
              </w:rPr>
              <w:t>——距声源r0米处的声压级，dB(A)；</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r——距声源的距离，m；</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vertAlign w:val="subscript"/>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——距声源1m；</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∆L——各种衰减量，dB(A)。</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w:t>
            </w:r>
            <w:r>
              <w:rPr>
                <w:rFonts w:ascii="Times New Roman" w:hAnsi="Times New Roman"/>
                <w:color w:val="000000" w:themeColor="text1"/>
                <w:sz w:val="24"/>
                <w:szCs w:val="24"/>
                <w14:textFill>
                  <w14:solidFill>
                    <w14:schemeClr w14:val="tx1"/>
                  </w14:solidFill>
                </w14:textFill>
              </w:rPr>
              <w:t>多声源在某一点的影响叠加模式：</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Lpj=101g（Σin 100.1L</w:t>
            </w:r>
            <w:r>
              <w:rPr>
                <w:rFonts w:ascii="Times New Roman" w:hAnsi="Times New Roman"/>
                <w:color w:val="000000" w:themeColor="text1"/>
                <w:sz w:val="24"/>
                <w:szCs w:val="24"/>
                <w:vertAlign w:val="subscript"/>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式中：Lpj——j点处的总声压级，dB(A)；</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——i噪声源对受声点的噪声影响值，dB(A)；</w:t>
            </w:r>
          </w:p>
          <w:p>
            <w:pPr>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n——噪声源个数。</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预测过程中，根据实际情况，项目噪声源按室内声源对待，在预测车间内噪声源对车间外影响时，车间等建筑物的隔声量按照一般建筑材料对待，在本次预测中，考虑设备基础减震消声、厂房等建筑物隔声和绿化隔声，故取∆L为20~25dB(A)。</w:t>
            </w:r>
          </w:p>
          <w:p>
            <w:pPr>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2）预测结果及分析</w:t>
            </w:r>
          </w:p>
          <w:p>
            <w:pPr>
              <w:snapToGrid w:val="0"/>
              <w:spacing w:line="360" w:lineRule="auto"/>
              <w:ind w:firstLine="480" w:firstLineChars="200"/>
              <w:rPr>
                <w:rFonts w:ascii="Times New Roman" w:hAnsi="Times New Roman"/>
              </w:rPr>
            </w:pPr>
            <w:r>
              <w:rPr>
                <w:rFonts w:ascii="Times New Roman" w:hAnsi="Times New Roman"/>
                <w:color w:val="000000" w:themeColor="text1"/>
                <w:sz w:val="24"/>
                <w:szCs w:val="24"/>
                <w14:textFill>
                  <w14:solidFill>
                    <w14:schemeClr w14:val="tx1"/>
                  </w14:solidFill>
                </w14:textFill>
              </w:rPr>
              <w:t>本项目生产车间产生噪声和环境噪声影响预测结果如表6</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所示。</w:t>
            </w:r>
          </w:p>
          <w:p>
            <w:pPr>
              <w:spacing w:line="360" w:lineRule="auto"/>
              <w:jc w:val="center"/>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表6</w:t>
            </w:r>
            <w:r>
              <w:rPr>
                <w:rFonts w:hint="eastAsia" w:ascii="Times New Roman" w:hAnsi="Times New Roman"/>
                <w:b/>
                <w:bCs/>
                <w:color w:val="000000" w:themeColor="text1"/>
                <w:sz w:val="24"/>
                <w:szCs w:val="24"/>
                <w:u w:val="single"/>
                <w14:textFill>
                  <w14:solidFill>
                    <w14:schemeClr w14:val="tx1"/>
                  </w14:solidFill>
                </w14:textFill>
              </w:rPr>
              <w:t>-</w:t>
            </w:r>
            <w:r>
              <w:rPr>
                <w:rFonts w:ascii="Times New Roman" w:hAnsi="Times New Roman"/>
                <w:b/>
                <w:bCs/>
                <w:color w:val="000000" w:themeColor="text1"/>
                <w:sz w:val="24"/>
                <w:szCs w:val="24"/>
                <w:u w:val="single"/>
                <w14:textFill>
                  <w14:solidFill>
                    <w14:schemeClr w14:val="tx1"/>
                  </w14:solidFill>
                </w14:textFill>
              </w:rPr>
              <w:t>1</w:t>
            </w:r>
            <w:r>
              <w:rPr>
                <w:rFonts w:hint="eastAsia" w:ascii="Times New Roman" w:hAnsi="Times New Roman"/>
                <w:b/>
                <w:bCs/>
                <w:color w:val="000000" w:themeColor="text1"/>
                <w:sz w:val="24"/>
                <w:szCs w:val="24"/>
                <w:u w:val="single"/>
                <w14:textFill>
                  <w14:solidFill>
                    <w14:schemeClr w14:val="tx1"/>
                  </w14:solidFill>
                </w14:textFill>
              </w:rPr>
              <w:t>2</w:t>
            </w:r>
            <w:r>
              <w:rPr>
                <w:rFonts w:ascii="Times New Roman" w:hAnsi="Times New Roman"/>
                <w:b/>
                <w:bCs/>
                <w:color w:val="000000" w:themeColor="text1"/>
                <w:sz w:val="24"/>
                <w:szCs w:val="24"/>
                <w:u w:val="single"/>
                <w14:textFill>
                  <w14:solidFill>
                    <w14:schemeClr w14:val="tx1"/>
                  </w14:solidFill>
                </w14:textFill>
              </w:rPr>
              <w:t xml:space="preserve">  厂界噪声和环境噪声影响预测结果</w:t>
            </w:r>
            <w:r>
              <w:rPr>
                <w:rFonts w:hint="eastAsia" w:ascii="Times New Roman" w:hAnsi="Times New Roman"/>
                <w:b/>
                <w:bCs/>
                <w:color w:val="000000" w:themeColor="text1"/>
                <w:sz w:val="24"/>
                <w:szCs w:val="24"/>
                <w:u w:val="single"/>
                <w14:textFill>
                  <w14:solidFill>
                    <w14:schemeClr w14:val="tx1"/>
                  </w14:solidFill>
                </w14:textFill>
              </w:rPr>
              <w:t xml:space="preserve"> </w:t>
            </w:r>
            <w:r>
              <w:rPr>
                <w:rFonts w:ascii="Times New Roman" w:hAnsi="Times New Roman"/>
                <w:b/>
                <w:bCs/>
                <w:color w:val="000000" w:themeColor="text1"/>
                <w:sz w:val="24"/>
                <w:szCs w:val="24"/>
                <w:u w:val="single"/>
                <w14:textFill>
                  <w14:solidFill>
                    <w14:schemeClr w14:val="tx1"/>
                  </w14:solidFill>
                </w14:textFill>
              </w:rPr>
              <w:t xml:space="preserve"> 单位:dB(A)</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7"/>
              <w:gridCol w:w="1890"/>
              <w:gridCol w:w="2035"/>
              <w:gridCol w:w="1887"/>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Align w:val="center"/>
                </w:tcPr>
                <w:p>
                  <w:pPr>
                    <w:jc w:val="center"/>
                    <w:rPr>
                      <w:rFonts w:ascii="Times New Roman" w:hAnsi="Times New Roman"/>
                      <w:b/>
                      <w:bCs/>
                      <w:szCs w:val="21"/>
                      <w:u w:val="single"/>
                    </w:rPr>
                  </w:pPr>
                  <w:r>
                    <w:rPr>
                      <w:rFonts w:ascii="Times New Roman" w:hAnsi="Times New Roman"/>
                      <w:b/>
                      <w:bCs/>
                      <w:szCs w:val="21"/>
                      <w:u w:val="single"/>
                    </w:rPr>
                    <w:t>系统名称</w:t>
                  </w:r>
                </w:p>
              </w:tc>
              <w:tc>
                <w:tcPr>
                  <w:tcW w:w="1843" w:type="dxa"/>
                  <w:vAlign w:val="center"/>
                </w:tcPr>
                <w:p>
                  <w:pPr>
                    <w:jc w:val="center"/>
                    <w:rPr>
                      <w:rFonts w:ascii="Times New Roman" w:hAnsi="Times New Roman"/>
                      <w:b/>
                      <w:bCs/>
                      <w:szCs w:val="21"/>
                      <w:u w:val="single"/>
                    </w:rPr>
                  </w:pPr>
                  <w:r>
                    <w:rPr>
                      <w:rFonts w:ascii="Times New Roman" w:hAnsi="Times New Roman"/>
                      <w:b/>
                      <w:bCs/>
                      <w:szCs w:val="21"/>
                      <w:u w:val="single"/>
                    </w:rPr>
                    <w:t>时间段</w:t>
                  </w:r>
                </w:p>
              </w:tc>
              <w:tc>
                <w:tcPr>
                  <w:tcW w:w="1984" w:type="dxa"/>
                  <w:vAlign w:val="center"/>
                </w:tcPr>
                <w:p>
                  <w:pPr>
                    <w:jc w:val="center"/>
                    <w:rPr>
                      <w:rFonts w:ascii="Times New Roman" w:hAnsi="Times New Roman"/>
                      <w:b/>
                      <w:bCs/>
                      <w:szCs w:val="21"/>
                      <w:u w:val="single"/>
                    </w:rPr>
                  </w:pPr>
                  <w:r>
                    <w:rPr>
                      <w:rFonts w:ascii="Times New Roman" w:hAnsi="Times New Roman"/>
                      <w:b/>
                      <w:bCs/>
                      <w:szCs w:val="21"/>
                      <w:u w:val="single"/>
                    </w:rPr>
                    <w:t>预测点</w:t>
                  </w:r>
                </w:p>
              </w:tc>
              <w:tc>
                <w:tcPr>
                  <w:tcW w:w="1840" w:type="dxa"/>
                  <w:vAlign w:val="center"/>
                </w:tcPr>
                <w:p>
                  <w:pPr>
                    <w:jc w:val="center"/>
                    <w:rPr>
                      <w:rFonts w:ascii="Times New Roman" w:hAnsi="Times New Roman"/>
                      <w:b/>
                      <w:bCs/>
                      <w:szCs w:val="21"/>
                      <w:u w:val="single"/>
                    </w:rPr>
                  </w:pPr>
                  <w:r>
                    <w:rPr>
                      <w:rFonts w:ascii="Times New Roman" w:hAnsi="Times New Roman"/>
                      <w:b/>
                      <w:bCs/>
                      <w:szCs w:val="21"/>
                      <w:u w:val="single"/>
                    </w:rPr>
                    <w:t>预测值</w:t>
                  </w:r>
                </w:p>
              </w:tc>
              <w:tc>
                <w:tcPr>
                  <w:tcW w:w="1297" w:type="dxa"/>
                  <w:vAlign w:val="center"/>
                </w:tcPr>
                <w:p>
                  <w:pPr>
                    <w:jc w:val="center"/>
                    <w:rPr>
                      <w:rFonts w:ascii="Times New Roman" w:hAnsi="Times New Roman"/>
                      <w:b/>
                      <w:bCs/>
                      <w:szCs w:val="21"/>
                      <w:u w:val="single"/>
                    </w:rPr>
                  </w:pPr>
                  <w:r>
                    <w:rPr>
                      <w:rFonts w:ascii="Times New Roman" w:hAnsi="Times New Roman"/>
                      <w:b/>
                      <w:bCs/>
                      <w:szCs w:val="21"/>
                      <w:u w:val="single"/>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restart"/>
                  <w:vAlign w:val="center"/>
                </w:tcPr>
                <w:p>
                  <w:pPr>
                    <w:jc w:val="center"/>
                    <w:rPr>
                      <w:rFonts w:ascii="Times New Roman" w:hAnsi="Times New Roman"/>
                      <w:szCs w:val="21"/>
                      <w:u w:val="single"/>
                    </w:rPr>
                  </w:pPr>
                  <w:r>
                    <w:rPr>
                      <w:rFonts w:ascii="Times New Roman" w:hAnsi="Times New Roman"/>
                      <w:szCs w:val="21"/>
                      <w:u w:val="single"/>
                    </w:rPr>
                    <w:t>厂区</w:t>
                  </w:r>
                </w:p>
              </w:tc>
              <w:tc>
                <w:tcPr>
                  <w:tcW w:w="1843" w:type="dxa"/>
                  <w:vMerge w:val="restart"/>
                  <w:vAlign w:val="center"/>
                </w:tcPr>
                <w:p>
                  <w:pPr>
                    <w:jc w:val="center"/>
                    <w:rPr>
                      <w:rFonts w:ascii="Times New Roman" w:hAnsi="Times New Roman"/>
                      <w:szCs w:val="21"/>
                      <w:u w:val="single"/>
                    </w:rPr>
                  </w:pPr>
                  <w:r>
                    <w:rPr>
                      <w:rFonts w:ascii="Times New Roman" w:hAnsi="Times New Roman"/>
                      <w:szCs w:val="21"/>
                      <w:u w:val="single"/>
                    </w:rPr>
                    <w:t>昼间</w:t>
                  </w:r>
                </w:p>
              </w:tc>
              <w:tc>
                <w:tcPr>
                  <w:tcW w:w="1984" w:type="dxa"/>
                  <w:vAlign w:val="center"/>
                </w:tcPr>
                <w:p>
                  <w:pPr>
                    <w:jc w:val="center"/>
                    <w:rPr>
                      <w:rFonts w:ascii="Times New Roman" w:hAnsi="Times New Roman"/>
                      <w:szCs w:val="21"/>
                      <w:u w:val="single"/>
                    </w:rPr>
                  </w:pPr>
                  <w:r>
                    <w:rPr>
                      <w:rFonts w:ascii="Times New Roman" w:hAnsi="Times New Roman"/>
                      <w:szCs w:val="21"/>
                      <w:u w:val="single"/>
                    </w:rPr>
                    <w:t>东</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54.3</w:t>
                  </w:r>
                </w:p>
              </w:tc>
              <w:tc>
                <w:tcPr>
                  <w:tcW w:w="1297" w:type="dxa"/>
                  <w:vMerge w:val="restart"/>
                  <w:vAlign w:val="center"/>
                </w:tcPr>
                <w:p>
                  <w:pPr>
                    <w:jc w:val="center"/>
                    <w:rPr>
                      <w:rFonts w:ascii="Times New Roman" w:hAnsi="Times New Roman"/>
                      <w:szCs w:val="21"/>
                      <w:u w:val="single"/>
                    </w:rPr>
                  </w:pPr>
                  <w:r>
                    <w:rPr>
                      <w:rFonts w:ascii="Times New Roman" w:hAnsi="Times New Roman"/>
                      <w:szCs w:val="21"/>
                      <w:u w:val="singl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南</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53.6</w:t>
                  </w:r>
                </w:p>
              </w:tc>
              <w:tc>
                <w:tcPr>
                  <w:tcW w:w="1297" w:type="dxa"/>
                  <w:vMerge w:val="continue"/>
                  <w:vAlign w:val="center"/>
                </w:tcPr>
                <w:p>
                  <w:pPr>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西</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54.6</w:t>
                  </w:r>
                </w:p>
              </w:tc>
              <w:tc>
                <w:tcPr>
                  <w:tcW w:w="1297" w:type="dxa"/>
                  <w:vMerge w:val="continue"/>
                  <w:vAlign w:val="center"/>
                </w:tcPr>
                <w:p>
                  <w:pPr>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北</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54.6</w:t>
                  </w:r>
                </w:p>
              </w:tc>
              <w:tc>
                <w:tcPr>
                  <w:tcW w:w="1297" w:type="dxa"/>
                  <w:vMerge w:val="continue"/>
                  <w:vAlign w:val="center"/>
                </w:tcPr>
                <w:p>
                  <w:pPr>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restart"/>
                  <w:vAlign w:val="center"/>
                </w:tcPr>
                <w:p>
                  <w:pPr>
                    <w:jc w:val="center"/>
                    <w:rPr>
                      <w:rFonts w:ascii="Times New Roman" w:hAnsi="Times New Roman"/>
                      <w:szCs w:val="21"/>
                      <w:u w:val="single"/>
                    </w:rPr>
                  </w:pPr>
                  <w:r>
                    <w:rPr>
                      <w:rFonts w:ascii="Times New Roman" w:hAnsi="Times New Roman"/>
                      <w:szCs w:val="21"/>
                      <w:u w:val="single"/>
                    </w:rPr>
                    <w:t>夜间</w:t>
                  </w:r>
                </w:p>
              </w:tc>
              <w:tc>
                <w:tcPr>
                  <w:tcW w:w="1984" w:type="dxa"/>
                  <w:vAlign w:val="center"/>
                </w:tcPr>
                <w:p>
                  <w:pPr>
                    <w:jc w:val="center"/>
                    <w:rPr>
                      <w:rFonts w:ascii="Times New Roman" w:hAnsi="Times New Roman"/>
                      <w:szCs w:val="21"/>
                      <w:u w:val="single"/>
                    </w:rPr>
                  </w:pPr>
                  <w:r>
                    <w:rPr>
                      <w:rFonts w:ascii="Times New Roman" w:hAnsi="Times New Roman"/>
                      <w:szCs w:val="21"/>
                      <w:u w:val="single"/>
                    </w:rPr>
                    <w:t>东</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48.7</w:t>
                  </w:r>
                </w:p>
              </w:tc>
              <w:tc>
                <w:tcPr>
                  <w:tcW w:w="1297" w:type="dxa"/>
                  <w:vMerge w:val="restart"/>
                  <w:vAlign w:val="center"/>
                </w:tcPr>
                <w:p>
                  <w:pPr>
                    <w:jc w:val="center"/>
                    <w:rPr>
                      <w:rFonts w:ascii="Times New Roman" w:hAnsi="Times New Roman"/>
                      <w:szCs w:val="21"/>
                      <w:u w:val="single"/>
                    </w:rPr>
                  </w:pPr>
                  <w:r>
                    <w:rPr>
                      <w:rFonts w:ascii="Times New Roman" w:hAnsi="Times New Roman"/>
                      <w:szCs w:val="21"/>
                      <w:u w:val="singl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南</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47.2</w:t>
                  </w:r>
                </w:p>
              </w:tc>
              <w:tc>
                <w:tcPr>
                  <w:tcW w:w="1297" w:type="dxa"/>
                  <w:vMerge w:val="continue"/>
                  <w:vAlign w:val="center"/>
                </w:tcPr>
                <w:p>
                  <w:pPr>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西</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46.4</w:t>
                  </w:r>
                </w:p>
              </w:tc>
              <w:tc>
                <w:tcPr>
                  <w:tcW w:w="1297" w:type="dxa"/>
                  <w:vMerge w:val="continue"/>
                  <w:vAlign w:val="center"/>
                </w:tcPr>
                <w:p>
                  <w:pPr>
                    <w:jc w:val="center"/>
                    <w:rPr>
                      <w:rFonts w:ascii="Times New Roman" w:hAnsi="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0" w:type="dxa"/>
                  <w:vMerge w:val="continue"/>
                  <w:vAlign w:val="center"/>
                </w:tcPr>
                <w:p>
                  <w:pPr>
                    <w:jc w:val="center"/>
                    <w:rPr>
                      <w:rFonts w:ascii="Times New Roman" w:hAnsi="Times New Roman"/>
                      <w:szCs w:val="21"/>
                      <w:u w:val="single"/>
                    </w:rPr>
                  </w:pPr>
                </w:p>
              </w:tc>
              <w:tc>
                <w:tcPr>
                  <w:tcW w:w="1843" w:type="dxa"/>
                  <w:vMerge w:val="continue"/>
                  <w:vAlign w:val="center"/>
                </w:tcPr>
                <w:p>
                  <w:pPr>
                    <w:jc w:val="center"/>
                    <w:rPr>
                      <w:rFonts w:ascii="Times New Roman" w:hAnsi="Times New Roman"/>
                      <w:szCs w:val="21"/>
                      <w:u w:val="single"/>
                    </w:rPr>
                  </w:pPr>
                </w:p>
              </w:tc>
              <w:tc>
                <w:tcPr>
                  <w:tcW w:w="1984" w:type="dxa"/>
                  <w:vAlign w:val="center"/>
                </w:tcPr>
                <w:p>
                  <w:pPr>
                    <w:jc w:val="center"/>
                    <w:rPr>
                      <w:rFonts w:ascii="Times New Roman" w:hAnsi="Times New Roman"/>
                      <w:szCs w:val="21"/>
                      <w:u w:val="single"/>
                    </w:rPr>
                  </w:pPr>
                  <w:r>
                    <w:rPr>
                      <w:rFonts w:ascii="Times New Roman" w:hAnsi="Times New Roman"/>
                      <w:szCs w:val="21"/>
                      <w:u w:val="single"/>
                    </w:rPr>
                    <w:t>北</w:t>
                  </w:r>
                </w:p>
              </w:tc>
              <w:tc>
                <w:tcPr>
                  <w:tcW w:w="1840" w:type="dxa"/>
                  <w:vAlign w:val="center"/>
                </w:tcPr>
                <w:p>
                  <w:pPr>
                    <w:jc w:val="center"/>
                    <w:rPr>
                      <w:rFonts w:ascii="Times New Roman" w:hAnsi="Times New Roman"/>
                      <w:szCs w:val="21"/>
                      <w:u w:val="single"/>
                    </w:rPr>
                  </w:pPr>
                  <w:r>
                    <w:rPr>
                      <w:rFonts w:ascii="Times New Roman" w:hAnsi="Times New Roman"/>
                      <w:szCs w:val="21"/>
                      <w:u w:val="single"/>
                    </w:rPr>
                    <w:t>46.4</w:t>
                  </w:r>
                </w:p>
              </w:tc>
              <w:tc>
                <w:tcPr>
                  <w:tcW w:w="1297" w:type="dxa"/>
                  <w:vMerge w:val="continue"/>
                  <w:vAlign w:val="center"/>
                </w:tcPr>
                <w:p>
                  <w:pPr>
                    <w:jc w:val="center"/>
                    <w:rPr>
                      <w:rFonts w:ascii="Times New Roman" w:hAnsi="Times New Roman"/>
                      <w:szCs w:val="21"/>
                      <w:u w:val="single"/>
                    </w:rPr>
                  </w:pPr>
                </w:p>
              </w:tc>
            </w:tr>
          </w:tbl>
          <w:p>
            <w:pPr>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为维持厂界声环境现状以及避免对外环境造成影响，评价要求建设单位采取如下措施：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①禁止夜间进行生产活动，以减少对敏感点目标的影响；</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②选用低噪声、超低噪声设备，高噪声设备必须安装在加有减振垫的隔振基础上，同时设备之间保持间距，避免噪声叠加影响；</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③高噪音的设备布置在车间内，生产车间墙体必须为实体墙，并设置隔声门窗，对车间采取隔声、消声、吸声等降噪措施；</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④加强设备的维护，确保设备处于良好的运转状态，杜绝因设备不正常运转时产生的高噪声现象；</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⑤合理布局，要求将噪声较大的设备尽量往远离敏感目标一侧安装。利用建筑物阻隔声波的传播，使噪声达到最大限度的距离衰减；</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⑥加强职工环保意识教育，提倡文明生产，防止人为噪声；</w:t>
            </w:r>
          </w:p>
          <w:p>
            <w:pPr>
              <w:pStyle w:val="62"/>
              <w:adjustRightInd/>
              <w:ind w:firstLine="480"/>
              <w:jc w:val="both"/>
              <w:textAlignment w:val="auto"/>
              <w:rPr>
                <w:rFonts w:ascii="Times New Roman" w:cs="Times New Roman"/>
                <w:b/>
                <w:bCs/>
                <w:color w:val="000000"/>
              </w:rPr>
            </w:pPr>
            <w:r>
              <w:rPr>
                <w:rFonts w:ascii="Times New Roman" w:cs="Times New Roman"/>
                <w:color w:val="000000" w:themeColor="text1"/>
                <w14:textFill>
                  <w14:solidFill>
                    <w14:schemeClr w14:val="tx1"/>
                  </w14:solidFill>
                </w14:textFill>
              </w:rPr>
              <w:t>⑦制定环境管理制度，加强对噪声的监管力度，确保噪声达标排放。</w:t>
            </w:r>
          </w:p>
          <w:p>
            <w:pPr>
              <w:kinsoku w:val="0"/>
              <w:overflowPunct w:val="0"/>
              <w:spacing w:line="360" w:lineRule="auto"/>
              <w:rPr>
                <w:rFonts w:ascii="Times New Roman" w:hAnsi="Times New Roman"/>
                <w:b/>
                <w:spacing w:val="8"/>
                <w:sz w:val="24"/>
                <w:szCs w:val="24"/>
              </w:rPr>
            </w:pPr>
            <w:r>
              <w:rPr>
                <w:rFonts w:ascii="Times New Roman" w:hAnsi="Times New Roman"/>
                <w:b/>
                <w:spacing w:val="8"/>
                <w:sz w:val="24"/>
                <w:szCs w:val="24"/>
              </w:rPr>
              <w:t>4 固体废弃物环境影响分析</w:t>
            </w:r>
          </w:p>
          <w:p>
            <w:pPr>
              <w:tabs>
                <w:tab w:val="left" w:pos="6465"/>
              </w:tabs>
              <w:spacing w:line="360" w:lineRule="auto"/>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rPr>
              <w:t>营运</w:t>
            </w:r>
            <w:r>
              <w:rPr>
                <w:rFonts w:ascii="Times New Roman" w:hAnsi="Times New Roman"/>
                <w:sz w:val="24"/>
                <w:szCs w:val="24"/>
              </w:rPr>
              <w:t>期固体废弃物主要为剥土</w:t>
            </w:r>
            <w:r>
              <w:rPr>
                <w:rFonts w:hint="eastAsia" w:ascii="Times New Roman" w:hAnsi="Times New Roman"/>
                <w:sz w:val="24"/>
                <w:szCs w:val="24"/>
              </w:rPr>
              <w:t>、废石</w:t>
            </w:r>
            <w:r>
              <w:rPr>
                <w:rFonts w:hint="eastAsia" w:ascii="Times New Roman" w:hAnsi="Times New Roman"/>
                <w:bCs/>
                <w:sz w:val="24"/>
                <w:szCs w:val="24"/>
              </w:rPr>
              <w:t>、沉淀池沉渣、脱硫废水沉渣</w:t>
            </w:r>
            <w:r>
              <w:rPr>
                <w:rFonts w:hint="eastAsia" w:ascii="Times New Roman" w:hAnsi="Times New Roman"/>
                <w:sz w:val="24"/>
                <w:szCs w:val="24"/>
              </w:rPr>
              <w:t>、不合格产品、废润滑油</w:t>
            </w:r>
            <w:r>
              <w:rPr>
                <w:rFonts w:ascii="Times New Roman" w:hAnsi="Times New Roman"/>
                <w:sz w:val="24"/>
                <w:szCs w:val="24"/>
              </w:rPr>
              <w:t>、生活垃圾等</w:t>
            </w:r>
            <w:r>
              <w:rPr>
                <w:rFonts w:hint="eastAsia" w:ascii="Times New Roman" w:hAnsi="Times New Roman"/>
                <w:sz w:val="24"/>
                <w:szCs w:val="24"/>
              </w:rPr>
              <w:t>。</w:t>
            </w:r>
          </w:p>
          <w:p>
            <w:pPr>
              <w:tabs>
                <w:tab w:val="left" w:pos="6465"/>
              </w:tabs>
              <w:kinsoku w:val="0"/>
              <w:overflowPunct w:val="0"/>
              <w:spacing w:line="360" w:lineRule="auto"/>
              <w:rPr>
                <w:rFonts w:ascii="Times New Roman" w:hAnsi="Times New Roman"/>
                <w:b/>
                <w:spacing w:val="8"/>
                <w:sz w:val="24"/>
              </w:rPr>
            </w:pPr>
            <w:r>
              <w:rPr>
                <w:rFonts w:ascii="Times New Roman" w:hAnsi="Times New Roman"/>
                <w:b/>
                <w:spacing w:val="8"/>
                <w:sz w:val="24"/>
              </w:rPr>
              <w:t>4.1</w:t>
            </w:r>
            <w:r>
              <w:rPr>
                <w:rFonts w:hint="eastAsia" w:ascii="Times New Roman" w:hAnsi="Times New Roman"/>
                <w:b/>
                <w:spacing w:val="8"/>
                <w:sz w:val="24"/>
              </w:rPr>
              <w:t xml:space="preserve"> </w:t>
            </w:r>
            <w:r>
              <w:rPr>
                <w:rFonts w:ascii="Times New Roman" w:hAnsi="Times New Roman"/>
                <w:b/>
                <w:spacing w:val="8"/>
                <w:sz w:val="24"/>
              </w:rPr>
              <w:t>一般固体废弃物</w:t>
            </w:r>
            <w:r>
              <w:rPr>
                <w:rFonts w:ascii="Times New Roman" w:hAnsi="Times New Roman"/>
                <w:b/>
                <w:spacing w:val="8"/>
                <w:sz w:val="24"/>
              </w:rPr>
              <w:tab/>
            </w:r>
          </w:p>
          <w:p>
            <w:pPr>
              <w:spacing w:line="360" w:lineRule="auto"/>
              <w:ind w:firstLine="480" w:firstLineChars="200"/>
              <w:rPr>
                <w:rFonts w:ascii="Times New Roman" w:hAnsi="Times New Roman"/>
                <w:kern w:val="0"/>
                <w:sz w:val="24"/>
              </w:rPr>
            </w:pPr>
            <w:r>
              <w:rPr>
                <w:rFonts w:ascii="Times New Roman" w:hAnsi="Times New Roman"/>
                <w:kern w:val="0"/>
                <w:sz w:val="24"/>
              </w:rPr>
              <w:t>本项目的</w:t>
            </w:r>
            <w:r>
              <w:rPr>
                <w:rFonts w:ascii="Times New Roman" w:hAnsi="Times New Roman"/>
                <w:sz w:val="24"/>
                <w:szCs w:val="24"/>
              </w:rPr>
              <w:t>剥土</w:t>
            </w:r>
            <w:r>
              <w:rPr>
                <w:rFonts w:hint="eastAsia" w:ascii="Times New Roman" w:hAnsi="Times New Roman"/>
                <w:sz w:val="24"/>
                <w:szCs w:val="24"/>
              </w:rPr>
              <w:t>、废石</w:t>
            </w:r>
            <w:r>
              <w:rPr>
                <w:rFonts w:hint="eastAsia" w:ascii="Times New Roman" w:hAnsi="Times New Roman"/>
                <w:bCs/>
                <w:sz w:val="24"/>
                <w:szCs w:val="24"/>
              </w:rPr>
              <w:t>、沉淀池沉渣、脱硫废水沉渣</w:t>
            </w:r>
            <w:r>
              <w:rPr>
                <w:rFonts w:hint="eastAsia" w:ascii="Times New Roman" w:hAnsi="Times New Roman"/>
                <w:sz w:val="24"/>
                <w:szCs w:val="24"/>
              </w:rPr>
              <w:t>、不合格产品</w:t>
            </w:r>
            <w:r>
              <w:rPr>
                <w:rFonts w:ascii="Times New Roman" w:hAnsi="Times New Roman"/>
                <w:kern w:val="0"/>
                <w:sz w:val="24"/>
              </w:rPr>
              <w:t>均属于一般工业固体废物，建设单位按照《一般工业固体废物贮存、处置场污染控制标准》</w:t>
            </w:r>
            <w:r>
              <w:rPr>
                <w:rFonts w:hint="eastAsia" w:ascii="Times New Roman" w:hAnsi="Times New Roman"/>
                <w:kern w:val="0"/>
                <w:sz w:val="24"/>
              </w:rPr>
              <w:t>（</w:t>
            </w:r>
            <w:r>
              <w:rPr>
                <w:rFonts w:ascii="Times New Roman" w:hAnsi="Times New Roman"/>
                <w:kern w:val="0"/>
                <w:sz w:val="24"/>
              </w:rPr>
              <w:t>GB18599-2001</w:t>
            </w:r>
            <w:r>
              <w:rPr>
                <w:rFonts w:hint="eastAsia" w:ascii="Times New Roman" w:hAnsi="Times New Roman"/>
                <w:kern w:val="0"/>
                <w:sz w:val="24"/>
              </w:rPr>
              <w:t>）</w:t>
            </w:r>
            <w:r>
              <w:rPr>
                <w:rFonts w:ascii="Times New Roman" w:hAnsi="Times New Roman"/>
                <w:kern w:val="0"/>
                <w:sz w:val="24"/>
              </w:rPr>
              <w:t>的相关要求在</w:t>
            </w:r>
            <w:r>
              <w:rPr>
                <w:rFonts w:hint="eastAsia" w:ascii="Times New Roman" w:hAnsi="Times New Roman"/>
                <w:kern w:val="0"/>
                <w:sz w:val="24"/>
              </w:rPr>
              <w:t>厂区东北</w:t>
            </w:r>
            <w:r>
              <w:rPr>
                <w:rFonts w:ascii="Times New Roman" w:hAnsi="Times New Roman"/>
                <w:kern w:val="0"/>
                <w:sz w:val="24"/>
              </w:rPr>
              <w:t>侧建立面积约为</w:t>
            </w:r>
            <w:r>
              <w:rPr>
                <w:rFonts w:hint="eastAsia" w:ascii="Times New Roman" w:hAnsi="Times New Roman"/>
                <w:kern w:val="0"/>
                <w:sz w:val="24"/>
              </w:rPr>
              <w:t>20</w:t>
            </w:r>
            <w:r>
              <w:rPr>
                <w:rFonts w:ascii="Times New Roman" w:hAnsi="Times New Roman"/>
                <w:kern w:val="0"/>
                <w:sz w:val="24"/>
              </w:rPr>
              <w:t>m</w:t>
            </w:r>
            <w:r>
              <w:rPr>
                <w:rFonts w:ascii="Times New Roman" w:hAnsi="Times New Roman"/>
                <w:kern w:val="0"/>
                <w:sz w:val="24"/>
                <w:vertAlign w:val="superscript"/>
              </w:rPr>
              <w:t>2</w:t>
            </w:r>
            <w:r>
              <w:rPr>
                <w:rFonts w:hint="eastAsia" w:ascii="Times New Roman" w:hAnsi="Times New Roman"/>
                <w:kern w:val="0"/>
                <w:sz w:val="24"/>
              </w:rPr>
              <w:t>的</w:t>
            </w:r>
            <w:r>
              <w:rPr>
                <w:rFonts w:ascii="Times New Roman" w:hAnsi="Times New Roman"/>
                <w:kern w:val="0"/>
                <w:sz w:val="24"/>
              </w:rPr>
              <w:t>固体废物临时的堆放场地，不得随处堆放。临时堆放场所周围应设置围墙并做好密闭处理，禁止危险废物及生活垃圾混入。</w:t>
            </w:r>
            <w:r>
              <w:rPr>
                <w:rFonts w:ascii="Times New Roman" w:hAnsi="Times New Roman"/>
                <w:sz w:val="24"/>
                <w:szCs w:val="24"/>
              </w:rPr>
              <w:t>建议在</w:t>
            </w:r>
            <w:r>
              <w:rPr>
                <w:rFonts w:hint="eastAsia" w:ascii="Times New Roman" w:hAnsi="Times New Roman"/>
                <w:kern w:val="0"/>
                <w:sz w:val="24"/>
              </w:rPr>
              <w:t>厂区东北</w:t>
            </w:r>
            <w:r>
              <w:rPr>
                <w:rFonts w:ascii="Times New Roman" w:hAnsi="Times New Roman"/>
                <w:kern w:val="0"/>
                <w:sz w:val="24"/>
              </w:rPr>
              <w:t>侧</w:t>
            </w:r>
            <w:r>
              <w:rPr>
                <w:rFonts w:ascii="Times New Roman" w:hAnsi="Times New Roman"/>
                <w:sz w:val="24"/>
                <w:szCs w:val="24"/>
              </w:rPr>
              <w:t>设置垃圾收集箱，生活垃圾统一收集后交由环卫部门负责清运处置，</w:t>
            </w:r>
            <w:r>
              <w:rPr>
                <w:rFonts w:hint="eastAsia" w:ascii="Times New Roman" w:hAnsi="Times New Roman"/>
                <w:color w:val="000000" w:themeColor="text1"/>
                <w:sz w:val="24"/>
                <w:szCs w:val="24"/>
                <w14:textFill>
                  <w14:solidFill>
                    <w14:schemeClr w14:val="tx1"/>
                  </w14:solidFill>
                </w14:textFill>
              </w:rPr>
              <w:t>沉淀池沉渣回用于制砖；废石</w:t>
            </w:r>
            <w:r>
              <w:rPr>
                <w:rFonts w:hint="eastAsia" w:ascii="Times New Roman" w:hAnsi="Times New Roman"/>
                <w:sz w:val="24"/>
                <w:szCs w:val="24"/>
              </w:rPr>
              <w:t>及</w:t>
            </w:r>
            <w:r>
              <w:rPr>
                <w:rFonts w:ascii="Times New Roman" w:hAnsi="Times New Roman"/>
                <w:color w:val="000000" w:themeColor="text1"/>
                <w:kern w:val="0"/>
                <w:sz w:val="24"/>
                <w:szCs w:val="24"/>
                <w14:textFill>
                  <w14:solidFill>
                    <w14:schemeClr w14:val="tx1"/>
                  </w14:solidFill>
                </w14:textFill>
              </w:rPr>
              <w:t>不合格产品</w:t>
            </w:r>
            <w:r>
              <w:rPr>
                <w:rFonts w:ascii="Times New Roman" w:hAnsi="Times New Roman"/>
                <w:sz w:val="24"/>
                <w:szCs w:val="24"/>
              </w:rPr>
              <w:t>等应集中收集后</w:t>
            </w:r>
            <w:r>
              <w:rPr>
                <w:rFonts w:hint="eastAsia" w:ascii="Times New Roman" w:hAnsi="Times New Roman"/>
                <w:sz w:val="24"/>
                <w:szCs w:val="24"/>
              </w:rPr>
              <w:t>作为碎石原料回用；</w:t>
            </w:r>
            <w:r>
              <w:rPr>
                <w:rFonts w:ascii="Times New Roman" w:hAnsi="Times New Roman"/>
                <w:sz w:val="24"/>
                <w:szCs w:val="24"/>
              </w:rPr>
              <w:t>剥土</w:t>
            </w:r>
            <w:r>
              <w:rPr>
                <w:rFonts w:hint="eastAsia" w:ascii="Times New Roman" w:hAnsi="Times New Roman"/>
                <w:bCs/>
                <w:sz w:val="24"/>
                <w:szCs w:val="24"/>
              </w:rPr>
              <w:t>运至排土场，</w:t>
            </w:r>
            <w:r>
              <w:rPr>
                <w:rFonts w:ascii="Times New Roman" w:hAnsi="Times New Roman"/>
                <w:bCs/>
                <w:sz w:val="24"/>
                <w:szCs w:val="24"/>
              </w:rPr>
              <w:t>用作复垦土源</w:t>
            </w:r>
            <w:r>
              <w:rPr>
                <w:rFonts w:hint="eastAsia" w:ascii="Times New Roman" w:hAnsi="Times New Roman"/>
                <w:bCs/>
                <w:sz w:val="24"/>
                <w:szCs w:val="24"/>
              </w:rPr>
              <w:t>；脱硫废水沉渣集中储存在浓缩池中，并定期清理干化处理作为原料外售给水泥厂</w:t>
            </w:r>
            <w:r>
              <w:rPr>
                <w:rFonts w:ascii="Times New Roman" w:hAnsi="Times New Roman"/>
                <w:sz w:val="24"/>
                <w:szCs w:val="24"/>
              </w:rPr>
              <w:t>。</w:t>
            </w:r>
          </w:p>
          <w:p>
            <w:pPr>
              <w:spacing w:line="360" w:lineRule="auto"/>
              <w:rPr>
                <w:rFonts w:ascii="Times New Roman" w:hAnsi="Times New Roman"/>
                <w:b/>
                <w:spacing w:val="8"/>
                <w:sz w:val="24"/>
                <w:u w:val="single"/>
              </w:rPr>
            </w:pPr>
            <w:r>
              <w:rPr>
                <w:rFonts w:ascii="Times New Roman" w:hAnsi="Times New Roman"/>
                <w:b/>
                <w:spacing w:val="8"/>
                <w:sz w:val="24"/>
                <w:u w:val="single"/>
              </w:rPr>
              <w:t>4.2 危险废物</w:t>
            </w:r>
          </w:p>
          <w:p>
            <w:pPr>
              <w:widowControl/>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要求</w:t>
            </w:r>
            <w:r>
              <w:rPr>
                <w:rFonts w:ascii="Times New Roman" w:hAnsi="Times New Roman"/>
                <w:sz w:val="24"/>
                <w:szCs w:val="24"/>
                <w:u w:val="single"/>
              </w:rPr>
              <w:t>本项目</w:t>
            </w:r>
            <w:r>
              <w:rPr>
                <w:rFonts w:hint="eastAsia" w:ascii="Times New Roman" w:hAnsi="Times New Roman"/>
                <w:sz w:val="24"/>
                <w:szCs w:val="24"/>
                <w:u w:val="single"/>
              </w:rPr>
              <w:t>于</w:t>
            </w:r>
            <w:r>
              <w:rPr>
                <w:rFonts w:hint="eastAsia" w:ascii="Times New Roman" w:hAnsi="Times New Roman"/>
                <w:kern w:val="0"/>
                <w:sz w:val="24"/>
                <w:u w:val="single"/>
              </w:rPr>
              <w:t>厂区东南</w:t>
            </w:r>
            <w:r>
              <w:rPr>
                <w:rFonts w:ascii="Times New Roman" w:hAnsi="Times New Roman"/>
                <w:kern w:val="0"/>
                <w:sz w:val="24"/>
                <w:u w:val="single"/>
              </w:rPr>
              <w:t>侧</w:t>
            </w:r>
            <w:r>
              <w:rPr>
                <w:rFonts w:ascii="Times New Roman" w:hAnsi="Times New Roman"/>
                <w:sz w:val="24"/>
                <w:szCs w:val="24"/>
                <w:u w:val="single"/>
              </w:rPr>
              <w:t>建</w:t>
            </w:r>
            <w:r>
              <w:rPr>
                <w:rFonts w:hint="eastAsia" w:ascii="Times New Roman" w:hAnsi="Times New Roman"/>
                <w:sz w:val="24"/>
                <w:szCs w:val="24"/>
                <w:u w:val="single"/>
              </w:rPr>
              <w:t>设</w:t>
            </w:r>
            <w:r>
              <w:rPr>
                <w:rFonts w:ascii="Times New Roman" w:hAnsi="Times New Roman"/>
                <w:sz w:val="24"/>
                <w:szCs w:val="24"/>
                <w:u w:val="single"/>
              </w:rPr>
              <w:t>危废暂存间</w:t>
            </w:r>
            <w:r>
              <w:rPr>
                <w:rFonts w:hint="eastAsia" w:ascii="Times New Roman" w:hAnsi="Times New Roman"/>
                <w:sz w:val="24"/>
                <w:szCs w:val="24"/>
                <w:u w:val="single"/>
              </w:rPr>
              <w:t>，建筑面积约为</w:t>
            </w:r>
            <w:r>
              <w:rPr>
                <w:rFonts w:ascii="Times New Roman" w:hAnsi="Times New Roman"/>
                <w:sz w:val="24"/>
                <w:szCs w:val="24"/>
                <w:u w:val="single"/>
              </w:rPr>
              <w:t>10</w:t>
            </w:r>
            <w:r>
              <w:rPr>
                <w:rFonts w:hint="eastAsia" w:ascii="Times New Roman" w:hAnsi="Times New Roman"/>
                <w:sz w:val="24"/>
                <w:szCs w:val="24"/>
                <w:u w:val="single"/>
              </w:rPr>
              <w:t>m</w:t>
            </w:r>
            <w:r>
              <w:rPr>
                <w:rFonts w:hint="eastAsia" w:ascii="Times New Roman" w:hAnsi="Times New Roman"/>
                <w:sz w:val="24"/>
                <w:szCs w:val="24"/>
                <w:u w:val="single"/>
                <w:vertAlign w:val="superscript"/>
              </w:rPr>
              <w:t>2</w:t>
            </w:r>
            <w:r>
              <w:rPr>
                <w:rFonts w:ascii="Times New Roman" w:hAnsi="Times New Roman"/>
                <w:sz w:val="24"/>
                <w:szCs w:val="24"/>
                <w:u w:val="single"/>
              </w:rPr>
              <w:t>。根据《国家危险废物名录》（20</w:t>
            </w:r>
            <w:r>
              <w:rPr>
                <w:rFonts w:hint="eastAsia" w:ascii="Times New Roman" w:hAnsi="Times New Roman"/>
                <w:sz w:val="24"/>
                <w:szCs w:val="24"/>
                <w:u w:val="single"/>
              </w:rPr>
              <w:t>16</w:t>
            </w:r>
            <w:r>
              <w:rPr>
                <w:rFonts w:ascii="Times New Roman" w:hAnsi="Times New Roman"/>
                <w:sz w:val="24"/>
                <w:szCs w:val="24"/>
                <w:u w:val="single"/>
              </w:rPr>
              <w:t>年）内容，项目</w:t>
            </w:r>
            <w:r>
              <w:rPr>
                <w:rFonts w:hint="eastAsia" w:ascii="Times New Roman" w:hAnsi="Times New Roman"/>
                <w:sz w:val="24"/>
                <w:szCs w:val="24"/>
                <w:u w:val="single"/>
              </w:rPr>
              <w:t>生产</w:t>
            </w:r>
            <w:r>
              <w:rPr>
                <w:rFonts w:ascii="Times New Roman" w:hAnsi="Times New Roman"/>
                <w:sz w:val="24"/>
                <w:szCs w:val="24"/>
                <w:u w:val="single"/>
              </w:rPr>
              <w:t>过程中产生废机油属于HW08废矿物油</w:t>
            </w:r>
            <w:r>
              <w:rPr>
                <w:rFonts w:hint="eastAsia" w:ascii="Times New Roman" w:hAnsi="Times New Roman"/>
                <w:sz w:val="24"/>
                <w:szCs w:val="24"/>
                <w:u w:val="single"/>
              </w:rPr>
              <w:t>（废物代码900-249-08）</w:t>
            </w:r>
            <w:r>
              <w:rPr>
                <w:rFonts w:ascii="Times New Roman" w:hAnsi="Times New Roman"/>
                <w:sz w:val="24"/>
                <w:szCs w:val="24"/>
                <w:u w:val="single"/>
              </w:rPr>
              <w:t>。危废的贮存、处置应按照《危险废物贮存污染控制标准》</w:t>
            </w:r>
            <w:r>
              <w:rPr>
                <w:rFonts w:hint="eastAsia" w:ascii="Times New Roman" w:hAnsi="Times New Roman"/>
                <w:sz w:val="24"/>
                <w:szCs w:val="24"/>
                <w:u w:val="single"/>
              </w:rPr>
              <w:t>（</w:t>
            </w:r>
            <w:r>
              <w:rPr>
                <w:rFonts w:ascii="Times New Roman" w:hAnsi="Times New Roman"/>
                <w:sz w:val="24"/>
                <w:szCs w:val="24"/>
                <w:u w:val="single"/>
              </w:rPr>
              <w:t>GB18597-2001</w:t>
            </w:r>
            <w:r>
              <w:rPr>
                <w:rFonts w:hint="eastAsia" w:ascii="Times New Roman" w:hAnsi="Times New Roman"/>
                <w:sz w:val="24"/>
                <w:szCs w:val="24"/>
                <w:u w:val="single"/>
              </w:rPr>
              <w:t>）</w:t>
            </w:r>
            <w:r>
              <w:rPr>
                <w:rFonts w:ascii="Times New Roman" w:hAnsi="Times New Roman"/>
                <w:sz w:val="24"/>
                <w:szCs w:val="24"/>
                <w:u w:val="single"/>
              </w:rPr>
              <w:t>及其修改单要求进行设计：</w:t>
            </w:r>
          </w:p>
          <w:p>
            <w:pPr>
              <w:widowControl/>
              <w:spacing w:line="360" w:lineRule="auto"/>
              <w:ind w:firstLine="480" w:firstLineChars="200"/>
              <w:rPr>
                <w:rFonts w:ascii="Times New Roman" w:hAnsi="Times New Roman"/>
                <w:sz w:val="24"/>
                <w:szCs w:val="24"/>
                <w:u w:val="single"/>
              </w:rPr>
            </w:pPr>
            <w:r>
              <w:rPr>
                <w:rFonts w:ascii="Times New Roman" w:hAnsi="宋体"/>
                <w:sz w:val="24"/>
                <w:szCs w:val="24"/>
                <w:u w:val="single"/>
              </w:rPr>
              <w:t>（</w:t>
            </w:r>
            <w:r>
              <w:rPr>
                <w:rFonts w:ascii="Times New Roman" w:hAnsi="Times New Roman"/>
                <w:sz w:val="24"/>
                <w:szCs w:val="24"/>
                <w:u w:val="single"/>
              </w:rPr>
              <w:t>1）合理设置不渗漏间隔分开的区域，每个部分都应有防漏裙角或储漏盘；危险废物应与其他固体废物严格隔离；其他一般固体废物应分类存放，禁止危险废物和生活垃圾混入。</w:t>
            </w:r>
          </w:p>
          <w:p>
            <w:pPr>
              <w:widowControl/>
              <w:spacing w:line="360" w:lineRule="auto"/>
              <w:ind w:firstLine="480" w:firstLineChars="200"/>
              <w:rPr>
                <w:rFonts w:ascii="Times New Roman" w:hAnsi="Times New Roman"/>
                <w:sz w:val="24"/>
                <w:szCs w:val="24"/>
                <w:u w:val="single"/>
              </w:rPr>
            </w:pPr>
            <w:r>
              <w:rPr>
                <w:rFonts w:hint="eastAsia" w:ascii="Times New Roman" w:hAnsi="宋体"/>
                <w:sz w:val="24"/>
                <w:szCs w:val="24"/>
                <w:u w:val="single"/>
              </w:rPr>
              <w:t>（2）</w:t>
            </w:r>
            <w:r>
              <w:rPr>
                <w:rFonts w:ascii="Times New Roman" w:hAnsi="Times New Roman"/>
                <w:sz w:val="24"/>
                <w:szCs w:val="24"/>
                <w:u w:val="single"/>
              </w:rPr>
              <w:t>强化配套设施的配备，盛装危险废物的容器上必须粘贴符合标准的标签。</w:t>
            </w:r>
          </w:p>
          <w:p>
            <w:pPr>
              <w:widowControl/>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本项目危险废物在运输方面，应根据国务院令第591号《危险化学品安全管理条例》的有关规定严格遵守：</w:t>
            </w:r>
          </w:p>
          <w:p>
            <w:pPr>
              <w:widowControl/>
              <w:spacing w:line="360" w:lineRule="auto"/>
              <w:ind w:firstLine="480" w:firstLineChars="200"/>
              <w:rPr>
                <w:rFonts w:ascii="Times New Roman" w:hAnsi="Times New Roman"/>
                <w:sz w:val="24"/>
                <w:szCs w:val="24"/>
                <w:u w:val="single"/>
              </w:rPr>
            </w:pPr>
            <w:r>
              <w:rPr>
                <w:rFonts w:hint="eastAsia" w:ascii="Times New Roman" w:hAnsi="宋体"/>
                <w:sz w:val="24"/>
                <w:szCs w:val="24"/>
                <w:u w:val="single"/>
              </w:rPr>
              <w:t>（1）</w:t>
            </w:r>
            <w:r>
              <w:rPr>
                <w:rFonts w:ascii="Times New Roman" w:hAnsi="Times New Roman"/>
                <w:sz w:val="24"/>
                <w:szCs w:val="24"/>
                <w:u w:val="single"/>
              </w:rPr>
              <w:t>做好每次外运处置废弃物的运输登记，认真填写危险废物转移联单，并加盖公司公章。</w:t>
            </w:r>
          </w:p>
          <w:p>
            <w:pPr>
              <w:widowControl/>
              <w:spacing w:line="360" w:lineRule="auto"/>
              <w:ind w:firstLine="480" w:firstLineChars="200"/>
              <w:rPr>
                <w:rFonts w:ascii="Times New Roman" w:hAnsi="Times New Roman"/>
                <w:sz w:val="24"/>
                <w:szCs w:val="24"/>
                <w:u w:val="single"/>
              </w:rPr>
            </w:pPr>
            <w:r>
              <w:rPr>
                <w:rFonts w:hint="eastAsia" w:ascii="Times New Roman" w:hAnsi="宋体"/>
                <w:sz w:val="24"/>
                <w:szCs w:val="24"/>
                <w:u w:val="single"/>
              </w:rPr>
              <w:t>（2）</w:t>
            </w:r>
            <w:r>
              <w:rPr>
                <w:rFonts w:ascii="Times New Roman" w:hAnsi="Times New Roman"/>
                <w:sz w:val="24"/>
                <w:szCs w:val="24"/>
                <w:u w:val="single"/>
              </w:rPr>
              <w:t>废弃物处置单位的运输人员必须掌握危险化学品运输的安全知识，了解所运输危险化学品的性质、危害特性和发生意外时的应急措施。运输车辆必须具有车辆危险货物运输许可证。</w:t>
            </w:r>
          </w:p>
          <w:p>
            <w:pPr>
              <w:widowControl/>
              <w:spacing w:line="360" w:lineRule="auto"/>
              <w:ind w:firstLine="480" w:firstLineChars="200"/>
              <w:rPr>
                <w:rFonts w:ascii="Times New Roman" w:hAnsi="Times New Roman"/>
                <w:sz w:val="24"/>
                <w:szCs w:val="24"/>
                <w:u w:val="single"/>
              </w:rPr>
            </w:pPr>
            <w:r>
              <w:rPr>
                <w:rFonts w:hint="eastAsia" w:ascii="Times New Roman" w:hAnsi="宋体"/>
                <w:sz w:val="24"/>
                <w:szCs w:val="24"/>
                <w:u w:val="single"/>
              </w:rPr>
              <w:t>（3）</w:t>
            </w:r>
            <w:r>
              <w:rPr>
                <w:rFonts w:ascii="Times New Roman" w:hAnsi="Times New Roman"/>
                <w:sz w:val="24"/>
                <w:szCs w:val="24"/>
                <w:u w:val="single"/>
              </w:rPr>
              <w:t>危险废物在运输途中若发生被盗、丢失、流散、泄露等情况时，公司及押运人员必须立即向当地公安部门报告，并采取一切可能的警示措施。</w:t>
            </w:r>
          </w:p>
          <w:p>
            <w:pPr>
              <w:widowControl/>
              <w:spacing w:line="360" w:lineRule="auto"/>
              <w:ind w:firstLine="480" w:firstLineChars="200"/>
              <w:rPr>
                <w:rFonts w:ascii="Times New Roman" w:hAnsi="Times New Roman"/>
                <w:sz w:val="24"/>
                <w:szCs w:val="24"/>
                <w:u w:val="single"/>
              </w:rPr>
            </w:pPr>
            <w:r>
              <w:rPr>
                <w:rFonts w:hint="eastAsia" w:ascii="Times New Roman" w:hAnsi="宋体"/>
                <w:sz w:val="24"/>
                <w:szCs w:val="24"/>
                <w:u w:val="single"/>
              </w:rPr>
              <w:t>（4）</w:t>
            </w:r>
            <w:r>
              <w:rPr>
                <w:rFonts w:ascii="Times New Roman" w:hAnsi="Times New Roman"/>
                <w:sz w:val="24"/>
                <w:szCs w:val="24"/>
                <w:u w:val="singl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widowControl/>
              <w:spacing w:line="360" w:lineRule="auto"/>
              <w:ind w:firstLine="480" w:firstLineChars="200"/>
              <w:rPr>
                <w:rFonts w:hAnsi="宋体"/>
                <w:kern w:val="0"/>
                <w:sz w:val="24"/>
              </w:rPr>
            </w:pPr>
            <w:r>
              <w:rPr>
                <w:rFonts w:hint="eastAsia" w:hAnsi="宋体"/>
                <w:kern w:val="0"/>
                <w:sz w:val="24"/>
              </w:rPr>
              <w:t>综上所述，本项目固体废物处理处置符合国家《固体废物污染环境防治法》规定的原则，符合《一般工业固体废物贮存、处置场污染控制标准》</w:t>
            </w:r>
            <w:r>
              <w:rPr>
                <w:rFonts w:hint="eastAsia" w:ascii="Times New Roman" w:hAnsi="Times New Roman"/>
                <w:kern w:val="0"/>
                <w:sz w:val="24"/>
              </w:rPr>
              <w:t>（</w:t>
            </w:r>
            <w:r>
              <w:rPr>
                <w:rFonts w:ascii="Times New Roman" w:hAnsi="Times New Roman"/>
                <w:kern w:val="0"/>
                <w:sz w:val="24"/>
              </w:rPr>
              <w:t>GB18599-2001</w:t>
            </w:r>
            <w:r>
              <w:rPr>
                <w:rFonts w:hint="eastAsia" w:ascii="Times New Roman" w:hAnsi="Times New Roman"/>
                <w:kern w:val="0"/>
                <w:sz w:val="24"/>
              </w:rPr>
              <w:t>）</w:t>
            </w:r>
            <w:r>
              <w:rPr>
                <w:rFonts w:hint="eastAsia" w:hAnsi="宋体"/>
                <w:kern w:val="0"/>
                <w:sz w:val="24"/>
              </w:rPr>
              <w:t>和《危险废物贮存污染控制标</w:t>
            </w:r>
            <w:r>
              <w:rPr>
                <w:rFonts w:ascii="Times New Roman" w:hAnsi="Times New Roman"/>
                <w:kern w:val="0"/>
                <w:sz w:val="24"/>
              </w:rPr>
              <w:t>准》</w:t>
            </w:r>
            <w:r>
              <w:rPr>
                <w:rFonts w:hint="eastAsia" w:ascii="Times New Roman" w:hAnsi="Times New Roman"/>
                <w:kern w:val="0"/>
                <w:sz w:val="24"/>
              </w:rPr>
              <w:t>（</w:t>
            </w:r>
            <w:r>
              <w:rPr>
                <w:rFonts w:ascii="Times New Roman" w:hAnsi="Times New Roman"/>
                <w:kern w:val="0"/>
                <w:sz w:val="24"/>
              </w:rPr>
              <w:t>GB18597-2001</w:t>
            </w:r>
            <w:r>
              <w:rPr>
                <w:rFonts w:hint="eastAsia" w:ascii="Times New Roman" w:hAnsi="Times New Roman"/>
                <w:kern w:val="0"/>
                <w:sz w:val="24"/>
              </w:rPr>
              <w:t>）</w:t>
            </w:r>
            <w:r>
              <w:rPr>
                <w:rFonts w:ascii="Times New Roman" w:hAnsi="Times New Roman"/>
                <w:kern w:val="0"/>
                <w:sz w:val="24"/>
              </w:rPr>
              <w:t>规定</w:t>
            </w:r>
            <w:r>
              <w:rPr>
                <w:rFonts w:hint="eastAsia" w:hAnsi="宋体"/>
                <w:kern w:val="0"/>
                <w:sz w:val="24"/>
              </w:rPr>
              <w:t>，采取上述措施后，本项目固体废物可得到妥善的处理，对周围环境造成的影响很小。</w:t>
            </w:r>
          </w:p>
          <w:p>
            <w:pPr>
              <w:kinsoku w:val="0"/>
              <w:overflowPunct w:val="0"/>
              <w:spacing w:line="360" w:lineRule="auto"/>
              <w:rPr>
                <w:rFonts w:ascii="Times New Roman" w:hAnsi="Times New Roman"/>
                <w:b/>
                <w:spacing w:val="8"/>
                <w:sz w:val="24"/>
                <w:szCs w:val="24"/>
              </w:rPr>
            </w:pPr>
            <w:r>
              <w:rPr>
                <w:rFonts w:ascii="Times New Roman" w:hAnsi="Times New Roman"/>
                <w:b/>
                <w:spacing w:val="8"/>
                <w:sz w:val="24"/>
                <w:szCs w:val="24"/>
              </w:rPr>
              <w:t xml:space="preserve">5 </w:t>
            </w:r>
            <w:r>
              <w:rPr>
                <w:rFonts w:hint="eastAsia" w:ascii="Times New Roman" w:hAnsi="Times New Roman"/>
                <w:b/>
                <w:spacing w:val="8"/>
                <w:sz w:val="24"/>
                <w:szCs w:val="24"/>
              </w:rPr>
              <w:t>土壤</w:t>
            </w:r>
            <w:r>
              <w:rPr>
                <w:rFonts w:ascii="Times New Roman" w:hAnsi="Times New Roman"/>
                <w:b/>
                <w:spacing w:val="8"/>
                <w:sz w:val="24"/>
                <w:szCs w:val="24"/>
              </w:rPr>
              <w:t>环境影响分析</w:t>
            </w:r>
          </w:p>
          <w:p>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根据《环境影响评价技术导则</w:t>
            </w:r>
            <w:r>
              <w:rPr>
                <w:rFonts w:ascii="Times New Roman" w:hAnsi="Times New Roman"/>
                <w:sz w:val="24"/>
                <w:szCs w:val="24"/>
              </w:rPr>
              <w:t xml:space="preserve">  </w:t>
            </w:r>
            <w:r>
              <w:rPr>
                <w:rFonts w:hint="eastAsia" w:ascii="Times New Roman" w:hAnsi="Times New Roman"/>
                <w:sz w:val="24"/>
                <w:szCs w:val="24"/>
              </w:rPr>
              <w:t>土壤环境（试行）》（</w:t>
            </w:r>
            <w:r>
              <w:rPr>
                <w:rFonts w:ascii="Times New Roman" w:hAnsi="Times New Roman"/>
                <w:sz w:val="24"/>
                <w:szCs w:val="24"/>
              </w:rPr>
              <w:t>HJ 964-2018</w:t>
            </w:r>
            <w:r>
              <w:rPr>
                <w:rFonts w:hint="eastAsia" w:ascii="Times New Roman" w:hAnsi="Times New Roman"/>
                <w:sz w:val="24"/>
                <w:szCs w:val="24"/>
              </w:rPr>
              <w:t>），土壤环境敏感程度的分级原则见表6-</w:t>
            </w:r>
            <w:r>
              <w:rPr>
                <w:rFonts w:ascii="Times New Roman" w:hAnsi="Times New Roman"/>
                <w:sz w:val="24"/>
                <w:szCs w:val="24"/>
              </w:rPr>
              <w:t>1</w:t>
            </w:r>
            <w:r>
              <w:rPr>
                <w:rFonts w:hint="eastAsia" w:ascii="Times New Roman" w:hAnsi="Times New Roman"/>
                <w:sz w:val="24"/>
                <w:szCs w:val="24"/>
              </w:rPr>
              <w:t>3，评价等级划分见表6-14，土壤环境影响评价行业分类表见表6-15。</w:t>
            </w:r>
          </w:p>
          <w:p>
            <w:pPr>
              <w:widowControl/>
              <w:spacing w:line="360" w:lineRule="auto"/>
              <w:jc w:val="center"/>
              <w:rPr>
                <w:rFonts w:ascii="Times New Roman" w:hAnsi="Times New Roman"/>
                <w:b/>
                <w:sz w:val="24"/>
                <w:szCs w:val="24"/>
              </w:rPr>
            </w:pPr>
            <w:r>
              <w:rPr>
                <w:rFonts w:hint="eastAsia" w:ascii="Times New Roman" w:hAnsi="Times New Roman"/>
                <w:b/>
                <w:sz w:val="24"/>
                <w:szCs w:val="24"/>
              </w:rPr>
              <w:t>表6-</w:t>
            </w:r>
            <w:r>
              <w:rPr>
                <w:rFonts w:ascii="Times New Roman" w:hAnsi="Times New Roman"/>
                <w:b/>
                <w:sz w:val="24"/>
                <w:szCs w:val="24"/>
              </w:rPr>
              <w:t>1</w:t>
            </w:r>
            <w:r>
              <w:rPr>
                <w:rFonts w:hint="eastAsia" w:ascii="Times New Roman" w:hAnsi="Times New Roman"/>
                <w:b/>
                <w:sz w:val="24"/>
                <w:szCs w:val="24"/>
              </w:rPr>
              <w:t>3  污染影响型环境敏感程度分级表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97"/>
              <w:gridCol w:w="71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5" w:type="dxa"/>
                  <w:vAlign w:val="center"/>
                </w:tcPr>
                <w:p>
                  <w:pPr>
                    <w:widowControl/>
                    <w:jc w:val="center"/>
                    <w:rPr>
                      <w:rFonts w:ascii="Times New Roman" w:hAnsi="Times New Roman"/>
                      <w:b/>
                      <w:szCs w:val="21"/>
                    </w:rPr>
                  </w:pPr>
                  <w:r>
                    <w:rPr>
                      <w:rFonts w:hint="eastAsia" w:ascii="Times New Roman" w:hAnsi="Times New Roman"/>
                      <w:b/>
                      <w:szCs w:val="21"/>
                    </w:rPr>
                    <w:t>敏感程度</w:t>
                  </w:r>
                </w:p>
              </w:tc>
              <w:tc>
                <w:tcPr>
                  <w:tcW w:w="6944" w:type="dxa"/>
                  <w:vAlign w:val="center"/>
                </w:tcPr>
                <w:p>
                  <w:pPr>
                    <w:widowControl/>
                    <w:jc w:val="center"/>
                    <w:rPr>
                      <w:rFonts w:ascii="Times New Roman" w:hAnsi="Times New Roman"/>
                      <w:b/>
                      <w:szCs w:val="21"/>
                    </w:rPr>
                  </w:pPr>
                  <w:r>
                    <w:rPr>
                      <w:rFonts w:hint="eastAsia" w:ascii="Times New Roman" w:hAnsi="Times New Roman"/>
                      <w:b/>
                      <w:szCs w:val="21"/>
                    </w:rPr>
                    <w:t>土壤环境敏感特征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5" w:type="dxa"/>
                  <w:vAlign w:val="center"/>
                </w:tcPr>
                <w:p>
                  <w:pPr>
                    <w:widowControl/>
                    <w:jc w:val="center"/>
                    <w:rPr>
                      <w:rFonts w:ascii="Times New Roman" w:hAnsi="Times New Roman"/>
                      <w:szCs w:val="21"/>
                    </w:rPr>
                  </w:pPr>
                  <w:r>
                    <w:rPr>
                      <w:rFonts w:hint="eastAsia" w:ascii="Times New Roman" w:hAnsi="Times New Roman"/>
                      <w:szCs w:val="21"/>
                    </w:rPr>
                    <w:t>敏感</w:t>
                  </w:r>
                </w:p>
              </w:tc>
              <w:tc>
                <w:tcPr>
                  <w:tcW w:w="6944" w:type="dxa"/>
                  <w:vAlign w:val="center"/>
                </w:tcPr>
                <w:p>
                  <w:pPr>
                    <w:widowControl/>
                    <w:rPr>
                      <w:rFonts w:ascii="Times New Roman" w:hAnsi="Times New Roman"/>
                      <w:szCs w:val="21"/>
                    </w:rPr>
                  </w:pPr>
                  <w:r>
                    <w:rPr>
                      <w:rFonts w:hint="eastAsia" w:ascii="Times New Roman" w:hAnsi="Times New Roman"/>
                      <w:bCs/>
                      <w:szCs w:val="21"/>
                    </w:rPr>
                    <w:t>建设项目周边存在耕地、园地、牧草地、饮用水源地或居民区、学校、医院、疗养院、养老院等土壤环境敏感目标的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5" w:type="dxa"/>
                  <w:vAlign w:val="center"/>
                </w:tcPr>
                <w:p>
                  <w:pPr>
                    <w:widowControl/>
                    <w:jc w:val="center"/>
                    <w:rPr>
                      <w:rFonts w:ascii="Times New Roman" w:hAnsi="Times New Roman"/>
                      <w:szCs w:val="21"/>
                    </w:rPr>
                  </w:pPr>
                  <w:r>
                    <w:rPr>
                      <w:rFonts w:hint="eastAsia" w:ascii="Times New Roman" w:hAnsi="Times New Roman"/>
                      <w:szCs w:val="21"/>
                    </w:rPr>
                    <w:t>较敏感</w:t>
                  </w:r>
                </w:p>
              </w:tc>
              <w:tc>
                <w:tcPr>
                  <w:tcW w:w="6944" w:type="dxa"/>
                  <w:vAlign w:val="center"/>
                </w:tcPr>
                <w:p>
                  <w:pPr>
                    <w:widowControl/>
                    <w:rPr>
                      <w:rFonts w:ascii="Times New Roman" w:hAnsi="Times New Roman"/>
                      <w:szCs w:val="21"/>
                    </w:rPr>
                  </w:pPr>
                  <w:r>
                    <w:rPr>
                      <w:rFonts w:hint="eastAsia" w:ascii="Times New Roman" w:hAnsi="Times New Roman"/>
                      <w:bCs/>
                      <w:szCs w:val="21"/>
                    </w:rPr>
                    <w:t>建设项目周边存在其他土壤环境敏感目标的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5" w:type="dxa"/>
                  <w:vAlign w:val="center"/>
                </w:tcPr>
                <w:p>
                  <w:pPr>
                    <w:widowControl/>
                    <w:jc w:val="center"/>
                    <w:rPr>
                      <w:rFonts w:ascii="Times New Roman" w:hAnsi="Times New Roman"/>
                      <w:szCs w:val="21"/>
                    </w:rPr>
                  </w:pPr>
                  <w:r>
                    <w:rPr>
                      <w:rFonts w:hint="eastAsia" w:ascii="Times New Roman" w:hAnsi="Times New Roman"/>
                      <w:szCs w:val="21"/>
                    </w:rPr>
                    <w:t>不敏感</w:t>
                  </w:r>
                </w:p>
              </w:tc>
              <w:tc>
                <w:tcPr>
                  <w:tcW w:w="6944" w:type="dxa"/>
                  <w:vAlign w:val="center"/>
                </w:tcPr>
                <w:p>
                  <w:pPr>
                    <w:widowControl/>
                    <w:rPr>
                      <w:rFonts w:ascii="Times New Roman" w:hAnsi="Times New Roman"/>
                      <w:szCs w:val="21"/>
                    </w:rPr>
                  </w:pPr>
                  <w:r>
                    <w:rPr>
                      <w:rFonts w:hint="eastAsia" w:ascii="Times New Roman" w:hAnsi="Times New Roman"/>
                      <w:bCs/>
                      <w:szCs w:val="21"/>
                    </w:rPr>
                    <w:t>其他情况</w:t>
                  </w:r>
                </w:p>
              </w:tc>
            </w:tr>
          </w:tbl>
          <w:p>
            <w:pPr>
              <w:widowControl/>
              <w:spacing w:line="360" w:lineRule="auto"/>
              <w:jc w:val="center"/>
              <w:rPr>
                <w:rFonts w:ascii="Times New Roman"/>
                <w:b/>
                <w:kern w:val="0"/>
                <w:sz w:val="24"/>
                <w:szCs w:val="24"/>
              </w:rPr>
            </w:pPr>
            <w:r>
              <w:rPr>
                <w:rFonts w:hint="eastAsia" w:ascii="Times New Roman" w:hAnsi="Times New Roman"/>
                <w:b/>
                <w:sz w:val="24"/>
                <w:szCs w:val="24"/>
              </w:rPr>
              <w:t xml:space="preserve">表6-14  </w:t>
            </w:r>
            <w:r>
              <w:rPr>
                <w:rFonts w:ascii="Times New Roman"/>
                <w:b/>
                <w:kern w:val="0"/>
                <w:sz w:val="24"/>
                <w:szCs w:val="24"/>
              </w:rPr>
              <w:t>土壤环境影响评价项目类别表（摘自</w:t>
            </w:r>
            <w:r>
              <w:rPr>
                <w:rFonts w:ascii="Times New Roman" w:hAnsi="Times New Roman"/>
                <w:b/>
                <w:kern w:val="0"/>
                <w:sz w:val="24"/>
                <w:szCs w:val="24"/>
              </w:rPr>
              <w:t>HJ</w:t>
            </w:r>
            <w:r>
              <w:rPr>
                <w:rFonts w:hint="eastAsia" w:ascii="Times New Roman" w:hAnsi="Times New Roman"/>
                <w:b/>
                <w:kern w:val="0"/>
                <w:sz w:val="24"/>
                <w:szCs w:val="24"/>
              </w:rPr>
              <w:t xml:space="preserve"> </w:t>
            </w:r>
            <w:r>
              <w:rPr>
                <w:rFonts w:ascii="Times New Roman" w:hAnsi="Times New Roman"/>
                <w:b/>
                <w:kern w:val="0"/>
                <w:sz w:val="24"/>
                <w:szCs w:val="24"/>
              </w:rPr>
              <w:t>964-2018</w:t>
            </w:r>
            <w:r>
              <w:rPr>
                <w:rFonts w:ascii="Times New Roman"/>
                <w:b/>
                <w:kern w:val="0"/>
                <w:sz w:val="24"/>
                <w:szCs w:val="24"/>
              </w:rPr>
              <w:t>中附录</w:t>
            </w:r>
            <w:r>
              <w:rPr>
                <w:rFonts w:ascii="Times New Roman" w:hAnsi="Times New Roman"/>
                <w:b/>
                <w:kern w:val="0"/>
                <w:sz w:val="24"/>
                <w:szCs w:val="24"/>
              </w:rPr>
              <w:t>A</w:t>
            </w:r>
            <w:r>
              <w:rPr>
                <w:rFonts w:ascii="Times New Roman"/>
                <w:b/>
                <w:kern w:val="0"/>
                <w:sz w:val="24"/>
                <w:szCs w:val="24"/>
              </w:rPr>
              <w:t>）</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61"/>
              <w:gridCol w:w="1817"/>
              <w:gridCol w:w="3925"/>
              <w:gridCol w:w="10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04" w:type="dxa"/>
                  <w:tcBorders>
                    <w:top w:val="single" w:color="000000" w:sz="12" w:space="0"/>
                    <w:left w:val="single" w:color="000000" w:sz="12" w:space="0"/>
                    <w:bottom w:val="single" w:color="000000" w:sz="12" w:space="0"/>
                    <w:tl2br w:val="single" w:color="000000" w:sz="12" w:space="0"/>
                  </w:tcBorders>
                  <w:vAlign w:val="center"/>
                </w:tcPr>
                <w:p>
                  <w:pPr>
                    <w:widowControl/>
                    <w:jc w:val="right"/>
                    <w:rPr>
                      <w:rFonts w:ascii="Times New Roman" w:hAnsi="Times New Roman"/>
                      <w:b/>
                      <w:szCs w:val="21"/>
                    </w:rPr>
                  </w:pPr>
                  <w:r>
                    <w:rPr>
                      <w:rFonts w:hint="eastAsia" w:ascii="Times New Roman" w:hAnsi="Times New Roman"/>
                      <w:b/>
                      <w:szCs w:val="21"/>
                    </w:rPr>
                    <w:t>项目类别</w:t>
                  </w:r>
                </w:p>
                <w:p>
                  <w:pPr>
                    <w:widowControl/>
                    <w:rPr>
                      <w:rFonts w:ascii="Times New Roman" w:hAnsi="Times New Roman"/>
                      <w:b/>
                      <w:szCs w:val="21"/>
                    </w:rPr>
                  </w:pPr>
                  <w:r>
                    <w:rPr>
                      <w:rFonts w:hint="eastAsia" w:ascii="Times New Roman" w:hAnsi="Times New Roman"/>
                      <w:b/>
                      <w:szCs w:val="21"/>
                    </w:rPr>
                    <w:t>行业类别</w:t>
                  </w:r>
                </w:p>
              </w:tc>
              <w:tc>
                <w:tcPr>
                  <w:tcW w:w="1772" w:type="dxa"/>
                  <w:tcBorders>
                    <w:top w:val="single" w:color="000000" w:sz="12" w:space="0"/>
                    <w:bottom w:val="single" w:color="000000" w:sz="12" w:space="0"/>
                  </w:tcBorders>
                  <w:vAlign w:val="center"/>
                </w:tcPr>
                <w:p>
                  <w:pPr>
                    <w:widowControl/>
                    <w:jc w:val="center"/>
                    <w:rPr>
                      <w:rFonts w:ascii="Times New Roman" w:hAnsi="Times New Roman"/>
                      <w:b/>
                      <w:szCs w:val="21"/>
                    </w:rPr>
                  </w:pPr>
                  <w:r>
                    <w:rPr>
                      <w:rFonts w:ascii="Times New Roman" w:hAnsi="Times New Roman"/>
                      <w:b/>
                      <w:szCs w:val="21"/>
                    </w:rPr>
                    <w:t>Ⅰ</w:t>
                  </w:r>
                  <w:r>
                    <w:rPr>
                      <w:rFonts w:hint="eastAsia" w:ascii="Times New Roman" w:hAnsi="Times New Roman"/>
                      <w:b/>
                      <w:szCs w:val="21"/>
                    </w:rPr>
                    <w:t>类</w:t>
                  </w:r>
                </w:p>
              </w:tc>
              <w:tc>
                <w:tcPr>
                  <w:tcW w:w="3827" w:type="dxa"/>
                  <w:tcBorders>
                    <w:top w:val="single" w:color="000000" w:sz="12" w:space="0"/>
                    <w:bottom w:val="single" w:color="000000" w:sz="12" w:space="0"/>
                  </w:tcBorders>
                  <w:vAlign w:val="center"/>
                </w:tcPr>
                <w:p>
                  <w:pPr>
                    <w:widowControl/>
                    <w:jc w:val="center"/>
                    <w:rPr>
                      <w:rFonts w:ascii="Times New Roman" w:hAnsi="Times New Roman"/>
                      <w:b/>
                      <w:szCs w:val="21"/>
                    </w:rPr>
                  </w:pPr>
                  <w:r>
                    <w:rPr>
                      <w:rFonts w:ascii="Times New Roman" w:hAnsi="Times New Roman"/>
                      <w:b/>
                      <w:szCs w:val="21"/>
                    </w:rPr>
                    <w:t>Ⅱ类</w:t>
                  </w:r>
                </w:p>
              </w:tc>
              <w:tc>
                <w:tcPr>
                  <w:tcW w:w="1011" w:type="dxa"/>
                  <w:tcBorders>
                    <w:top w:val="single" w:color="000000" w:sz="12" w:space="0"/>
                    <w:bottom w:val="single" w:color="000000" w:sz="12" w:space="0"/>
                    <w:right w:val="single" w:color="000000" w:sz="12" w:space="0"/>
                  </w:tcBorders>
                  <w:vAlign w:val="center"/>
                </w:tcPr>
                <w:p>
                  <w:pPr>
                    <w:widowControl/>
                    <w:jc w:val="center"/>
                    <w:rPr>
                      <w:rFonts w:ascii="Times New Roman" w:hAnsi="Times New Roman"/>
                      <w:b/>
                      <w:szCs w:val="21"/>
                    </w:rPr>
                  </w:pPr>
                  <w:r>
                    <w:rPr>
                      <w:rFonts w:ascii="Times New Roman" w:hAnsi="Times New Roman"/>
                      <w:b/>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04" w:type="dxa"/>
                  <w:tcBorders>
                    <w:top w:val="single" w:color="000000" w:sz="12" w:space="0"/>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采矿业</w:t>
                  </w:r>
                </w:p>
              </w:tc>
              <w:tc>
                <w:tcPr>
                  <w:tcW w:w="1772" w:type="dxa"/>
                  <w:tcBorders>
                    <w:top w:val="single" w:color="000000" w:sz="12" w:space="0"/>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金属矿、石油、页岩油开采</w:t>
                  </w:r>
                </w:p>
              </w:tc>
              <w:tc>
                <w:tcPr>
                  <w:tcW w:w="3827" w:type="dxa"/>
                  <w:tcBorders>
                    <w:top w:val="single" w:color="000000" w:sz="12" w:space="0"/>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化学矿采选；石棉矿采选；煤矿采选、天然气开采、页岩气开采、煤层气开采（含净化、液化）</w:t>
                  </w:r>
                </w:p>
              </w:tc>
              <w:tc>
                <w:tcPr>
                  <w:tcW w:w="1011" w:type="dxa"/>
                  <w:tcBorders>
                    <w:top w:val="single" w:color="000000" w:sz="12" w:space="0"/>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04" w:type="dxa"/>
                  <w:tcBorders>
                    <w:top w:val="single" w:color="000000" w:sz="6" w:space="0"/>
                    <w:bottom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制造业、金属冶炼和压延加工及非金属矿物制品</w:t>
                  </w:r>
                </w:p>
              </w:tc>
              <w:tc>
                <w:tcPr>
                  <w:tcW w:w="1772" w:type="dxa"/>
                  <w:tcBorders>
                    <w:top w:val="single" w:color="000000" w:sz="6" w:space="0"/>
                    <w:bottom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有色金属冶炼（含再生有色金属冶炼）</w:t>
                  </w:r>
                </w:p>
              </w:tc>
              <w:tc>
                <w:tcPr>
                  <w:tcW w:w="3827" w:type="dxa"/>
                  <w:tcBorders>
                    <w:top w:val="single" w:color="000000" w:sz="6" w:space="0"/>
                    <w:bottom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有色金属铸造及合金制造；炼铁；球团；烧结炼钢；冷轧压延加工；铬铁合金制造；水泥制造；平板玻璃制造；石棉制品；含焙烧的石墨碳素制品</w:t>
                  </w:r>
                </w:p>
              </w:tc>
              <w:tc>
                <w:tcPr>
                  <w:tcW w:w="1011" w:type="dxa"/>
                  <w:tcBorders>
                    <w:top w:val="single" w:color="000000" w:sz="6" w:space="0"/>
                    <w:bottom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其他</w:t>
                  </w:r>
                </w:p>
              </w:tc>
            </w:tr>
          </w:tbl>
          <w:p>
            <w:pPr>
              <w:widowControl/>
              <w:spacing w:line="360" w:lineRule="auto"/>
              <w:jc w:val="center"/>
              <w:rPr>
                <w:rFonts w:ascii="Times New Roman" w:hAnsi="Times New Roman"/>
                <w:b/>
                <w:sz w:val="24"/>
                <w:szCs w:val="24"/>
              </w:rPr>
            </w:pPr>
            <w:r>
              <w:rPr>
                <w:rFonts w:hint="eastAsia" w:ascii="Times New Roman" w:hAnsi="Times New Roman"/>
                <w:b/>
                <w:sz w:val="24"/>
                <w:szCs w:val="24"/>
              </w:rPr>
              <w:t>表6-15  评价工作等级分级表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481"/>
              <w:gridCol w:w="729"/>
              <w:gridCol w:w="728"/>
              <w:gridCol w:w="729"/>
              <w:gridCol w:w="729"/>
              <w:gridCol w:w="729"/>
              <w:gridCol w:w="728"/>
              <w:gridCol w:w="729"/>
              <w:gridCol w:w="729"/>
              <w:gridCol w:w="7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2412" w:type="dxa"/>
                  <w:vMerge w:val="restart"/>
                  <w:tcBorders>
                    <w:top w:val="single" w:color="000000" w:sz="12" w:space="0"/>
                    <w:bottom w:val="single" w:color="000000" w:sz="12" w:space="0"/>
                    <w:tl2br w:val="single" w:color="000000" w:sz="12" w:space="0"/>
                  </w:tcBorders>
                  <w:vAlign w:val="center"/>
                </w:tcPr>
                <w:p>
                  <w:pPr>
                    <w:widowControl/>
                    <w:jc w:val="right"/>
                    <w:rPr>
                      <w:rFonts w:ascii="Times New Roman" w:hAnsi="Times New Roman"/>
                      <w:b/>
                      <w:bCs/>
                      <w:szCs w:val="21"/>
                    </w:rPr>
                  </w:pPr>
                  <w:r>
                    <w:rPr>
                      <w:rFonts w:hint="eastAsia" w:ascii="Times New Roman" w:hAnsi="Times New Roman"/>
                      <w:b/>
                      <w:bCs/>
                      <w:szCs w:val="21"/>
                    </w:rPr>
                    <w:t>占地规模</w:t>
                  </w:r>
                </w:p>
                <w:p>
                  <w:pPr>
                    <w:widowControl/>
                    <w:rPr>
                      <w:rFonts w:ascii="Times New Roman" w:hAnsi="Times New Roman"/>
                      <w:b/>
                      <w:bCs/>
                      <w:szCs w:val="21"/>
                    </w:rPr>
                  </w:pPr>
                  <w:r>
                    <w:rPr>
                      <w:rFonts w:hint="eastAsia" w:ascii="Times New Roman" w:hAnsi="Times New Roman"/>
                      <w:b/>
                      <w:bCs/>
                      <w:szCs w:val="21"/>
                    </w:rPr>
                    <w:t>敏感程度</w:t>
                  </w:r>
                </w:p>
              </w:tc>
              <w:tc>
                <w:tcPr>
                  <w:tcW w:w="2126" w:type="dxa"/>
                  <w:gridSpan w:val="3"/>
                  <w:tcBorders>
                    <w:top w:val="single" w:color="000000" w:sz="12" w:space="0"/>
                    <w:bottom w:val="single" w:color="000000" w:sz="6" w:space="0"/>
                  </w:tcBorders>
                  <w:vAlign w:val="center"/>
                </w:tcPr>
                <w:p>
                  <w:pPr>
                    <w:widowControl/>
                    <w:jc w:val="center"/>
                    <w:rPr>
                      <w:rFonts w:ascii="Times New Roman" w:hAnsi="Times New Roman"/>
                      <w:b/>
                      <w:bCs/>
                      <w:szCs w:val="21"/>
                    </w:rPr>
                  </w:pPr>
                  <w:r>
                    <w:rPr>
                      <w:rFonts w:ascii="Times New Roman" w:hAnsi="Times New Roman"/>
                      <w:b/>
                      <w:bCs/>
                      <w:szCs w:val="21"/>
                    </w:rPr>
                    <w:t>Ⅰ类项目</w:t>
                  </w:r>
                </w:p>
              </w:tc>
              <w:tc>
                <w:tcPr>
                  <w:tcW w:w="2126" w:type="dxa"/>
                  <w:gridSpan w:val="3"/>
                  <w:tcBorders>
                    <w:top w:val="single" w:color="000000" w:sz="12" w:space="0"/>
                    <w:bottom w:val="single" w:color="000000" w:sz="6" w:space="0"/>
                  </w:tcBorders>
                  <w:vAlign w:val="center"/>
                </w:tcPr>
                <w:p>
                  <w:pPr>
                    <w:widowControl/>
                    <w:jc w:val="center"/>
                    <w:rPr>
                      <w:rFonts w:ascii="Times New Roman" w:hAnsi="Times New Roman"/>
                      <w:b/>
                      <w:bCs/>
                      <w:szCs w:val="21"/>
                    </w:rPr>
                  </w:pPr>
                  <w:r>
                    <w:rPr>
                      <w:rFonts w:ascii="Times New Roman" w:hAnsi="Times New Roman"/>
                      <w:b/>
                      <w:bCs/>
                      <w:szCs w:val="21"/>
                    </w:rPr>
                    <w:t>Ⅱ类项目</w:t>
                  </w:r>
                </w:p>
              </w:tc>
              <w:tc>
                <w:tcPr>
                  <w:tcW w:w="2125" w:type="dxa"/>
                  <w:gridSpan w:val="3"/>
                  <w:tcBorders>
                    <w:top w:val="single" w:color="000000" w:sz="12" w:space="0"/>
                    <w:bottom w:val="single" w:color="000000" w:sz="6" w:space="0"/>
                  </w:tcBorders>
                  <w:vAlign w:val="center"/>
                </w:tcPr>
                <w:p>
                  <w:pPr>
                    <w:widowControl/>
                    <w:jc w:val="center"/>
                    <w:rPr>
                      <w:rFonts w:ascii="Times New Roman" w:hAnsi="Times New Roman"/>
                      <w:b/>
                      <w:bCs/>
                      <w:szCs w:val="21"/>
                    </w:rPr>
                  </w:pPr>
                  <w:r>
                    <w:rPr>
                      <w:rFonts w:ascii="Times New Roman" w:hAnsi="Times New Roman"/>
                      <w:b/>
                      <w:bCs/>
                      <w:szCs w:val="21"/>
                    </w:rPr>
                    <w:t>Ⅲ类项目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12" w:type="dxa"/>
                  <w:vMerge w:val="continue"/>
                  <w:tcBorders>
                    <w:top w:val="single" w:color="000000" w:sz="6" w:space="0"/>
                    <w:bottom w:val="single" w:color="000000" w:sz="12" w:space="0"/>
                    <w:tl2br w:val="single" w:color="000000" w:sz="12" w:space="0"/>
                  </w:tcBorders>
                  <w:vAlign w:val="center"/>
                </w:tcPr>
                <w:p>
                  <w:pPr>
                    <w:widowControl/>
                    <w:jc w:val="center"/>
                    <w:rPr>
                      <w:rFonts w:ascii="Times New Roman" w:hAnsi="Times New Roman"/>
                      <w:b/>
                      <w:bCs/>
                      <w:szCs w:val="21"/>
                    </w:rPr>
                  </w:pP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大</w:t>
                  </w:r>
                </w:p>
              </w:tc>
              <w:tc>
                <w:tcPr>
                  <w:tcW w:w="708"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中</w:t>
                  </w: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小</w:t>
                  </w: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大</w:t>
                  </w: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中</w:t>
                  </w:r>
                </w:p>
              </w:tc>
              <w:tc>
                <w:tcPr>
                  <w:tcW w:w="708"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小</w:t>
                  </w: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大</w:t>
                  </w:r>
                </w:p>
              </w:tc>
              <w:tc>
                <w:tcPr>
                  <w:tcW w:w="709"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中</w:t>
                  </w:r>
                </w:p>
              </w:tc>
              <w:tc>
                <w:tcPr>
                  <w:tcW w:w="707" w:type="dxa"/>
                  <w:tcBorders>
                    <w:top w:val="single" w:color="000000" w:sz="6" w:space="0"/>
                    <w:bottom w:val="single" w:color="000000" w:sz="12" w:space="0"/>
                  </w:tcBorders>
                  <w:vAlign w:val="center"/>
                </w:tcPr>
                <w:p>
                  <w:pPr>
                    <w:widowControl/>
                    <w:jc w:val="center"/>
                    <w:rPr>
                      <w:rFonts w:ascii="Times New Roman" w:hAnsi="Times New Roman"/>
                      <w:b/>
                      <w:bCs/>
                      <w:szCs w:val="21"/>
                    </w:rPr>
                  </w:pPr>
                  <w:r>
                    <w:rPr>
                      <w:rFonts w:hint="eastAsia" w:ascii="Times New Roman" w:hAnsi="Times New Roman"/>
                      <w:b/>
                      <w:bCs/>
                      <w:szCs w:val="21"/>
                    </w:rPr>
                    <w:t>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12"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敏感</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一</w:t>
                  </w:r>
                </w:p>
              </w:tc>
              <w:tc>
                <w:tcPr>
                  <w:tcW w:w="708"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一</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一</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二</w:t>
                  </w:r>
                </w:p>
              </w:tc>
              <w:tc>
                <w:tcPr>
                  <w:tcW w:w="708"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三</w:t>
                  </w:r>
                </w:p>
              </w:tc>
              <w:tc>
                <w:tcPr>
                  <w:tcW w:w="709" w:type="dxa"/>
                  <w:tcBorders>
                    <w:top w:val="single" w:color="000000" w:sz="12" w:space="0"/>
                  </w:tcBorders>
                  <w:vAlign w:val="center"/>
                </w:tcPr>
                <w:p>
                  <w:pPr>
                    <w:widowControl/>
                    <w:jc w:val="center"/>
                    <w:rPr>
                      <w:rFonts w:ascii="Times New Roman" w:hAnsi="Times New Roman"/>
                      <w:szCs w:val="21"/>
                    </w:rPr>
                  </w:pPr>
                  <w:r>
                    <w:rPr>
                      <w:rFonts w:hint="eastAsia" w:ascii="Times New Roman" w:hAnsi="Times New Roman"/>
                      <w:szCs w:val="21"/>
                    </w:rPr>
                    <w:t>三</w:t>
                  </w:r>
                </w:p>
              </w:tc>
              <w:tc>
                <w:tcPr>
                  <w:tcW w:w="707" w:type="dxa"/>
                  <w:tcBorders>
                    <w:top w:val="single" w:color="000000" w:sz="12" w:space="0"/>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12" w:type="dxa"/>
                  <w:vAlign w:val="center"/>
                </w:tcPr>
                <w:p>
                  <w:pPr>
                    <w:widowControl/>
                    <w:jc w:val="center"/>
                    <w:rPr>
                      <w:rFonts w:ascii="Times New Roman" w:hAnsi="Times New Roman"/>
                      <w:szCs w:val="21"/>
                    </w:rPr>
                  </w:pPr>
                  <w:r>
                    <w:rPr>
                      <w:rFonts w:hint="eastAsia" w:ascii="Times New Roman" w:hAnsi="Times New Roman"/>
                      <w:szCs w:val="21"/>
                    </w:rPr>
                    <w:t>较敏感</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一</w:t>
                  </w:r>
                </w:p>
              </w:tc>
              <w:tc>
                <w:tcPr>
                  <w:tcW w:w="708" w:type="dxa"/>
                  <w:vAlign w:val="center"/>
                </w:tcPr>
                <w:p>
                  <w:pPr>
                    <w:widowControl/>
                    <w:jc w:val="center"/>
                    <w:rPr>
                      <w:rFonts w:ascii="Times New Roman" w:hAnsi="Times New Roman"/>
                      <w:szCs w:val="21"/>
                    </w:rPr>
                  </w:pPr>
                  <w:r>
                    <w:rPr>
                      <w:rFonts w:hint="eastAsia" w:ascii="Times New Roman" w:hAnsi="Times New Roman"/>
                      <w:szCs w:val="21"/>
                    </w:rPr>
                    <w:t>一</w:t>
                  </w:r>
                </w:p>
              </w:tc>
              <w:tc>
                <w:tcPr>
                  <w:tcW w:w="709" w:type="dxa"/>
                  <w:tcBorders>
                    <w:bottom w:val="single" w:color="000000" w:sz="6" w:space="0"/>
                  </w:tcBorders>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二</w:t>
                  </w:r>
                </w:p>
              </w:tc>
              <w:tc>
                <w:tcPr>
                  <w:tcW w:w="708"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7" w:type="dxa"/>
                  <w:tcBorders>
                    <w:top w:val="single" w:color="000000" w:sz="6" w:space="0"/>
                    <w:bottom w:val="single" w:color="000000" w:sz="6" w:space="0"/>
                  </w:tcBorders>
                  <w:shd w:val="clear" w:color="auto" w:fill="BEBEBE" w:themeFill="background1" w:themeFillShade="BF"/>
                  <w:vAlign w:val="center"/>
                </w:tcPr>
                <w:p>
                  <w:pPr>
                    <w:widowControl/>
                    <w:jc w:val="center"/>
                    <w:rPr>
                      <w:rFonts w:ascii="Times New Roman" w:hAnsi="Times New Roman"/>
                      <w:szCs w:val="21"/>
                    </w:rPr>
                  </w:pPr>
                  <w:r>
                    <w:rPr>
                      <w:rFonts w:hint="eastAsia"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12" w:type="dxa"/>
                  <w:vAlign w:val="center"/>
                </w:tcPr>
                <w:p>
                  <w:pPr>
                    <w:widowControl/>
                    <w:jc w:val="center"/>
                    <w:rPr>
                      <w:rFonts w:ascii="Times New Roman" w:hAnsi="Times New Roman"/>
                      <w:szCs w:val="21"/>
                    </w:rPr>
                  </w:pPr>
                  <w:r>
                    <w:rPr>
                      <w:rFonts w:hint="eastAsia" w:ascii="Times New Roman" w:hAnsi="Times New Roman"/>
                      <w:szCs w:val="21"/>
                    </w:rPr>
                    <w:t>不敏感</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一</w:t>
                  </w:r>
                </w:p>
              </w:tc>
              <w:tc>
                <w:tcPr>
                  <w:tcW w:w="708" w:type="dxa"/>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tcBorders>
                    <w:top w:val="single" w:color="000000" w:sz="6" w:space="0"/>
                    <w:bottom w:val="single" w:color="000000" w:sz="12" w:space="0"/>
                  </w:tcBorders>
                  <w:shd w:val="clear" w:color="auto" w:fill="FFFFFF" w:themeFill="background1"/>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二</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8"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9" w:type="dxa"/>
                  <w:vAlign w:val="center"/>
                </w:tcPr>
                <w:p>
                  <w:pPr>
                    <w:widowControl/>
                    <w:jc w:val="center"/>
                    <w:rPr>
                      <w:rFonts w:ascii="Times New Roman" w:hAnsi="Times New Roman"/>
                      <w:szCs w:val="21"/>
                    </w:rPr>
                  </w:pPr>
                  <w:r>
                    <w:rPr>
                      <w:rFonts w:hint="eastAsia" w:ascii="Times New Roman" w:hAnsi="Times New Roman"/>
                      <w:szCs w:val="21"/>
                    </w:rPr>
                    <w:t>三</w:t>
                  </w:r>
                </w:p>
              </w:tc>
              <w:tc>
                <w:tcPr>
                  <w:tcW w:w="709" w:type="dxa"/>
                  <w:vAlign w:val="center"/>
                </w:tcPr>
                <w:p>
                  <w:pPr>
                    <w:widowControl/>
                    <w:jc w:val="center"/>
                    <w:rPr>
                      <w:rFonts w:ascii="Times New Roman" w:hAnsi="Times New Roman"/>
                      <w:szCs w:val="21"/>
                    </w:rPr>
                  </w:pPr>
                  <w:r>
                    <w:rPr>
                      <w:rFonts w:hint="eastAsia" w:ascii="Times New Roman" w:hAnsi="Times New Roman"/>
                      <w:szCs w:val="21"/>
                    </w:rPr>
                    <w:t>-</w:t>
                  </w:r>
                </w:p>
              </w:tc>
              <w:tc>
                <w:tcPr>
                  <w:tcW w:w="707" w:type="dxa"/>
                  <w:tcBorders>
                    <w:top w:val="single" w:color="000000" w:sz="6" w:space="0"/>
                    <w:bottom w:val="single" w:color="000000" w:sz="12" w:space="0"/>
                  </w:tcBorders>
                  <w:shd w:val="clear" w:color="auto" w:fill="FFFFFF" w:themeFill="background1"/>
                  <w:vAlign w:val="center"/>
                </w:tcPr>
                <w:p>
                  <w:pPr>
                    <w:widowControl/>
                    <w:jc w:val="center"/>
                    <w:rPr>
                      <w:rFonts w:ascii="Times New Roman" w:hAnsi="Times New Roman"/>
                      <w:szCs w:val="21"/>
                    </w:rPr>
                  </w:pPr>
                  <w:r>
                    <w:rPr>
                      <w:rFonts w:hint="eastAsia" w:ascii="Times New Roman" w:hAnsi="Times New Roman"/>
                      <w:szCs w:val="21"/>
                    </w:rPr>
                    <w:t>-</w:t>
                  </w:r>
                </w:p>
              </w:tc>
            </w:tr>
          </w:tbl>
          <w:p>
            <w:pPr>
              <w:overflowPunct w:val="0"/>
              <w:spacing w:line="360" w:lineRule="auto"/>
              <w:ind w:firstLine="480" w:firstLineChars="200"/>
              <w:textAlignment w:val="baseline"/>
              <w:outlineLvl w:val="1"/>
              <w:rPr>
                <w:rFonts w:ascii="Times New Roman"/>
                <w:sz w:val="24"/>
                <w:szCs w:val="24"/>
              </w:rPr>
            </w:pPr>
            <w:bookmarkStart w:id="50" w:name="_Toc478656553"/>
            <w:bookmarkStart w:id="51" w:name="_Toc511833656"/>
            <w:bookmarkStart w:id="52" w:name="_Toc511833746"/>
            <w:bookmarkStart w:id="53" w:name="_Toc511833765"/>
            <w:r>
              <w:rPr>
                <w:rFonts w:ascii="Times New Roman"/>
                <w:sz w:val="24"/>
                <w:szCs w:val="24"/>
              </w:rPr>
              <w:t>本项目的项目类别属</w:t>
            </w:r>
            <w:r>
              <w:rPr>
                <w:rFonts w:ascii="Times New Roman" w:hAnsi="Times New Roman"/>
                <w:sz w:val="24"/>
                <w:szCs w:val="24"/>
              </w:rPr>
              <w:t>于Ⅲ</w:t>
            </w:r>
            <w:r>
              <w:rPr>
                <w:rFonts w:ascii="Times New Roman"/>
                <w:sz w:val="24"/>
                <w:szCs w:val="24"/>
              </w:rPr>
              <w:t>类；项目占地面积为</w:t>
            </w:r>
            <w:r>
              <w:rPr>
                <w:rFonts w:ascii="Times New Roman" w:hAnsi="Times New Roman"/>
                <w:kern w:val="0"/>
                <w:sz w:val="24"/>
                <w:szCs w:val="24"/>
              </w:rPr>
              <w:t>20000</w:t>
            </w:r>
            <w:r>
              <w:rPr>
                <w:rFonts w:ascii="Times New Roman" w:hAnsi="Times New Roman"/>
                <w:sz w:val="24"/>
                <w:szCs w:val="24"/>
              </w:rPr>
              <w:t>m</w:t>
            </w:r>
            <w:r>
              <w:rPr>
                <w:rFonts w:ascii="Times New Roman" w:hAnsi="Times New Roman"/>
                <w:sz w:val="24"/>
                <w:szCs w:val="24"/>
                <w:vertAlign w:val="superscript"/>
              </w:rPr>
              <w:t>2</w:t>
            </w:r>
            <w:r>
              <w:rPr>
                <w:rFonts w:ascii="Times New Roman"/>
                <w:sz w:val="24"/>
                <w:szCs w:val="24"/>
              </w:rPr>
              <w:t>（约</w:t>
            </w:r>
            <w:r>
              <w:rPr>
                <w:rFonts w:ascii="Times New Roman" w:hAnsi="Times New Roman"/>
                <w:sz w:val="24"/>
                <w:szCs w:val="24"/>
              </w:rPr>
              <w:t>2hm</w:t>
            </w:r>
            <w:r>
              <w:rPr>
                <w:rFonts w:ascii="Times New Roman" w:hAnsi="Times New Roman"/>
                <w:sz w:val="24"/>
                <w:szCs w:val="24"/>
                <w:vertAlign w:val="superscript"/>
              </w:rPr>
              <w:t>2</w:t>
            </w:r>
            <w:r>
              <w:rPr>
                <w:rFonts w:ascii="Times New Roman"/>
                <w:sz w:val="24"/>
                <w:szCs w:val="24"/>
              </w:rPr>
              <w:t>）</w:t>
            </w:r>
            <w:r>
              <w:rPr>
                <w:rFonts w:ascii="Times New Roman" w:hAnsi="Times New Roman"/>
                <w:sz w:val="24"/>
                <w:szCs w:val="24"/>
              </w:rPr>
              <w:t>&lt;5hm</w:t>
            </w:r>
            <w:r>
              <w:rPr>
                <w:rFonts w:ascii="Times New Roman" w:hAnsi="Times New Roman"/>
                <w:sz w:val="24"/>
                <w:szCs w:val="24"/>
                <w:vertAlign w:val="superscript"/>
              </w:rPr>
              <w:t>2</w:t>
            </w:r>
            <w:r>
              <w:rPr>
                <w:rFonts w:hint="eastAsia" w:ascii="Times New Roman" w:hAnsi="Times New Roman"/>
                <w:sz w:val="24"/>
                <w:szCs w:val="24"/>
              </w:rPr>
              <w:t>，周边环境敏感程度属于较敏感</w:t>
            </w:r>
            <w:r>
              <w:rPr>
                <w:rFonts w:ascii="Times New Roman"/>
                <w:sz w:val="24"/>
                <w:szCs w:val="24"/>
              </w:rPr>
              <w:t>。根据《环境影响评价技术导则</w:t>
            </w:r>
            <w:r>
              <w:rPr>
                <w:rFonts w:ascii="Times New Roman" w:hAnsi="Times New Roman"/>
                <w:sz w:val="24"/>
                <w:szCs w:val="24"/>
              </w:rPr>
              <w:t xml:space="preserve"> </w:t>
            </w:r>
            <w:r>
              <w:rPr>
                <w:rFonts w:ascii="Times New Roman"/>
                <w:sz w:val="24"/>
                <w:szCs w:val="24"/>
              </w:rPr>
              <w:t>土壤环境》（</w:t>
            </w:r>
            <w:r>
              <w:rPr>
                <w:rFonts w:ascii="Times New Roman" w:hAnsi="Times New Roman"/>
                <w:sz w:val="24"/>
                <w:szCs w:val="24"/>
              </w:rPr>
              <w:t>HJ 694-2018</w:t>
            </w:r>
            <w:r>
              <w:rPr>
                <w:rFonts w:ascii="Times New Roman"/>
                <w:sz w:val="24"/>
                <w:szCs w:val="24"/>
              </w:rPr>
              <w:t>）关于评价工作等级确定的有关规定，确定本项目土壤环境评价等级</w:t>
            </w:r>
            <w:r>
              <w:rPr>
                <w:rFonts w:asciiTheme="minorEastAsia" w:hAnsiTheme="minorEastAsia" w:eastAsiaTheme="minorEastAsia"/>
                <w:sz w:val="24"/>
                <w:szCs w:val="24"/>
              </w:rPr>
              <w:t>为“-”</w:t>
            </w:r>
            <w:r>
              <w:rPr>
                <w:rFonts w:ascii="Times New Roman" w:hAnsi="Times New Roman"/>
                <w:sz w:val="24"/>
                <w:szCs w:val="24"/>
              </w:rPr>
              <w:t>，</w:t>
            </w:r>
            <w:r>
              <w:rPr>
                <w:rFonts w:hint="eastAsia" w:ascii="Times New Roman" w:hAnsi="Times New Roman"/>
                <w:sz w:val="24"/>
                <w:szCs w:val="24"/>
              </w:rPr>
              <w:t>不</w:t>
            </w:r>
            <w:r>
              <w:rPr>
                <w:rFonts w:hint="eastAsia" w:ascii="Times New Roman"/>
                <w:sz w:val="24"/>
                <w:szCs w:val="24"/>
              </w:rPr>
              <w:t>需</w:t>
            </w:r>
            <w:r>
              <w:rPr>
                <w:rFonts w:ascii="Times New Roman"/>
                <w:sz w:val="24"/>
                <w:szCs w:val="24"/>
              </w:rPr>
              <w:t>开展土壤环境影响评价工作。</w:t>
            </w:r>
          </w:p>
          <w:p>
            <w:pPr>
              <w:kinsoku w:val="0"/>
              <w:overflowPunct w:val="0"/>
              <w:spacing w:line="360" w:lineRule="auto"/>
              <w:rPr>
                <w:rFonts w:ascii="Times New Roman" w:hAnsi="Times New Roman"/>
                <w:b/>
                <w:spacing w:val="8"/>
                <w:sz w:val="24"/>
                <w:szCs w:val="24"/>
                <w:u w:val="single"/>
              </w:rPr>
            </w:pPr>
            <w:r>
              <w:rPr>
                <w:rFonts w:ascii="Times New Roman" w:hAnsi="Times New Roman"/>
                <w:b/>
                <w:spacing w:val="8"/>
                <w:sz w:val="24"/>
                <w:szCs w:val="24"/>
                <w:u w:val="single"/>
              </w:rPr>
              <w:t xml:space="preserve">6 </w:t>
            </w:r>
            <w:r>
              <w:rPr>
                <w:rFonts w:hint="eastAsia" w:ascii="Times New Roman" w:hAnsi="Times New Roman"/>
                <w:b/>
                <w:spacing w:val="8"/>
                <w:sz w:val="24"/>
                <w:szCs w:val="24"/>
                <w:u w:val="single"/>
              </w:rPr>
              <w:t>生态</w:t>
            </w:r>
            <w:r>
              <w:rPr>
                <w:rFonts w:ascii="Times New Roman" w:hAnsi="Times New Roman"/>
                <w:b/>
                <w:spacing w:val="8"/>
                <w:sz w:val="24"/>
                <w:szCs w:val="24"/>
                <w:u w:val="single"/>
              </w:rPr>
              <w:t>环境影响分析</w:t>
            </w:r>
          </w:p>
          <w:p>
            <w:pPr>
              <w:kinsoku w:val="0"/>
              <w:overflowPunct w:val="0"/>
              <w:spacing w:line="360" w:lineRule="auto"/>
              <w:rPr>
                <w:rFonts w:ascii="Times New Roman" w:hAnsi="Times New Roman"/>
                <w:b/>
                <w:spacing w:val="8"/>
                <w:sz w:val="24"/>
                <w:szCs w:val="24"/>
                <w:u w:val="single"/>
              </w:rPr>
            </w:pPr>
            <w:r>
              <w:rPr>
                <w:rFonts w:ascii="Times New Roman" w:hAnsi="Times New Roman"/>
                <w:b/>
                <w:spacing w:val="8"/>
                <w:sz w:val="24"/>
                <w:szCs w:val="24"/>
                <w:u w:val="single"/>
              </w:rPr>
              <w:t xml:space="preserve">6.1 </w:t>
            </w:r>
            <w:r>
              <w:rPr>
                <w:rFonts w:hint="eastAsia" w:ascii="Times New Roman" w:hAnsi="Times New Roman"/>
                <w:b/>
                <w:spacing w:val="8"/>
                <w:sz w:val="24"/>
                <w:szCs w:val="24"/>
                <w:u w:val="single"/>
              </w:rPr>
              <w:t>项目周边生态环境影响分析</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u w:val="single"/>
              </w:rPr>
              <w:t>项目占地面积20000m</w:t>
            </w:r>
            <w:r>
              <w:rPr>
                <w:rFonts w:ascii="Times New Roman" w:hAnsi="Times New Roman" w:cs="Times New Roman" w:eastAsiaTheme="minorEastAsia"/>
                <w:bCs/>
                <w:sz w:val="24"/>
                <w:szCs w:val="24"/>
                <w:u w:val="single"/>
                <w:vertAlign w:val="superscript"/>
              </w:rPr>
              <w:t>2</w:t>
            </w:r>
            <w:r>
              <w:rPr>
                <w:rFonts w:ascii="Times New Roman" w:hAnsi="Times New Roman" w:cs="Times New Roman" w:eastAsiaTheme="minorEastAsia"/>
                <w:bCs/>
                <w:sz w:val="24"/>
                <w:szCs w:val="24"/>
                <w:u w:val="single"/>
              </w:rPr>
              <w:t>，其范围地貌类型为构造剥蚀、溶蚀低山地貌，由寒武系地层构成，坡上植被较为发育，主要为草木、灌木、松杉林。采石的过程，一般都伴随着植被的破坏，表层土体的剥离，岩石的开采与破碎等过程。这些过程破坏了生态系统的稳定与良性循环，产生了一定的环境影响和危害。</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bCs/>
                <w:sz w:val="24"/>
                <w:szCs w:val="24"/>
                <w:u w:val="single"/>
              </w:rPr>
              <w:t>（1）</w:t>
            </w:r>
            <w:r>
              <w:rPr>
                <w:rFonts w:ascii="Times New Roman" w:hAnsi="Times New Roman" w:cs="Times New Roman" w:eastAsiaTheme="minorEastAsia"/>
                <w:bCs/>
                <w:sz w:val="24"/>
                <w:szCs w:val="24"/>
                <w:u w:val="single"/>
              </w:rPr>
              <w:t>对土地利用的影响分析</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u w:val="single"/>
              </w:rPr>
              <w:t>本项目占地类型为林地和荒地，主要植被为荒草与小型灌木。项目开采过程中践踏场地、清除植被、剥离表土、挖走矿石，导致地形地貌发生变化。</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u w:val="single"/>
              </w:rPr>
              <w:t>根据要求，项目采取边开采边生态修复生产方式，矿山服务期满后对采场全部进行平整并种植当地优势植物。因此，在严格落实生态修复措施前提下，本评价认为该项目的建设对土地利用现状结构的改变不大。</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bCs/>
                <w:sz w:val="24"/>
                <w:szCs w:val="24"/>
                <w:u w:val="single"/>
              </w:rPr>
              <w:t>（2）</w:t>
            </w:r>
            <w:r>
              <w:rPr>
                <w:rFonts w:ascii="Times New Roman" w:hAnsi="Times New Roman" w:cs="Times New Roman" w:eastAsiaTheme="minorEastAsia"/>
                <w:bCs/>
                <w:sz w:val="24"/>
                <w:szCs w:val="24"/>
                <w:u w:val="single"/>
              </w:rPr>
              <w:t>对植被影响分析</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u w:val="single"/>
              </w:rPr>
              <w:t>本项目对植被的影响主要发生在采矿阶段，露天开采矿石需要剥离山体植被，废土石临时堆存也会占压植被，破坏植被类型均为灌木林地。根据要求，项目采取边开采边生态修复生产方式。在矿山服务期满后，将矿区进行平整并植树种草。</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u w:val="single"/>
              </w:rPr>
              <w:t>同时本环评建议项目应采取生态避让措施：不得在矿界外修路、践踏作业，避免矿界外植被遭到破坏。严禁烟火和破坏植被活动。在严格落实生态修复措施前提下，项目建设破坏的植被可以得到有效的恢复。</w:t>
            </w:r>
          </w:p>
          <w:p>
            <w:pPr>
              <w:pStyle w:val="3"/>
              <w:topLinePunct/>
              <w:spacing w:line="360" w:lineRule="auto"/>
              <w:ind w:firstLine="480" w:firstLineChars="200"/>
              <w:rPr>
                <w:rFonts w:ascii="Times New Roman" w:hAnsi="Times New Roman" w:cs="Times New Roman" w:eastAsiaTheme="minorEastAsia"/>
                <w:bCs/>
                <w:sz w:val="24"/>
                <w:szCs w:val="24"/>
                <w:u w:val="single"/>
              </w:rPr>
            </w:pPr>
            <w:r>
              <w:rPr>
                <w:rFonts w:ascii="Times New Roman" w:hAnsi="Times New Roman" w:cs="Times New Roman"/>
                <w:bCs/>
                <w:sz w:val="24"/>
                <w:szCs w:val="24"/>
                <w:u w:val="single"/>
              </w:rPr>
              <w:t>（3）</w:t>
            </w:r>
            <w:r>
              <w:rPr>
                <w:rFonts w:ascii="Times New Roman" w:hAnsi="Times New Roman" w:cs="Times New Roman" w:eastAsiaTheme="minorEastAsia"/>
                <w:bCs/>
                <w:sz w:val="24"/>
                <w:szCs w:val="24"/>
                <w:u w:val="single"/>
              </w:rPr>
              <w:t>对野生动物的影响分析</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bCs/>
                <w:sz w:val="24"/>
                <w:szCs w:val="24"/>
                <w:u w:val="single"/>
              </w:rPr>
              <w:t>采矿过程中，采矿人员的活动和</w:t>
            </w:r>
            <w:r>
              <w:rPr>
                <w:rFonts w:ascii="Times New Roman" w:hAnsi="Times New Roman" w:cs="Times New Roman" w:eastAsiaTheme="minorEastAsia"/>
                <w:color w:val="000000" w:themeColor="text1"/>
                <w:sz w:val="24"/>
                <w:szCs w:val="24"/>
                <w:u w:val="single"/>
                <w14:textFill>
                  <w14:solidFill>
                    <w14:schemeClr w14:val="tx1"/>
                  </w14:solidFill>
                </w14:textFill>
              </w:rPr>
              <w:t>机械噪声等将会使采矿区及周围一定范围内野生动物和栖息产生一定的影响，引起野生动物局部的迁移，使其群落组成和数量发生一定变化。采矿区域内自然植被的破坏，会使一些野生动物失去部分觅食地、栖息场所和活动区域，对野生动物的生存产生轻微的不利影响。开采破坏植被的量较少，对区域内的生物群落结构不会造成太大破坏；同时项目所在地野生动物种类较少，无大型野生哺乳动物，现有的野生动物多为一些常见的鸟类、啮齿类及昆虫等，因此，项目建设不会使区域野生动物物种数发生变化，其种群数量也不会发生变化。项目闭矿后，通过生态修复，野生动物陆续迁回，生态结构逐渐恢复。</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（4）</w:t>
            </w:r>
            <w:r>
              <w:rPr>
                <w:rFonts w:ascii="Times New Roman" w:hAnsi="Times New Roman" w:cs="Times New Roman" w:eastAsiaTheme="minorEastAsia"/>
                <w:color w:val="000000" w:themeColor="text1"/>
                <w:sz w:val="24"/>
                <w:szCs w:val="24"/>
                <w:u w:val="single"/>
                <w14:textFill>
                  <w14:solidFill>
                    <w14:schemeClr w14:val="tx1"/>
                  </w14:solidFill>
                </w14:textFill>
              </w:rPr>
              <w:t>对土壤、地质地貌、水文的影响分析</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由于项目开采过程中破坏了水土保持设施和地貌植被，对该地区生态环境造成破坏，同时使自然状况下的土体稳定和土壤结构遭到破坏，土体疏松，土壤可蚀性增加，必然导致水土流失增加，导致周边水体水文发生变化。项目可能造成的水土流失危害主要为：加剧水土流失，降低水土保持功能；造成局部滑坡、崩塌，影响安全；影响附近地表水体水质。露天采石场水土流失的主要特点和危害有破坏面积大、流失程度大、恢复难度大。本环评建议企业开展以下水土流失保护措施以降低对环境的影响：</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①</w:t>
            </w:r>
            <w:r>
              <w:rPr>
                <w:rFonts w:ascii="Times New Roman" w:hAnsi="Times New Roman" w:cs="Times New Roman" w:eastAsiaTheme="minorEastAsia"/>
                <w:color w:val="000000" w:themeColor="text1"/>
                <w:sz w:val="24"/>
                <w:szCs w:val="24"/>
                <w:u w:val="single"/>
                <w14:textFill>
                  <w14:solidFill>
                    <w14:schemeClr w14:val="tx1"/>
                  </w14:solidFill>
                </w14:textFill>
              </w:rPr>
              <w:t>做好水土流失预防工作，尽量减小开采过程中造成的人为水土流失，并要防止对工程征地范围以外水土资源的破坏。</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②</w:t>
            </w:r>
            <w:r>
              <w:rPr>
                <w:rFonts w:ascii="Times New Roman" w:hAnsi="Times New Roman" w:cs="Times New Roman" w:eastAsiaTheme="minorEastAsia"/>
                <w:color w:val="000000" w:themeColor="text1"/>
                <w:sz w:val="24"/>
                <w:szCs w:val="24"/>
                <w:u w:val="single"/>
                <w14:textFill>
                  <w14:solidFill>
                    <w14:schemeClr w14:val="tx1"/>
                  </w14:solidFill>
                </w14:textFill>
              </w:rPr>
              <w:t>工程开挖土石方在工程中全部加以利用，土石方挖填、搬运等施工中采用拦挡措施，以减少土壤侵蚀强度，减少对建设地块四周及道路两侧地表的损坏。</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③</w:t>
            </w:r>
            <w:r>
              <w:rPr>
                <w:rFonts w:ascii="Times New Roman" w:hAnsi="Times New Roman" w:cs="Times New Roman" w:eastAsiaTheme="minorEastAsia"/>
                <w:color w:val="000000" w:themeColor="text1"/>
                <w:sz w:val="24"/>
                <w:szCs w:val="24"/>
                <w:u w:val="single"/>
                <w14:textFill>
                  <w14:solidFill>
                    <w14:schemeClr w14:val="tx1"/>
                  </w14:solidFill>
                </w14:textFill>
              </w:rPr>
              <w:t>临时堆土场布置在考虑安全可行的基础上，尽量减少占地，做好防护工作，土方利用后进行场地平整。</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④</w:t>
            </w:r>
            <w:r>
              <w:rPr>
                <w:rFonts w:ascii="Times New Roman" w:hAnsi="Times New Roman" w:cs="Times New Roman" w:eastAsiaTheme="minorEastAsia"/>
                <w:color w:val="000000" w:themeColor="text1"/>
                <w:sz w:val="24"/>
                <w:szCs w:val="24"/>
                <w:u w:val="single"/>
                <w14:textFill>
                  <w14:solidFill>
                    <w14:schemeClr w14:val="tx1"/>
                  </w14:solidFill>
                </w14:textFill>
              </w:rPr>
              <w:t>生产运营期，开采矿石不滚坡，矿区排水携带的泥沙全部经过沉淀处理，矿区各处开挖裸露面除被建筑物占用外，全部恢复植被或复垦，减少水土流失，不遗留滑坡、崩塌、泥石流等隐患。</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⑤</w:t>
            </w:r>
            <w:r>
              <w:rPr>
                <w:rFonts w:ascii="Times New Roman" w:hAnsi="Times New Roman" w:cs="Times New Roman" w:eastAsiaTheme="minorEastAsia"/>
                <w:color w:val="000000" w:themeColor="text1"/>
                <w:sz w:val="24"/>
                <w:szCs w:val="24"/>
                <w:u w:val="single"/>
                <w14:textFill>
                  <w14:solidFill>
                    <w14:schemeClr w14:val="tx1"/>
                  </w14:solidFill>
                </w14:textFill>
              </w:rPr>
              <w:t>做到水土流失治理与景观保护相互统一，通过绿化美化建设，使环境质量得到改善，并要避免水土流失对其他单位和个人造成危害。</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Times New Roman" w:hAnsi="Times New Roman" w:cs="Times New Roman" w:eastAsiaTheme="minorEastAsia"/>
                <w:color w:val="000000" w:themeColor="text1"/>
                <w:sz w:val="24"/>
                <w:szCs w:val="24"/>
                <w:u w:val="single"/>
                <w14:textFill>
                  <w14:solidFill>
                    <w14:schemeClr w14:val="tx1"/>
                  </w14:solidFill>
                </w14:textFill>
              </w:rPr>
              <w:t>⑥</w:t>
            </w:r>
            <w:r>
              <w:rPr>
                <w:rFonts w:ascii="Times New Roman" w:hAnsi="Times New Roman" w:cs="Times New Roman" w:eastAsiaTheme="minorEastAsia"/>
                <w:color w:val="000000" w:themeColor="text1"/>
                <w:sz w:val="24"/>
                <w:szCs w:val="24"/>
                <w:u w:val="single"/>
                <w14:textFill>
                  <w14:solidFill>
                    <w14:schemeClr w14:val="tx1"/>
                  </w14:solidFill>
                </w14:textFill>
              </w:rPr>
              <w:t>对开挖裸露面、临时堆土场、排水出口处附近等重点监测地段进行水土保持监测，监测内容主要包括水土流失影响因子、水土流失量、水土流失灾害和水土保持设施情况。水土保持设施必须与主体工程同时设计、同时施工、同时投产使用。</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（5）</w:t>
            </w:r>
            <w:r>
              <w:rPr>
                <w:rFonts w:ascii="Times New Roman" w:hAnsi="Times New Roman" w:cs="Times New Roman" w:eastAsiaTheme="minorEastAsia"/>
                <w:color w:val="000000" w:themeColor="text1"/>
                <w:sz w:val="24"/>
                <w:szCs w:val="24"/>
                <w:u w:val="single"/>
                <w14:textFill>
                  <w14:solidFill>
                    <w14:schemeClr w14:val="tx1"/>
                  </w14:solidFill>
                </w14:textFill>
              </w:rPr>
              <w:t>对自然景观的影响分析</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项目建设将会在很大程度上改变项目直接实施区域内原有的自然景观。例如：对土地的占用，使原有的自然景观类型变为容纳厂房、运矿道路的工业场地；工业场地、采场等会对原有的景观进行分隔，造成景观生态系统在空间上的非连续性，使区域上原有的自然景观演化为工业景观，对原有的景观产生一定的影响。在服务期满后对场地采取生态恢复措施后，其对自然景观的影响程度会有所降低。</w:t>
            </w:r>
          </w:p>
          <w:p>
            <w:pPr>
              <w:pStyle w:val="3"/>
              <w:topLinePunct/>
              <w:spacing w:line="360" w:lineRule="auto"/>
              <w:ind w:firstLine="0"/>
              <w:rPr>
                <w:rFonts w:ascii="Times New Roman" w:hAnsi="Times New Roman" w:cs="Times New Roman" w:eastAsiaTheme="minorEastAsia"/>
                <w:b/>
                <w:bCs/>
                <w:color w:val="000000" w:themeColor="text1"/>
                <w:sz w:val="24"/>
                <w:szCs w:val="24"/>
                <w:u w:val="single"/>
                <w14:textFill>
                  <w14:solidFill>
                    <w14:schemeClr w14:val="tx1"/>
                  </w14:solidFill>
                </w14:textFill>
              </w:rPr>
            </w:pPr>
            <w:r>
              <w:rPr>
                <w:rFonts w:ascii="Times New Roman" w:hAnsi="Times New Roman" w:cs="Times New Roman" w:eastAsiaTheme="minorEastAsia"/>
                <w:b/>
                <w:bCs/>
                <w:color w:val="000000" w:themeColor="text1"/>
                <w:sz w:val="24"/>
                <w:szCs w:val="24"/>
                <w:u w:val="single"/>
                <w14:textFill>
                  <w14:solidFill>
                    <w14:schemeClr w14:val="tx1"/>
                  </w14:solidFill>
                </w14:textFill>
              </w:rPr>
              <w:t>6.2 水土流失影响分析</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采石场和排土场的建设和运营可以造成一定程度的水土流失。剥离表土、采矿过程中，采场区开采、剥离表土等作业活动将形成大面积的裸露面和松散土石方，易造成大范围的水土流失，损坏水土保持设施，降低水土保持功能。</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在剥离表土、采矿过程中，剥离表土、采矿等作业造成大面积的土地裸露，导致不同程度的土壤侵蚀，水土流失现象，从而对地表植被、林地树木、土壤结构等产生潜在的危害。这种土壤侵蚀、水土流失现象尤其是在梅雨季节和台风频发的强降水季节会变得更为突出。</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水土流失可釆用美国通用土壤流失方程(USLE)确定。</w:t>
            </w:r>
          </w:p>
          <w:p>
            <w:pPr>
              <w:pStyle w:val="3"/>
              <w:topLinePunct/>
              <w:spacing w:line="360" w:lineRule="auto"/>
              <w:ind w:firstLine="0"/>
              <w:jc w:val="center"/>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A=ReKeLiSiCtP</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式中：A—水土流失侵蚀强度</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Re——年平均降雨侵蚀因子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Ke—土壤可侵蚀因子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Li坡长因子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Si坡度因子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Ct植物覆盖因子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1200" w:firstLineChars="5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P—侵蚀控制措施因子</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查有关环境数据手册[环境评价</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（第二版）</w:t>
            </w:r>
            <w:r>
              <w:rPr>
                <w:rFonts w:ascii="Times New Roman" w:hAnsi="Times New Roman" w:cs="Times New Roman" w:eastAsiaTheme="minorEastAsia"/>
                <w:color w:val="000000" w:themeColor="text1"/>
                <w:sz w:val="24"/>
                <w:szCs w:val="24"/>
                <w:u w:val="single"/>
                <w14:textFill>
                  <w14:solidFill>
                    <w14:schemeClr w14:val="tx1"/>
                  </w14:solidFill>
                </w14:textFill>
              </w:rPr>
              <w:t>同济大学出版社]得</w:t>
            </w:r>
            <w:r>
              <w:rPr>
                <w:rFonts w:hint="eastAsia" w:ascii="Times New Roman" w:hAnsi="Times New Roman" w:cs="Times New Roman" w:eastAsiaTheme="minorEastAsia"/>
                <w:color w:val="000000" w:themeColor="text1"/>
                <w:sz w:val="24"/>
                <w:szCs w:val="24"/>
                <w:u w:val="single"/>
                <w14:textFill>
                  <w14:solidFill>
                    <w14:schemeClr w14:val="tx1"/>
                  </w14:solidFill>
                </w14:textFill>
              </w:rPr>
              <w:t>：</w:t>
            </w:r>
            <w:r>
              <w:rPr>
                <w:rFonts w:ascii="Times New Roman" w:hAnsi="Times New Roman" w:cs="Times New Roman" w:eastAsiaTheme="minorEastAsia"/>
                <w:color w:val="000000" w:themeColor="text1"/>
                <w:sz w:val="24"/>
                <w:szCs w:val="24"/>
                <w:u w:val="single"/>
                <w14:textFill>
                  <w14:solidFill>
                    <w14:schemeClr w14:val="tx1"/>
                  </w14:solidFill>
                </w14:textFill>
              </w:rPr>
              <w:t>Re=78Kg/m</w:t>
            </w:r>
            <w:r>
              <w:rPr>
                <w:rFonts w:ascii="Times New Roman" w:hAnsi="Times New Roman" w:cs="Times New Roman" w:eastAsiaTheme="minorEastAsia"/>
                <w:color w:val="000000" w:themeColor="text1"/>
                <w:sz w:val="24"/>
                <w:szCs w:val="24"/>
                <w:u w:val="single"/>
                <w:vertAlign w:val="superscript"/>
                <w14:textFill>
                  <w14:solidFill>
                    <w14:schemeClr w14:val="tx1"/>
                  </w14:solidFill>
                </w14:textFill>
              </w:rPr>
              <w:t>2</w:t>
            </w:r>
            <w:r>
              <w:rPr>
                <w:rFonts w:ascii="Times New Roman" w:hAnsi="Times New Roman" w:cs="Times New Roman" w:eastAsiaTheme="minorEastAsia"/>
                <w:color w:val="000000" w:themeColor="text1"/>
                <w:sz w:val="24"/>
                <w:szCs w:val="24"/>
                <w:u w:val="single"/>
                <w14:textFill>
                  <w14:solidFill>
                    <w14:schemeClr w14:val="tx1"/>
                  </w14:solidFill>
                </w14:textFill>
              </w:rPr>
              <w:t>·a，Ke=0.24，Li=5.73，Si=4.90，Ct=1.0，P=1.0。项目矿区面积为0.0417km</w:t>
            </w:r>
            <w:r>
              <w:rPr>
                <w:rFonts w:ascii="Times New Roman" w:hAnsi="Times New Roman" w:cs="Times New Roman" w:eastAsiaTheme="minorEastAsia"/>
                <w:color w:val="000000" w:themeColor="text1"/>
                <w:sz w:val="24"/>
                <w:szCs w:val="24"/>
                <w:u w:val="single"/>
                <w:vertAlign w:val="superscript"/>
                <w14:textFill>
                  <w14:solidFill>
                    <w14:schemeClr w14:val="tx1"/>
                  </w14:solidFill>
                </w14:textFill>
              </w:rPr>
              <w:t>2</w:t>
            </w:r>
            <w:r>
              <w:rPr>
                <w:rFonts w:ascii="Times New Roman" w:hAnsi="Times New Roman" w:cs="Times New Roman" w:eastAsiaTheme="minorEastAsia"/>
                <w:color w:val="000000" w:themeColor="text1"/>
                <w:sz w:val="24"/>
                <w:szCs w:val="24"/>
                <w:u w:val="single"/>
                <w14:textFill>
                  <w14:solidFill>
                    <w14:schemeClr w14:val="tx1"/>
                  </w14:solidFill>
                </w14:textFill>
              </w:rPr>
              <w:t>，排土场面积为5000m</w:t>
            </w:r>
            <w:r>
              <w:rPr>
                <w:rFonts w:ascii="Times New Roman" w:hAnsi="Times New Roman" w:cs="Times New Roman" w:eastAsiaTheme="minorEastAsia"/>
                <w:color w:val="000000" w:themeColor="text1"/>
                <w:sz w:val="24"/>
                <w:szCs w:val="24"/>
                <w:u w:val="single"/>
                <w:vertAlign w:val="superscript"/>
                <w14:textFill>
                  <w14:solidFill>
                    <w14:schemeClr w14:val="tx1"/>
                  </w14:solidFill>
                </w14:textFill>
              </w:rPr>
              <w:t>2</w:t>
            </w:r>
            <w:r>
              <w:rPr>
                <w:rFonts w:ascii="Times New Roman" w:hAnsi="Times New Roman" w:cs="Times New Roman" w:eastAsiaTheme="minorEastAsia"/>
                <w:color w:val="000000" w:themeColor="text1"/>
                <w:sz w:val="24"/>
                <w:szCs w:val="24"/>
                <w:u w:val="single"/>
                <w14:textFill>
                  <w14:solidFill>
                    <w14:schemeClr w14:val="tx1"/>
                  </w14:solidFill>
                </w14:textFill>
              </w:rPr>
              <w:t>，据相关数据测算矿区年水土流失量约为1860t/a，排土场水土流失量约为230t/a。本评价要求企业，及时编制水土保持方案。</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营运期土壤侵蚀量相比现在的自然流失量有所增加，在台风暴雨频发的强降水季节，水土流失现象还将加剧，须加强侵蚀控制措施，必须做好营运期间剥离的表土和围岩的堆放管理；剥离的表土和围岩运到排土场存放。排土场下部应砌筑拦土坝，排土场上方和两边布置截水沟，防止大气降水冲刷排土场造成水土流失。同时在采场周边布置排水沟，预防雨水流向采场，在采场出口应设废水沉淀池，采场排出的废水经沉淀池沉淀后用于矿区洒水降尘。项目水土流失将造成的影响有：</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①</w:t>
            </w:r>
            <w:r>
              <w:rPr>
                <w:rFonts w:ascii="Times New Roman" w:hAnsi="Times New Roman" w:cs="Times New Roman" w:eastAsiaTheme="minorEastAsia"/>
                <w:color w:val="000000" w:themeColor="text1"/>
                <w:sz w:val="24"/>
                <w:szCs w:val="24"/>
                <w:u w:val="single"/>
                <w14:textFill>
                  <w14:solidFill>
                    <w14:schemeClr w14:val="tx1"/>
                  </w14:solidFill>
                </w14:textFill>
              </w:rPr>
              <w:t>影响下游无名小溪及水渠水质：流失的水土直接流入无名小溪和水渠，会造成无名小溪和水渠混浊，影响水质。采石区开采面和道路或其它的弃土，如不及时运走或堆放时被覆不当，遇强降水时地面径流会进入水渠，影响水渠水质。</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②</w:t>
            </w:r>
            <w:r>
              <w:rPr>
                <w:rFonts w:ascii="Times New Roman" w:hAnsi="Times New Roman" w:cs="Times New Roman" w:eastAsiaTheme="minorEastAsia"/>
                <w:color w:val="000000" w:themeColor="text1"/>
                <w:sz w:val="24"/>
                <w:szCs w:val="24"/>
                <w:u w:val="single"/>
                <w14:textFill>
                  <w14:solidFill>
                    <w14:schemeClr w14:val="tx1"/>
                  </w14:solidFill>
                </w14:textFill>
              </w:rPr>
              <w:t>产生扬尘，影响大气质量：弃土如不及时运走或被覆不当，遇雨会随地流淌，有一部分沉积地面，遇晴天或大风时就会产生扬尘，影响当地大气环境质量。</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③</w:t>
            </w:r>
            <w:r>
              <w:rPr>
                <w:rFonts w:ascii="Times New Roman" w:hAnsi="Times New Roman" w:cs="Times New Roman" w:eastAsiaTheme="minorEastAsia"/>
                <w:color w:val="000000" w:themeColor="text1"/>
                <w:sz w:val="24"/>
                <w:szCs w:val="24"/>
                <w:u w:val="single"/>
                <w14:textFill>
                  <w14:solidFill>
                    <w14:schemeClr w14:val="tx1"/>
                  </w14:solidFill>
                </w14:textFill>
              </w:rPr>
              <w:t>影响村容和道路景观：弃土如不及时处理，被雨冲散，零乱分布有风时，造成满天风沙，影响附近村容，破坏道路景观；泥砂进入河道后，使河水能见度降低，也影响水域景观。</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根据现场踏勘，本项目采取的水土流失防治措施需进一步加强。为避免水土流失对生态环境的有效，本评价要求采取如下水土流失防治措施：</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①</w:t>
            </w:r>
            <w:r>
              <w:rPr>
                <w:rFonts w:ascii="Times New Roman" w:hAnsi="Times New Roman" w:cs="Times New Roman" w:eastAsiaTheme="minorEastAsia"/>
                <w:color w:val="000000" w:themeColor="text1"/>
                <w:sz w:val="24"/>
                <w:szCs w:val="24"/>
                <w:u w:val="single"/>
                <w14:textFill>
                  <w14:solidFill>
                    <w14:schemeClr w14:val="tx1"/>
                  </w14:solidFill>
                </w14:textFill>
              </w:rPr>
              <w:t>对作业面进行削坡处理：削坡后的坡比一般应缓1:1，并设置齿槽，齿槽间距3m～5m，深10cm～30cm，宽20cm～50cm，用于坡面排水。</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②</w:t>
            </w:r>
            <w:r>
              <w:rPr>
                <w:rFonts w:ascii="Times New Roman" w:hAnsi="Times New Roman" w:cs="Times New Roman" w:eastAsiaTheme="minorEastAsia"/>
                <w:color w:val="000000" w:themeColor="text1"/>
                <w:sz w:val="24"/>
                <w:szCs w:val="24"/>
                <w:u w:val="single"/>
                <w14:textFill>
                  <w14:solidFill>
                    <w14:schemeClr w14:val="tx1"/>
                  </w14:solidFill>
                </w14:textFill>
              </w:rPr>
              <w:t>依据矿体走势修筑挡土墙，开挖截洪沟，引导雨水排至低洼处，避免造成矿区大面积雨水冲刷。</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③</w:t>
            </w:r>
            <w:r>
              <w:rPr>
                <w:rFonts w:ascii="Times New Roman" w:hAnsi="Times New Roman" w:cs="Times New Roman" w:eastAsiaTheme="minorEastAsia"/>
                <w:color w:val="000000" w:themeColor="text1"/>
                <w:sz w:val="24"/>
                <w:szCs w:val="24"/>
                <w:u w:val="single"/>
                <w14:textFill>
                  <w14:solidFill>
                    <w14:schemeClr w14:val="tx1"/>
                  </w14:solidFill>
                </w14:textFill>
              </w:rPr>
              <w:t>开采应分期分区进行，不要全面铺开。分区开采完毕后，加强矿区复垦，尽量缩短暴露时间，减少水土流失。保留矿区已有的植被。</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④</w:t>
            </w:r>
            <w:r>
              <w:rPr>
                <w:rFonts w:ascii="Times New Roman" w:hAnsi="Times New Roman" w:cs="Times New Roman" w:eastAsiaTheme="minorEastAsia"/>
                <w:color w:val="000000" w:themeColor="text1"/>
                <w:sz w:val="24"/>
                <w:szCs w:val="24"/>
                <w:u w:val="single"/>
                <w14:textFill>
                  <w14:solidFill>
                    <w14:schemeClr w14:val="tx1"/>
                  </w14:solidFill>
                </w14:textFill>
              </w:rPr>
              <w:t>加强开采管理及教育，避免中、大雨期间开采，减少水土流失量。</w:t>
            </w:r>
          </w:p>
          <w:p>
            <w:pPr>
              <w:pStyle w:val="3"/>
              <w:topLinePunct/>
              <w:spacing w:line="360" w:lineRule="auto"/>
              <w:ind w:firstLine="0"/>
              <w:rPr>
                <w:rFonts w:ascii="Times New Roman" w:hAnsi="Times New Roman" w:cs="Times New Roman" w:eastAsiaTheme="minorEastAsia"/>
                <w:b/>
                <w:bCs/>
                <w:color w:val="000000" w:themeColor="text1"/>
                <w:sz w:val="24"/>
                <w:szCs w:val="24"/>
                <w:u w:val="single"/>
                <w14:textFill>
                  <w14:solidFill>
                    <w14:schemeClr w14:val="tx1"/>
                  </w14:solidFill>
                </w14:textFill>
              </w:rPr>
            </w:pPr>
            <w:r>
              <w:rPr>
                <w:rFonts w:ascii="Times New Roman" w:hAnsi="Times New Roman" w:cs="Times New Roman" w:eastAsiaTheme="minorEastAsia"/>
                <w:b/>
                <w:bCs/>
                <w:color w:val="000000" w:themeColor="text1"/>
                <w:sz w:val="24"/>
                <w:szCs w:val="24"/>
                <w:u w:val="single"/>
                <w14:textFill>
                  <w14:solidFill>
                    <w14:schemeClr w14:val="tx1"/>
                  </w14:solidFill>
                </w14:textFill>
              </w:rPr>
              <w:t>6.3 生态影响</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①</w:t>
            </w:r>
            <w:r>
              <w:rPr>
                <w:rFonts w:ascii="Times New Roman" w:hAnsi="Times New Roman" w:cs="Times New Roman" w:eastAsiaTheme="minorEastAsia"/>
                <w:color w:val="000000" w:themeColor="text1"/>
                <w:sz w:val="24"/>
                <w:szCs w:val="24"/>
                <w:u w:val="single"/>
                <w14:textFill>
                  <w14:solidFill>
                    <w14:schemeClr w14:val="tx1"/>
                  </w14:solidFill>
                </w14:textFill>
              </w:rPr>
              <w:t>损失资源、破坏植被。</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②</w:t>
            </w:r>
            <w:r>
              <w:rPr>
                <w:rFonts w:ascii="Times New Roman" w:hAnsi="Times New Roman" w:cs="Times New Roman" w:eastAsiaTheme="minorEastAsia"/>
                <w:color w:val="000000" w:themeColor="text1"/>
                <w:sz w:val="24"/>
                <w:szCs w:val="24"/>
                <w:u w:val="single"/>
                <w14:textFill>
                  <w14:solidFill>
                    <w14:schemeClr w14:val="tx1"/>
                  </w14:solidFill>
                </w14:textFill>
              </w:rPr>
              <w:t>降低生态系统异质性。</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矿石的开采，在空间上改变了山林生态系统的异质性，导致系统异质性程度明显降低，这对山林生态系统的物种多样性和种群的发展造成一定的不利影响。</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ascii="Times New Roman" w:hAnsi="Times New Roman" w:cs="Times New Roman" w:eastAsiaTheme="minorEastAsia"/>
                <w:color w:val="000000" w:themeColor="text1"/>
                <w:sz w:val="24"/>
                <w:szCs w:val="24"/>
                <w:u w:val="single"/>
                <w14:textFill>
                  <w14:solidFill>
                    <w14:schemeClr w14:val="tx1"/>
                  </w14:solidFill>
                </w14:textFill>
              </w:rPr>
              <w:t>堆土场为天然垄沟，堆土场主要以灌木、杂草为主，无高大乔木，没有珍稀濒危保护植物，南面、东面、北面山坡及山顶以灌木、次生林为主，周围山坡及山顶的植被距离填埋区底部高度为40m左右，植被群落覆盖度70-75%左右，项目的运营必然会对当地的生态环境带来一定的破坏，使现有的土地类型发生变化，堆土场原有植被会消失，表层土壤的堆放，也会对植被造成较为严重的破坏和影响，势必造成大面积的生态景观破坏，植被群落覆盖度减少，待项目填满后，厂区内的土地利用格局发生根本性改变。由于堆土场现有植被的类型和种类较为简单，在植物遗传资源的种植方面影响微弱，其造成的物种损失只是区域内常见的普通物种。但项目对植被的破坏将可能降低区域生态系统的服务功能，且该影响会延续至采石场结束，随着采石场的结束，经过绿化，植被会得到逐步恢复，将可弥补植物种属多样性的损失，不会对现有山坡及山顶植被造成影响。</w:t>
            </w:r>
          </w:p>
          <w:p>
            <w:pPr>
              <w:pStyle w:val="3"/>
              <w:topLinePunct/>
              <w:spacing w:line="360" w:lineRule="auto"/>
              <w:ind w:firstLine="480" w:firstLineChars="200"/>
              <w:rPr>
                <w:rFonts w:ascii="Times New Roman" w:hAnsi="Times New Roman" w:cs="Times New Roman" w:eastAsiaTheme="minorEastAsia"/>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③</w:t>
            </w:r>
            <w:r>
              <w:rPr>
                <w:rFonts w:ascii="Times New Roman" w:hAnsi="Times New Roman" w:cs="Times New Roman" w:eastAsiaTheme="minorEastAsia"/>
                <w:color w:val="000000" w:themeColor="text1"/>
                <w:sz w:val="24"/>
                <w:szCs w:val="24"/>
                <w:u w:val="single"/>
                <w14:textFill>
                  <w14:solidFill>
                    <w14:schemeClr w14:val="tx1"/>
                  </w14:solidFill>
                </w14:textFill>
              </w:rPr>
              <w:t>破坏群落关系。山林绿地主要是自然次生植被。人类的干扰较少，物种之间形成了相互依赖、相互制约的关系，而本项目的开采，由其是露天开采，破坏了大面积植被，使其它未被破坏的植被失去了互相依赖、相互制约的关系，这将破坏山林生态系统物种之间的相互关系，降低生态系统及其生物群落的稳定性，致使系统抵御外界干扰的能力下降。</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hint="eastAsia" w:ascii="宋体" w:hAnsi="宋体" w:cs="宋体"/>
                <w:color w:val="000000" w:themeColor="text1"/>
                <w:kern w:val="2"/>
                <w:sz w:val="24"/>
                <w:szCs w:val="24"/>
                <w:u w:val="single"/>
                <w14:textFill>
                  <w14:solidFill>
                    <w14:schemeClr w14:val="tx1"/>
                  </w14:solidFill>
                </w14:textFill>
              </w:rPr>
              <w:t>④</w:t>
            </w:r>
            <w:r>
              <w:rPr>
                <w:rFonts w:ascii="Times New Roman" w:hAnsi="Times New Roman" w:eastAsiaTheme="minorEastAsia"/>
                <w:color w:val="000000" w:themeColor="text1"/>
                <w:kern w:val="2"/>
                <w:sz w:val="24"/>
                <w:szCs w:val="24"/>
                <w:u w:val="single"/>
                <w14:textFill>
                  <w14:solidFill>
                    <w14:schemeClr w14:val="tx1"/>
                  </w14:solidFill>
                </w14:textFill>
              </w:rPr>
              <w:t>破坏生态环境，降低生物量。板岩资源的开采，改变了山林生态系统原有生态功能，野生动物和鸟类原有生境遭到破坏，部分动物种群迁徒，部分种子群、群落由于受到干扰逐渐退化，降低了系统动物数量。同时，由于大面积植被遭到破坏，也降低了系统植物数量。</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hint="eastAsia" w:ascii="宋体" w:hAnsi="宋体" w:cs="宋体"/>
                <w:color w:val="000000" w:themeColor="text1"/>
                <w:kern w:val="2"/>
                <w:sz w:val="24"/>
                <w:szCs w:val="24"/>
                <w:u w:val="single"/>
                <w14:textFill>
                  <w14:solidFill>
                    <w14:schemeClr w14:val="tx1"/>
                  </w14:solidFill>
                </w14:textFill>
              </w:rPr>
              <w:t>⑤</w:t>
            </w:r>
            <w:r>
              <w:rPr>
                <w:rFonts w:ascii="Times New Roman" w:hAnsi="Times New Roman" w:eastAsiaTheme="minorEastAsia"/>
                <w:color w:val="000000" w:themeColor="text1"/>
                <w:kern w:val="2"/>
                <w:sz w:val="24"/>
                <w:szCs w:val="24"/>
                <w:u w:val="single"/>
                <w14:textFill>
                  <w14:solidFill>
                    <w14:schemeClr w14:val="tx1"/>
                  </w14:solidFill>
                </w14:textFill>
              </w:rPr>
              <w:t>导致水土流失，破坏山林生态环境。矿石的开采，破坏山林生态系统地表植被，增大地表裸露面积，降低了植被对土壤资源化的有利作用，导致土壤疏松裸露，系统水土保持能力下降。受雨水冲刷影响，地表径流增大，极易造成水土流失，由此可能堵塞农田排灌沟，淹没农作物。</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hint="eastAsia" w:ascii="宋体" w:hAnsi="宋体" w:cs="宋体"/>
                <w:color w:val="000000" w:themeColor="text1"/>
                <w:kern w:val="2"/>
                <w:sz w:val="24"/>
                <w:szCs w:val="24"/>
                <w:u w:val="single"/>
                <w14:textFill>
                  <w14:solidFill>
                    <w14:schemeClr w14:val="tx1"/>
                  </w14:solidFill>
                </w14:textFill>
              </w:rPr>
              <w:t>⑥</w:t>
            </w:r>
            <w:r>
              <w:rPr>
                <w:rFonts w:ascii="Times New Roman" w:hAnsi="Times New Roman" w:eastAsiaTheme="minorEastAsia"/>
                <w:color w:val="000000" w:themeColor="text1"/>
                <w:kern w:val="2"/>
                <w:sz w:val="24"/>
                <w:szCs w:val="24"/>
                <w:u w:val="single"/>
                <w14:textFill>
                  <w14:solidFill>
                    <w14:schemeClr w14:val="tx1"/>
                  </w14:solidFill>
                </w14:textFill>
              </w:rPr>
              <w:t>破坏自然景观。矿石的开采破坏生态系统绿色植被，地表凹陷。土壤岩石裸露，这与周围未被破坏的绿色植被形成鲜明对比，破坏了自然景观。</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ascii="Times New Roman" w:hAnsi="Times New Roman" w:eastAsiaTheme="minorEastAsia"/>
                <w:color w:val="000000" w:themeColor="text1"/>
                <w:kern w:val="2"/>
                <w:sz w:val="24"/>
                <w:szCs w:val="24"/>
                <w:u w:val="single"/>
                <w14:textFill>
                  <w14:solidFill>
                    <w14:schemeClr w14:val="tx1"/>
                  </w14:solidFill>
                </w14:textFill>
              </w:rPr>
              <w:t>矿石开采应做好合理开采利用，被破坏的植被、绿色自然景观及时恢复，做到边开采边复绿，避免水土流失。要求矿山开展水土保持专项评价，并落实其措施要求。</w:t>
            </w:r>
          </w:p>
          <w:p>
            <w:pPr>
              <w:spacing w:line="360" w:lineRule="auto"/>
              <w:ind w:firstLine="482" w:firstLineChars="200"/>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项目产生的烟气对周边植物影响分析</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项目烟气中的SO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、氟化物对植物及农作物具有一定的危害。经现场设查，项目周边为林地和农田，水田以水稻种植为主，旱地以季节性蔬菜、棉花等种植为主。</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①SO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和氟化物危害植物的作用机理</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经相关研究显示，SO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和氟化物均由植物叶片气孔进入，发生一系列作用使叶片受损，进而影响整个植株的生长。二氧化硫对植物叶片受害的先后顺序是成熟叶、老叶、幼叶、表现为叶片褪绿，出现黄白色点状</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烟斑</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，危害严重时</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烟斑</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扩散，叶片萎蔫，叶脉褪色变白，植株萎蔫、死亡。</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氟化物包括氟化氢（HF）、氟化硅（SiF</w:t>
            </w:r>
            <w:r>
              <w:rPr>
                <w:rFonts w:ascii="Times New Roman" w:hAnsi="Times New Roman"/>
                <w:color w:val="000000" w:themeColor="text1"/>
                <w:sz w:val="24"/>
                <w:szCs w:val="24"/>
                <w:u w:val="single"/>
                <w:vertAlign w:val="subscript"/>
                <w14:textFill>
                  <w14:solidFill>
                    <w14:schemeClr w14:val="tx1"/>
                  </w14:solidFill>
                </w14:textFill>
              </w:rPr>
              <w:t>4</w:t>
            </w:r>
            <w:r>
              <w:rPr>
                <w:rFonts w:ascii="Times New Roman" w:hAnsi="Times New Roman"/>
                <w:color w:val="000000" w:themeColor="text1"/>
                <w:sz w:val="24"/>
                <w:szCs w:val="24"/>
                <w:u w:val="single"/>
                <w14:textFill>
                  <w14:solidFill>
                    <w14:schemeClr w14:val="tx1"/>
                  </w14:solidFill>
                </w14:textFill>
              </w:rPr>
              <w:t>）、氟硅酸（HSiF</w:t>
            </w:r>
            <w:r>
              <w:rPr>
                <w:rFonts w:ascii="Times New Roman" w:hAnsi="Times New Roman"/>
                <w:color w:val="000000" w:themeColor="text1"/>
                <w:sz w:val="24"/>
                <w:szCs w:val="24"/>
                <w:u w:val="single"/>
                <w:vertAlign w:val="subscript"/>
                <w14:textFill>
                  <w14:solidFill>
                    <w14:schemeClr w14:val="tx1"/>
                  </w14:solidFill>
                </w14:textFill>
              </w:rPr>
              <w:t>6</w:t>
            </w:r>
            <w:r>
              <w:rPr>
                <w:rFonts w:ascii="Times New Roman" w:hAnsi="Times New Roman"/>
                <w:color w:val="000000" w:themeColor="text1"/>
                <w:sz w:val="24"/>
                <w:szCs w:val="24"/>
                <w:u w:val="single"/>
                <w14:textFill>
                  <w14:solidFill>
                    <w14:schemeClr w14:val="tx1"/>
                  </w14:solidFill>
                </w14:textFill>
              </w:rPr>
              <w:t>）氟化钙（CaF</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微粒等，氟化氢是最常见的危害植物生长的污染物，氟化氢主要危害作物的幼芽和幼叶，氟化氢被植物叶片吸收后，主要由薄壁细胞间隙到达导管，导管里若有胶状硅酸存在，则污染物质就和它一边起反应，一边随蒸腾流利达叶端和叶缘，由于卤素的特异活泼性，使各种酶和叶绿素遭到损害，阻碍代谢机能，叶片遭到破坏的部分，由于失水而干燥，就成深褐色或黄褐色，最后导致叶片枯萎脱落，严重时导致整株死亡。</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②植物对SO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和氟化物的敏感情况</w:t>
            </w:r>
          </w:p>
          <w:p>
            <w:pPr>
              <w:pStyle w:val="7"/>
              <w:spacing w:after="0"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根据各种作物、蔬菜、果树等对SO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和氟化物的耐受能力，将其分为敏感、中等敏感和抗性三种不同类型，相关植物对SO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和氟化物敏感情况见下表。</w:t>
            </w:r>
          </w:p>
          <w:p>
            <w:pPr>
              <w:pStyle w:val="7"/>
              <w:spacing w:after="0" w:line="360" w:lineRule="auto"/>
              <w:jc w:val="center"/>
              <w:rPr>
                <w:rFonts w:ascii="Times New Roman" w:hAnsi="Times New Roman" w:eastAsiaTheme="minorEastAsia"/>
                <w:b/>
                <w:bCs/>
                <w:color w:val="000000" w:themeColor="text1"/>
                <w:kern w:val="2"/>
                <w:sz w:val="24"/>
                <w:szCs w:val="24"/>
                <w:u w:val="single"/>
                <w14:textFill>
                  <w14:solidFill>
                    <w14:schemeClr w14:val="tx1"/>
                  </w14:solidFill>
                </w14:textFill>
              </w:rPr>
            </w:pPr>
            <w:r>
              <w:rPr>
                <w:rFonts w:hint="eastAsia" w:ascii="Times New Roman" w:hAnsi="Times New Roman"/>
                <w:b/>
                <w:bCs/>
                <w:color w:val="000000" w:themeColor="text1"/>
                <w:sz w:val="24"/>
                <w:szCs w:val="24"/>
                <w:u w:val="single"/>
                <w14:textFill>
                  <w14:solidFill>
                    <w14:schemeClr w14:val="tx1"/>
                  </w14:solidFill>
                </w14:textFill>
              </w:rPr>
              <w:t>表6</w:t>
            </w:r>
            <w:r>
              <w:rPr>
                <w:rFonts w:ascii="Times New Roman" w:hAnsi="Times New Roman"/>
                <w:b/>
                <w:bCs/>
                <w:color w:val="000000" w:themeColor="text1"/>
                <w:sz w:val="24"/>
                <w:szCs w:val="24"/>
                <w:u w:val="single"/>
                <w14:textFill>
                  <w14:solidFill>
                    <w14:schemeClr w14:val="tx1"/>
                  </w14:solidFill>
                </w14:textFill>
              </w:rPr>
              <w:t>-1</w:t>
            </w:r>
            <w:r>
              <w:rPr>
                <w:rFonts w:hint="eastAsia" w:ascii="Times New Roman" w:hAnsi="Times New Roman"/>
                <w:b/>
                <w:bCs/>
                <w:color w:val="000000" w:themeColor="text1"/>
                <w:sz w:val="24"/>
                <w:szCs w:val="24"/>
                <w:u w:val="single"/>
                <w14:textFill>
                  <w14:solidFill>
                    <w14:schemeClr w14:val="tx1"/>
                  </w14:solidFill>
                </w14:textFill>
              </w:rPr>
              <w:t>6</w:t>
            </w:r>
            <w:r>
              <w:rPr>
                <w:rFonts w:ascii="Times New Roman" w:hAnsi="Times New Roman"/>
                <w:b/>
                <w:bCs/>
                <w:color w:val="000000" w:themeColor="text1"/>
                <w:sz w:val="24"/>
                <w:szCs w:val="24"/>
                <w:u w:val="single"/>
                <w14:textFill>
                  <w14:solidFill>
                    <w14:schemeClr w14:val="tx1"/>
                  </w14:solidFill>
                </w14:textFill>
              </w:rPr>
              <w:t xml:space="preserve">  </w:t>
            </w:r>
            <w:r>
              <w:rPr>
                <w:rFonts w:hint="eastAsia" w:ascii="Times New Roman" w:hAnsi="Times New Roman"/>
                <w:b/>
                <w:bCs/>
                <w:color w:val="000000" w:themeColor="text1"/>
                <w:sz w:val="24"/>
                <w:szCs w:val="24"/>
                <w:u w:val="single"/>
                <w14:textFill>
                  <w14:solidFill>
                    <w14:schemeClr w14:val="tx1"/>
                  </w14:solidFill>
                </w14:textFill>
              </w:rPr>
              <w:t>作物敏感程度一览表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6"/>
              <w:gridCol w:w="1599"/>
              <w:gridCol w:w="6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283" w:type="dxa"/>
                  <w:vAlign w:val="center"/>
                </w:tcPr>
                <w:p>
                  <w:pPr>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污染物名称</w:t>
                  </w:r>
                </w:p>
              </w:tc>
              <w:tc>
                <w:tcPr>
                  <w:tcW w:w="1559" w:type="dxa"/>
                  <w:vAlign w:val="center"/>
                </w:tcPr>
                <w:p>
                  <w:pPr>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作物敏感程度</w:t>
                  </w:r>
                </w:p>
              </w:tc>
              <w:tc>
                <w:tcPr>
                  <w:tcW w:w="5972" w:type="dxa"/>
                  <w:vAlign w:val="center"/>
                </w:tcPr>
                <w:p>
                  <w:pPr>
                    <w:jc w:val="center"/>
                    <w:rPr>
                      <w:rFonts w:ascii="Times New Roman" w:hAnsi="Times New Roman"/>
                      <w:b/>
                      <w:bCs/>
                      <w:color w:val="000000" w:themeColor="text1"/>
                      <w:szCs w:val="21"/>
                      <w:u w:val="single"/>
                      <w14:textFill>
                        <w14:solidFill>
                          <w14:schemeClr w14:val="tx1"/>
                        </w14:solidFill>
                      </w14:textFill>
                    </w:rPr>
                  </w:pPr>
                  <w:r>
                    <w:rPr>
                      <w:rFonts w:ascii="Times New Roman" w:hAnsi="Times New Roman"/>
                      <w:b/>
                      <w:bCs/>
                      <w:color w:val="000000" w:themeColor="text1"/>
                      <w:szCs w:val="21"/>
                      <w:u w:val="single"/>
                      <w14:textFill>
                        <w14:solidFill>
                          <w14:schemeClr w14:val="tx1"/>
                        </w14:solidFill>
                      </w14:textFill>
                    </w:rPr>
                    <w:t>作物种类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SO</w:t>
                  </w:r>
                  <w:r>
                    <w:rPr>
                      <w:rFonts w:ascii="Times New Roman" w:hAnsi="Times New Roman"/>
                      <w:color w:val="000000" w:themeColor="text1"/>
                      <w:szCs w:val="21"/>
                      <w:u w:val="single"/>
                      <w:vertAlign w:val="subscript"/>
                      <w14:textFill>
                        <w14:solidFill>
                          <w14:schemeClr w14:val="tx1"/>
                        </w14:solidFill>
                      </w14:textFill>
                    </w:rPr>
                    <w:t>2</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敏感作物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大麦、冬小麦、春小麦、荞麦、大豆、甜菜、芝麻；菠菜、青菜、白菜、莴苣、黄瓜、南瓜、西葫芦、马铃薯、苹果、梨、葡萄、苜蓿、三叶草、鸭茅、黑麦草；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中等敏感作物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水稻、玉米、燕麦、高粱、棉花、烟草、番茄、胡萝卜、桃、杏、李、柑桔、樱桃；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抗性作物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蚕豆、油菜、向日葵、甘蓝、芋头、草莓；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氟化物</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敏感作物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冬小麦、油菜、花生、甘蓝、菜豆、苹果、梨、桃、杏、李、葡萄、草莓、樱桃、桑、苜蓿、黑麦草、鸭茅；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中等敏感作物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大麦、水稻、玉米、高粱、大豆、白菜、芥菜、花椰菜、柑桔；三叶草；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抗性作物</w:t>
                  </w:r>
                </w:p>
              </w:tc>
              <w:tc>
                <w:tcPr>
                  <w:tcW w:w="5972"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向日葵、棉花、茶、茴香、番茄、辣椒、马铃薯；</w:t>
                  </w:r>
                </w:p>
              </w:tc>
            </w:tr>
          </w:tbl>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③SO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和氟化物对周围植物的影响分析</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本项目烟气中的SO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、氟化物均经处理达标后由烟囱高空排放，经处理达标以及大气稀释后，对项目周边环境空气影响较小。为进一步减少对周围作物生长的影响，要求采取以下方法及措施：</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A.严格管理，确保项目烟气处理达标后高空排放。</w:t>
            </w:r>
          </w:p>
          <w:p>
            <w:pPr>
              <w:pStyle w:val="7"/>
              <w:spacing w:after="0" w:line="360" w:lineRule="auto"/>
              <w:ind w:firstLine="480" w:firstLineChars="200"/>
              <w:rPr>
                <w:rFonts w:ascii="Times New Roman" w:hAnsi="Times New Roman" w:eastAsiaTheme="minorEastAsia"/>
                <w:b/>
                <w:bCs/>
                <w:color w:val="000000" w:themeColor="text1"/>
                <w:kern w:val="2"/>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B.加强厂区绿化，绿化植物优先选择对SO</w:t>
            </w:r>
            <w:r>
              <w:rPr>
                <w:rFonts w:ascii="Times New Roman" w:hAnsi="Times New Roman"/>
                <w:color w:val="000000" w:themeColor="text1"/>
                <w:sz w:val="24"/>
                <w:szCs w:val="24"/>
                <w:u w:val="single"/>
                <w:vertAlign w:val="subscript"/>
                <w14:textFill>
                  <w14:solidFill>
                    <w14:schemeClr w14:val="tx1"/>
                  </w14:solidFill>
                </w14:textFill>
              </w:rPr>
              <w:t>2</w:t>
            </w:r>
            <w:r>
              <w:rPr>
                <w:rFonts w:ascii="Times New Roman" w:hAnsi="Times New Roman"/>
                <w:color w:val="000000" w:themeColor="text1"/>
                <w:sz w:val="24"/>
                <w:szCs w:val="24"/>
                <w:u w:val="single"/>
                <w14:textFill>
                  <w14:solidFill>
                    <w14:schemeClr w14:val="tx1"/>
                  </w14:solidFill>
                </w14:textFill>
              </w:rPr>
              <w:t>和氟化物具有抗性和富集性的植物。经采取以上处理措施后对周围耕地作物影响较小。</w:t>
            </w:r>
          </w:p>
          <w:p>
            <w:pPr>
              <w:pStyle w:val="7"/>
              <w:topLinePunct/>
              <w:spacing w:after="0" w:line="360" w:lineRule="auto"/>
              <w:rPr>
                <w:rFonts w:ascii="Times New Roman" w:hAnsi="Times New Roman" w:eastAsiaTheme="minorEastAsia"/>
                <w:b/>
                <w:bCs/>
                <w:color w:val="000000" w:themeColor="text1"/>
                <w:kern w:val="2"/>
                <w:sz w:val="24"/>
                <w:szCs w:val="24"/>
                <w:u w:val="single"/>
                <w14:textFill>
                  <w14:solidFill>
                    <w14:schemeClr w14:val="tx1"/>
                  </w14:solidFill>
                </w14:textFill>
              </w:rPr>
            </w:pPr>
            <w:r>
              <w:rPr>
                <w:rFonts w:ascii="Times New Roman" w:hAnsi="Times New Roman" w:eastAsiaTheme="minorEastAsia"/>
                <w:b/>
                <w:bCs/>
                <w:color w:val="000000" w:themeColor="text1"/>
                <w:kern w:val="2"/>
                <w:sz w:val="24"/>
                <w:szCs w:val="24"/>
                <w:u w:val="single"/>
                <w14:textFill>
                  <w14:solidFill>
                    <w14:schemeClr w14:val="tx1"/>
                  </w14:solidFill>
                </w14:textFill>
              </w:rPr>
              <w:t>6.4 项目生态复垦措施</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ascii="Times New Roman" w:hAnsi="Times New Roman" w:eastAsiaTheme="minorEastAsia"/>
                <w:color w:val="000000" w:themeColor="text1"/>
                <w:kern w:val="2"/>
                <w:sz w:val="24"/>
                <w:szCs w:val="24"/>
                <w:u w:val="single"/>
                <w14:textFill>
                  <w14:solidFill>
                    <w14:schemeClr w14:val="tx1"/>
                  </w14:solidFill>
                </w14:textFill>
              </w:rPr>
              <w:t>依据开采规划分片区开采，根据工程进展情况适时对可能绿化的地段、边坡进行边开采边绿化，在非开采区域内分片种植乔灌草等适合的植被以防止水土流失。矿山开采完后应因地制宜的采取平台复垦或建成绿等进行生态建设。本项目拟采取如下生态复垦方案：</w:t>
            </w:r>
          </w:p>
          <w:p>
            <w:pPr>
              <w:topLinePunct/>
              <w:spacing w:line="360" w:lineRule="auto"/>
              <w:jc w:val="center"/>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drawing>
                <wp:inline distT="0" distB="0" distL="114300" distR="114300">
                  <wp:extent cx="4424680" cy="1885950"/>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1" cstate="print"/>
                          <a:stretch>
                            <a:fillRect/>
                          </a:stretch>
                        </pic:blipFill>
                        <pic:spPr>
                          <a:xfrm>
                            <a:off x="0" y="0"/>
                            <a:ext cx="4453159" cy="1898014"/>
                          </a:xfrm>
                          <a:prstGeom prst="rect">
                            <a:avLst/>
                          </a:prstGeom>
                          <a:noFill/>
                          <a:ln w="9525">
                            <a:noFill/>
                          </a:ln>
                        </pic:spPr>
                      </pic:pic>
                    </a:graphicData>
                  </a:graphic>
                </wp:inline>
              </w:drawing>
            </w:r>
          </w:p>
          <w:p>
            <w:pPr>
              <w:topLinePunct/>
              <w:spacing w:line="360" w:lineRule="auto"/>
              <w:jc w:val="center"/>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图6-3  生态复垦流程图</w:t>
            </w:r>
          </w:p>
          <w:p>
            <w:pPr>
              <w:pStyle w:val="7"/>
              <w:topLinePunct/>
              <w:spacing w:after="0" w:line="360" w:lineRule="auto"/>
              <w:ind w:firstLine="480" w:firstLineChars="200"/>
              <w:rPr>
                <w:rFonts w:ascii="Times New Roman" w:hAnsi="Times New Roman" w:eastAsiaTheme="minorEastAsia"/>
                <w:color w:val="000000" w:themeColor="text1"/>
                <w:kern w:val="2"/>
                <w:sz w:val="24"/>
                <w:szCs w:val="24"/>
                <w:u w:val="single"/>
                <w14:textFill>
                  <w14:solidFill>
                    <w14:schemeClr w14:val="tx1"/>
                  </w14:solidFill>
                </w14:textFill>
              </w:rPr>
            </w:pPr>
            <w:r>
              <w:rPr>
                <w:rFonts w:ascii="Times New Roman" w:hAnsi="Times New Roman" w:eastAsiaTheme="minorEastAsia"/>
                <w:color w:val="000000" w:themeColor="text1"/>
                <w:kern w:val="2"/>
                <w:sz w:val="24"/>
                <w:szCs w:val="24"/>
                <w:u w:val="single"/>
                <w14:textFill>
                  <w14:solidFill>
                    <w14:schemeClr w14:val="tx1"/>
                  </w14:solidFill>
                </w14:textFill>
              </w:rPr>
              <w:t>项目应边开采边复垦，对废弃的采矿区的陡峭边坡进行整改，尽可能的恢复原有地形地貌，做好浆砌石和草皮护坡，使地形趋于平缓。项目复垦应充分利用开采中产生的废土石，回填基土可利用采石场剥离层或其它工程弃土；表土可利用采石场剥离表土或其它建设项目剥离表土，并可掺入20%粉煤灰，以充分利用固体废物并对表土改性。复垦试验植被可选用狗尾草、黑燕麦、小叶合欢、木豆等禾本、豆科植物作为先锋植物和绿肥，经过约5年改造后，土地可成为农、林作物生产用地，效果较为明显。同时通过植被恢复，可显著改善采石场及周边景观。</w:t>
            </w:r>
          </w:p>
          <w:p>
            <w:pPr>
              <w:topLinePunct/>
              <w:spacing w:line="36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6.5 地质灾害</w:t>
            </w:r>
          </w:p>
          <w:p>
            <w:pPr>
              <w:pStyle w:val="62"/>
              <w:topLinePunct/>
              <w:adjustRightInd/>
              <w:ind w:firstLine="480"/>
              <w:jc w:val="both"/>
              <w:textAlignment w:val="auto"/>
              <w:rPr>
                <w:rFonts w:ascii="Times New Roman" w:cs="Times New Roman"/>
                <w:snapToGrid/>
                <w:color w:val="000000" w:themeColor="text1"/>
                <w:kern w:val="2"/>
                <w14:textFill>
                  <w14:solidFill>
                    <w14:schemeClr w14:val="tx1"/>
                  </w14:solidFill>
                </w14:textFill>
              </w:rPr>
            </w:pPr>
            <w:r>
              <w:rPr>
                <w:rFonts w:ascii="Times New Roman" w:cs="Times New Roman"/>
                <w:snapToGrid/>
                <w:color w:val="000000" w:themeColor="text1"/>
                <w:kern w:val="2"/>
                <w14:textFill>
                  <w14:solidFill>
                    <w14:schemeClr w14:val="tx1"/>
                  </w14:solidFill>
                </w14:textFill>
              </w:rPr>
              <w:t>根据建设单位提供的资料，评估区内斜坡稳定，未发现滑坡、崩塌、泥石流等地质灾害现象，无现状地质灾害。矿山剥离表土堆存位于平坦地带以及较缓山坡，且堆存区汇水面积小，因此矿业活动引发滑坡、泥石流的可能性小，危险性小。露天采场、矿山采空区破崩塌地质灾害性中等，危险性中等，其他区域地质灾害危险性小。</w:t>
            </w:r>
          </w:p>
          <w:p>
            <w:pPr>
              <w:pStyle w:val="62"/>
              <w:topLinePunct/>
              <w:adjustRightInd/>
              <w:ind w:firstLine="0" w:firstLineChars="0"/>
              <w:jc w:val="both"/>
              <w:textAlignment w:val="auto"/>
              <w:rPr>
                <w:rFonts w:ascii="Times New Roman" w:cs="Times New Roman"/>
                <w:b/>
                <w:bCs/>
                <w:snapToGrid/>
                <w:color w:val="000000" w:themeColor="text1"/>
                <w:kern w:val="2"/>
                <w:u w:val="single"/>
                <w14:textFill>
                  <w14:solidFill>
                    <w14:schemeClr w14:val="tx1"/>
                  </w14:solidFill>
                </w14:textFill>
              </w:rPr>
            </w:pPr>
            <w:r>
              <w:rPr>
                <w:rFonts w:ascii="Times New Roman" w:cs="Times New Roman"/>
                <w:b/>
                <w:bCs/>
                <w:snapToGrid/>
                <w:color w:val="000000" w:themeColor="text1"/>
                <w:kern w:val="2"/>
                <w:u w:val="single"/>
                <w14:textFill>
                  <w14:solidFill>
                    <w14:schemeClr w14:val="tx1"/>
                  </w14:solidFill>
                </w14:textFill>
              </w:rPr>
              <w:t xml:space="preserve">7 </w:t>
            </w:r>
            <w:r>
              <w:rPr>
                <w:rFonts w:hint="eastAsia" w:ascii="Times New Roman" w:cs="Times New Roman"/>
                <w:b/>
                <w:bCs/>
                <w:snapToGrid/>
                <w:color w:val="000000" w:themeColor="text1"/>
                <w:kern w:val="2"/>
                <w:u w:val="single"/>
                <w14:textFill>
                  <w14:solidFill>
                    <w14:schemeClr w14:val="tx1"/>
                  </w14:solidFill>
                </w14:textFill>
              </w:rPr>
              <w:t>服务期满后影响分析</w:t>
            </w:r>
          </w:p>
          <w:p>
            <w:pPr>
              <w:pStyle w:val="87"/>
              <w:rPr>
                <w:rFonts w:ascii="Times New Roman" w:hAnsi="Times New Roman"/>
                <w:u w:val="single"/>
              </w:rPr>
            </w:pPr>
            <w:r>
              <w:rPr>
                <w:rFonts w:ascii="Times New Roman"/>
                <w:u w:val="single"/>
              </w:rPr>
              <w:t>项目服务期满后运行期的废气、废水和噪声的影响随之消失，但采矿区和弃土场地表裸露，降雨时会产生水土流失，暴雨时有可能引发泥石流，干旱时可产生扬尘，加剧矿区生态环境的恶化。</w:t>
            </w:r>
          </w:p>
          <w:p>
            <w:pPr>
              <w:pStyle w:val="87"/>
              <w:rPr>
                <w:rFonts w:ascii="Times New Roman" w:hAnsi="Times New Roman"/>
                <w:u w:val="single"/>
              </w:rPr>
            </w:pPr>
            <w:r>
              <w:rPr>
                <w:rFonts w:ascii="Times New Roman"/>
                <w:u w:val="single"/>
              </w:rPr>
              <w:t>根据《中华人民共和国矿产资源法》</w:t>
            </w:r>
            <w:r>
              <w:rPr>
                <w:rFonts w:hint="eastAsia" w:ascii="Times New Roman" w:hAnsi="Times New Roman"/>
                <w:u w:val="single"/>
              </w:rPr>
              <w:t>“</w:t>
            </w:r>
            <w:r>
              <w:rPr>
                <w:rFonts w:ascii="Times New Roman"/>
                <w:u w:val="single"/>
              </w:rPr>
              <w:t>第二十一条</w:t>
            </w:r>
            <w:r>
              <w:rPr>
                <w:rFonts w:ascii="Times New Roman" w:hAnsi="Times New Roman"/>
                <w:u w:val="single"/>
              </w:rPr>
              <w:t xml:space="preserve"> </w:t>
            </w:r>
            <w:r>
              <w:rPr>
                <w:rFonts w:ascii="Times New Roman"/>
                <w:u w:val="single"/>
              </w:rPr>
              <w:t>关闭矿山，必须提出矿山闭坑报告及有关采掘工程、不安全隐患、土地复垦利用、环境保护的资料，并按照国家规定报请审查批准。</w:t>
            </w:r>
            <w:r>
              <w:rPr>
                <w:rFonts w:hint="eastAsia" w:ascii="Times New Roman"/>
                <w:u w:val="single"/>
              </w:rPr>
              <w:t>”</w:t>
            </w:r>
          </w:p>
          <w:p>
            <w:pPr>
              <w:pStyle w:val="87"/>
              <w:rPr>
                <w:rFonts w:ascii="Times New Roman" w:hAnsi="Times New Roman"/>
                <w:u w:val="single"/>
              </w:rPr>
            </w:pPr>
            <w:r>
              <w:rPr>
                <w:rFonts w:ascii="Times New Roman"/>
                <w:u w:val="single"/>
              </w:rPr>
              <w:t>本项目在矿区开采终结后，应根据南方地区的气候特征和本矿区的特性，通过植被种类筛选和合理的植被顺序，达到矿山废弃地利用和植被恢复的目的，从而恢复矿区的植被，改善矿区的生态环境，最终实现林业利用。</w:t>
            </w:r>
          </w:p>
          <w:p>
            <w:pPr>
              <w:pStyle w:val="87"/>
              <w:rPr>
                <w:rFonts w:ascii="Times New Roman" w:hAnsi="Times New Roman"/>
                <w:u w:val="single"/>
              </w:rPr>
            </w:pPr>
            <w:r>
              <w:rPr>
                <w:rFonts w:ascii="Times New Roman"/>
                <w:u w:val="single"/>
              </w:rPr>
              <w:t>因此，建设单位必须留有足够的资金用以矿山开采期满后的生态恢复工程的建设工作，使被挖损的和堆填的土地恢复其本来功能，使矿山开发对区域生态的影响控制在一定的范围内，保持区域生态环境的平衡。</w:t>
            </w:r>
          </w:p>
          <w:p>
            <w:pPr>
              <w:pStyle w:val="62"/>
              <w:topLinePunct/>
              <w:adjustRightInd/>
              <w:ind w:firstLine="480"/>
              <w:jc w:val="both"/>
              <w:textAlignment w:val="auto"/>
              <w:rPr>
                <w:rFonts w:ascii="Times New Roman" w:cs="Times New Roman"/>
                <w:snapToGrid/>
                <w:color w:val="000000"/>
                <w:kern w:val="2"/>
                <w:u w:val="single"/>
              </w:rPr>
            </w:pPr>
            <w:r>
              <w:rPr>
                <w:rFonts w:ascii="Times New Roman"/>
                <w:u w:val="single"/>
              </w:rPr>
              <w:t>为减少服务期满后工程对环境的不利影响，评价建议建设单位采取相关文件及本报告所提出的环保措施，加强落实植被恢复，能有效降低矿资源开采对生态环境的影响，治理措施均技术、经济可行。</w:t>
            </w:r>
          </w:p>
          <w:p>
            <w:pPr>
              <w:overflowPunct w:val="0"/>
              <w:spacing w:line="360" w:lineRule="auto"/>
              <w:jc w:val="left"/>
              <w:textAlignment w:val="baseline"/>
              <w:outlineLvl w:val="1"/>
              <w:rPr>
                <w:rFonts w:ascii="Times New Roman" w:hAnsi="Times New Roman"/>
                <w:b/>
                <w:spacing w:val="8"/>
                <w:sz w:val="28"/>
                <w:szCs w:val="28"/>
              </w:rPr>
            </w:pPr>
            <w:r>
              <w:rPr>
                <w:rFonts w:ascii="Times New Roman" w:hAnsi="Times New Roman"/>
                <w:b/>
                <w:spacing w:val="8"/>
                <w:sz w:val="28"/>
                <w:szCs w:val="28"/>
              </w:rPr>
              <w:t>（三）</w:t>
            </w:r>
            <w:bookmarkEnd w:id="50"/>
            <w:bookmarkEnd w:id="51"/>
            <w:bookmarkEnd w:id="52"/>
            <w:bookmarkEnd w:id="53"/>
            <w:r>
              <w:rPr>
                <w:rFonts w:ascii="Times New Roman" w:hAnsi="Times New Roman"/>
                <w:b/>
                <w:spacing w:val="8"/>
                <w:sz w:val="28"/>
                <w:szCs w:val="28"/>
              </w:rPr>
              <w:t>环境风险分析</w:t>
            </w:r>
          </w:p>
          <w:p>
            <w:pPr>
              <w:overflowPunct w:val="0"/>
              <w:spacing w:line="360" w:lineRule="auto"/>
              <w:rPr>
                <w:rFonts w:ascii="Times New Roman" w:hAnsi="Times New Roman"/>
                <w:b/>
                <w:spacing w:val="8"/>
                <w:kern w:val="24"/>
                <w:sz w:val="24"/>
              </w:rPr>
            </w:pPr>
            <w:r>
              <w:rPr>
                <w:rFonts w:hint="eastAsia" w:ascii="Times New Roman" w:hAnsi="Times New Roman"/>
                <w:b/>
                <w:spacing w:val="8"/>
                <w:kern w:val="24"/>
                <w:sz w:val="24"/>
              </w:rPr>
              <w:t>1</w:t>
            </w:r>
            <w:r>
              <w:rPr>
                <w:rFonts w:ascii="Times New Roman" w:hAnsi="Times New Roman"/>
                <w:b/>
                <w:spacing w:val="8"/>
                <w:kern w:val="24"/>
                <w:sz w:val="24"/>
              </w:rPr>
              <w:t xml:space="preserve"> 评价等级</w:t>
            </w:r>
          </w:p>
          <w:p>
            <w:pPr>
              <w:overflowPunct w:val="0"/>
              <w:spacing w:line="360" w:lineRule="auto"/>
              <w:ind w:firstLine="480" w:firstLineChars="200"/>
              <w:rPr>
                <w:rFonts w:ascii="Times New Roman" w:hAnsi="Times New Roman"/>
                <w:bCs/>
                <w:kern w:val="24"/>
                <w:sz w:val="24"/>
              </w:rPr>
            </w:pPr>
            <w:r>
              <w:rPr>
                <w:rFonts w:hint="eastAsia" w:ascii="Times New Roman" w:hAnsi="Times New Roman"/>
                <w:sz w:val="24"/>
              </w:rPr>
              <w:t>本项目不涉及</w:t>
            </w:r>
            <w:r>
              <w:rPr>
                <w:rFonts w:ascii="Times New Roman" w:hAnsi="Times New Roman"/>
                <w:sz w:val="24"/>
              </w:rPr>
              <w:t>《危险化学品重大危险源辨识》（GB 18218-2018）</w:t>
            </w:r>
            <w:r>
              <w:rPr>
                <w:rFonts w:hint="eastAsia" w:ascii="Times New Roman" w:hAnsi="Times New Roman"/>
                <w:sz w:val="24"/>
              </w:rPr>
              <w:t>中的爆炸性物质、易燃物质和有毒物质。项目引起环境风险事故的最大可能性来自废水事故泄漏。</w:t>
            </w:r>
            <w:r>
              <w:rPr>
                <w:rFonts w:hint="eastAsia" w:ascii="Times New Roman" w:hAnsi="Times New Roman"/>
                <w:bCs/>
                <w:kern w:val="24"/>
                <w:sz w:val="24"/>
              </w:rPr>
              <w:t>对照《建设项目环境风险评价技术导则》（HJ169-2018），该项目的危险物质Q值=</w:t>
            </w:r>
            <w:r>
              <w:rPr>
                <w:rFonts w:ascii="Times New Roman" w:hAnsi="Times New Roman"/>
                <w:bCs/>
                <w:kern w:val="24"/>
                <w:sz w:val="24"/>
              </w:rPr>
              <w:t>0＜</w:t>
            </w:r>
            <w:r>
              <w:rPr>
                <w:rFonts w:hint="eastAsia" w:ascii="Times New Roman" w:hAnsi="Times New Roman"/>
                <w:bCs/>
                <w:kern w:val="24"/>
                <w:sz w:val="24"/>
              </w:rPr>
              <w:t>1时，环境风险潜势为</w:t>
            </w:r>
            <w:r>
              <w:rPr>
                <w:rFonts w:ascii="Times New Roman" w:hAnsi="Times New Roman"/>
                <w:bCs/>
                <w:kern w:val="24"/>
                <w:sz w:val="24"/>
              </w:rPr>
              <w:t>Ⅰ</w:t>
            </w:r>
            <w:r>
              <w:rPr>
                <w:rFonts w:hint="eastAsia" w:ascii="Times New Roman" w:hAnsi="Times New Roman"/>
                <w:bCs/>
                <w:kern w:val="24"/>
                <w:sz w:val="24"/>
              </w:rPr>
              <w:t>级，可开展简单分析。</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2 </w:t>
            </w:r>
            <w:r>
              <w:rPr>
                <w:rFonts w:hint="eastAsia" w:ascii="Times New Roman" w:hAnsi="Times New Roman"/>
                <w:b/>
                <w:spacing w:val="8"/>
                <w:kern w:val="24"/>
                <w:sz w:val="24"/>
              </w:rPr>
              <w:t>环境保护目标分布情况</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本项目环境敏感目标分布情况详见表2-</w:t>
            </w:r>
            <w:r>
              <w:rPr>
                <w:rFonts w:ascii="Times New Roman" w:hAnsi="Times New Roman"/>
                <w:bCs/>
                <w:kern w:val="24"/>
                <w:sz w:val="24"/>
              </w:rPr>
              <w:t>1</w:t>
            </w:r>
            <w:r>
              <w:rPr>
                <w:rFonts w:hint="eastAsia" w:ascii="Times New Roman" w:hAnsi="Times New Roman"/>
                <w:bCs/>
                <w:kern w:val="24"/>
                <w:sz w:val="24"/>
              </w:rPr>
              <w:t>。</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3</w:t>
            </w:r>
            <w:r>
              <w:rPr>
                <w:rFonts w:hint="eastAsia" w:ascii="Times New Roman" w:hAnsi="Times New Roman"/>
                <w:b/>
                <w:spacing w:val="8"/>
                <w:kern w:val="24"/>
                <w:sz w:val="24"/>
              </w:rPr>
              <w:t xml:space="preserve"> 环境风险识别</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（1）物质危险性识别</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项目不涉及《建设项目环境风险评价技术导则》（HJ</w:t>
            </w:r>
            <w:r>
              <w:rPr>
                <w:rFonts w:ascii="Times New Roman" w:hAnsi="Times New Roman"/>
                <w:bCs/>
                <w:kern w:val="24"/>
                <w:sz w:val="24"/>
              </w:rPr>
              <w:t xml:space="preserve"> </w:t>
            </w:r>
            <w:r>
              <w:rPr>
                <w:rFonts w:hint="eastAsia" w:ascii="Times New Roman" w:hAnsi="Times New Roman"/>
                <w:bCs/>
                <w:kern w:val="24"/>
                <w:sz w:val="24"/>
              </w:rPr>
              <w:t>169-2018）中的附录B中的风险物质，本项目</w:t>
            </w:r>
            <w:r>
              <w:rPr>
                <w:rFonts w:hint="eastAsia" w:ascii="Times New Roman" w:hAnsi="Times New Roman"/>
                <w:sz w:val="24"/>
              </w:rPr>
              <w:t>不涉及</w:t>
            </w:r>
            <w:r>
              <w:rPr>
                <w:rFonts w:ascii="Times New Roman" w:hAnsi="Times New Roman"/>
                <w:sz w:val="24"/>
              </w:rPr>
              <w:t>《危险化学品重大危险源辨识》（GB 18218-2018）</w:t>
            </w:r>
            <w:r>
              <w:rPr>
                <w:rFonts w:hint="eastAsia" w:ascii="Times New Roman" w:hAnsi="Times New Roman"/>
                <w:sz w:val="24"/>
              </w:rPr>
              <w:t>中的爆炸性物质、易燃物质和有毒物质</w:t>
            </w:r>
            <w:r>
              <w:rPr>
                <w:rFonts w:hint="eastAsia" w:ascii="Times New Roman" w:hAnsi="Times New Roman"/>
                <w:bCs/>
                <w:kern w:val="24"/>
                <w:sz w:val="24"/>
              </w:rPr>
              <w:t>。</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（2）生产系统危险性识别</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本项目环境风险设施主要有废气处理设以及废水处理设施。</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（3）环境风险类型及危害分析</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本项目可能的风险类型为事故排放等。</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（4）事故影响途径</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对于废气治理设施的事故排放，应加强废气治理设施的定期维修并及时关闭相关设备停止生产。</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对于废水治理设施的事故排放，应加强废水治理设施的定期检修并设置事故应急池。</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4</w:t>
            </w:r>
            <w:r>
              <w:rPr>
                <w:rFonts w:hint="eastAsia" w:ascii="Times New Roman" w:hAnsi="Times New Roman"/>
                <w:b/>
                <w:spacing w:val="8"/>
                <w:kern w:val="24"/>
                <w:sz w:val="24"/>
              </w:rPr>
              <w:t xml:space="preserve"> 环境风险分析</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（1）大气环境风险分析</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当废气发生事故排放时，废气中的粉尘会对周围大气造成污染。</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（2）地表水环境风险分析</w:t>
            </w:r>
          </w:p>
          <w:p>
            <w:pPr>
              <w:overflowPunct w:val="0"/>
              <w:spacing w:line="360" w:lineRule="auto"/>
              <w:ind w:firstLine="480" w:firstLineChars="200"/>
              <w:rPr>
                <w:rFonts w:ascii="Times New Roman" w:hAnsi="Times New Roman"/>
                <w:bCs/>
                <w:kern w:val="24"/>
                <w:sz w:val="24"/>
              </w:rPr>
            </w:pPr>
            <w:r>
              <w:rPr>
                <w:rFonts w:hint="eastAsia" w:ascii="Times New Roman" w:hAnsi="Times New Roman"/>
                <w:color w:val="000000"/>
                <w:kern w:val="0"/>
                <w:sz w:val="24"/>
                <w:szCs w:val="24"/>
              </w:rPr>
              <w:t>当由于人为管理不当，或者自然条件的影响（主要考虑暴雨情况）等导致沉淀池废水事故排放，事故状态下排放的废水将直接进入到周边自然水体中，由于沉淀池废水中悬浮物浓度较高，泄漏进入周边自然水体中会导致周边自然水体中悬浮物浓度大幅上升，从而影响周边自然水体环境</w:t>
            </w:r>
            <w:r>
              <w:rPr>
                <w:rFonts w:hint="eastAsia" w:ascii="Times New Roman" w:hAnsi="Times New Roman"/>
                <w:bCs/>
                <w:kern w:val="24"/>
                <w:sz w:val="24"/>
              </w:rPr>
              <w:t>。</w:t>
            </w:r>
          </w:p>
          <w:p>
            <w:pPr>
              <w:overflowPunct w:val="0"/>
              <w:spacing w:line="360" w:lineRule="auto"/>
              <w:rPr>
                <w:rFonts w:ascii="Times New Roman" w:hAnsi="Times New Roman"/>
                <w:b/>
                <w:spacing w:val="8"/>
                <w:kern w:val="24"/>
                <w:sz w:val="24"/>
                <w:u w:val="single"/>
              </w:rPr>
            </w:pPr>
            <w:r>
              <w:rPr>
                <w:rFonts w:ascii="Times New Roman" w:hAnsi="Times New Roman"/>
                <w:b/>
                <w:spacing w:val="8"/>
                <w:kern w:val="24"/>
                <w:sz w:val="24"/>
                <w:u w:val="single"/>
              </w:rPr>
              <w:t>5</w:t>
            </w:r>
            <w:r>
              <w:rPr>
                <w:rFonts w:hint="eastAsia" w:ascii="Times New Roman" w:hAnsi="Times New Roman"/>
                <w:b/>
                <w:spacing w:val="8"/>
                <w:kern w:val="24"/>
                <w:sz w:val="24"/>
                <w:u w:val="single"/>
              </w:rPr>
              <w:t xml:space="preserve"> 环境风险防范措施及应急要求</w:t>
            </w:r>
          </w:p>
          <w:p>
            <w:pPr>
              <w:spacing w:line="360" w:lineRule="auto"/>
              <w:ind w:firstLine="480"/>
              <w:rPr>
                <w:rFonts w:ascii="Times New Roman" w:hAnsi="Times New Roman"/>
                <w:color w:val="000000"/>
                <w:kern w:val="0"/>
                <w:sz w:val="24"/>
                <w:szCs w:val="24"/>
                <w:u w:val="single"/>
              </w:rPr>
            </w:pPr>
            <w:r>
              <w:rPr>
                <w:rFonts w:hint="eastAsia" w:ascii="Times New Roman" w:hAnsi="Times New Roman"/>
                <w:color w:val="000000"/>
                <w:kern w:val="0"/>
                <w:sz w:val="24"/>
                <w:szCs w:val="24"/>
                <w:u w:val="single"/>
              </w:rPr>
              <w:t>（1）加强沉淀池施工建设，确保各池体质量达标，防止因池体质量不达标导致的池体破损，废水外溢。</w:t>
            </w:r>
          </w:p>
          <w:p>
            <w:pPr>
              <w:spacing w:line="360" w:lineRule="auto"/>
              <w:ind w:firstLine="480"/>
              <w:rPr>
                <w:rFonts w:ascii="Times New Roman" w:hAnsi="Times New Roman"/>
                <w:color w:val="000000"/>
                <w:kern w:val="0"/>
                <w:sz w:val="24"/>
                <w:szCs w:val="24"/>
                <w:u w:val="single"/>
              </w:rPr>
            </w:pPr>
            <w:r>
              <w:rPr>
                <w:rFonts w:hint="eastAsia" w:ascii="Times New Roman" w:hAnsi="Times New Roman"/>
                <w:color w:val="000000"/>
                <w:kern w:val="0"/>
                <w:sz w:val="24"/>
                <w:szCs w:val="24"/>
                <w:u w:val="single"/>
              </w:rPr>
              <w:t>（2）加强人员管理，定期对沉淀池周围进行检查，发现问题及时解决，预防风险事故的发生。</w:t>
            </w:r>
          </w:p>
          <w:p>
            <w:pPr>
              <w:spacing w:line="360" w:lineRule="auto"/>
              <w:ind w:firstLine="480"/>
              <w:rPr>
                <w:rFonts w:ascii="Times New Roman" w:hAnsi="Times New Roman"/>
                <w:color w:val="000000"/>
                <w:kern w:val="0"/>
                <w:sz w:val="24"/>
                <w:szCs w:val="24"/>
                <w:u w:val="single"/>
              </w:rPr>
            </w:pPr>
            <w:r>
              <w:rPr>
                <w:rFonts w:hint="eastAsia" w:ascii="Times New Roman" w:hAnsi="Times New Roman"/>
                <w:color w:val="000000"/>
                <w:kern w:val="0"/>
                <w:sz w:val="24"/>
                <w:szCs w:val="24"/>
                <w:u w:val="single"/>
              </w:rPr>
              <w:t>（3）雨季期间，加强对自然天气状况的监控，发生暴雨等自然环境影响时，及时做好项目区排水工程，防止因大量雨水进入到厂区沉淀池内，导致沉淀池废水外溢情况发生。</w:t>
            </w:r>
          </w:p>
          <w:p>
            <w:pPr>
              <w:overflowPunct w:val="0"/>
              <w:spacing w:line="360" w:lineRule="auto"/>
              <w:ind w:firstLine="480" w:firstLineChars="200"/>
              <w:rPr>
                <w:rFonts w:ascii="Times New Roman" w:hAnsi="Times New Roman"/>
                <w:bCs/>
                <w:kern w:val="24"/>
                <w:sz w:val="24"/>
                <w:u w:val="single"/>
              </w:rPr>
            </w:pPr>
            <w:r>
              <w:rPr>
                <w:rFonts w:hint="eastAsia" w:ascii="Times New Roman" w:hAnsi="Times New Roman"/>
                <w:color w:val="000000"/>
                <w:kern w:val="0"/>
                <w:sz w:val="24"/>
                <w:szCs w:val="24"/>
                <w:u w:val="single"/>
              </w:rPr>
              <w:t>（4）做好风险应急防范措施，针对厂区内沉淀池中废水事故排放风险情景，制定相应的应急救援方案，第一时间采取相应应急防范措施，减少环境风险事故对周围环境的影响。</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6 </w:t>
            </w:r>
            <w:r>
              <w:rPr>
                <w:rFonts w:hint="eastAsia" w:ascii="Times New Roman" w:hAnsi="Times New Roman"/>
                <w:b/>
                <w:spacing w:val="8"/>
                <w:kern w:val="24"/>
                <w:sz w:val="24"/>
              </w:rPr>
              <w:t>突发环境事故应急预案</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为了在发生突发环境事件时，能够及时、有序、高效地实施抢险救援工作，最大限度地减少人员伤亡和财产损失，尽快恢复正常生产、工作秩序，建设项目必须制订突发环境事件应急预案。</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7 </w:t>
            </w:r>
            <w:r>
              <w:rPr>
                <w:rFonts w:hint="eastAsia" w:ascii="Times New Roman" w:hAnsi="Times New Roman"/>
                <w:b/>
                <w:spacing w:val="8"/>
                <w:kern w:val="24"/>
                <w:sz w:val="24"/>
              </w:rPr>
              <w:t>分析结论</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综上所述，本项目不涉及危险物质。废气事故排放时，会对局部环境空气造成污染，但不会对厂界外人群造成生命威胁；废水事故排放时，会对周边水体造成污染，也不会对厂界外人群造成生命威胁，在采取一系列风险防范措施后，可将事故率降至最低，同时生产中应杜绝该项事故的发生。通过以上风险防范措施的设立，可以较为有效的最大限度防范风险事故的发生和有效处置，并结合企业在下一步设计、运营过程中不断制定和完善的风险防范措施和应急预案，本项目所发生的环境风险可以控制在较低的水平，本项目的事故风险处于可接收水平。</w:t>
            </w:r>
          </w:p>
          <w:p>
            <w:pPr>
              <w:overflowPunct w:val="0"/>
              <w:spacing w:line="360" w:lineRule="auto"/>
              <w:ind w:firstLine="480" w:firstLineChars="200"/>
              <w:rPr>
                <w:rFonts w:ascii="Times New Roman" w:hAnsi="Times New Roman"/>
                <w:bCs/>
                <w:kern w:val="24"/>
                <w:sz w:val="24"/>
              </w:rPr>
            </w:pPr>
            <w:r>
              <w:rPr>
                <w:rFonts w:hint="eastAsia" w:ascii="Times New Roman" w:hAnsi="Times New Roman"/>
                <w:bCs/>
                <w:kern w:val="24"/>
                <w:sz w:val="24"/>
              </w:rPr>
              <w:t>本项目环境风险简单分析内容表见表6-17。</w:t>
            </w:r>
          </w:p>
          <w:p>
            <w:pPr>
              <w:overflowPunct w:val="0"/>
              <w:spacing w:line="360" w:lineRule="auto"/>
              <w:jc w:val="center"/>
              <w:rPr>
                <w:rFonts w:ascii="Times New Roman" w:hAnsi="Times New Roman"/>
                <w:b/>
                <w:kern w:val="24"/>
                <w:sz w:val="24"/>
                <w:u w:val="single"/>
              </w:rPr>
            </w:pPr>
            <w:r>
              <w:rPr>
                <w:rFonts w:hint="eastAsia" w:ascii="Times New Roman" w:hAnsi="Times New Roman"/>
                <w:b/>
                <w:kern w:val="24"/>
                <w:sz w:val="24"/>
                <w:u w:val="single"/>
              </w:rPr>
              <w:t>表6-</w:t>
            </w:r>
            <w:r>
              <w:rPr>
                <w:rFonts w:ascii="Times New Roman" w:hAnsi="Times New Roman"/>
                <w:b/>
                <w:kern w:val="24"/>
                <w:sz w:val="24"/>
                <w:u w:val="single"/>
              </w:rPr>
              <w:t>1</w:t>
            </w:r>
            <w:r>
              <w:rPr>
                <w:rFonts w:hint="eastAsia" w:ascii="Times New Roman" w:hAnsi="Times New Roman"/>
                <w:b/>
                <w:kern w:val="24"/>
                <w:sz w:val="24"/>
                <w:u w:val="single"/>
              </w:rPr>
              <w:t>7  本项目环境风险简单分析内容表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1559"/>
              <w:gridCol w:w="1813"/>
              <w:gridCol w:w="1813"/>
              <w:gridCol w:w="18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建设项目名称</w:t>
                  </w:r>
                </w:p>
              </w:tc>
              <w:tc>
                <w:tcPr>
                  <w:tcW w:w="3870" w:type="pct"/>
                  <w:gridSpan w:val="4"/>
                  <w:tcMar>
                    <w:left w:w="85" w:type="dxa"/>
                    <w:right w:w="85" w:type="dxa"/>
                  </w:tcMar>
                  <w:vAlign w:val="center"/>
                </w:tcPr>
                <w:p>
                  <w:pPr>
                    <w:jc w:val="center"/>
                    <w:textAlignment w:val="baseline"/>
                    <w:rPr>
                      <w:rFonts w:ascii="Times New Roman" w:hAnsi="Times New Roman"/>
                      <w:bCs/>
                      <w:kern w:val="21"/>
                      <w:u w:val="single"/>
                    </w:rPr>
                  </w:pPr>
                  <w:r>
                    <w:rPr>
                      <w:rFonts w:hint="eastAsia" w:ascii="Times New Roman" w:hAnsi="Times New Roman"/>
                      <w:kern w:val="21"/>
                      <w:u w:val="single"/>
                    </w:rPr>
                    <w:t>桃江县鑫泰建材有限公司年产6000万块烧结页岩砖以及配套碎石生产线扩建项目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建设地点</w:t>
                  </w:r>
                </w:p>
              </w:tc>
              <w:tc>
                <w:tcPr>
                  <w:tcW w:w="862"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bCs/>
                      <w:kern w:val="21"/>
                      <w:u w:val="single"/>
                    </w:rPr>
                    <w:t>（湖南）省</w:t>
                  </w:r>
                </w:p>
              </w:tc>
              <w:tc>
                <w:tcPr>
                  <w:tcW w:w="1003"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bCs/>
                      <w:kern w:val="21"/>
                      <w:u w:val="single"/>
                    </w:rPr>
                    <w:t>（益阳）市</w:t>
                  </w:r>
                </w:p>
              </w:tc>
              <w:tc>
                <w:tcPr>
                  <w:tcW w:w="1003"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bCs/>
                      <w:kern w:val="21"/>
                      <w:u w:val="single"/>
                    </w:rPr>
                    <w:t>（</w:t>
                  </w:r>
                  <w:r>
                    <w:rPr>
                      <w:rFonts w:hint="eastAsia" w:ascii="Times New Roman" w:hAnsi="Times New Roman"/>
                      <w:bCs/>
                      <w:kern w:val="21"/>
                      <w:u w:val="single"/>
                    </w:rPr>
                    <w:t>桃江</w:t>
                  </w:r>
                  <w:r>
                    <w:rPr>
                      <w:rFonts w:ascii="Times New Roman" w:hAnsi="Times New Roman"/>
                      <w:bCs/>
                      <w:kern w:val="21"/>
                      <w:u w:val="single"/>
                    </w:rPr>
                    <w:t>）</w:t>
                  </w:r>
                  <w:r>
                    <w:rPr>
                      <w:rFonts w:hint="eastAsia" w:ascii="Times New Roman" w:hAnsi="Times New Roman"/>
                      <w:bCs/>
                      <w:kern w:val="21"/>
                      <w:u w:val="single"/>
                    </w:rPr>
                    <w:t>县</w:t>
                  </w:r>
                </w:p>
              </w:tc>
              <w:tc>
                <w:tcPr>
                  <w:tcW w:w="1002" w:type="pct"/>
                  <w:tcMar>
                    <w:left w:w="85" w:type="dxa"/>
                    <w:right w:w="85" w:type="dxa"/>
                  </w:tcMar>
                  <w:vAlign w:val="center"/>
                </w:tcPr>
                <w:p>
                  <w:pPr>
                    <w:jc w:val="center"/>
                    <w:textAlignment w:val="baseline"/>
                    <w:rPr>
                      <w:rFonts w:ascii="Times New Roman" w:hAnsi="Times New Roman"/>
                      <w:bCs/>
                      <w:kern w:val="21"/>
                      <w:u w:val="single"/>
                    </w:rPr>
                  </w:pPr>
                  <w:r>
                    <w:rPr>
                      <w:rFonts w:hint="eastAsia" w:ascii="Times New Roman" w:hAnsi="Times New Roman"/>
                      <w:bCs/>
                      <w:kern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地理坐标</w:t>
                  </w:r>
                </w:p>
              </w:tc>
              <w:tc>
                <w:tcPr>
                  <w:tcW w:w="862"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bCs/>
                      <w:kern w:val="21"/>
                      <w:u w:val="single"/>
                    </w:rPr>
                    <w:t>经度</w:t>
                  </w:r>
                </w:p>
              </w:tc>
              <w:tc>
                <w:tcPr>
                  <w:tcW w:w="1003"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color w:val="000000" w:themeColor="text1"/>
                      <w:kern w:val="21"/>
                      <w:szCs w:val="24"/>
                      <w:u w:val="single"/>
                      <w14:textFill>
                        <w14:solidFill>
                          <w14:schemeClr w14:val="tx1"/>
                        </w14:solidFill>
                      </w14:textFill>
                    </w:rPr>
                    <w:t>E111°56′34″</w:t>
                  </w:r>
                </w:p>
              </w:tc>
              <w:tc>
                <w:tcPr>
                  <w:tcW w:w="1003"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bCs/>
                      <w:kern w:val="21"/>
                      <w:u w:val="single"/>
                    </w:rPr>
                    <w:t>纬度</w:t>
                  </w:r>
                </w:p>
              </w:tc>
              <w:tc>
                <w:tcPr>
                  <w:tcW w:w="1002" w:type="pct"/>
                  <w:tcMar>
                    <w:left w:w="85" w:type="dxa"/>
                    <w:right w:w="85" w:type="dxa"/>
                  </w:tcMar>
                  <w:vAlign w:val="center"/>
                </w:tcPr>
                <w:p>
                  <w:pPr>
                    <w:jc w:val="center"/>
                    <w:textAlignment w:val="baseline"/>
                    <w:rPr>
                      <w:rFonts w:ascii="Times New Roman" w:hAnsi="Times New Roman"/>
                      <w:bCs/>
                      <w:kern w:val="21"/>
                      <w:u w:val="single"/>
                    </w:rPr>
                  </w:pPr>
                  <w:r>
                    <w:rPr>
                      <w:rFonts w:ascii="Times New Roman" w:hAnsi="Times New Roman"/>
                      <w:color w:val="000000" w:themeColor="text1"/>
                      <w:kern w:val="21"/>
                      <w:szCs w:val="24"/>
                      <w:u w:val="single"/>
                      <w14:textFill>
                        <w14:solidFill>
                          <w14:schemeClr w14:val="tx1"/>
                        </w14:solidFill>
                      </w14:textFill>
                    </w:rPr>
                    <w:t>N28°28′27″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主要危险物质分布</w:t>
                  </w:r>
                </w:p>
              </w:tc>
              <w:tc>
                <w:tcPr>
                  <w:tcW w:w="3870" w:type="pct"/>
                  <w:gridSpan w:val="4"/>
                  <w:tcMar>
                    <w:left w:w="85" w:type="dxa"/>
                    <w:right w:w="85" w:type="dxa"/>
                  </w:tcMar>
                  <w:vAlign w:val="center"/>
                </w:tcPr>
                <w:p>
                  <w:pPr>
                    <w:jc w:val="center"/>
                    <w:textAlignment w:val="baseline"/>
                    <w:rPr>
                      <w:rFonts w:ascii="Times New Roman" w:hAnsi="Times New Roman"/>
                      <w:bCs/>
                      <w:kern w:val="21"/>
                      <w:u w:val="single"/>
                    </w:rPr>
                  </w:pPr>
                  <w:r>
                    <w:rPr>
                      <w:rFonts w:hint="eastAsia" w:ascii="Times New Roman" w:hAnsi="Times New Roman"/>
                      <w:bCs/>
                      <w:kern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环境影响途径及危害后果（大气、地表水、地下水等）</w:t>
                  </w:r>
                </w:p>
              </w:tc>
              <w:tc>
                <w:tcPr>
                  <w:tcW w:w="3870" w:type="pct"/>
                  <w:gridSpan w:val="4"/>
                  <w:tcMar>
                    <w:left w:w="85" w:type="dxa"/>
                    <w:right w:w="85" w:type="dxa"/>
                  </w:tcMar>
                  <w:vAlign w:val="center"/>
                </w:tcPr>
                <w:p>
                  <w:pPr>
                    <w:textAlignment w:val="baseline"/>
                    <w:rPr>
                      <w:rFonts w:ascii="Times New Roman" w:hAnsi="Times New Roman"/>
                      <w:bCs/>
                      <w:kern w:val="21"/>
                      <w:u w:val="single"/>
                    </w:rPr>
                  </w:pPr>
                  <w:r>
                    <w:rPr>
                      <w:rFonts w:hint="eastAsia" w:ascii="宋体" w:hAnsi="宋体" w:cs="宋体"/>
                      <w:bCs/>
                      <w:kern w:val="21"/>
                      <w:u w:val="single"/>
                    </w:rPr>
                    <w:t>①</w:t>
                  </w:r>
                  <w:r>
                    <w:rPr>
                      <w:rFonts w:ascii="Times New Roman" w:hAnsi="Times New Roman"/>
                      <w:bCs/>
                      <w:kern w:val="21"/>
                      <w:u w:val="single"/>
                    </w:rPr>
                    <w:t>大气环境风险分析：当废气发生事故排放时，废气中的</w:t>
                  </w:r>
                  <w:r>
                    <w:rPr>
                      <w:rFonts w:hint="eastAsia" w:ascii="Times New Roman" w:hAnsi="Times New Roman"/>
                      <w:bCs/>
                      <w:kern w:val="21"/>
                      <w:u w:val="single"/>
                    </w:rPr>
                    <w:t>粉尘</w:t>
                  </w:r>
                  <w:r>
                    <w:rPr>
                      <w:rFonts w:ascii="Times New Roman" w:hAnsi="Times New Roman"/>
                      <w:bCs/>
                      <w:kern w:val="21"/>
                      <w:u w:val="single"/>
                    </w:rPr>
                    <w:t>会对周围大气造成污染。</w:t>
                  </w:r>
                </w:p>
                <w:p>
                  <w:pPr>
                    <w:textAlignment w:val="baseline"/>
                    <w:rPr>
                      <w:rFonts w:ascii="Times New Roman" w:hAnsi="Times New Roman"/>
                      <w:bCs/>
                      <w:kern w:val="21"/>
                      <w:u w:val="single"/>
                    </w:rPr>
                  </w:pPr>
                  <w:r>
                    <w:rPr>
                      <w:rFonts w:hint="eastAsia" w:ascii="宋体" w:hAnsi="宋体" w:cs="宋体"/>
                      <w:bCs/>
                      <w:kern w:val="21"/>
                      <w:u w:val="single"/>
                    </w:rPr>
                    <w:t>②</w:t>
                  </w:r>
                  <w:r>
                    <w:rPr>
                      <w:rFonts w:ascii="Times New Roman" w:hAnsi="Times New Roman"/>
                      <w:bCs/>
                      <w:kern w:val="21"/>
                      <w:u w:val="single"/>
                    </w:rPr>
                    <w:t>地表水环境风险分析：</w:t>
                  </w:r>
                  <w:r>
                    <w:rPr>
                      <w:rFonts w:hint="eastAsia" w:ascii="Times New Roman" w:hAnsi="Times New Roman"/>
                      <w:bCs/>
                      <w:kern w:val="21"/>
                      <w:u w:val="single"/>
                    </w:rPr>
                    <w:t>当由于人为管理不当，或者自然条件的影响（主要考虑暴雨情况）等导致沉淀池废水事故排放，事故状态下排放的废水将直接进入到周边自然水体中，由于沉淀池废水中悬浮物浓度较高，泄漏进入周边自然水体中会导致周边自然水体中悬浮物浓度大幅上升，从而影响周边自然水体环境</w:t>
                  </w:r>
                  <w:r>
                    <w:rPr>
                      <w:rFonts w:ascii="Times New Roman" w:hAnsi="Times New Roman"/>
                      <w:bCs/>
                      <w:kern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tcMar>
                    <w:left w:w="85" w:type="dxa"/>
                    <w:right w:w="85" w:type="dxa"/>
                  </w:tcMar>
                  <w:vAlign w:val="center"/>
                </w:tcPr>
                <w:p>
                  <w:pPr>
                    <w:jc w:val="center"/>
                    <w:textAlignment w:val="baseline"/>
                    <w:rPr>
                      <w:rFonts w:ascii="Times New Roman" w:hAnsi="Times New Roman"/>
                      <w:b/>
                      <w:bCs/>
                      <w:kern w:val="21"/>
                      <w:u w:val="single"/>
                    </w:rPr>
                  </w:pPr>
                  <w:r>
                    <w:rPr>
                      <w:rFonts w:ascii="Times New Roman" w:hAnsi="Times New Roman"/>
                      <w:b/>
                      <w:bCs/>
                      <w:kern w:val="21"/>
                      <w:u w:val="single"/>
                    </w:rPr>
                    <w:t>风险防范措施要求</w:t>
                  </w:r>
                </w:p>
              </w:tc>
              <w:tc>
                <w:tcPr>
                  <w:tcW w:w="3870" w:type="pct"/>
                  <w:gridSpan w:val="4"/>
                  <w:tcMar>
                    <w:left w:w="85" w:type="dxa"/>
                    <w:right w:w="85" w:type="dxa"/>
                  </w:tcMar>
                  <w:vAlign w:val="center"/>
                </w:tcPr>
                <w:p>
                  <w:pPr>
                    <w:jc w:val="left"/>
                    <w:textAlignment w:val="baseline"/>
                    <w:rPr>
                      <w:rFonts w:ascii="Times New Roman" w:hAnsi="Times New Roman"/>
                      <w:bCs/>
                      <w:kern w:val="21"/>
                      <w:u w:val="single"/>
                    </w:rPr>
                  </w:pPr>
                  <w:r>
                    <w:rPr>
                      <w:rFonts w:hint="eastAsia" w:ascii="宋体" w:hAnsi="宋体" w:cs="宋体"/>
                      <w:bCs/>
                      <w:kern w:val="21"/>
                      <w:u w:val="single"/>
                    </w:rPr>
                    <w:t>①</w:t>
                  </w:r>
                  <w:r>
                    <w:rPr>
                      <w:rFonts w:ascii="Times New Roman" w:hAnsi="Times New Roman"/>
                      <w:bCs/>
                      <w:kern w:val="21"/>
                      <w:u w:val="single"/>
                    </w:rPr>
                    <w:t>组建安全环保管理机构；</w:t>
                  </w:r>
                </w:p>
                <w:p>
                  <w:pPr>
                    <w:jc w:val="left"/>
                    <w:textAlignment w:val="baseline"/>
                    <w:rPr>
                      <w:rFonts w:ascii="Times New Roman" w:hAnsi="Times New Roman"/>
                      <w:bCs/>
                      <w:kern w:val="21"/>
                      <w:u w:val="single"/>
                    </w:rPr>
                  </w:pPr>
                  <w:r>
                    <w:rPr>
                      <w:rFonts w:hint="eastAsia" w:ascii="宋体" w:hAnsi="宋体" w:cs="宋体"/>
                      <w:bCs/>
                      <w:kern w:val="21"/>
                      <w:u w:val="single"/>
                    </w:rPr>
                    <w:t>②</w:t>
                  </w:r>
                  <w:r>
                    <w:rPr>
                      <w:rFonts w:ascii="Times New Roman" w:hAnsi="Times New Roman"/>
                      <w:bCs/>
                      <w:kern w:val="21"/>
                      <w:u w:val="single"/>
                    </w:rPr>
                    <w:t>完善总图布置和建筑安全防范措施；</w:t>
                  </w:r>
                </w:p>
                <w:p>
                  <w:pPr>
                    <w:jc w:val="left"/>
                    <w:textAlignment w:val="baseline"/>
                    <w:rPr>
                      <w:rFonts w:ascii="Times New Roman" w:hAnsi="Times New Roman"/>
                      <w:bCs/>
                      <w:kern w:val="21"/>
                      <w:u w:val="single"/>
                    </w:rPr>
                  </w:pPr>
                  <w:r>
                    <w:rPr>
                      <w:rFonts w:hint="eastAsia" w:ascii="宋体" w:hAnsi="宋体" w:cs="宋体"/>
                      <w:bCs/>
                      <w:kern w:val="21"/>
                      <w:u w:val="single"/>
                    </w:rPr>
                    <w:t>③</w:t>
                  </w:r>
                  <w:r>
                    <w:rPr>
                      <w:rFonts w:ascii="Times New Roman" w:hAnsi="Times New Roman"/>
                      <w:bCs/>
                      <w:kern w:val="21"/>
                      <w:u w:val="single"/>
                    </w:rPr>
                    <w:t>加强废水、废气治理设备的维护，设置事故应急池（均质调节池兼顾）；</w:t>
                  </w:r>
                </w:p>
                <w:p>
                  <w:pPr>
                    <w:jc w:val="left"/>
                    <w:textAlignment w:val="baseline"/>
                    <w:rPr>
                      <w:rFonts w:ascii="Times New Roman" w:hAnsi="Times New Roman"/>
                      <w:bCs/>
                      <w:kern w:val="21"/>
                      <w:u w:val="single"/>
                    </w:rPr>
                  </w:pPr>
                  <w:r>
                    <w:rPr>
                      <w:rFonts w:hint="eastAsia" w:ascii="宋体" w:hAnsi="宋体" w:cs="宋体"/>
                      <w:bCs/>
                      <w:kern w:val="21"/>
                      <w:u w:val="single"/>
                    </w:rPr>
                    <w:t>④</w:t>
                  </w:r>
                  <w:r>
                    <w:rPr>
                      <w:rFonts w:ascii="Times New Roman" w:hAnsi="Times New Roman"/>
                      <w:bCs/>
                      <w:kern w:val="21"/>
                      <w:u w:val="single"/>
                    </w:rPr>
                    <w:t>规范设置固废堆场；</w:t>
                  </w:r>
                </w:p>
                <w:p>
                  <w:pPr>
                    <w:jc w:val="left"/>
                    <w:textAlignment w:val="baseline"/>
                    <w:rPr>
                      <w:rFonts w:ascii="Times New Roman" w:hAnsi="Times New Roman"/>
                      <w:bCs/>
                      <w:kern w:val="21"/>
                      <w:u w:val="single"/>
                    </w:rPr>
                  </w:pPr>
                  <w:r>
                    <w:rPr>
                      <w:rFonts w:hint="eastAsia" w:ascii="宋体" w:hAnsi="宋体" w:cs="宋体"/>
                      <w:bCs/>
                      <w:kern w:val="21"/>
                      <w:u w:val="single"/>
                    </w:rPr>
                    <w:t>⑤</w:t>
                  </w:r>
                  <w:r>
                    <w:rPr>
                      <w:rFonts w:ascii="Times New Roman" w:hAnsi="Times New Roman"/>
                      <w:bCs/>
                      <w:kern w:val="21"/>
                      <w:u w:val="single"/>
                    </w:rPr>
                    <w:t>编制突发环境事件应急预案。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tcMar>
                    <w:left w:w="85" w:type="dxa"/>
                    <w:right w:w="85" w:type="dxa"/>
                  </w:tcMar>
                  <w:vAlign w:val="center"/>
                </w:tcPr>
                <w:p>
                  <w:pPr>
                    <w:textAlignment w:val="baseline"/>
                    <w:rPr>
                      <w:rFonts w:ascii="Times New Roman" w:hAnsi="Times New Roman"/>
                      <w:bCs/>
                      <w:kern w:val="21"/>
                      <w:u w:val="single"/>
                    </w:rPr>
                  </w:pPr>
                  <w:r>
                    <w:rPr>
                      <w:rFonts w:ascii="Times New Roman" w:hAnsi="Times New Roman"/>
                      <w:bCs/>
                      <w:kern w:val="21"/>
                      <w:u w:val="single"/>
                    </w:rPr>
                    <w:t>填表说明（列出项目相关信息及评价说明）：</w:t>
                  </w:r>
                </w:p>
                <w:p>
                  <w:pPr>
                    <w:jc w:val="center"/>
                    <w:textAlignment w:val="baseline"/>
                    <w:rPr>
                      <w:rFonts w:ascii="Times New Roman" w:hAnsi="Times New Roman"/>
                      <w:bCs/>
                      <w:kern w:val="21"/>
                      <w:u w:val="single"/>
                    </w:rPr>
                  </w:pPr>
                  <w:r>
                    <w:rPr>
                      <w:rFonts w:ascii="Times New Roman" w:hAnsi="Times New Roman"/>
                      <w:bCs/>
                      <w:kern w:val="21"/>
                      <w:u w:val="single"/>
                    </w:rPr>
                    <w:t>由于本项目危险物质Q值=0＜1，该项目环境风险潜势为Ⅰ级，可开展简单分析。</w:t>
                  </w:r>
                </w:p>
              </w:tc>
            </w:tr>
          </w:tbl>
          <w:p>
            <w:pPr>
              <w:overflowPunct w:val="0"/>
              <w:spacing w:line="360" w:lineRule="auto"/>
              <w:rPr>
                <w:rFonts w:ascii="Times New Roman" w:hAnsi="Times New Roman"/>
                <w:b/>
                <w:spacing w:val="8"/>
                <w:sz w:val="28"/>
                <w:szCs w:val="28"/>
              </w:rPr>
            </w:pPr>
            <w:r>
              <w:rPr>
                <w:rFonts w:hint="eastAsia" w:ascii="Times New Roman" w:hAnsi="Times New Roman"/>
                <w:b/>
                <w:spacing w:val="8"/>
                <w:sz w:val="28"/>
                <w:szCs w:val="28"/>
              </w:rPr>
              <w:t>（四）</w:t>
            </w:r>
            <w:r>
              <w:rPr>
                <w:rFonts w:ascii="Times New Roman" w:hAnsi="宋体"/>
                <w:b/>
                <w:spacing w:val="8"/>
                <w:sz w:val="28"/>
                <w:szCs w:val="28"/>
              </w:rPr>
              <w:t>环境管理</w:t>
            </w:r>
            <w:r>
              <w:rPr>
                <w:rFonts w:hint="eastAsia" w:ascii="Times New Roman" w:hAnsi="宋体"/>
                <w:b/>
                <w:spacing w:val="8"/>
                <w:sz w:val="28"/>
                <w:szCs w:val="28"/>
              </w:rPr>
              <w:t>与监测</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环境管理和环境监测是污染防治的重要内容之一，是实现污染物总量控制和污染预防的有效保证。项目除按照本报告表提出的各项污染防治措施进行治理的同时，还需要根据《中华人民共和国环境保护法》、《建设项目环境保护管理条例》等有关法规的要求加强环境管理和环境监测工作，以便及时发现施工、运行期间中存在的环境问题，尽快采取处理措施，减少和避免污染和损失。通过加强管理和环境监测工作，指导项目规范建设和使用。</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1 </w:t>
            </w:r>
            <w:r>
              <w:rPr>
                <w:rFonts w:hint="eastAsia" w:ascii="Times New Roman" w:hAnsi="Times New Roman"/>
                <w:b/>
                <w:spacing w:val="8"/>
                <w:kern w:val="24"/>
                <w:sz w:val="24"/>
              </w:rPr>
              <w:t>环境管理</w:t>
            </w:r>
          </w:p>
          <w:p>
            <w:pPr>
              <w:tabs>
                <w:tab w:val="left" w:pos="4215"/>
              </w:tabs>
              <w:spacing w:line="360" w:lineRule="auto"/>
              <w:rPr>
                <w:rFonts w:ascii="Times New Roman" w:hAnsi="Times New Roman"/>
                <w:b/>
                <w:bCs/>
                <w:spacing w:val="8"/>
                <w:kern w:val="24"/>
                <w:sz w:val="24"/>
              </w:rPr>
            </w:pPr>
            <w:r>
              <w:rPr>
                <w:rFonts w:hint="eastAsia" w:ascii="Times New Roman" w:hAnsi="Times New Roman"/>
                <w:b/>
                <w:bCs/>
                <w:spacing w:val="8"/>
                <w:kern w:val="24"/>
                <w:sz w:val="24"/>
              </w:rPr>
              <w:t>1</w:t>
            </w:r>
            <w:r>
              <w:rPr>
                <w:rFonts w:ascii="Times New Roman" w:hAnsi="Times New Roman"/>
                <w:b/>
                <w:bCs/>
                <w:spacing w:val="8"/>
                <w:kern w:val="24"/>
                <w:sz w:val="24"/>
              </w:rPr>
              <w:t xml:space="preserve">.1 </w:t>
            </w:r>
            <w:r>
              <w:rPr>
                <w:rFonts w:hint="eastAsia" w:ascii="Times New Roman" w:hAnsi="Times New Roman"/>
                <w:b/>
                <w:bCs/>
                <w:spacing w:val="8"/>
                <w:kern w:val="24"/>
                <w:sz w:val="24"/>
              </w:rPr>
              <w:t>环境管理机构与职责</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企业应根据《建设项目环境保护设计规定》，在企业内部设置环境保护管理机构，负责组织、落实、监督本企业环境保护工作。</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本项目建设单位拟设置环境管理机构来开展企业环保工作，实行主要领导负责制，由总经理直接领导，委托有资质环境监测单位定期对废水、废气、噪声等进行常规监测，利用监测数据定期汇报污染物排放与治理情况表，与当地环保部门通力协作，共同搞好厂区环保工作。根据国家、行业、省市环境保护主管部门的法律、法规和方针、政策要求，对项目的环境管理机构提出的主要职责是：</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（1）贯彻执行国家和地方各项环保方针、政策和法规，制定全厂环境保护制度和细则，组织开展职工环保教育，提高职工的环保意识；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（2）完成上级部门交给及当地环保部门下达的有关环保任务，配合当地环保部门及环境监测部门的工作；</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3）建立健全环境保护管理制度，做好有关环保工作的资料收集、整理、记录、建档、宣传等工作，定时编制并提交项目环境管理工作报告；进行全厂的环保及环境监测数据的统计、分析，并建立相应的环保资料档案。</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（4）制定并加强项目各污染治理设施操作规范和操作规程学习，建立各污染源监测制度，按主管环保部门的要求，定期对各污染源排放点进行监测，保证处理效果达到设计要求，各污染源达标排放；</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（5）负责检查各污染治理设施运行情况，发现问题及时上报、及时处理；并负责调查出现环境问题的缘由，协助有关部门解决问题，处理好由环境问题带来的纠纷等。</w:t>
            </w:r>
          </w:p>
          <w:p>
            <w:pPr>
              <w:tabs>
                <w:tab w:val="left" w:pos="4215"/>
              </w:tabs>
              <w:spacing w:line="360" w:lineRule="auto"/>
              <w:rPr>
                <w:rFonts w:ascii="Times New Roman" w:hAnsi="Times New Roman"/>
                <w:b/>
                <w:bCs/>
                <w:spacing w:val="8"/>
                <w:kern w:val="24"/>
                <w:sz w:val="24"/>
              </w:rPr>
            </w:pPr>
            <w:r>
              <w:rPr>
                <w:rFonts w:hint="eastAsia" w:ascii="Times New Roman" w:hAnsi="Times New Roman"/>
                <w:b/>
                <w:bCs/>
                <w:spacing w:val="8"/>
                <w:kern w:val="24"/>
                <w:sz w:val="24"/>
              </w:rPr>
              <w:t>1</w:t>
            </w:r>
            <w:r>
              <w:rPr>
                <w:rFonts w:ascii="Times New Roman" w:hAnsi="Times New Roman"/>
                <w:b/>
                <w:bCs/>
                <w:spacing w:val="8"/>
                <w:kern w:val="24"/>
                <w:sz w:val="24"/>
              </w:rPr>
              <w:t xml:space="preserve">.2 </w:t>
            </w:r>
            <w:r>
              <w:rPr>
                <w:rFonts w:hint="eastAsia" w:ascii="Times New Roman" w:hAnsi="Times New Roman"/>
                <w:b/>
                <w:bCs/>
                <w:spacing w:val="8"/>
                <w:kern w:val="24"/>
                <w:sz w:val="24"/>
              </w:rPr>
              <w:t>环境管理工作要点</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本项目的环境管理工作应做到以下几点：</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（1）投产前期</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①落实项目各项环保投资，使各项治理措施达到设计要求。</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②按要求编制企业突发环境事件应急预案，报地方环保行政主管部门备案。</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③自主或委托有资质的单位编制环保设施竣工验收报告，进行竣工验收监测，办理竣工验收手续。</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④向当地主管环保部门进行排污申报登记，取得排污许可证方可正式投产运行。</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（2）正式投产后</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①宣传、贯彻和执行环境保护政策、法律法规及环境保护标准。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②建立健全环境保护与劳动安全管理制度，监督工程运行期环保措施的有效实施。</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③编制并组织实施环境保护规划和计划，负责日常环境保护的管理工作。</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④开展环境保护科研、宣传、教育、培训等专业知识普及工作。</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⑤建立监测台帐和档案，对厂内各类固体废物，尤其是危险固废，应做好环境统计，使企业领导、上级部门及时掌握污染治理动态。</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⑥制定污染治理设备设施操作规程的检查、维修计划，检查、记录污染治理设施运行及检修情况，确保治理设施常年正常、安全运行。</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⑦制定厂区各车间的污染物排放指标，定时考核和统计，确保全厂污染物排放达到国家排放标准和总量控制指标。</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⑧为保证工程环保设施的正常运转，减少或防范污染事故，制定各项管理操作规范，并定期检查操作人员的操作技能，在实际工作中检验各项操作规范的可行性。</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（3）健全环境管理制度</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按照ISO14000的要求，建立完善的环境管理体系，健全内部环境管理制度，加强日常环境管理工作，对整个生产过程实施全程环境管理，每天做好运行记录并归档，杜绝生产过程中环境污染事故的发生，保护环境。</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定期对环境保护设施进行维护和保养，并做好保养日期及内容等相关记录，确保环境保护设施的正常运行，防止污染事故的发生：加强与环境保护管理部门的沟通和联系，主动接受环境主管部门的管理、监督和指导。</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（4）排污口规范化管理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根据《环境保护图形标志一排污口（源）》和《排污口规范化整治技术要求（试行）》的技术要求，企业所有排放口，包括水、气、声、固体废弃物，必须按照“便于计量监测、便于日常现场监督检查”的原则和规范化要求，设置与之相适应的环境保护图形标志牌，绘制企业排污口分布图，同时对污水排放口安装流量计，对治理设施安装运行监控装置。排污口的规范化要符合环境监理所的有关要求。</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①废水排放口</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废水排放口按照《排污单位自行监测技术指南 总则》（HJ</w:t>
            </w:r>
            <w:r>
              <w:rPr>
                <w:rFonts w:ascii="Times New Roman" w:hAnsi="Times New Roman"/>
                <w:sz w:val="24"/>
              </w:rPr>
              <w:t xml:space="preserve"> 819-2017</w:t>
            </w:r>
            <w:r>
              <w:rPr>
                <w:rFonts w:hint="eastAsia" w:ascii="Times New Roman" w:hAnsi="Times New Roman"/>
                <w:sz w:val="24"/>
              </w:rPr>
              <w:t>）设置采样点。</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②废气排放口</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废气排放口必须符合规定的高度和按《固定污染源废气监测技术规范》便于采样、监测的要求，排气筒应设置便于采样、监测的采样口和采样监测平台。当采样平台设置在离地面高度</w:t>
            </w:r>
            <w:r>
              <w:rPr>
                <w:rFonts w:ascii="Times New Roman" w:hAnsi="Times New Roman"/>
                <w:sz w:val="24"/>
              </w:rPr>
              <w:t>≥</w:t>
            </w:r>
            <w:r>
              <w:rPr>
                <w:rFonts w:hint="eastAsia" w:ascii="Times New Roman" w:hAnsi="Times New Roman"/>
                <w:sz w:val="24"/>
              </w:rPr>
              <w:t>5m的位置时，应有通往平台的Z字梯/旋梯/升降梯；采样孔、点数目和位置应按《固定污染源排气中颗粒物测定与气态污染物采样方法》（GB/T16157-1996）的规定设置；废气排放口的环境保护图形标志牌应设在排气筒附近地面醒目处。</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③固体废物储存场</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一般工业固体废弃物和办公垃坡设置专用堆放场，采取防止二次扬尘措施；应在其边界主要路口设置标志牌。</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危险废物应按照《危险废物收集、贮存、运输技术规范》（HJ</w:t>
            </w:r>
            <w:r>
              <w:rPr>
                <w:rFonts w:ascii="Times New Roman" w:hAnsi="Times New Roman"/>
                <w:sz w:val="24"/>
              </w:rPr>
              <w:t xml:space="preserve"> </w:t>
            </w:r>
            <w:r>
              <w:rPr>
                <w:rFonts w:hint="eastAsia" w:ascii="Times New Roman" w:hAnsi="Times New Roman"/>
                <w:sz w:val="24"/>
              </w:rPr>
              <w:t>2025-2012）中相关技术要求进行管理，管理要求如下：</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1、加强固废在厂内的转运管理，尽量减少固废撒落，对撒落的固废进行及时清扫，避免二次污染。</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2、定期对一般固废暂存库及危险废物暂存库进行检查，发现破损，应及时进行修理。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3、须做好危险废物情况的纪录，记录上须注明危险废物的名称、来源、数量、特性和包装容器的类别、入库日期、堆放库位、废物出库日期及接收单位名称，并对各类固废分类堆存。</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4、危险废物的容器和包装物必须按《危险废物贮存污染控制标准》（GB18597-2001）附录A和《环境保护图形标志-固体废物贮存（处置）场》（GB15562.2-1995）所示标签设置危险废物识别标志。</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5、按照危险废物特性分类进行收集、贮存，危险废物包装容器上标识明确；危险废物按种类分别存放，且不同类废物间有明显的间隔（如过道等）。</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6、加强对危险固废的日常管理，并按国家有关危险废物管理办法，办理好危险废物的贮存、转移手续。</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7、在转移危险废物前，向环保部门报批危险废物转移计划，并得到批准。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8、转移危险废物应按照《危险废物转移联单管理办法》有关规定，如实填写转移联单中产生单位栏目，并加盖公章。</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9、与有危险废物经营单位签订的委托利用、处置危险废物合同。</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10、危险废物贮存期限不超过一年；延长贮存期限的，报经环保部门批准。</w:t>
            </w:r>
          </w:p>
          <w:p>
            <w:pPr>
              <w:tabs>
                <w:tab w:val="left" w:pos="4215"/>
              </w:tabs>
              <w:spacing w:line="360" w:lineRule="auto"/>
              <w:ind w:firstLine="480" w:firstLineChars="200"/>
              <w:rPr>
                <w:rFonts w:ascii="Times New Roman" w:hAnsi="Times New Roman"/>
                <w:sz w:val="24"/>
              </w:rPr>
            </w:pPr>
            <w:r>
              <w:rPr>
                <w:rFonts w:hint="eastAsia" w:ascii="Times New Roman" w:hAnsi="Times New Roman"/>
                <w:sz w:val="24"/>
              </w:rPr>
              <w:t>11、企业相关管理人员和从事危险废物收集、运送、暂存的工作人员掌握国家相关法律法规、规章和有关规范性文件的规定；熟悉本单位指定的危险废物管理规章制度、工作流程和应急预案等各项要求；掌握危险废物分类收集、运送、暂存的正确方法和操作程序。</w:t>
            </w:r>
          </w:p>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2 </w:t>
            </w:r>
            <w:r>
              <w:rPr>
                <w:rFonts w:hint="eastAsia" w:ascii="Times New Roman" w:hAnsi="Times New Roman"/>
                <w:b/>
                <w:spacing w:val="8"/>
                <w:kern w:val="24"/>
                <w:sz w:val="24"/>
              </w:rPr>
              <w:t>监测计划</w:t>
            </w:r>
          </w:p>
          <w:p>
            <w:pPr>
              <w:spacing w:line="360" w:lineRule="auto"/>
              <w:ind w:firstLine="480" w:firstLineChars="200"/>
              <w:rPr>
                <w:rFonts w:ascii="Times New Roman" w:hAnsi="Times New Roman"/>
                <w:sz w:val="24"/>
              </w:rPr>
            </w:pPr>
            <w:r>
              <w:rPr>
                <w:rFonts w:ascii="Times New Roman" w:hAnsi="Times New Roman"/>
                <w:sz w:val="24"/>
              </w:rPr>
              <w:t>为切实落实项目建成投产后废水、废气的达标排放及污染物排放总量控制，应制定科学、合理的环境监测计划以监督各项污染防治措施的运行状况。</w:t>
            </w:r>
          </w:p>
          <w:p>
            <w:pPr>
              <w:spacing w:line="360" w:lineRule="auto"/>
              <w:ind w:firstLine="480" w:firstLineChars="200"/>
              <w:rPr>
                <w:rFonts w:ascii="Times New Roman" w:hAnsi="Times New Roman"/>
                <w:sz w:val="24"/>
              </w:rPr>
            </w:pPr>
            <w:r>
              <w:rPr>
                <w:rFonts w:ascii="Times New Roman" w:hAnsi="Times New Roman"/>
                <w:sz w:val="24"/>
              </w:rPr>
              <w:t>根据《排污单位自行监测技术指南 总则》（HJ 819-2017）、</w:t>
            </w:r>
            <w:r>
              <w:rPr>
                <w:rFonts w:hint="eastAsia" w:ascii="Times New Roman" w:hAnsi="Times New Roman"/>
                <w:sz w:val="24"/>
                <w:szCs w:val="24"/>
              </w:rPr>
              <w:t>《排污许可证申请与核发技术规范  总则》（HJ</w:t>
            </w:r>
            <w:r>
              <w:rPr>
                <w:rFonts w:ascii="Times New Roman" w:hAnsi="Times New Roman"/>
                <w:sz w:val="24"/>
                <w:szCs w:val="24"/>
              </w:rPr>
              <w:t xml:space="preserve"> </w:t>
            </w:r>
            <w:r>
              <w:rPr>
                <w:rFonts w:hint="eastAsia" w:ascii="Times New Roman" w:hAnsi="Times New Roman"/>
                <w:sz w:val="24"/>
                <w:szCs w:val="24"/>
              </w:rPr>
              <w:t>942-2018）以及</w:t>
            </w:r>
            <w:r>
              <w:rPr>
                <w:rFonts w:hint="eastAsia" w:ascii="Times New Roman" w:hAnsi="Times New Roman"/>
                <w:sz w:val="24"/>
              </w:rPr>
              <w:t>《</w:t>
            </w:r>
            <w:r>
              <w:rPr>
                <w:rFonts w:hint="eastAsia" w:ascii="Times New Roman" w:hAnsi="Times New Roman"/>
                <w:sz w:val="24"/>
                <w:szCs w:val="24"/>
              </w:rPr>
              <w:t xml:space="preserve">排污许可证申请与核发技术规范  陶瓷砖瓦工业》（HJ </w:t>
            </w:r>
            <w:r>
              <w:rPr>
                <w:rFonts w:ascii="Times New Roman" w:hAnsi="Times New Roman"/>
                <w:sz w:val="24"/>
                <w:szCs w:val="24"/>
              </w:rPr>
              <w:t>954-2018</w:t>
            </w:r>
            <w:r>
              <w:rPr>
                <w:rFonts w:hint="eastAsia" w:ascii="Times New Roman" w:hAnsi="Times New Roman"/>
                <w:sz w:val="24"/>
                <w:szCs w:val="24"/>
              </w:rPr>
              <w:t>）</w:t>
            </w:r>
            <w:r>
              <w:rPr>
                <w:rFonts w:ascii="Times New Roman" w:hAnsi="Times New Roman"/>
                <w:sz w:val="24"/>
              </w:rPr>
              <w:t>中相关要求，本项目环境监测计划表见表6-1</w:t>
            </w:r>
            <w:r>
              <w:rPr>
                <w:rFonts w:hint="eastAsia" w:ascii="Times New Roman" w:hAnsi="Times New Roman"/>
                <w:sz w:val="24"/>
              </w:rPr>
              <w:t>8</w:t>
            </w:r>
            <w:r>
              <w:rPr>
                <w:rFonts w:ascii="Times New Roman" w:hAnsi="Times New Roman"/>
                <w:sz w:val="24"/>
              </w:rPr>
              <w:t>。</w:t>
            </w:r>
          </w:p>
          <w:p>
            <w:pPr>
              <w:tabs>
                <w:tab w:val="left" w:pos="4215"/>
              </w:tabs>
              <w:spacing w:line="360" w:lineRule="auto"/>
              <w:jc w:val="center"/>
              <w:rPr>
                <w:rFonts w:ascii="Times New Roman" w:hAnsi="Times New Roman"/>
                <w:b/>
                <w:bCs/>
                <w:sz w:val="24"/>
              </w:rPr>
            </w:pPr>
            <w:r>
              <w:rPr>
                <w:rFonts w:hint="eastAsia" w:ascii="Times New Roman" w:hAnsi="Times New Roman"/>
                <w:b/>
                <w:bCs/>
                <w:sz w:val="24"/>
              </w:rPr>
              <w:t>表6</w:t>
            </w:r>
            <w:r>
              <w:rPr>
                <w:rFonts w:ascii="Times New Roman" w:hAnsi="Times New Roman"/>
                <w:b/>
                <w:bCs/>
                <w:sz w:val="24"/>
              </w:rPr>
              <w:t>-1</w:t>
            </w:r>
            <w:r>
              <w:rPr>
                <w:rFonts w:hint="eastAsia" w:ascii="Times New Roman" w:hAnsi="Times New Roman"/>
                <w:b/>
                <w:bCs/>
                <w:sz w:val="24"/>
              </w:rPr>
              <w:t>8</w:t>
            </w:r>
            <w:r>
              <w:rPr>
                <w:rFonts w:ascii="Times New Roman" w:hAnsi="Times New Roman"/>
                <w:b/>
                <w:bCs/>
                <w:sz w:val="24"/>
              </w:rPr>
              <w:t xml:space="preserve">  </w:t>
            </w:r>
            <w:r>
              <w:rPr>
                <w:rFonts w:hint="eastAsia" w:ascii="Times New Roman" w:hAnsi="Times New Roman"/>
                <w:b/>
                <w:bCs/>
                <w:sz w:val="24"/>
              </w:rPr>
              <w:t>环境监测计划表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16"/>
              <w:gridCol w:w="1599"/>
              <w:gridCol w:w="3925"/>
              <w:gridCol w:w="22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83" w:type="dxa"/>
                  <w:vAlign w:val="center"/>
                </w:tcPr>
                <w:p>
                  <w:pPr>
                    <w:tabs>
                      <w:tab w:val="left" w:pos="4215"/>
                    </w:tabs>
                    <w:jc w:val="center"/>
                    <w:rPr>
                      <w:rFonts w:ascii="Times New Roman" w:hAnsi="Times New Roman"/>
                      <w:b/>
                      <w:bCs/>
                      <w:szCs w:val="21"/>
                    </w:rPr>
                  </w:pPr>
                  <w:r>
                    <w:rPr>
                      <w:rFonts w:hint="eastAsia" w:ascii="Times New Roman" w:hAnsi="Times New Roman"/>
                      <w:b/>
                      <w:bCs/>
                      <w:szCs w:val="21"/>
                    </w:rPr>
                    <w:t>监测内容</w:t>
                  </w:r>
                </w:p>
              </w:tc>
              <w:tc>
                <w:tcPr>
                  <w:tcW w:w="1559" w:type="dxa"/>
                  <w:vAlign w:val="center"/>
                </w:tcPr>
                <w:p>
                  <w:pPr>
                    <w:tabs>
                      <w:tab w:val="left" w:pos="4215"/>
                    </w:tabs>
                    <w:jc w:val="center"/>
                    <w:rPr>
                      <w:rFonts w:ascii="Times New Roman" w:hAnsi="Times New Roman"/>
                      <w:b/>
                      <w:bCs/>
                      <w:szCs w:val="21"/>
                    </w:rPr>
                  </w:pPr>
                  <w:r>
                    <w:rPr>
                      <w:rFonts w:hint="eastAsia" w:ascii="Times New Roman" w:hAnsi="Times New Roman"/>
                      <w:b/>
                      <w:bCs/>
                      <w:szCs w:val="21"/>
                    </w:rPr>
                    <w:t>监测点位</w:t>
                  </w:r>
                </w:p>
              </w:tc>
              <w:tc>
                <w:tcPr>
                  <w:tcW w:w="3827" w:type="dxa"/>
                  <w:vAlign w:val="center"/>
                </w:tcPr>
                <w:p>
                  <w:pPr>
                    <w:tabs>
                      <w:tab w:val="left" w:pos="4215"/>
                    </w:tabs>
                    <w:jc w:val="center"/>
                    <w:rPr>
                      <w:rFonts w:ascii="Times New Roman" w:hAnsi="Times New Roman"/>
                      <w:b/>
                      <w:bCs/>
                      <w:szCs w:val="21"/>
                    </w:rPr>
                  </w:pPr>
                  <w:r>
                    <w:rPr>
                      <w:rFonts w:hint="eastAsia" w:ascii="Times New Roman" w:hAnsi="Times New Roman"/>
                      <w:b/>
                      <w:bCs/>
                      <w:szCs w:val="21"/>
                    </w:rPr>
                    <w:t>污染物指标</w:t>
                  </w:r>
                </w:p>
              </w:tc>
              <w:tc>
                <w:tcPr>
                  <w:tcW w:w="2145" w:type="dxa"/>
                  <w:vAlign w:val="center"/>
                </w:tcPr>
                <w:p>
                  <w:pPr>
                    <w:tabs>
                      <w:tab w:val="left" w:pos="4215"/>
                    </w:tabs>
                    <w:jc w:val="center"/>
                    <w:rPr>
                      <w:rFonts w:ascii="Times New Roman" w:hAnsi="Times New Roman"/>
                      <w:b/>
                      <w:bCs/>
                      <w:szCs w:val="21"/>
                    </w:rPr>
                  </w:pPr>
                  <w:r>
                    <w:rPr>
                      <w:rFonts w:hint="eastAsia" w:ascii="Times New Roman" w:hAnsi="Times New Roman"/>
                      <w:b/>
                      <w:bCs/>
                      <w:szCs w:val="21"/>
                    </w:rPr>
                    <w:t>最低监测频次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83" w:type="dxa"/>
                  <w:vAlign w:val="center"/>
                </w:tcPr>
                <w:p>
                  <w:pPr>
                    <w:tabs>
                      <w:tab w:val="left" w:pos="4215"/>
                    </w:tabs>
                    <w:jc w:val="center"/>
                    <w:rPr>
                      <w:rFonts w:ascii="Times New Roman" w:hAnsi="Times New Roman"/>
                      <w:szCs w:val="21"/>
                    </w:rPr>
                  </w:pPr>
                  <w:r>
                    <w:rPr>
                      <w:rFonts w:hint="eastAsia" w:ascii="Times New Roman" w:hAnsi="Times New Roman"/>
                      <w:szCs w:val="21"/>
                    </w:rPr>
                    <w:t>有组织废气</w:t>
                  </w:r>
                </w:p>
              </w:tc>
              <w:tc>
                <w:tcPr>
                  <w:tcW w:w="1559" w:type="dxa"/>
                  <w:vAlign w:val="center"/>
                </w:tcPr>
                <w:p>
                  <w:pPr>
                    <w:tabs>
                      <w:tab w:val="left" w:pos="4215"/>
                    </w:tabs>
                    <w:jc w:val="center"/>
                    <w:rPr>
                      <w:rFonts w:ascii="Times New Roman" w:hAnsi="Times New Roman"/>
                      <w:szCs w:val="21"/>
                    </w:rPr>
                  </w:pPr>
                  <w:r>
                    <w:rPr>
                      <w:rFonts w:hint="eastAsia" w:ascii="Times New Roman" w:hAnsi="Times New Roman"/>
                      <w:szCs w:val="21"/>
                    </w:rPr>
                    <w:t>DA</w:t>
                  </w:r>
                  <w:r>
                    <w:rPr>
                      <w:rFonts w:ascii="Times New Roman" w:hAnsi="Times New Roman"/>
                      <w:szCs w:val="21"/>
                    </w:rPr>
                    <w:t>001</w:t>
                  </w:r>
                </w:p>
              </w:tc>
              <w:tc>
                <w:tcPr>
                  <w:tcW w:w="3827" w:type="dxa"/>
                  <w:vAlign w:val="center"/>
                </w:tcPr>
                <w:p>
                  <w:pPr>
                    <w:tabs>
                      <w:tab w:val="left" w:pos="4215"/>
                    </w:tabs>
                    <w:jc w:val="center"/>
                    <w:rPr>
                      <w:rFonts w:ascii="Times New Roman" w:hAnsi="Times New Roman"/>
                      <w:szCs w:val="21"/>
                    </w:rPr>
                  </w:pPr>
                  <w:r>
                    <w:rPr>
                      <w:rFonts w:hint="eastAsia" w:ascii="Times New Roman" w:hAnsi="Times New Roman"/>
                      <w:szCs w:val="21"/>
                    </w:rPr>
                    <w:t>颗粒物、SO</w:t>
                  </w:r>
                  <w:r>
                    <w:rPr>
                      <w:rFonts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r>
                    <w:rPr>
                      <w:rFonts w:hint="eastAsia" w:ascii="Times New Roman" w:hAnsi="Times New Roman"/>
                      <w:szCs w:val="21"/>
                    </w:rPr>
                    <w:t>、氟化物</w:t>
                  </w:r>
                </w:p>
              </w:tc>
              <w:tc>
                <w:tcPr>
                  <w:tcW w:w="2145" w:type="dxa"/>
                  <w:vAlign w:val="center"/>
                </w:tcPr>
                <w:p>
                  <w:pPr>
                    <w:tabs>
                      <w:tab w:val="left" w:pos="4215"/>
                    </w:tabs>
                    <w:jc w:val="center"/>
                    <w:rPr>
                      <w:rFonts w:ascii="Times New Roman" w:hAnsi="Times New Roman"/>
                      <w:szCs w:val="21"/>
                    </w:rPr>
                  </w:pPr>
                  <w:r>
                    <w:rPr>
                      <w:rFonts w:hint="eastAsia" w:ascii="Times New Roman" w:hAnsi="Times New Roman"/>
                      <w:szCs w:val="21"/>
                    </w:rPr>
                    <w:t>1次/半年，并安装烟气在线监测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83" w:type="dxa"/>
                  <w:vAlign w:val="center"/>
                </w:tcPr>
                <w:p>
                  <w:pPr>
                    <w:tabs>
                      <w:tab w:val="left" w:pos="4215"/>
                    </w:tabs>
                    <w:jc w:val="center"/>
                    <w:rPr>
                      <w:rFonts w:ascii="Times New Roman" w:hAnsi="Times New Roman"/>
                      <w:szCs w:val="21"/>
                    </w:rPr>
                  </w:pPr>
                  <w:r>
                    <w:rPr>
                      <w:rFonts w:hint="eastAsia" w:ascii="Times New Roman" w:hAnsi="Times New Roman"/>
                      <w:szCs w:val="21"/>
                    </w:rPr>
                    <w:t>无组织废气</w:t>
                  </w:r>
                </w:p>
              </w:tc>
              <w:tc>
                <w:tcPr>
                  <w:tcW w:w="1559" w:type="dxa"/>
                  <w:vAlign w:val="center"/>
                </w:tcPr>
                <w:p>
                  <w:pPr>
                    <w:tabs>
                      <w:tab w:val="left" w:pos="4215"/>
                    </w:tabs>
                    <w:jc w:val="center"/>
                    <w:rPr>
                      <w:rFonts w:ascii="Times New Roman" w:hAnsi="Times New Roman"/>
                      <w:szCs w:val="21"/>
                    </w:rPr>
                  </w:pPr>
                  <w:r>
                    <w:rPr>
                      <w:rFonts w:hint="eastAsia" w:ascii="Times New Roman" w:hAnsi="Times New Roman"/>
                      <w:szCs w:val="21"/>
                    </w:rPr>
                    <w:t>企业厂界</w:t>
                  </w:r>
                </w:p>
              </w:tc>
              <w:tc>
                <w:tcPr>
                  <w:tcW w:w="3827" w:type="dxa"/>
                  <w:vAlign w:val="center"/>
                </w:tcPr>
                <w:p>
                  <w:pPr>
                    <w:tabs>
                      <w:tab w:val="left" w:pos="4215"/>
                    </w:tabs>
                    <w:jc w:val="center"/>
                    <w:rPr>
                      <w:rFonts w:ascii="Times New Roman" w:hAnsi="Times New Roman"/>
                      <w:szCs w:val="21"/>
                    </w:rPr>
                  </w:pPr>
                  <w:r>
                    <w:rPr>
                      <w:rFonts w:hint="eastAsia" w:ascii="Times New Roman" w:hAnsi="Times New Roman"/>
                      <w:szCs w:val="21"/>
                    </w:rPr>
                    <w:t>颗粒物、二氧化硫、氟化物</w:t>
                  </w:r>
                </w:p>
              </w:tc>
              <w:tc>
                <w:tcPr>
                  <w:tcW w:w="2145" w:type="dxa"/>
                  <w:vAlign w:val="center"/>
                </w:tcPr>
                <w:p>
                  <w:pPr>
                    <w:tabs>
                      <w:tab w:val="left" w:pos="4215"/>
                    </w:tabs>
                    <w:jc w:val="center"/>
                    <w:rPr>
                      <w:rFonts w:ascii="Times New Roman" w:hAnsi="Times New Roman"/>
                      <w:szCs w:val="21"/>
                    </w:rPr>
                  </w:pPr>
                  <w:r>
                    <w:rPr>
                      <w:rFonts w:hint="eastAsia" w:ascii="Times New Roman" w:hAnsi="Times New Roman"/>
                      <w:szCs w:val="21"/>
                    </w:rPr>
                    <w:t>1次/年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83" w:type="dxa"/>
                  <w:vAlign w:val="center"/>
                </w:tcPr>
                <w:p>
                  <w:pPr>
                    <w:tabs>
                      <w:tab w:val="left" w:pos="4215"/>
                    </w:tabs>
                    <w:jc w:val="center"/>
                    <w:rPr>
                      <w:rFonts w:ascii="Times New Roman" w:hAnsi="Times New Roman"/>
                      <w:szCs w:val="21"/>
                    </w:rPr>
                  </w:pPr>
                  <w:r>
                    <w:rPr>
                      <w:rFonts w:hint="eastAsia" w:ascii="Times New Roman" w:hAnsi="Times New Roman"/>
                      <w:szCs w:val="21"/>
                    </w:rPr>
                    <w:t>废水</w:t>
                  </w:r>
                </w:p>
              </w:tc>
              <w:tc>
                <w:tcPr>
                  <w:tcW w:w="1559" w:type="dxa"/>
                  <w:vAlign w:val="center"/>
                </w:tcPr>
                <w:p>
                  <w:pPr>
                    <w:tabs>
                      <w:tab w:val="left" w:pos="4215"/>
                    </w:tabs>
                    <w:jc w:val="center"/>
                    <w:rPr>
                      <w:rFonts w:ascii="Times New Roman" w:hAnsi="Times New Roman"/>
                      <w:szCs w:val="21"/>
                    </w:rPr>
                  </w:pPr>
                  <w:r>
                    <w:rPr>
                      <w:rFonts w:hint="eastAsia" w:ascii="Times New Roman" w:hAnsi="Times New Roman"/>
                      <w:szCs w:val="21"/>
                    </w:rPr>
                    <w:t>废水总排放口</w:t>
                  </w:r>
                </w:p>
              </w:tc>
              <w:tc>
                <w:tcPr>
                  <w:tcW w:w="3827" w:type="dxa"/>
                  <w:vAlign w:val="center"/>
                </w:tcPr>
                <w:p>
                  <w:pPr>
                    <w:tabs>
                      <w:tab w:val="left" w:pos="4215"/>
                    </w:tabs>
                    <w:jc w:val="center"/>
                    <w:rPr>
                      <w:rFonts w:ascii="Times New Roman" w:hAnsi="Times New Roman"/>
                    </w:rPr>
                  </w:pPr>
                  <w:r>
                    <w:rPr>
                      <w:rFonts w:ascii="Times New Roman" w:hAnsi="Times New Roman"/>
                    </w:rPr>
                    <w:t>pH值、化学需氧量、悬浮物</w:t>
                  </w:r>
                  <w:r>
                    <w:rPr>
                      <w:rFonts w:hint="eastAsia" w:ascii="Times New Roman" w:hAnsi="Times New Roman"/>
                    </w:rPr>
                    <w:t>、</w:t>
                  </w:r>
                  <w:r>
                    <w:rPr>
                      <w:rFonts w:ascii="Times New Roman" w:hAnsi="Times New Roman"/>
                    </w:rPr>
                    <w:t>五日生化需氧量</w:t>
                  </w:r>
                  <w:r>
                    <w:rPr>
                      <w:rFonts w:hint="eastAsia" w:ascii="Times New Roman" w:hAnsi="Times New Roman"/>
                    </w:rPr>
                    <w:t>、</w:t>
                  </w:r>
                  <w:r>
                    <w:rPr>
                      <w:rFonts w:ascii="Times New Roman" w:hAnsi="Times New Roman"/>
                    </w:rPr>
                    <w:t>氨氮</w:t>
                  </w:r>
                </w:p>
              </w:tc>
              <w:tc>
                <w:tcPr>
                  <w:tcW w:w="2145" w:type="dxa"/>
                  <w:vAlign w:val="center"/>
                </w:tcPr>
                <w:p>
                  <w:pPr>
                    <w:tabs>
                      <w:tab w:val="left" w:pos="4215"/>
                    </w:tabs>
                    <w:jc w:val="center"/>
                    <w:rPr>
                      <w:rFonts w:ascii="Times New Roman" w:hAnsi="Times New Roman"/>
                      <w:szCs w:val="21"/>
                    </w:rPr>
                  </w:pPr>
                  <w:r>
                    <w:rPr>
                      <w:rFonts w:ascii="Times New Roman" w:hAnsi="Times New Roman"/>
                      <w:szCs w:val="21"/>
                    </w:rPr>
                    <w:t>1</w:t>
                  </w:r>
                  <w:r>
                    <w:rPr>
                      <w:rFonts w:hint="eastAsia" w:ascii="Times New Roman" w:hAnsi="Times New Roman"/>
                      <w:szCs w:val="21"/>
                    </w:rPr>
                    <w:t>次/年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83" w:type="dxa"/>
                  <w:vAlign w:val="center"/>
                </w:tcPr>
                <w:p>
                  <w:pPr>
                    <w:tabs>
                      <w:tab w:val="left" w:pos="4215"/>
                    </w:tabs>
                    <w:jc w:val="center"/>
                    <w:rPr>
                      <w:rFonts w:ascii="Times New Roman" w:hAnsi="Times New Roman"/>
                      <w:szCs w:val="21"/>
                    </w:rPr>
                  </w:pPr>
                  <w:r>
                    <w:rPr>
                      <w:rFonts w:hint="eastAsia" w:ascii="Times New Roman" w:hAnsi="Times New Roman"/>
                      <w:szCs w:val="21"/>
                    </w:rPr>
                    <w:t>噪声</w:t>
                  </w:r>
                </w:p>
              </w:tc>
              <w:tc>
                <w:tcPr>
                  <w:tcW w:w="1559" w:type="dxa"/>
                  <w:vAlign w:val="center"/>
                </w:tcPr>
                <w:p>
                  <w:pPr>
                    <w:tabs>
                      <w:tab w:val="left" w:pos="4215"/>
                    </w:tabs>
                    <w:jc w:val="center"/>
                    <w:rPr>
                      <w:rFonts w:ascii="Times New Roman" w:hAnsi="Times New Roman"/>
                      <w:szCs w:val="21"/>
                    </w:rPr>
                  </w:pPr>
                  <w:r>
                    <w:rPr>
                      <w:rFonts w:hint="eastAsia" w:ascii="Times New Roman" w:hAnsi="Times New Roman"/>
                      <w:szCs w:val="21"/>
                    </w:rPr>
                    <w:t>厂界四周</w:t>
                  </w:r>
                </w:p>
              </w:tc>
              <w:tc>
                <w:tcPr>
                  <w:tcW w:w="3827" w:type="dxa"/>
                  <w:vAlign w:val="center"/>
                </w:tcPr>
                <w:p>
                  <w:pPr>
                    <w:tabs>
                      <w:tab w:val="left" w:pos="4215"/>
                    </w:tabs>
                    <w:jc w:val="center"/>
                    <w:rPr>
                      <w:rFonts w:ascii="Times New Roman" w:hAnsi="Times New Roman"/>
                      <w:szCs w:val="21"/>
                    </w:rPr>
                  </w:pPr>
                  <w:r>
                    <w:rPr>
                      <w:rFonts w:ascii="Times New Roman" w:hAnsi="Times New Roman"/>
                    </w:rPr>
                    <w:t>等效连续A声级</w:t>
                  </w:r>
                </w:p>
              </w:tc>
              <w:tc>
                <w:tcPr>
                  <w:tcW w:w="2145" w:type="dxa"/>
                  <w:vAlign w:val="center"/>
                </w:tcPr>
                <w:p>
                  <w:pPr>
                    <w:jc w:val="center"/>
                    <w:rPr>
                      <w:rFonts w:ascii="Times New Roman" w:hAnsi="Times New Roman"/>
                    </w:rPr>
                  </w:pPr>
                  <w:r>
                    <w:rPr>
                      <w:rFonts w:ascii="Times New Roman" w:hAnsi="Times New Roman"/>
                    </w:rPr>
                    <w:t>1次/</w:t>
                  </w:r>
                  <w:r>
                    <w:rPr>
                      <w:rFonts w:hint="eastAsia" w:ascii="Times New Roman" w:hAnsi="Times New Roman"/>
                    </w:rPr>
                    <w:t>年，</w:t>
                  </w:r>
                  <w:r>
                    <w:rPr>
                      <w:rFonts w:ascii="Times New Roman" w:hAnsi="Times New Roman"/>
                    </w:rPr>
                    <w:t>昼夜各1次</w:t>
                  </w:r>
                </w:p>
              </w:tc>
            </w:tr>
          </w:tbl>
          <w:p>
            <w:pPr>
              <w:overflowPunct w:val="0"/>
              <w:spacing w:line="360" w:lineRule="auto"/>
              <w:rPr>
                <w:rFonts w:ascii="Times New Roman" w:hAnsi="Times New Roman"/>
                <w:b/>
                <w:spacing w:val="8"/>
                <w:kern w:val="24"/>
                <w:sz w:val="24"/>
              </w:rPr>
            </w:pPr>
            <w:r>
              <w:rPr>
                <w:rFonts w:ascii="Times New Roman" w:hAnsi="Times New Roman"/>
                <w:b/>
                <w:spacing w:val="8"/>
                <w:kern w:val="24"/>
                <w:sz w:val="24"/>
              </w:rPr>
              <w:t xml:space="preserve">3 </w:t>
            </w:r>
            <w:r>
              <w:rPr>
                <w:rFonts w:hint="eastAsia" w:ascii="Times New Roman" w:hAnsi="Times New Roman"/>
                <w:b/>
                <w:spacing w:val="8"/>
                <w:kern w:val="24"/>
                <w:sz w:val="24"/>
              </w:rPr>
              <w:t>排污许可证制度</w:t>
            </w:r>
          </w:p>
          <w:p>
            <w:pPr>
              <w:spacing w:line="360" w:lineRule="auto"/>
              <w:ind w:firstLine="480" w:firstLineChars="200"/>
              <w:rPr>
                <w:rFonts w:ascii="Times New Roman" w:hAnsi="Times New Roman"/>
                <w:sz w:val="24"/>
              </w:rPr>
            </w:pPr>
            <w:r>
              <w:rPr>
                <w:rFonts w:ascii="Times New Roman" w:hAnsi="Times New Roman"/>
                <w:sz w:val="24"/>
              </w:rPr>
              <w:t>根据《重点排污单位名录管理规定（试行）》（环办监测〔2017〕86号）文，本项目不属水环境重点排污单位名录；根据《固定污染源排污许可分类管理名录（2019年版）》，本项目为</w:t>
            </w:r>
            <w:r>
              <w:rPr>
                <w:rFonts w:hint="eastAsia" w:ascii="Times New Roman" w:hAnsi="Times New Roman"/>
                <w:sz w:val="24"/>
              </w:rPr>
              <w:t>“六、非金属矿采选业7”中的“土砂石开采1</w:t>
            </w:r>
            <w:r>
              <w:rPr>
                <w:rFonts w:ascii="Times New Roman" w:hAnsi="Times New Roman"/>
                <w:sz w:val="24"/>
              </w:rPr>
              <w:t>01</w:t>
            </w:r>
            <w:r>
              <w:rPr>
                <w:rFonts w:hint="eastAsia" w:ascii="Times New Roman" w:hAnsi="Times New Roman"/>
                <w:sz w:val="24"/>
              </w:rPr>
              <w:t>”，</w:t>
            </w:r>
            <w:r>
              <w:rPr>
                <w:rFonts w:ascii="Times New Roman" w:hAnsi="Times New Roman"/>
                <w:sz w:val="24"/>
              </w:rPr>
              <w:t>中</w:t>
            </w:r>
            <w:r>
              <w:rPr>
                <w:rFonts w:hint="eastAsia" w:ascii="Times New Roman" w:hAnsi="Times New Roman"/>
                <w:sz w:val="24"/>
              </w:rPr>
              <w:t>简化</w:t>
            </w:r>
            <w:r>
              <w:rPr>
                <w:rFonts w:ascii="Times New Roman" w:hAnsi="Times New Roman"/>
                <w:sz w:val="24"/>
              </w:rPr>
              <w:t>管理（</w:t>
            </w:r>
            <w:r>
              <w:rPr>
                <w:rFonts w:hint="eastAsia" w:ascii="Times New Roman" w:hAnsi="Times New Roman"/>
                <w:sz w:val="24"/>
              </w:rPr>
              <w:t>涉及通用工序“工业炉窑”）</w:t>
            </w:r>
            <w:r>
              <w:rPr>
                <w:rFonts w:ascii="Times New Roman" w:hAnsi="Times New Roman"/>
                <w:sz w:val="24"/>
              </w:rPr>
              <w:t>，为实施</w:t>
            </w:r>
            <w:r>
              <w:rPr>
                <w:rFonts w:hint="eastAsia" w:ascii="Times New Roman" w:hAnsi="Times New Roman"/>
                <w:sz w:val="24"/>
              </w:rPr>
              <w:t>简化</w:t>
            </w:r>
            <w:r>
              <w:rPr>
                <w:rFonts w:ascii="Times New Roman" w:hAnsi="Times New Roman"/>
                <w:sz w:val="24"/>
              </w:rPr>
              <w:t>管理的行业</w:t>
            </w:r>
            <w:r>
              <w:rPr>
                <w:rFonts w:hint="eastAsia" w:ascii="Times New Roman" w:hAnsi="Times New Roman"/>
                <w:sz w:val="24"/>
              </w:rPr>
              <w:t>以及“二十五</w:t>
            </w:r>
            <w:r>
              <w:rPr>
                <w:rFonts w:ascii="Times New Roman" w:hAnsi="Times New Roman"/>
                <w:sz w:val="24"/>
              </w:rPr>
              <w:t>、</w:t>
            </w:r>
            <w:r>
              <w:rPr>
                <w:rFonts w:hint="eastAsia" w:ascii="Times New Roman" w:hAnsi="Times New Roman"/>
                <w:sz w:val="24"/>
              </w:rPr>
              <w:t>非金属矿物制品业6</w:t>
            </w:r>
            <w:r>
              <w:rPr>
                <w:rFonts w:ascii="Times New Roman" w:hAnsi="Times New Roman"/>
                <w:sz w:val="24"/>
              </w:rPr>
              <w:t>4</w:t>
            </w:r>
            <w:r>
              <w:rPr>
                <w:rFonts w:hint="eastAsia" w:ascii="Times New Roman" w:hAnsi="Times New Roman"/>
                <w:sz w:val="24"/>
              </w:rPr>
              <w:t>”</w:t>
            </w:r>
            <w:r>
              <w:rPr>
                <w:rFonts w:ascii="Times New Roman" w:hAnsi="Times New Roman"/>
                <w:sz w:val="24"/>
              </w:rPr>
              <w:t>中的</w:t>
            </w:r>
            <w:r>
              <w:rPr>
                <w:rFonts w:hint="eastAsia" w:ascii="Times New Roman" w:hAnsi="Times New Roman"/>
                <w:sz w:val="24"/>
              </w:rPr>
              <w:t>“粘土砖瓦及建筑砌块制造3</w:t>
            </w:r>
            <w:r>
              <w:rPr>
                <w:rFonts w:ascii="Times New Roman" w:hAnsi="Times New Roman"/>
                <w:sz w:val="24"/>
              </w:rPr>
              <w:t>031</w:t>
            </w:r>
            <w:r>
              <w:rPr>
                <w:rFonts w:hint="eastAsia" w:ascii="Times New Roman" w:hAnsi="Times New Roman"/>
                <w:sz w:val="24"/>
              </w:rPr>
              <w:t>”</w:t>
            </w:r>
            <w:r>
              <w:rPr>
                <w:rFonts w:ascii="Times New Roman" w:hAnsi="Times New Roman"/>
                <w:sz w:val="24"/>
              </w:rPr>
              <w:t>，中</w:t>
            </w:r>
            <w:r>
              <w:rPr>
                <w:rFonts w:hint="eastAsia" w:ascii="Times New Roman" w:hAnsi="Times New Roman"/>
                <w:sz w:val="24"/>
              </w:rPr>
              <w:t>重点</w:t>
            </w:r>
            <w:r>
              <w:rPr>
                <w:rFonts w:ascii="Times New Roman" w:hAnsi="Times New Roman"/>
                <w:sz w:val="24"/>
              </w:rPr>
              <w:t>管理（</w:t>
            </w:r>
            <w:r>
              <w:rPr>
                <w:rFonts w:hint="eastAsia" w:ascii="Times New Roman" w:hAnsi="Times New Roman"/>
                <w:sz w:val="24"/>
              </w:rPr>
              <w:t>以煤或者煤矸石为燃料的烧结砖瓦）</w:t>
            </w:r>
            <w:r>
              <w:rPr>
                <w:rFonts w:ascii="Times New Roman" w:hAnsi="Times New Roman"/>
                <w:sz w:val="24"/>
              </w:rPr>
              <w:t>，为实施</w:t>
            </w:r>
            <w:r>
              <w:rPr>
                <w:rFonts w:hint="eastAsia" w:ascii="Times New Roman" w:hAnsi="Times New Roman"/>
                <w:sz w:val="24"/>
              </w:rPr>
              <w:t>重点</w:t>
            </w:r>
            <w:r>
              <w:rPr>
                <w:rFonts w:ascii="Times New Roman" w:hAnsi="Times New Roman"/>
                <w:sz w:val="24"/>
              </w:rPr>
              <w:t>管理的行业，建设单位应当在启动生产设施或者在实际排污之前参照《</w:t>
            </w:r>
            <w:r>
              <w:rPr>
                <w:rFonts w:hint="eastAsia" w:ascii="Times New Roman" w:hAnsi="Times New Roman"/>
                <w:sz w:val="24"/>
                <w:szCs w:val="24"/>
              </w:rPr>
              <w:t xml:space="preserve">排污许可证申请与核发技术规范  陶瓷砖瓦工业》（HJ </w:t>
            </w:r>
            <w:r>
              <w:rPr>
                <w:rFonts w:ascii="Times New Roman" w:hAnsi="Times New Roman"/>
                <w:sz w:val="24"/>
                <w:szCs w:val="24"/>
              </w:rPr>
              <w:t>954-2018</w:t>
            </w:r>
            <w:r>
              <w:rPr>
                <w:rFonts w:ascii="Times New Roman" w:hAnsi="Times New Roman"/>
                <w:sz w:val="24"/>
              </w:rPr>
              <w:t>）申领排污许可证。</w:t>
            </w:r>
          </w:p>
          <w:p>
            <w:pPr>
              <w:spacing w:line="360" w:lineRule="auto"/>
              <w:ind w:firstLine="480" w:firstLineChars="200"/>
              <w:rPr>
                <w:rFonts w:ascii="Times New Roman" w:hAnsi="Times New Roman"/>
                <w:sz w:val="24"/>
              </w:rPr>
            </w:pPr>
            <w:r>
              <w:rPr>
                <w:rFonts w:ascii="Times New Roman" w:hAnsi="Times New Roman"/>
                <w:sz w:val="24"/>
              </w:rPr>
              <w:t>根据《国务院办公厅关于印发控制污染物排放许可制实施方案的通知》（国办发[2016]81号）、国家环保</w:t>
            </w:r>
            <w:r>
              <w:rPr>
                <w:rFonts w:asciiTheme="minorEastAsia" w:hAnsiTheme="minorEastAsia" w:eastAsiaTheme="minorEastAsia"/>
                <w:sz w:val="24"/>
              </w:rPr>
              <w:t>部“关于做好环境影响评价制度与排污许可制衔接相关工作的通知”</w:t>
            </w:r>
            <w:r>
              <w:rPr>
                <w:rFonts w:ascii="Times New Roman" w:hAnsi="Times New Roman"/>
                <w:sz w:val="24"/>
              </w:rPr>
              <w:t>（环办环评2017[84]号文等相关要求，本项目与排污许可衔接工作如下：</w:t>
            </w:r>
          </w:p>
          <w:p>
            <w:pPr>
              <w:spacing w:line="360" w:lineRule="auto"/>
              <w:ind w:firstLine="480" w:firstLineChars="200"/>
              <w:rPr>
                <w:rFonts w:ascii="Times New Roman" w:hAnsi="Times New Roman"/>
                <w:sz w:val="24"/>
              </w:rPr>
            </w:pPr>
            <w:r>
              <w:rPr>
                <w:rFonts w:ascii="Times New Roman" w:hAnsi="Times New Roman"/>
                <w:sz w:val="24"/>
              </w:rPr>
              <w:t>（1）在排污许可管理中，应严格按照本环评及审批文件的要求核发排污许可证，维护环境影响评价的有效性。</w:t>
            </w:r>
          </w:p>
          <w:p>
            <w:pPr>
              <w:spacing w:line="360" w:lineRule="auto"/>
              <w:ind w:firstLine="480" w:firstLineChars="200"/>
              <w:rPr>
                <w:rFonts w:ascii="Times New Roman" w:hAnsi="Times New Roman"/>
                <w:sz w:val="24"/>
              </w:rPr>
            </w:pPr>
            <w:r>
              <w:rPr>
                <w:rFonts w:ascii="Times New Roman" w:hAnsi="Times New Roman"/>
                <w:sz w:val="24"/>
              </w:rPr>
              <w:t>（2）在核发排污许可证时应严格核定排污口位置和数量、以及每个排放口的污染物种类、允许排放浓度和允许排放量、排放方式、排放去向、自行监测计划等与污染物排放相关的主要内容。</w:t>
            </w:r>
          </w:p>
          <w:p>
            <w:pPr>
              <w:spacing w:line="360" w:lineRule="auto"/>
              <w:ind w:firstLine="480" w:firstLineChars="200"/>
              <w:rPr>
                <w:rFonts w:ascii="Times New Roman" w:hAnsi="Times New Roman"/>
                <w:sz w:val="24"/>
              </w:rPr>
            </w:pPr>
            <w:r>
              <w:rPr>
                <w:rFonts w:ascii="Times New Roman" w:hAnsi="Times New Roman"/>
                <w:sz w:val="24"/>
              </w:rPr>
              <w:t>（3）项目在发生实际排污行为之前，排污单位应当按照国家环境保护相关法律法规以及排污许可证申请与核发技术规范要求申请排污许可证，不得无证排污或不按证排污。</w:t>
            </w:r>
          </w:p>
          <w:p>
            <w:pPr>
              <w:spacing w:line="360" w:lineRule="auto"/>
              <w:ind w:firstLine="480" w:firstLineChars="200"/>
              <w:rPr>
                <w:rFonts w:ascii="Times New Roman" w:hAnsi="Times New Roman"/>
                <w:sz w:val="24"/>
              </w:rPr>
            </w:pPr>
            <w:r>
              <w:rPr>
                <w:rFonts w:ascii="Times New Roman" w:hAnsi="Times New Roman"/>
                <w:sz w:val="24"/>
              </w:rPr>
              <w:t>（4）排污许可证执行报告、台账记录以及自行监测执行情况等应作为开展建设项目环境影响后评价的重要依据。</w:t>
            </w:r>
          </w:p>
          <w:p>
            <w:pPr>
              <w:tabs>
                <w:tab w:val="left" w:pos="4215"/>
              </w:tabs>
              <w:spacing w:line="360" w:lineRule="auto"/>
              <w:ind w:firstLine="480" w:firstLineChars="200"/>
              <w:rPr>
                <w:rFonts w:ascii="Times New Roman" w:hAnsi="Times New Roman"/>
                <w:b/>
                <w:bCs/>
                <w:sz w:val="24"/>
              </w:rPr>
            </w:pPr>
            <w:r>
              <w:rPr>
                <w:rFonts w:ascii="Times New Roman" w:hAnsi="Times New Roman"/>
                <w:sz w:val="24"/>
              </w:rPr>
              <w:t>（5）环境影响报告表经批准后发生重大变动的，建设单位应当依法重新报批环境影响评价文件，并在申请排污许可时提交重新报批的环评批复（文号）。</w:t>
            </w:r>
          </w:p>
          <w:p>
            <w:pPr>
              <w:overflowPunct w:val="0"/>
              <w:spacing w:line="360" w:lineRule="auto"/>
              <w:jc w:val="left"/>
              <w:textAlignment w:val="baseline"/>
              <w:rPr>
                <w:rFonts w:ascii="Times New Roman" w:hAnsi="Times New Roman"/>
                <w:b/>
                <w:spacing w:val="8"/>
                <w:sz w:val="28"/>
                <w:szCs w:val="28"/>
              </w:rPr>
            </w:pPr>
            <w:bookmarkStart w:id="54" w:name="_Toc478656554"/>
            <w:bookmarkStart w:id="55" w:name="_Toc511833766"/>
            <w:bookmarkStart w:id="56" w:name="_Toc511833747"/>
            <w:bookmarkStart w:id="57" w:name="_Toc511833657"/>
            <w:r>
              <w:rPr>
                <w:rFonts w:hint="eastAsia" w:ascii="Times New Roman" w:hAnsi="Times New Roman"/>
                <w:b/>
                <w:spacing w:val="8"/>
                <w:sz w:val="28"/>
                <w:szCs w:val="28"/>
              </w:rPr>
              <w:t>（五）“以新带老”整改措施分析</w:t>
            </w:r>
          </w:p>
          <w:p>
            <w:pPr>
              <w:overflowPunct w:val="0"/>
              <w:spacing w:line="360" w:lineRule="auto"/>
              <w:ind w:firstLine="480" w:firstLineChars="200"/>
              <w:textAlignment w:val="baseline"/>
              <w:rPr>
                <w:rFonts w:ascii="Times New Roman" w:hAnsi="Times New Roman"/>
                <w:sz w:val="24"/>
              </w:rPr>
            </w:pPr>
            <w:r>
              <w:rPr>
                <w:rFonts w:hint="eastAsia" w:ascii="Times New Roman" w:hAnsi="Times New Roman"/>
                <w:sz w:val="24"/>
              </w:rPr>
              <w:t>现有工程整改措施见下表。</w:t>
            </w:r>
          </w:p>
          <w:p>
            <w:pPr>
              <w:overflowPunct w:val="0"/>
              <w:spacing w:line="360" w:lineRule="auto"/>
              <w:jc w:val="center"/>
              <w:textAlignment w:val="baseline"/>
              <w:rPr>
                <w:rFonts w:ascii="Times New Roman" w:hAnsi="Times New Roman"/>
                <w:b/>
                <w:bCs/>
                <w:spacing w:val="8"/>
                <w:sz w:val="28"/>
                <w:szCs w:val="28"/>
                <w:u w:val="single"/>
              </w:rPr>
            </w:pPr>
            <w:r>
              <w:rPr>
                <w:rFonts w:hint="eastAsia" w:ascii="Times New Roman" w:hAnsi="Times New Roman"/>
                <w:b/>
                <w:bCs/>
                <w:sz w:val="24"/>
                <w:u w:val="single"/>
              </w:rPr>
              <w:t>表</w:t>
            </w:r>
            <w:r>
              <w:rPr>
                <w:rFonts w:ascii="Times New Roman" w:hAnsi="Times New Roman"/>
                <w:b/>
                <w:bCs/>
                <w:sz w:val="24"/>
                <w:u w:val="single"/>
              </w:rPr>
              <w:t>6</w:t>
            </w:r>
            <w:r>
              <w:rPr>
                <w:rFonts w:hint="eastAsia" w:ascii="Times New Roman" w:hAnsi="Times New Roman"/>
                <w:b/>
                <w:bCs/>
                <w:sz w:val="24"/>
                <w:u w:val="single"/>
              </w:rPr>
              <w:t>-19</w:t>
            </w:r>
            <w:r>
              <w:rPr>
                <w:rFonts w:ascii="Times New Roman" w:hAnsi="Times New Roman"/>
                <w:b/>
                <w:bCs/>
                <w:sz w:val="24"/>
                <w:u w:val="single"/>
              </w:rPr>
              <w:t xml:space="preserve">  </w:t>
            </w:r>
            <w:r>
              <w:rPr>
                <w:rFonts w:hint="eastAsia" w:ascii="Times New Roman" w:hAnsi="Times New Roman"/>
                <w:b/>
                <w:bCs/>
                <w:sz w:val="24"/>
                <w:u w:val="single"/>
              </w:rPr>
              <w:t>“以新带老”整改措施一览表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0"/>
              <w:gridCol w:w="3925"/>
              <w:gridCol w:w="42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858" w:type="dxa"/>
                  <w:vAlign w:val="center"/>
                </w:tcPr>
                <w:p>
                  <w:pPr>
                    <w:widowControl/>
                    <w:overflowPunct w:val="0"/>
                    <w:jc w:val="center"/>
                    <w:rPr>
                      <w:rFonts w:ascii="Times New Roman" w:hAnsi="Times New Roman"/>
                      <w:b/>
                      <w:szCs w:val="21"/>
                      <w:u w:val="single"/>
                    </w:rPr>
                  </w:pPr>
                  <w:r>
                    <w:rPr>
                      <w:rFonts w:hint="eastAsia" w:ascii="Times New Roman" w:hAnsi="Times New Roman"/>
                      <w:b/>
                      <w:szCs w:val="21"/>
                      <w:u w:val="single"/>
                    </w:rPr>
                    <w:t>序号</w:t>
                  </w:r>
                </w:p>
              </w:tc>
              <w:tc>
                <w:tcPr>
                  <w:tcW w:w="3827" w:type="dxa"/>
                  <w:vAlign w:val="center"/>
                </w:tcPr>
                <w:p>
                  <w:pPr>
                    <w:widowControl/>
                    <w:overflowPunct w:val="0"/>
                    <w:jc w:val="center"/>
                    <w:rPr>
                      <w:rFonts w:ascii="Times New Roman" w:hAnsi="Times New Roman"/>
                      <w:b/>
                      <w:szCs w:val="21"/>
                      <w:u w:val="single"/>
                    </w:rPr>
                  </w:pPr>
                  <w:r>
                    <w:rPr>
                      <w:rFonts w:hint="eastAsia" w:ascii="Times New Roman" w:hAnsi="Times New Roman"/>
                      <w:b/>
                      <w:szCs w:val="21"/>
                      <w:u w:val="single"/>
                    </w:rPr>
                    <w:t>原有措施</w:t>
                  </w:r>
                </w:p>
              </w:tc>
              <w:tc>
                <w:tcPr>
                  <w:tcW w:w="4129" w:type="dxa"/>
                  <w:vAlign w:val="center"/>
                </w:tcPr>
                <w:p>
                  <w:pPr>
                    <w:widowControl/>
                    <w:overflowPunct w:val="0"/>
                    <w:jc w:val="center"/>
                    <w:rPr>
                      <w:rFonts w:ascii="Times New Roman" w:hAnsi="Times New Roman"/>
                      <w:b/>
                      <w:szCs w:val="21"/>
                      <w:u w:val="single"/>
                    </w:rPr>
                  </w:pPr>
                  <w:r>
                    <w:rPr>
                      <w:rFonts w:hint="eastAsia" w:ascii="Times New Roman" w:hAnsi="Times New Roman"/>
                      <w:b/>
                      <w:szCs w:val="21"/>
                      <w:u w:val="single"/>
                    </w:rPr>
                    <w:t>改扩建后措施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1</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目前项目对开采除尘洒水和喷水雾措施不够，除尘效果较差，粉尘无组织排放较多</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要求每天对开采部位和矿石进行喷水雾和洒水操作，破碎粉尘经布袋除尘器，处理做到无组织粉尘达标排放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2</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未修建截排水沟、撇洪沟和挡水墙局部</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修建截排水沟、撇洪沟和挡水墙，采用砖砌水沟，提高防渗效果，防止雨水渗漏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3</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采场边坡生态恢复措施尚未完全到位，暴雨季节容易引发水土流失；已采完的采场边坡未护坡及复垦植被不够全面</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应按照开采计划，将浸场边坡进行生态恢复，覆盖植被，防止暴雨季节引发水土流失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4</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矿区内运输道路两侧及其边坡大部分为裸露状态，植被覆盖率低，容易引发塌方、泥石流等对过往车辆造成安全隐患</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对矿区内运输道路两侧及其边坡进行全绿化，提高植被覆盖率，防止引发塌方、泥石流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5</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矿区地面未进行硬化，矿区环境很差，防渗效果差</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矿区地面进行硬化，增强地面防渗效果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6</w:t>
                  </w:r>
                </w:p>
              </w:tc>
              <w:tc>
                <w:tcPr>
                  <w:tcW w:w="3827"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破碎生产线厂房未封闭，皮带输送为采用封闭式</w:t>
                  </w:r>
                </w:p>
              </w:tc>
              <w:tc>
                <w:tcPr>
                  <w:tcW w:w="4129" w:type="dxa"/>
                  <w:vAlign w:val="center"/>
                </w:tcPr>
                <w:p>
                  <w:pPr>
                    <w:overflowPunct w:val="0"/>
                    <w:jc w:val="center"/>
                    <w:rPr>
                      <w:rFonts w:ascii="Times New Roman" w:hAnsi="Times New Roman"/>
                      <w:szCs w:val="21"/>
                      <w:u w:val="single"/>
                    </w:rPr>
                  </w:pPr>
                  <w:r>
                    <w:rPr>
                      <w:rFonts w:hint="eastAsia" w:ascii="Times New Roman" w:hAnsi="Times New Roman"/>
                      <w:color w:val="000000" w:themeColor="text1"/>
                      <w:szCs w:val="20"/>
                      <w:u w:val="single"/>
                      <w14:textFill>
                        <w14:solidFill>
                          <w14:schemeClr w14:val="tx1"/>
                        </w14:solidFill>
                      </w14:textFill>
                    </w:rPr>
                    <w:t>新建全封闭钢结构厂房，其中输送皮带采用封闭式走廊，破碎和筛分区全封闭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7</w:t>
                  </w:r>
                </w:p>
              </w:tc>
              <w:tc>
                <w:tcPr>
                  <w:tcW w:w="3827" w:type="dxa"/>
                  <w:vAlign w:val="center"/>
                </w:tcPr>
                <w:p>
                  <w:pPr>
                    <w:overflowPunct w:val="0"/>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矿区雨水收集池池体较小、雨水收集池修建不规范，不能满足项目雨水除尘水量要求，厂区废水要达到废水不外排，废水处理设施池体面积较小</w:t>
                  </w:r>
                </w:p>
              </w:tc>
              <w:tc>
                <w:tcPr>
                  <w:tcW w:w="4129" w:type="dxa"/>
                  <w:vAlign w:val="center"/>
                </w:tcPr>
                <w:p>
                  <w:pPr>
                    <w:overflowPunct w:val="0"/>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增大并规范沉淀池，增大废水处理设施池体面积，确保初期雨水经废水处理设施处理后回用于生产，不外排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58" w:type="dxa"/>
                  <w:vAlign w:val="center"/>
                </w:tcPr>
                <w:p>
                  <w:pPr>
                    <w:widowControl/>
                    <w:overflowPunct w:val="0"/>
                    <w:jc w:val="center"/>
                    <w:rPr>
                      <w:rFonts w:ascii="Times New Roman" w:hAnsi="Times New Roman"/>
                      <w:szCs w:val="21"/>
                      <w:u w:val="single"/>
                    </w:rPr>
                  </w:pPr>
                  <w:r>
                    <w:rPr>
                      <w:rFonts w:hint="eastAsia" w:ascii="Times New Roman" w:hAnsi="Times New Roman"/>
                      <w:szCs w:val="21"/>
                      <w:u w:val="single"/>
                    </w:rPr>
                    <w:t>8</w:t>
                  </w:r>
                </w:p>
              </w:tc>
              <w:tc>
                <w:tcPr>
                  <w:tcW w:w="3827" w:type="dxa"/>
                  <w:vAlign w:val="center"/>
                </w:tcPr>
                <w:p>
                  <w:pPr>
                    <w:overflowPunct w:val="0"/>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0"/>
                      <w:u w:val="single"/>
                      <w14:textFill>
                        <w14:solidFill>
                          <w14:schemeClr w14:val="tx1"/>
                        </w14:solidFill>
                      </w14:textFill>
                    </w:rPr>
                    <w:t>窑炉废气经水膜除尘设施处理后，超标排放</w:t>
                  </w:r>
                </w:p>
              </w:tc>
              <w:tc>
                <w:tcPr>
                  <w:tcW w:w="4129" w:type="dxa"/>
                  <w:vAlign w:val="center"/>
                </w:tcPr>
                <w:p>
                  <w:pPr>
                    <w:overflowPunct w:val="0"/>
                    <w:jc w:val="center"/>
                    <w:rPr>
                      <w:rFonts w:ascii="Times New Roman" w:hAnsi="Times New Roman"/>
                      <w:color w:val="000000" w:themeColor="text1"/>
                      <w:szCs w:val="20"/>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窑炉废气</w:t>
                  </w:r>
                  <w:r>
                    <w:rPr>
                      <w:rFonts w:hint="eastAsia" w:ascii="Times New Roman" w:hAnsi="Times New Roman"/>
                      <w:color w:val="000000" w:themeColor="text1"/>
                      <w:kern w:val="0"/>
                      <w:szCs w:val="21"/>
                      <w:u w:val="single"/>
                      <w14:textFill>
                        <w14:solidFill>
                          <w14:schemeClr w14:val="tx1"/>
                        </w14:solidFill>
                      </w14:textFill>
                    </w:rPr>
                    <w:t>经</w:t>
                  </w:r>
                  <w:r>
                    <w:rPr>
                      <w:rFonts w:ascii="Times New Roman" w:hAnsi="Times New Roman"/>
                      <w:color w:val="000000" w:themeColor="text1"/>
                      <w:kern w:val="0"/>
                      <w:szCs w:val="21"/>
                      <w:u w:val="single"/>
                      <w14:textFill>
                        <w14:solidFill>
                          <w14:schemeClr w14:val="tx1"/>
                        </w14:solidFill>
                      </w14:textFill>
                    </w:rPr>
                    <w:t>一套双碱湿法脱硫除尘系统</w:t>
                  </w:r>
                  <w:r>
                    <w:rPr>
                      <w:rFonts w:hint="eastAsia" w:ascii="Times New Roman" w:hAnsi="Times New Roman"/>
                      <w:color w:val="000000" w:themeColor="text1"/>
                      <w:kern w:val="0"/>
                      <w:szCs w:val="21"/>
                      <w:u w:val="single"/>
                      <w14:textFill>
                        <w14:solidFill>
                          <w14:schemeClr w14:val="tx1"/>
                        </w14:solidFill>
                      </w14:textFill>
                    </w:rPr>
                    <w:t>处理后达</w:t>
                  </w:r>
                  <w:r>
                    <w:rPr>
                      <w:rFonts w:ascii="Times New Roman" w:hAnsi="Times New Roman"/>
                      <w:color w:val="000000" w:themeColor="text1"/>
                      <w:u w:val="single"/>
                      <w14:textFill>
                        <w14:solidFill>
                          <w14:schemeClr w14:val="tx1"/>
                        </w14:solidFill>
                      </w14:textFill>
                    </w:rPr>
                    <w:t>《砖瓦工业大气污染物排放标准》（GB29620-2013）</w:t>
                  </w:r>
                  <w:r>
                    <w:rPr>
                      <w:rFonts w:hint="eastAsia" w:ascii="Times New Roman" w:hAnsi="Times New Roman"/>
                      <w:color w:val="000000" w:themeColor="text1"/>
                      <w:u w:val="single"/>
                      <w14:textFill>
                        <w14:solidFill>
                          <w14:schemeClr w14:val="tx1"/>
                        </w14:solidFill>
                      </w14:textFill>
                    </w:rPr>
                    <w:t>中的标准限值</w:t>
                  </w:r>
                  <w:r>
                    <w:rPr>
                      <w:rFonts w:hint="eastAsia" w:ascii="Times New Roman" w:hAnsi="Times New Roman"/>
                      <w:color w:val="000000" w:themeColor="text1"/>
                      <w:kern w:val="0"/>
                      <w:szCs w:val="21"/>
                      <w:u w:val="single"/>
                      <w14:textFill>
                        <w14:solidFill>
                          <w14:schemeClr w14:val="tx1"/>
                        </w14:solidFill>
                      </w14:textFill>
                    </w:rPr>
                    <w:t>，</w:t>
                  </w:r>
                  <w:r>
                    <w:rPr>
                      <w:rFonts w:ascii="Times New Roman" w:hAnsi="Times New Roman"/>
                      <w:color w:val="000000" w:themeColor="text1"/>
                      <w:kern w:val="0"/>
                      <w:szCs w:val="21"/>
                      <w:u w:val="single"/>
                      <w14:textFill>
                        <w14:solidFill>
                          <w14:schemeClr w14:val="tx1"/>
                        </w14:solidFill>
                      </w14:textFill>
                    </w:rPr>
                    <w:t>通过一根65米高的</w:t>
                  </w:r>
                  <w:r>
                    <w:rPr>
                      <w:rFonts w:hint="eastAsia" w:ascii="Times New Roman" w:hAnsi="Times New Roman"/>
                      <w:color w:val="000000" w:themeColor="text1"/>
                      <w:kern w:val="0"/>
                      <w:szCs w:val="21"/>
                      <w:u w:val="single"/>
                      <w14:textFill>
                        <w14:solidFill>
                          <w14:schemeClr w14:val="tx1"/>
                        </w14:solidFill>
                      </w14:textFill>
                    </w:rPr>
                    <w:t>烟囱</w:t>
                  </w:r>
                  <w:r>
                    <w:rPr>
                      <w:rFonts w:ascii="Times New Roman" w:hAnsi="Times New Roman"/>
                      <w:color w:val="000000" w:themeColor="text1"/>
                      <w:kern w:val="0"/>
                      <w:szCs w:val="21"/>
                      <w:u w:val="single"/>
                      <w14:textFill>
                        <w14:solidFill>
                          <w14:schemeClr w14:val="tx1"/>
                        </w14:solidFill>
                      </w14:textFill>
                    </w:rPr>
                    <w:t>有组织排放</w:t>
                  </w:r>
                </w:p>
              </w:tc>
            </w:tr>
          </w:tbl>
          <w:p>
            <w:pPr>
              <w:overflowPunct w:val="0"/>
              <w:spacing w:line="360" w:lineRule="auto"/>
              <w:jc w:val="left"/>
              <w:textAlignment w:val="baseline"/>
              <w:rPr>
                <w:rFonts w:ascii="Times New Roman" w:hAnsi="Times New Roman"/>
                <w:b/>
                <w:spacing w:val="8"/>
                <w:sz w:val="28"/>
                <w:szCs w:val="28"/>
              </w:rPr>
            </w:pPr>
            <w:r>
              <w:rPr>
                <w:rFonts w:ascii="Times New Roman" w:hAnsi="Times New Roman"/>
                <w:b/>
                <w:spacing w:val="8"/>
                <w:sz w:val="28"/>
                <w:szCs w:val="28"/>
              </w:rPr>
              <w:t>（</w:t>
            </w:r>
            <w:r>
              <w:rPr>
                <w:rFonts w:hint="eastAsia" w:ascii="Times New Roman" w:hAnsi="Times New Roman"/>
                <w:b/>
                <w:spacing w:val="8"/>
                <w:sz w:val="28"/>
                <w:szCs w:val="28"/>
              </w:rPr>
              <w:t>六</w:t>
            </w:r>
            <w:r>
              <w:rPr>
                <w:rFonts w:ascii="Times New Roman" w:hAnsi="Times New Roman"/>
                <w:b/>
                <w:spacing w:val="8"/>
                <w:sz w:val="28"/>
                <w:szCs w:val="28"/>
              </w:rPr>
              <w:t>）</w:t>
            </w:r>
            <w:bookmarkEnd w:id="54"/>
            <w:r>
              <w:rPr>
                <w:rFonts w:hint="eastAsia" w:ascii="Times New Roman" w:hAnsi="Times New Roman"/>
                <w:b/>
                <w:spacing w:val="8"/>
                <w:sz w:val="28"/>
                <w:szCs w:val="28"/>
              </w:rPr>
              <w:t>竣工验收及环保投资</w:t>
            </w:r>
            <w:bookmarkEnd w:id="55"/>
            <w:bookmarkEnd w:id="56"/>
            <w:bookmarkEnd w:id="57"/>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为贯彻落实新修改的《建设项目环境保护管理条例》，规范建设项目竣工后建设单位自主开展环境保护验收的程序和标准。根据《建设项目竣工环境保护验收暂行办法》（国环规环评[2017]4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的信息的真实性、准确性和完整性负责，不得在验收过程中弄虚作假。</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具体验收流程见下图6-</w:t>
            </w:r>
            <w:r>
              <w:rPr>
                <w:rFonts w:ascii="Times New Roman" w:hAnsi="Times New Roman"/>
                <w:sz w:val="24"/>
                <w:szCs w:val="24"/>
              </w:rPr>
              <w:t>4</w:t>
            </w:r>
            <w:r>
              <w:rPr>
                <w:rFonts w:hint="eastAsia" w:ascii="Times New Roman" w:hAnsi="Times New Roman"/>
                <w:sz w:val="24"/>
                <w:szCs w:val="24"/>
              </w:rPr>
              <w:t>。</w:t>
            </w:r>
          </w:p>
          <w:p>
            <w:pPr>
              <w:overflowPunct w:val="0"/>
              <w:spacing w:line="360" w:lineRule="auto"/>
              <w:jc w:val="center"/>
              <w:rPr>
                <w:b/>
                <w:kern w:val="44"/>
                <w:sz w:val="30"/>
                <w:szCs w:val="30"/>
              </w:rPr>
            </w:pPr>
            <w:r>
              <w:rPr>
                <w:b/>
                <w:kern w:val="44"/>
                <w:sz w:val="30"/>
                <w:szCs w:val="30"/>
              </w:rPr>
              <mc:AlternateContent>
                <mc:Choice Requires="wpc">
                  <w:drawing>
                    <wp:inline distT="0" distB="0" distL="0" distR="0">
                      <wp:extent cx="5058410" cy="956310"/>
                      <wp:effectExtent l="0" t="0" r="27940" b="15240"/>
                      <wp:docPr id="26" name="画布 437"/>
                      <wp:cNvGraphicFramePr/>
                      <a:graphic xmlns:a="http://schemas.openxmlformats.org/drawingml/2006/main">
                        <a:graphicData uri="http://schemas.microsoft.com/office/word/2010/wordprocessingCanvas">
                          <wpc:wpc>
                            <wpc:bg>
                              <a:noFill/>
                            </wpc:bg>
                            <wpc:whole/>
                            <wps:wsp>
                              <wps:cNvPr id="13" name="矩形 439"/>
                              <wps:cNvSpPr>
                                <a:spLocks noChangeArrowheads="1"/>
                              </wps:cNvSpPr>
                              <wps:spPr bwMode="auto">
                                <a:xfrm>
                                  <a:off x="1835404" y="37118"/>
                                  <a:ext cx="1431503" cy="296603"/>
                                </a:xfrm>
                                <a:prstGeom prst="rect">
                                  <a:avLst/>
                                </a:prstGeom>
                                <a:solidFill>
                                  <a:srgbClr val="FFFFFF"/>
                                </a:solidFill>
                                <a:ln w="9525">
                                  <a:solidFill>
                                    <a:srgbClr val="000000"/>
                                  </a:solidFill>
                                  <a:miter lim="800000"/>
                                </a:ln>
                              </wps:spPr>
                              <wps:txbx>
                                <w:txbxContent>
                                  <w:p>
                                    <w:pPr>
                                      <w:jc w:val="center"/>
                                    </w:pPr>
                                    <w:r>
                                      <w:rPr>
                                        <w:rFonts w:hint="eastAsia"/>
                                      </w:rPr>
                                      <w:t>查验、调试环保设施</w:t>
                                    </w:r>
                                  </w:p>
                                </w:txbxContent>
                              </wps:txbx>
                              <wps:bodyPr rot="0" vert="horz" wrap="square" lIns="91440" tIns="45720" rIns="91440" bIns="45720" anchor="t" anchorCtr="0" upright="1">
                                <a:noAutofit/>
                              </wps:bodyPr>
                            </wps:wsp>
                            <wps:wsp>
                              <wps:cNvPr id="14" name="矩形 440"/>
                              <wps:cNvSpPr>
                                <a:spLocks noChangeArrowheads="1"/>
                              </wps:cNvSpPr>
                              <wps:spPr bwMode="auto">
                                <a:xfrm>
                                  <a:off x="3626107" y="35618"/>
                                  <a:ext cx="1432303" cy="297403"/>
                                </a:xfrm>
                                <a:prstGeom prst="rect">
                                  <a:avLst/>
                                </a:prstGeom>
                                <a:solidFill>
                                  <a:srgbClr val="FFFFFF"/>
                                </a:solidFill>
                                <a:ln w="9525">
                                  <a:solidFill>
                                    <a:srgbClr val="000000"/>
                                  </a:solidFill>
                                  <a:miter lim="800000"/>
                                </a:ln>
                              </wps:spPr>
                              <wps:txbx>
                                <w:txbxContent>
                                  <w:p>
                                    <w:pPr>
                                      <w:jc w:val="center"/>
                                    </w:pPr>
                                    <w:r>
                                      <w:rPr>
                                        <w:rFonts w:hint="eastAsia"/>
                                      </w:rPr>
                                      <w:t>编制验收报告</w:t>
                                    </w:r>
                                  </w:p>
                                </w:txbxContent>
                              </wps:txbx>
                              <wps:bodyPr rot="0" vert="horz" wrap="square" lIns="91440" tIns="45720" rIns="91440" bIns="45720" anchor="t" anchorCtr="0" upright="1">
                                <a:noAutofit/>
                              </wps:bodyPr>
                            </wps:wsp>
                            <wps:wsp>
                              <wps:cNvPr id="17" name="矩形 441"/>
                              <wps:cNvSpPr>
                                <a:spLocks noChangeArrowheads="1"/>
                              </wps:cNvSpPr>
                              <wps:spPr bwMode="auto">
                                <a:xfrm>
                                  <a:off x="3626807" y="660141"/>
                                  <a:ext cx="1431603" cy="296703"/>
                                </a:xfrm>
                                <a:prstGeom prst="rect">
                                  <a:avLst/>
                                </a:prstGeom>
                                <a:solidFill>
                                  <a:srgbClr val="FFFFFF"/>
                                </a:solidFill>
                                <a:ln w="9525">
                                  <a:solidFill>
                                    <a:srgbClr val="000000"/>
                                  </a:solidFill>
                                  <a:miter lim="800000"/>
                                </a:ln>
                              </wps:spPr>
                              <wps:txbx>
                                <w:txbxContent>
                                  <w:p>
                                    <w:pPr>
                                      <w:jc w:val="center"/>
                                    </w:pPr>
                                    <w:r>
                                      <w:rPr>
                                        <w:rFonts w:hint="eastAsia"/>
                                      </w:rPr>
                                      <w:t>提出验收意见</w:t>
                                    </w:r>
                                  </w:p>
                                </w:txbxContent>
                              </wps:txbx>
                              <wps:bodyPr rot="0" vert="horz" wrap="square" lIns="91440" tIns="45720" rIns="91440" bIns="45720" anchor="t" anchorCtr="0" upright="1">
                                <a:noAutofit/>
                              </wps:bodyPr>
                            </wps:wsp>
                            <wps:wsp>
                              <wps:cNvPr id="18" name="自选图形 442"/>
                              <wps:cNvCnPr>
                                <a:cxnSpLocks noChangeShapeType="1"/>
                              </wps:cNvCnPr>
                              <wps:spPr bwMode="auto">
                                <a:xfrm>
                                  <a:off x="1431503" y="185008"/>
                                  <a:ext cx="403901" cy="97"/>
                                </a:xfrm>
                                <a:prstGeom prst="straightConnector1">
                                  <a:avLst/>
                                </a:prstGeom>
                                <a:noFill/>
                                <a:ln w="9525">
                                  <a:solidFill>
                                    <a:srgbClr val="000000"/>
                                  </a:solidFill>
                                  <a:round/>
                                  <a:tailEnd type="triangle" w="med" len="med"/>
                                </a:ln>
                              </wps:spPr>
                              <wps:bodyPr/>
                            </wps:wsp>
                            <wps:wsp>
                              <wps:cNvPr id="19" name="自选图形 443"/>
                              <wps:cNvCnPr>
                                <a:cxnSpLocks noChangeShapeType="1"/>
                              </wps:cNvCnPr>
                              <wps:spPr bwMode="auto">
                                <a:xfrm>
                                  <a:off x="4342259" y="332646"/>
                                  <a:ext cx="350" cy="326984"/>
                                </a:xfrm>
                                <a:prstGeom prst="straightConnector1">
                                  <a:avLst/>
                                </a:prstGeom>
                                <a:noFill/>
                                <a:ln w="9525">
                                  <a:solidFill>
                                    <a:srgbClr val="000000"/>
                                  </a:solidFill>
                                  <a:round/>
                                  <a:tailEnd type="triangle" w="med" len="med"/>
                                </a:ln>
                              </wps:spPr>
                              <wps:bodyPr/>
                            </wps:wsp>
                            <wps:wsp>
                              <wps:cNvPr id="20" name="矩形 444"/>
                              <wps:cNvSpPr>
                                <a:spLocks noChangeArrowheads="1"/>
                              </wps:cNvSpPr>
                              <wps:spPr bwMode="auto">
                                <a:xfrm>
                                  <a:off x="1835304" y="660941"/>
                                  <a:ext cx="1431603" cy="295903"/>
                                </a:xfrm>
                                <a:prstGeom prst="rect">
                                  <a:avLst/>
                                </a:prstGeom>
                                <a:solidFill>
                                  <a:srgbClr val="FFFFFF"/>
                                </a:solidFill>
                                <a:ln w="9525">
                                  <a:solidFill>
                                    <a:srgbClr val="000000"/>
                                  </a:solidFill>
                                  <a:miter lim="800000"/>
                                </a:ln>
                              </wps:spPr>
                              <wps:txbx>
                                <w:txbxContent>
                                  <w:p>
                                    <w:pPr>
                                      <w:jc w:val="center"/>
                                    </w:pPr>
                                    <w:r>
                                      <w:rPr>
                                        <w:rFonts w:hint="eastAsia"/>
                                      </w:rPr>
                                      <w:t>公开验收报告</w:t>
                                    </w:r>
                                  </w:p>
                                </w:txbxContent>
                              </wps:txbx>
                              <wps:bodyPr rot="0" vert="horz" wrap="square" lIns="91440" tIns="45720" rIns="91440" bIns="45720" anchor="t" anchorCtr="0" upright="1">
                                <a:noAutofit/>
                              </wps:bodyPr>
                            </wps:wsp>
                            <wps:wsp>
                              <wps:cNvPr id="21" name="矩形 445"/>
                              <wps:cNvSpPr>
                                <a:spLocks noChangeArrowheads="1"/>
                              </wps:cNvSpPr>
                              <wps:spPr bwMode="auto">
                                <a:xfrm>
                                  <a:off x="0" y="660141"/>
                                  <a:ext cx="1432303" cy="296703"/>
                                </a:xfrm>
                                <a:prstGeom prst="rect">
                                  <a:avLst/>
                                </a:prstGeom>
                                <a:solidFill>
                                  <a:srgbClr val="FFFFFF"/>
                                </a:solidFill>
                                <a:ln w="9525">
                                  <a:solidFill>
                                    <a:srgbClr val="000000"/>
                                  </a:solidFill>
                                  <a:miter lim="800000"/>
                                </a:ln>
                              </wps:spPr>
                              <wps:txbx>
                                <w:txbxContent>
                                  <w:p>
                                    <w:pPr>
                                      <w:jc w:val="center"/>
                                    </w:pPr>
                                    <w:r>
                                      <w:rPr>
                                        <w:rFonts w:hint="eastAsia"/>
                                      </w:rPr>
                                      <w:t>网上填报信息</w:t>
                                    </w:r>
                                  </w:p>
                                </w:txbxContent>
                              </wps:txbx>
                              <wps:bodyPr rot="0" vert="horz" wrap="square" lIns="91440" tIns="45720" rIns="91440" bIns="45720" anchor="t" anchorCtr="0" upright="1">
                                <a:noAutofit/>
                              </wps:bodyPr>
                            </wps:wsp>
                            <wps:wsp>
                              <wps:cNvPr id="22" name="矩形 446"/>
                              <wps:cNvSpPr>
                                <a:spLocks noChangeArrowheads="1"/>
                              </wps:cNvSpPr>
                              <wps:spPr bwMode="auto">
                                <a:xfrm>
                                  <a:off x="0" y="37371"/>
                                  <a:ext cx="1431503" cy="295903"/>
                                </a:xfrm>
                                <a:prstGeom prst="rect">
                                  <a:avLst/>
                                </a:prstGeom>
                                <a:solidFill>
                                  <a:srgbClr val="FFFFFF"/>
                                </a:solidFill>
                                <a:ln w="9525">
                                  <a:solidFill>
                                    <a:srgbClr val="000000"/>
                                  </a:solidFill>
                                  <a:miter lim="800000"/>
                                </a:ln>
                              </wps:spPr>
                              <wps:txbx>
                                <w:txbxContent>
                                  <w:p>
                                    <w:pPr>
                                      <w:jc w:val="center"/>
                                    </w:pPr>
                                    <w:r>
                                      <w:rPr>
                                        <w:rFonts w:hint="eastAsia"/>
                                      </w:rPr>
                                      <w:t>申领排污许可证</w:t>
                                    </w:r>
                                  </w:p>
                                </w:txbxContent>
                              </wps:txbx>
                              <wps:bodyPr rot="0" vert="horz" wrap="square" lIns="91440" tIns="0" rIns="91440" bIns="0" anchor="ctr" anchorCtr="0" upright="1">
                                <a:noAutofit/>
                              </wps:bodyPr>
                            </wps:wsp>
                            <wps:wsp>
                              <wps:cNvPr id="23" name="自选图形 447"/>
                              <wps:cNvCnPr>
                                <a:cxnSpLocks noChangeShapeType="1"/>
                              </wps:cNvCnPr>
                              <wps:spPr bwMode="auto">
                                <a:xfrm flipH="1">
                                  <a:off x="3266907" y="807920"/>
                                  <a:ext cx="359900" cy="400"/>
                                </a:xfrm>
                                <a:prstGeom prst="straightConnector1">
                                  <a:avLst/>
                                </a:prstGeom>
                                <a:noFill/>
                                <a:ln w="9525">
                                  <a:solidFill>
                                    <a:srgbClr val="000000"/>
                                  </a:solidFill>
                                  <a:round/>
                                  <a:tailEnd type="triangle" w="med" len="med"/>
                                </a:ln>
                              </wps:spPr>
                              <wps:bodyPr/>
                            </wps:wsp>
                            <wps:wsp>
                              <wps:cNvPr id="24" name="自选图形 448"/>
                              <wps:cNvCnPr>
                                <a:cxnSpLocks noChangeShapeType="1"/>
                              </wps:cNvCnPr>
                              <wps:spPr bwMode="auto">
                                <a:xfrm flipV="1">
                                  <a:off x="3266907" y="184006"/>
                                  <a:ext cx="359200" cy="1099"/>
                                </a:xfrm>
                                <a:prstGeom prst="straightConnector1">
                                  <a:avLst/>
                                </a:prstGeom>
                                <a:noFill/>
                                <a:ln w="9525">
                                  <a:solidFill>
                                    <a:srgbClr val="000000"/>
                                  </a:solidFill>
                                  <a:round/>
                                  <a:tailEnd type="triangle" w="med" len="med"/>
                                </a:ln>
                              </wps:spPr>
                              <wps:bodyPr/>
                            </wps:wsp>
                            <wps:wsp>
                              <wps:cNvPr id="25" name="自选图形 449"/>
                              <wps:cNvCnPr>
                                <a:cxnSpLocks noChangeShapeType="1"/>
                              </wps:cNvCnPr>
                              <wps:spPr bwMode="auto">
                                <a:xfrm flipH="1" flipV="1">
                                  <a:off x="1432303" y="808493"/>
                                  <a:ext cx="403001" cy="400"/>
                                </a:xfrm>
                                <a:prstGeom prst="straightConnector1">
                                  <a:avLst/>
                                </a:prstGeom>
                                <a:noFill/>
                                <a:ln w="9525">
                                  <a:solidFill>
                                    <a:srgbClr val="000000"/>
                                  </a:solidFill>
                                  <a:round/>
                                  <a:tailEnd type="triangle" w="med" len="med"/>
                                </a:ln>
                              </wps:spPr>
                              <wps:bodyPr/>
                            </wps:wsp>
                          </wpc:wpc>
                        </a:graphicData>
                      </a:graphic>
                    </wp:inline>
                  </w:drawing>
                </mc:Choice>
                <mc:Fallback>
                  <w:pict>
                    <v:group id="画布 437" o:spid="_x0000_s1026" o:spt="203" style="height:75.3pt;width:398.3pt;" coordsize="5058410,956310" editas="canvas" o:gfxdata="UEsDBAoAAAAAAIdO4kAAAAAAAAAAAAAAAAAEAAAAZHJzL1BLAwQUAAAACACHTuJAgot4ptYAAAAF&#10;AQAADwAAAGRycy9kb3ducmV2LnhtbE2PQUvDQBCF74L/YRnBi9jdCqYas+mhIBYRSlPteZudJqHZ&#10;2TS7Teq/d/RiLw+G93jvm2x+dq0YsA+NJw3TiQKBVHrbUKXhc/N6/wQiREPWtJ5QwzcGmOfXV5lJ&#10;rR9pjUMRK8ElFFKjoY6xS6UMZY3OhInvkNjb+96ZyGdfSdubkctdKx+USqQzDfFCbTpc1FgeipPT&#10;MJarYbv5eJOru+3S03F5XBRf71rf3kzVC4iI5/gfhl98RoecmXb+RDaIVgM/Ev+UvdlzkoDYcehR&#10;JSDzTF7S5z9QSwMEFAAAAAgAh07iQHtqXAbLBAAAgx0AAA4AAABkcnMvZTJvRG9jLnhtbO1ZT2/k&#10;NBS/I/EdrNzp5P8kUaer1XRbkBZYqQt3T+JMIhI72J5mygmJA9r73jggcYNPgITg21TAt+DZcWbS&#10;dLqMgKmQOj1M7dhx7J9/fu/3nk+fresKXRMuSkZnlnNiW4jQlGUlXc6sz15ffBBZSEhMM1wxSmbW&#10;DRHWs7P33zttm4S4rGBVRjiCQahI2mZmFVI2yWQi0oLUWJywhlBozBmvsYQqX04yjlsYva4mrm2H&#10;k5bxrOEsJULA0/Ou0TIj8n0GZHlepuScpauaUNmNykmFJSxJFGUjrDM92zwnqfw0zwWRqJpZsFKp&#10;f+EjUF6o38nZKU6WHDdFmZop4H2mMFpTjUsKH90MdY4lRite3huqLlPOBMvlScrqSbcQjQiswrFH&#10;2Fxytmr0WpZJu2w2oMNGjVD/x8Omn1y/4qjMZpYbWojiGnb897e/3P78DfK9qYKnbZYJ9LrkzVXz&#10;ipsHy66mVrzOea3+w1rQWgN7swGWrCVK4WFgB5HvAOYptMVB6EFZI58WsD33XkuLF+9+cdJ/dqJm&#10;t5lM2wAlxRYn8e9wuipwQzT8QiFgcHK8DU7f/3j76w+AU9zhpHspkBQconnJ0i8EomxeYLokzzln&#10;bUFwBpNyVH+Y+uAFVRHwKlq0H7MMNgGvJNOMGuHrRF7g276FAElv6jhRB2SPtON7TmDDFBXSbhyG&#10;UFYf6wHDScOFvCSsRqowszgcEf0dfP1SyK5r30Wvg1VldlFWla7w5WJecXSN4Thd6D8zuhh2qyhq&#10;1T67gR75TpsYDmHrv11D1KUEK1OV9cyKhp0qapBTYClyikSuF2uYtyouWHYDGHLWnXOwclAoGP/K&#10;Qi2c8ZklvlxhTixUfURhH2LH95VR0BU/mLpQ4cOWxbAF0xSGmlnSQl1xLjtDsmp4uSzgS45eLmXP&#10;Ye/yUoO5nZWZN/Czm+vhiQokMQfaEBUWa4ACOh+aqF7oho497YgahDuI6npbok79I1GfLFGBJCOi&#10;agupzs4jETUyRAV76fj64zgZmlRlRnuTOj0y9ckyFbRxx9Q/vv3pz6/f3H73m1YAvjswrHPaKYB0&#10;Ta9GIkAritc3Dfj3Oxqge0XxfT8N0Dt58PFOFNj2SASALY1tx6gtLeIe9v9Ccqy815xRClKA8c6J&#10;PaAGKFNSAJwITv4DJw/ylmZ6MInL6gXNkNTYSF6CZKrAT4OMqEkG/ppArKJK0BvWskMFdK5fNSsY&#10;H9HLxg9QQusuY8IOTwnf8103gLkoWei5oR8qqLZGzAuM+oa2OPINjr227AWf0YRHTuwboe0OEZSO&#10;HDk0jfgjOTQVIngmRACHFv+NQwvio0N7qg7NBS8xYmowcGWHjhHgnIC9ekB0DcOD8Ci6nmwc67r3&#10;OKqd2yNZ046j3hSSLXdd6ijVcjSje6daANIdaRZ42qdYUsn7yv88yeJusoGjiMDkTnUEeyD5h/Kq&#10;bD7s004m/wr6LoxNNAtRbQxaZCQE49gGqFV+0IdCJ6iPQvAguWJ3k4IbsUMHbIcNDjQ7Pn8HO5wI&#10;9v9emACEMexw7Fgnto+xI9xzHYYeQe/ZRvQYXigc3HjsJAo4t05/gZmI7MiPdTi7jSchxWD3KYan&#10;bEb0BRTczem0hLlHVJd/w7rOSWzvTs/+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oHAABbQ29udGVudF9UeXBlc10ueG1sUEsBAhQACgAAAAAA&#10;h07iQAAAAAAAAAAAAAAAAAYAAAAAAAAAAAAQAAAAHAYAAF9yZWxzL1BLAQIUABQAAAAIAIdO4kCK&#10;FGY80QAAAJQBAAALAAAAAAAAAAEAIAAAAEAGAABfcmVscy8ucmVsc1BLAQIUAAoAAAAAAIdO4kAA&#10;AAAAAAAAAAAAAAAEAAAAAAAAAAAAEAAAAAAAAABkcnMvUEsBAhQAFAAAAAgAh07iQIKLeKbWAAAA&#10;BQEAAA8AAAAAAAAAAQAgAAAAIgAAAGRycy9kb3ducmV2LnhtbFBLAQIUABQAAAAIAIdO4kB7alwG&#10;ywQAAIMdAAAOAAAAAAAAAAEAIAAAACUBAABkcnMvZTJvRG9jLnhtbFBLBQYAAAAABgAGAFkBAABi&#10;CAAAAAA=&#10;">
                      <o:lock v:ext="edit" aspectratio="f"/>
                      <v:shape id="画布 437" o:spid="_x0000_s1026" style="position:absolute;left:0;top:0;height:956310;width:5058410;" filled="f" stroked="f" coordsize="21600,21600" o:gfxdata="UEsDBAoAAAAAAIdO4kAAAAAAAAAAAAAAAAAEAAAAZHJzL1BLAwQUAAAACACHTuJAgot4ptYAAAAF&#10;AQAADwAAAGRycy9kb3ducmV2LnhtbE2PQUvDQBCF74L/YRnBi9jdCqYas+mhIBYRSlPteZudJqHZ&#10;2TS7Teq/d/RiLw+G93jvm2x+dq0YsA+NJw3TiQKBVHrbUKXhc/N6/wQiREPWtJ5QwzcGmOfXV5lJ&#10;rR9pjUMRK8ElFFKjoY6xS6UMZY3OhInvkNjb+96ZyGdfSdubkctdKx+USqQzDfFCbTpc1FgeipPT&#10;MJarYbv5eJOru+3S03F5XBRf71rf3kzVC4iI5/gfhl98RoecmXb+RDaIVgM/Ev+UvdlzkoDYcehR&#10;JSDzTF7S5z9QSwMEFAAAAAgAh07iQKR5kV5/BAAA3BwAAA4AAABkcnMvZTJvRG9jLnhtbO1Zza7j&#10;NBTeI/EOlvfc5rdNops7GvVyAWmAke7A3k2cNiKxg+3+3FmxQzwDCyR28A7wNiPgLTi20zbNbaES&#10;0wqp7SK1Y+fYPv58zneOb1+s6gotqJAlZyl2bxyMKMt4XrJpir968/BRhJFUhOWk4oym+IlK/OLu&#10;ww9ul01CPT7jVU4FAiFMJssmxTOlmmQwkNmM1kTe8IYyaCy4qImCqpgOckGWIL2uBp7jDAdLLvJG&#10;8IxKCW/vbSNuJYpjBPKiKDN6z7N5TZmyUgWtiIIlyVnZSHxnZlsUNFNfFoWkClUphpUq84RBoDzR&#10;z8HdLUmmgjSzMmunQI6ZQm9NNSkZDLoRdU8UQXNRPhNVl5ngkhfqJuP1wC7EaARW4To93YwJWxC7&#10;mAx0vZ4glN6j3MlUz5vxh7KqQBsDkJ7od/p/CbtN4eWygb2WzWbX5X8b/3FGGmr2SCbZF4vXApU5&#10;QNHHiJEaIPfHT7+8++1nFPix3h89OPR6bF4LPVPZvOLZNxIxPp4RNqUvheDLGSU5TMrV/WEFnQ90&#10;RcKnaLL8nOcgnMwVN1u1KkStBcImoBV8G/lh4AQYPaXYH7luZLFBVwplujnw3dCBKWbQ7sXDIZT1&#10;YCRZy2mEVJ9QXiNdSLEA7JlxyOKVVLbruotZB6/KXCvdVMR0Mq4EWhDA6YP5tdJlt1vF0DLFceiF&#10;RvJOm+yKcMxvn4i6VHB8q7JOcdTtVLFWc1pZVulqNVm1+p/w/Al0KLg9QGA+oDDj4i1GSzg8KZbf&#10;zomgGFWfMdiH2A0CfdpMJQhHHlREt2XSbSEsA1EpVhjZ4ljZEzpvRDmdwUiuWS7jL2HvitIoU++r&#10;nVU7b8DnuYAKINkFKiy2VdQZgOoPvaHrjCxQw+EeoHr+Fqij4ArUiwUqgKQHVGMhdwzk6SyqBmrU&#10;AhXspRuYwUnSNanajK5N6uiK1ItFKpBOi9Q/v//1r+9+ePfj74YBBF7HsI6ZZQDZij32SIBhFG+e&#10;GvDvOxzAfnI8B1g7efDxbhQ6To8EgC2NHdcCNh617vWA/5dKEO29xpwxoAJcWCd2gA1s+BdJ3oOT&#10;F3zOcvBIJFGkrD5mOVJGN0qUQJkq8NNAI2qag7+mEATokiUoe1iAdbK6WavxjF42PgAJw7taE3Z6&#10;SAR+4HkhzEXTQt8bBkOtqq0R80PgNpoTQlscBVdMtIHhSUIEzSN7Ds1o/EwOTYcIfhsigEOL/8Wh&#10;hfHVoV2qQ/PAS/SQGmrbcCakwjkBk3SAdHXDg+GVdF1sHOt5zzBqnNtZMeqPINmy61J7qZarGT06&#10;1bI/zQJv1ymWTIl15X+eZPE22cBeRGBo92npHyqqsvl0nXZq84PA74ZxG81CVBsDF+kRwTh2QNWa&#10;CwZQ0Iz5YHLwGhwcmwPfnyv2Nim4HjpMwHYGdHz9D+hwI9j/Z2ECAKZFh+vEJrF9hQdcapwmTgjX&#10;nq0Hj+6Fwolix63xMKU+UMC5Wf4FZiJyoiA24ew2noQUg7NOMVyyGTH3UHAHZaxoe0Gnb9W6dZOT&#10;2F5K3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got4ptYAAAAFAQAADwAAAAAAAAABACAAAAAi&#10;AAAAZHJzL2Rvd25yZXYueG1sUEsBAhQAFAAAAAgAh07iQKR5kV5/BAAA3BwAAA4AAAAAAAAAAQAg&#10;AAAAJQEAAGRycy9lMm9Eb2MueG1sUEsFBgAAAAAGAAYAWQEAABYIAAAAAA==&#10;">
                        <v:fill on="f" focussize="0,0"/>
                        <v:stroke on="f"/>
                        <v:imagedata o:title=""/>
                        <o:lock v:ext="edit" aspectratio="f"/>
                      </v:shape>
                      <v:rect id="矩形 439" o:spid="_x0000_s1026" o:spt="1" style="position:absolute;left:1835404;top:37118;height:296603;width:1431503;" fillcolor="#FFFFFF" filled="t" stroked="t" coordsize="21600,21600" o:gfxdata="UEsDBAoAAAAAAIdO4kAAAAAAAAAAAAAAAAAEAAAAZHJzL1BLAwQUAAAACACHTuJAR+tic9QAAAAF&#10;AQAADwAAAGRycy9kb3ducmV2LnhtbE2PsU7DQBBEeyT+4bRIdOQuQRhifE4BChJl4jR0a3uxDb49&#10;y3dODF/PQkOakVYzmnmbbWbXqyONofNsYbkwoIgrX3fcWDgU25sHUCEi19h7JgtfFGCTX15kmNb+&#10;xDs67mOjpIRDihbaGIdU61C15DAs/EAs3rsfHUY5x0bXI56k3PV6ZUyiHXYsCy0O9NRS9bmfnIWy&#10;Wx3we1e8GLfe3sbXufiY3p6tvb5amkdQkeb4H4ZffEGHXJhKP3EdVG9BHol/Kt79OklAlRK6Mwno&#10;PNPn9PkPUEsDBBQAAAAIAIdO4kB0mR2dRAIAAIcEAAAOAAAAZHJzL2Uyb0RvYy54bWytVM1u2zAM&#10;vg/YOwi6r7YTp02COEWRosOAbivQ7QFkWY6F6W+UEqd7mQG77SH2OMNeY5Tsdmm3Qw/TQSBN6iP5&#10;kfTq/KAV2Qvw0pqKFic5JcJw20izrejHD1ev5pT4wEzDlDWionfC0/P1yxer3i3FxHZWNQIIghi/&#10;7F1FuxDcMss874Rm/sQ6YdDYWtAsoArbrAHWI7pW2STPT7PeQuPAcuE9fr0cjHREhOcA2raVXFxa&#10;vtPChAEVhGIBS/KddJ6uU7ZtK3h437ZeBKIqipWGdGMQlOt4Z+sVW26BuU7yMQX2nBSe1KSZNBj0&#10;AeqSBUZ2IP+C0pKD9bYNJ9zqbCgkMYJVFPkTbm475kSqBan27oF0//9g+bv9DRDZ4CRMKTFMY8d/&#10;ff3+88c3Uk4XkZ7e+SV63bobiAV6d235J0+M3XTMbMUFgO07wRpMqoj+2aMHUfH4lNT9W9sgONsF&#10;m5g6tKAjIHJADvh2Pp2VeUnJXUWnZ0UxH1ojDoHwaC6nxSzHFDnaJ4vTU5RjMLa8x3Hgw2thNYlC&#10;RQFbn+Kw/bUPg+u9S6rDKtlcSaWSAtt6o4DsGY7JVTojuj92U4b0FV3MJrOE/MjmjyHydP4FoWXA&#10;7VFSV3R+7KTMyFwkayA9HOrDyH9tmzvkEOwwv7i9KHQWvlDS4+xW1H/eMRCUqDcG+7AoyjIOe1LK&#10;2dkEFTi21McWZjhCVTRQMoibMCzIzoHcdhipSOUae4G9a2UiM/Z1yGrMG+cztWPcpbgAx3ry+vP/&#10;W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tic9QAAAAFAQAADwAAAAAAAAABACAAAAAiAAAA&#10;ZHJzL2Rvd25yZXYueG1sUEsBAhQAFAAAAAgAh07iQHSZHZ1EAgAAhwQAAA4AAAAAAAAAAQAgAAAA&#10;IwEAAGRycy9lMm9Eb2MueG1sUEsFBgAAAAAGAAYAWQEAANkFAAAAAA==&#10;">
                        <v:fill on="t" focussize="0,0"/>
                        <v:stroke color="#000000" miterlimit="8" joinstyle="miter"/>
                        <v:imagedata o:title=""/>
                        <o:lock v:ext="edit" aspectratio="f"/>
                        <v:textbox>
                          <w:txbxContent>
                            <w:p>
                              <w:pPr>
                                <w:jc w:val="center"/>
                              </w:pPr>
                              <w:r>
                                <w:rPr>
                                  <w:rFonts w:hint="eastAsia"/>
                                </w:rPr>
                                <w:t>查验、调试环保设施</w:t>
                              </w:r>
                            </w:p>
                          </w:txbxContent>
                        </v:textbox>
                      </v:rect>
                      <v:rect id="矩形 440" o:spid="_x0000_s1026" o:spt="1" style="position:absolute;left:3626107;top:35618;height:297403;width:1432303;" fillcolor="#FFFFFF" filled="t" stroked="t" coordsize="21600,21600" o:gfxdata="UEsDBAoAAAAAAIdO4kAAAAAAAAAAAAAAAAAEAAAAZHJzL1BLAwQUAAAACACHTuJAR+tic9QAAAAF&#10;AQAADwAAAGRycy9kb3ducmV2LnhtbE2PsU7DQBBEeyT+4bRIdOQuQRhifE4BChJl4jR0a3uxDb49&#10;y3dODF/PQkOakVYzmnmbbWbXqyONofNsYbkwoIgrX3fcWDgU25sHUCEi19h7JgtfFGCTX15kmNb+&#10;xDs67mOjpIRDihbaGIdU61C15DAs/EAs3rsfHUY5x0bXI56k3PV6ZUyiHXYsCy0O9NRS9bmfnIWy&#10;Wx3we1e8GLfe3sbXufiY3p6tvb5amkdQkeb4H4ZffEGHXJhKP3EdVG9BHol/Kt79OklAlRK6Mwno&#10;PNPn9PkPUEsDBBQAAAAIAIdO4kDJTvbpRQIAAIcEAAAOAAAAZHJzL2Uyb0RvYy54bWytVEtu3DAM&#10;3RfoHQTtG3/mk8SIJwgSpCiQtgHSHkAjy2OhkqhSmvGklynQXQ7R4xS9Rml5kkzSLrKoFwY5pB/5&#10;Hsk5Od1awzYKgwZX8+Ig50w5CY12q5p//nT55oizEIVrhAGnan6rAj9dvH510vtKldCBaRQyAnGh&#10;6n3Nuxh9lWVBdsqKcABeOQq2gFZEcnGVNSh6QrcmK/N8nvWAjUeQKgT69WIM8h0ivgQQ2lZLdQFy&#10;bZWLIyoqIyJRCp32gS9St22rZPzYtkFFZmpOTGN6UxGyl8M7W5yIaoXCd1ruWhAvaeEZJyu0o6IP&#10;UBciCrZG/ReU1RIhQBsPJNhsJJIUIRZF/kybm054lbiQ1ME/iB7+H6z8sLlGphvahClnTlia+O/v&#10;d79+/mDTaZKn96GirBt/jQPB4K9AfgnMwXkn3EqdIULfKdFQU8UgZ/bkg8EJ9Clb9u+hIXCxjpCU&#10;2rZoB0DSgG1rPpmX8yI/5OyW7Nm8OBpHo7aRSQoX00k5ySecSYqXx4dTsodiorrH8RjiWwWWDUbN&#10;kUaf6ojNVYhj6n1K4gFGN5famOTganlukG0ErcllenboYT/NONbX/HhWzhLyk1jYh8jT8y8IqyNd&#10;j9G25kf7ScbtlBvEGrY3VHG73FLfg7mE5pY0RBj3l66XjA7wG2c97W7Nw9e1QMWZeedoDsfFMDsW&#10;kzOdHZbk4H5kuR8RThJUzSNno3kexwNZe9SrjioVia6DM5pdq5OYj13t+qb9TOPY3dJwAPt+ynr8&#10;/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rYnPUAAAABQEAAA8AAAAAAAAAAQAgAAAAIgAA&#10;AGRycy9kb3ducmV2LnhtbFBLAQIUABQAAAAIAIdO4kDJTvbpRQIAAIcEAAAOAAAAAAAAAAEAIAAA&#10;ACMBAABkcnMvZTJvRG9jLnhtbFBLBQYAAAAABgAGAFkBAADaBQAAAAA=&#10;">
                        <v:fill on="t" focussize="0,0"/>
                        <v:stroke color="#000000" miterlimit="8" joinstyle="miter"/>
                        <v:imagedata o:title=""/>
                        <o:lock v:ext="edit" aspectratio="f"/>
                        <v:textbox>
                          <w:txbxContent>
                            <w:p>
                              <w:pPr>
                                <w:jc w:val="center"/>
                              </w:pPr>
                              <w:r>
                                <w:rPr>
                                  <w:rFonts w:hint="eastAsia"/>
                                </w:rPr>
                                <w:t>编制验收报告</w:t>
                              </w:r>
                            </w:p>
                          </w:txbxContent>
                        </v:textbox>
                      </v:rect>
                      <v:rect id="矩形 441" o:spid="_x0000_s1026" o:spt="1" style="position:absolute;left:3626807;top:660141;height:296703;width:1431603;" fillcolor="#FFFFFF" filled="t" stroked="t" coordsize="21600,21600" o:gfxdata="UEsDBAoAAAAAAIdO4kAAAAAAAAAAAAAAAAAEAAAAZHJzL1BLAwQUAAAACACHTuJAR+tic9QAAAAF&#10;AQAADwAAAGRycy9kb3ducmV2LnhtbE2PsU7DQBBEeyT+4bRIdOQuQRhifE4BChJl4jR0a3uxDb49&#10;y3dODF/PQkOakVYzmnmbbWbXqyONofNsYbkwoIgrX3fcWDgU25sHUCEi19h7JgtfFGCTX15kmNb+&#10;xDs67mOjpIRDihbaGIdU61C15DAs/EAs3rsfHUY5x0bXI56k3PV6ZUyiHXYsCy0O9NRS9bmfnIWy&#10;Wx3we1e8GLfe3sbXufiY3p6tvb5amkdQkeb4H4ZffEGHXJhKP3EdVG9BHol/Kt79OklAlRK6Mwno&#10;PNPn9PkPUEsDBBQAAAAIAIdO4kBm8Tr6RQIAAIgEAAAOAAAAZHJzL2Uyb0RvYy54bWytVMFu2zAM&#10;vQ/YPwi6r7aT1E2NOEXRosOAbivQ7QMUWY6FSaJGKXG6nxmw2z5inzPsN0bLaZd2O/QwHwwypB/5&#10;HsksznbWsK3CoMHVvDjKOVNOQqPduuYfP1y9mnMWonCNMOBUze9U4GfLly8Wva/UBDowjUJGIC5U&#10;va95F6OvsizITlkRjsArR8EW0IpILq6zBkVP6NZkkzwvsx6w8QhShUC/Xo5BvkfE5wBC22qpLkFu&#10;rHJxREVlRCRKodM+8GXqtm2VjO/bNqjITM2JaUxvKkL2anhny4Wo1ih8p+W+BfGcFp5wskI7KvoA&#10;dSmiYBvUf0FZLRECtPFIgs1GIkkRYlHkT7S57YRXiQtJHfyD6OH/wcp32xtkuqFNOOHMCUsT//X1&#10;+88f39hsVgzy9D5UlHXrb3AgGPw1yE+BObjohFurc0ToOyUaairlZ48+GJxAn7JV/xYaAhebCEmp&#10;XYt2ACQN2K7m03JSznPq4a7mZZkXY3FRqV1kkuLFbFqU+ZQzSQmT0/KEbOouE9U9kMcQXyuwbDBq&#10;jjT7VEhsr0McU+9TEhEwurnSxiQH16sLg2wraE+u0rNHD4dpxrG+5qfHk+OE/CgWDiHy9PwLwupI&#10;52O0rfn8MMk4InOv1qh63K12+wGsoLkjERHGBabzJaMD/MJZT8tb8/B5I1BxZt44GsRpMZsN256c&#10;2fHJhBw8jKwOI8JJgqp55Gw0L+J4IRuPet1RpSLRdXBOw2t1EnNodexq3zctaBrH/piGCzj0U9af&#10;P5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rYnPUAAAABQEAAA8AAAAAAAAAAQAgAAAAIgAA&#10;AGRycy9kb3ducmV2LnhtbFBLAQIUABQAAAAIAIdO4kBm8Tr6RQIAAIgEAAAOAAAAAAAAAAEAIAAA&#10;ACMBAABkcnMvZTJvRG9jLnhtbFBLBQYAAAAABgAGAFkBAADaBQAAAAA=&#10;">
                        <v:fill on="t" focussize="0,0"/>
                        <v:stroke color="#000000" miterlimit="8" joinstyle="miter"/>
                        <v:imagedata o:title=""/>
                        <o:lock v:ext="edit" aspectratio="f"/>
                        <v:textbox>
                          <w:txbxContent>
                            <w:p>
                              <w:pPr>
                                <w:jc w:val="center"/>
                              </w:pPr>
                              <w:r>
                                <w:rPr>
                                  <w:rFonts w:hint="eastAsia"/>
                                </w:rPr>
                                <w:t>提出验收意见</w:t>
                              </w:r>
                            </w:p>
                          </w:txbxContent>
                        </v:textbox>
                      </v:rect>
                      <v:shape id="自选图形 442" o:spid="_x0000_s1026" o:spt="32" type="#_x0000_t32" style="position:absolute;left:1431503;top:185008;height:97;width:403901;" filled="f" stroked="t" coordsize="21600,21600" o:gfxdata="UEsDBAoAAAAAAIdO4kAAAAAAAAAAAAAAAAAEAAAAZHJzL1BLAwQUAAAACACHTuJA9Zefw9YAAAAF&#10;AQAADwAAAGRycy9kb3ducmV2LnhtbE2PT0sDMRDF74LfIYzgzSYVjHbdbEGLuBcFWyk9pptxs7iZ&#10;LJv0n5/e0YteHgzv8d5vyvkx9GKPY+oiGZhOFAikJrqOWgPvq6erOxApW3K2j4QGTphgXp2flbZw&#10;8UBvuF/mVnAJpcIa8DkPhZSp8RhsmsQBib2POAab+Rxb6UZ74PLQy2ultAy2I17wdsBHj83nchcM&#10;5MXm5PW6eZh1r6vnF9191XW9MObyYqruQWQ85r8w/OAzOlTMtI07ckn0BviR/Kvs3c60BrHl0I3S&#10;IKtS/qevvgFQSwMEFAAAAAgAh07iQHNZqlgUAgAA8QMAAA4AAABkcnMvZTJvRG9jLnhtbK1TzW4T&#10;MRC+I/EOlu90d/MD7SqbHhLKpUCklgdwbG/WwvZYtpNNbtwQz8CNY98B3qYSvAVjb1poufTAHix7&#10;Z+abbz5/np3vjSY76YMC29DqpKREWg5C2U1DP1xfvDilJERmBdNgZUMPMtDz+fNns97VcgQdaCE9&#10;QRAb6t41tIvR1UUReCcNCyfgpMVgC96wiEe/KYRnPaIbXYzK8mXRgxfOA5ch4N/lEKRHRP8UQGhb&#10;xeUS+NZIGwdULzWLOFLolAt0ntm2reTxfdsGGYluKE4a84pNcL9OazGfsXrjmesUP1JgT6HwaCbD&#10;lMWm91BLFhnZevUPlFHcQ4A2nnAwxTBIVgSnqMpH2lx1zMk8C0od3L3o4f/B8ne7lSdKoBPw3i0z&#10;eOM/P9/8+vTl9uuP2+/fyGQySiL1LtSYu7Arn8bke3vlLoF/DMTComN2IzPZ64NDgCpVFA9K0iE4&#10;bLXu34LAHLaNkBXbt94kSNSC7LF2Mq6m5ZiSQ6I0LcvT4Y7kPhKO8Uk5PisrSjjGz17lRqy+w3A+&#10;xDcSDEmbhobomdp0cQHWohPAV7kj212GmBiy+q4gEbBwobTOhtCW9Ag/HU1zQQCtRAqmtOA364X2&#10;ZMeSpfJ3ZPEgzcPWigwWmdKvrSAxaxO9QrW0pKmDkYISLfEdpt1ASdujdkmuQfg1iMPKp3CSEZ2Q&#10;uR9dm6z29zln/Xm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l5/D1gAAAAUBAAAPAAAAAAAA&#10;AAEAIAAAACIAAABkcnMvZG93bnJldi54bWxQSwECFAAUAAAACACHTuJAc1mqWBQCAADxAwAADgAA&#10;AAAAAAABACAAAAAlAQAAZHJzL2Uyb0RvYy54bWxQSwUGAAAAAAYABgBZAQAAqwUAAAAA&#10;">
                        <v:fill on="f" focussize="0,0"/>
                        <v:stroke color="#000000" joinstyle="round" endarrow="block"/>
                        <v:imagedata o:title=""/>
                        <o:lock v:ext="edit" aspectratio="f"/>
                      </v:shape>
                      <v:shape id="自选图形 443" o:spid="_x0000_s1026" o:spt="32" type="#_x0000_t32" style="position:absolute;left:4342259;top:332646;height:326984;width:350;" filled="f" stroked="t" coordsize="21600,21600" o:gfxdata="UEsDBAoAAAAAAIdO4kAAAAAAAAAAAAAAAAAEAAAAZHJzL1BLAwQUAAAACACHTuJA9Zefw9YAAAAF&#10;AQAADwAAAGRycy9kb3ducmV2LnhtbE2PT0sDMRDF74LfIYzgzSYVjHbdbEGLuBcFWyk9pptxs7iZ&#10;LJv0n5/e0YteHgzv8d5vyvkx9GKPY+oiGZhOFAikJrqOWgPvq6erOxApW3K2j4QGTphgXp2flbZw&#10;8UBvuF/mVnAJpcIa8DkPhZSp8RhsmsQBib2POAab+Rxb6UZ74PLQy2ultAy2I17wdsBHj83nchcM&#10;5MXm5PW6eZh1r6vnF9191XW9MObyYqruQWQ85r8w/OAzOlTMtI07ckn0BviR/Kvs3c60BrHl0I3S&#10;IKtS/qevvgFQSwMEFAAAAAgAh07iQG2MojcXAgAA8gMAAA4AAABkcnMvZTJvRG9jLnhtbK1TsW7b&#10;MBDdC/QfCO61bFk2YsFyBrvpkrYBkn4ATVESUZJHkLRlb92KfkO3jv2H9G8CtH/RI+WkTbpkqAaC&#10;1N29e/f4uDw/aEX2wnkJpqKT0ZgSYTjU0rQV/XBz8eqMEh+YqZkCIyp6FJ6er16+WPa2FDl0oGrh&#10;CIIYX/a2ol0ItswyzzuhmR+BFQaDDTjNAh5dm9WO9YiuVZaPx/OsB1dbB1x4j383Q5CeEN1zAKFp&#10;JBcb4DstTBhQnVAs4Ei+k9bTVWLbNIKH903jRSCqojhpSCs2wf02rtlqycrWMdtJfqLAnkPhyUya&#10;SYNNH6A2LDCyc/IfKC25Aw9NGHHQ2TBIUgSnmIyfaHPdMSvSLCi1tw+i+/8Hy9/trxyRNTphQYlh&#10;Gm/85+fvvz59ufv64+72GymKaRSpt77E3LW5cnFMfjDX9hL4R08MrDtmWpHI3hwtAkxiRfaoJB68&#10;xVbb/i3UmMN2AZJih8bpCIlakENFi2mR5zPkcqzodJrPi/lwR+IQCMf4dIZXx2Mwny/OitSJlfcg&#10;1vnwRoAmcVNRHxyTbRfWYAxaAdwktWT7Sx8iRVbeF0QGBi6kUskRypC+ootZPksFHpSsYzCmeddu&#10;18qRPYueSt+JxaM0BztTJ7DApHptahKSOMFJlEsJGjtoUVOiBD7EuBsoKXMSL+o1KL+F+njlYjjq&#10;iFZI3E+2jV77+5yy/jzV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l5/D1gAAAAUBAAAPAAAA&#10;AAAAAAEAIAAAACIAAABkcnMvZG93bnJldi54bWxQSwECFAAUAAAACACHTuJAbYyiNxcCAADyAwAA&#10;DgAAAAAAAAABACAAAAAlAQAAZHJzL2Uyb0RvYy54bWxQSwUGAAAAAAYABgBZAQAArgUAAAAA&#10;">
                        <v:fill on="f" focussize="0,0"/>
                        <v:stroke color="#000000" joinstyle="round" endarrow="block"/>
                        <v:imagedata o:title=""/>
                        <o:lock v:ext="edit" aspectratio="f"/>
                      </v:shape>
                      <v:rect id="矩形 444" o:spid="_x0000_s1026" o:spt="1" style="position:absolute;left:1835304;top:660941;height:295903;width:1431603;" fillcolor="#FFFFFF" filled="t" stroked="t" coordsize="21600,21600" o:gfxdata="UEsDBAoAAAAAAIdO4kAAAAAAAAAAAAAAAAAEAAAAZHJzL1BLAwQUAAAACACHTuJAR+tic9QAAAAF&#10;AQAADwAAAGRycy9kb3ducmV2LnhtbE2PsU7DQBBEeyT+4bRIdOQuQRhifE4BChJl4jR0a3uxDb49&#10;y3dODF/PQkOakVYzmnmbbWbXqyONofNsYbkwoIgrX3fcWDgU25sHUCEi19h7JgtfFGCTX15kmNb+&#10;xDs67mOjpIRDihbaGIdU61C15DAs/EAs3rsfHUY5x0bXI56k3PV6ZUyiHXYsCy0O9NRS9bmfnIWy&#10;Wx3we1e8GLfe3sbXufiY3p6tvb5amkdQkeb4H4ZffEGHXJhKP3EdVG9BHol/Kt79OklAlRK6Mwno&#10;PNPn9PkPUEsDBBQAAAAIAIdO4kDipWr4RQIAAIgEAAAOAAAAZHJzL2Uyb0RvYy54bWytVM1u2zAM&#10;vg/YOwi6r3YSJ0uMOEWRoMOAbivQ7QEUWY6F6W+UEqd7mQG79SH2OMNeY5Tsdmm3Qw/TQSBN6iP5&#10;kfTy/KgVOQjw0pqKjs5ySoThtpZmV9FPHy9fzSnxgZmaKWtERW+Fp+erly+WnSvF2LZW1QIIghhf&#10;dq6ibQiuzDLPW6GZP7NOGDQ2FjQLqMIuq4F1iK5VNs7zWdZZqB1YLrzHr5veSAdEeA6gbRrJxcby&#10;vRYm9KggFAtYkm+l83SVsm0awcOHpvEiEFVRrDSkG4OgvI13tlqycgfMtZIPKbDnpPCkJs2kwaAP&#10;UBsWGNmD/AtKSw7W2yaccauzvpDECFYxyp9wc9MyJ1ItSLV3D6T7/wfL3x+ugci6omOkxDCNHf/1&#10;7e7nj++kKIpIT+d8iV437hpigd5dWf7ZE2PXLTM7cQFgu1awGpMaRf/s0YOoeHxKtt07WyM42web&#10;mDo2oCMgckCO+HY+mU7ygpLbis5m+aJIYKwUx0B4tBeT0SyfUMLRYbyYLlCO0Vh5D+TAhzfCahKF&#10;igL2PgVihysfetd7l1SIVbK+lEolBXbbtQJyYDgnl+kM6P7UTRnSVXQxHU8T8iObP4XI0/kXhJYB&#10;10dJXdH5qZMyA3WRrZ71cNwehwZsbX2LJILtBxjXF4XWwldKOhzeivovewaCEvXWYCMWo6KI056U&#10;Yvo69hZOLdtTCzMcoSoaKOnFdeg3ZO9A7lqMNErlGnuBzWtkIjM2ts9qyBsHNLVjWKa4Aad68vrz&#10;A1n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rYnPUAAAABQEAAA8AAAAAAAAAAQAgAAAAIgAA&#10;AGRycy9kb3ducmV2LnhtbFBLAQIUABQAAAAIAIdO4kDipWr4RQIAAIgEAAAOAAAAAAAAAAEAIAAA&#10;ACMBAABkcnMvZTJvRG9jLnhtbFBLBQYAAAAABgAGAFkBAADaBQAAAAA=&#10;">
                        <v:fill on="t" focussize="0,0"/>
                        <v:stroke color="#000000" miterlimit="8" joinstyle="miter"/>
                        <v:imagedata o:title=""/>
                        <o:lock v:ext="edit" aspectratio="f"/>
                        <v:textbox>
                          <w:txbxContent>
                            <w:p>
                              <w:pPr>
                                <w:jc w:val="center"/>
                              </w:pPr>
                              <w:r>
                                <w:rPr>
                                  <w:rFonts w:hint="eastAsia"/>
                                </w:rPr>
                                <w:t>公开验收报告</w:t>
                              </w:r>
                            </w:p>
                          </w:txbxContent>
                        </v:textbox>
                      </v:rect>
                      <v:rect id="矩形 445" o:spid="_x0000_s1026" o:spt="1" style="position:absolute;left:0;top:660141;height:296703;width:1432303;" fillcolor="#FFFFFF" filled="t" stroked="t" coordsize="21600,21600" o:gfxdata="UEsDBAoAAAAAAIdO4kAAAAAAAAAAAAAAAAAEAAAAZHJzL1BLAwQUAAAACACHTuJAR+tic9QAAAAF&#10;AQAADwAAAGRycy9kb3ducmV2LnhtbE2PsU7DQBBEeyT+4bRIdOQuQRhifE4BChJl4jR0a3uxDb49&#10;y3dODF/PQkOakVYzmnmbbWbXqyONofNsYbkwoIgrX3fcWDgU25sHUCEi19h7JgtfFGCTX15kmNb+&#10;xDs67mOjpIRDihbaGIdU61C15DAs/EAs3rsfHUY5x0bXI56k3PV6ZUyiHXYsCy0O9NRS9bmfnIWy&#10;Wx3we1e8GLfe3sbXufiY3p6tvb5amkdQkeb4H4ZffEGHXJhKP3EdVG9BHol/Kt79OklAlRK6Mwno&#10;PNPn9PkPUEsDBBQAAAAIAIdO4kDcezIXQAIAAIIEAAAOAAAAZHJzL2Uyb0RvYy54bWytVM1u00AQ&#10;viPxDqu9E//ESRsrTlWlKkIqUKnwAJv1Ol6xf8xu4oSXQeLGQ/A4iNdgvHZLWjj0gA/WjGf2m/m+&#10;mfXy4qAV2Qvw0pqKZpOUEmG4raXZVvTjh+tX55T4wEzNlDWiokfh6cXq5Ytl50qR29aqWgBBEOPL&#10;zlW0DcGVSeJ5KzTzE+uEwWBjQbOALmyTGliH6FoleZrOk85C7cBy4T1+vRqCdESE5wDappFcXFm+&#10;08KEARWEYgEp+VY6T1ex26YRPLxvGi8CURVFpiG+sQjam/6drJas3AJzreRjC+w5LTzhpJk0WPQB&#10;6ooFRnYg/4LSkoP1tgkTbnUyEImKIIssfaLNXcuciFxQau8eRPf/D5a/298CkXVF84wSwzRO/NfX&#10;7z9/fCNFMevl6ZwvMevO3UJP0Lsbyz95Yuy6ZWYrLgFs1wpWY1NZn588OtA7Ho+STffW1gjOdsFG&#10;pQ4N6B4QNSCHOJBjRefzNCsiDCvFIRCOkayY5tN0SgnHhHwxP0O7r8PKewgHPrwWVpPeqCjg1GMJ&#10;tr/xYUi9T4kUrJL1tVQqOrDdrBWQPcMNuY7PiO5P05QhXUUXs3wWkR/F/ClEGp9/QWgZ8OIoqSt6&#10;fpqkzChar9OgdzhsDqP0G1sfUT6ww+rixUWjtfCFkg7XtqL+846BoES9MTiCRVYU/Z5Hp5id5ejA&#10;aWRzGmGGI1RFAyWDuQ7D3dg5kNsWK2WRrrGXOLZGRjH7kQ5djX3jasZxjNeo3/1TP2b9+XW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62Jz1AAAAAUBAAAPAAAAAAAAAAEAIAAAACIAAABkcnMv&#10;ZG93bnJldi54bWxQSwECFAAUAAAACACHTuJA3HsyF0ACAACCBAAADgAAAAAAAAABACAAAAAjAQAA&#10;ZHJzL2Uyb0RvYy54bWxQSwUGAAAAAAYABgBZAQAA1QUAAAAA&#10;">
                        <v:fill on="t" focussize="0,0"/>
                        <v:stroke color="#000000" miterlimit="8" joinstyle="miter"/>
                        <v:imagedata o:title=""/>
                        <o:lock v:ext="edit" aspectratio="f"/>
                        <v:textbox>
                          <w:txbxContent>
                            <w:p>
                              <w:pPr>
                                <w:jc w:val="center"/>
                              </w:pPr>
                              <w:r>
                                <w:rPr>
                                  <w:rFonts w:hint="eastAsia"/>
                                </w:rPr>
                                <w:t>网上填报信息</w:t>
                              </w:r>
                            </w:p>
                          </w:txbxContent>
                        </v:textbox>
                      </v:rect>
                      <v:rect id="矩形 446" o:spid="_x0000_s1026" o:spt="1" style="position:absolute;left:0;top:37371;height:295903;width:1431503;v-text-anchor:middle;" fillcolor="#FFFFFF" filled="t" stroked="t" coordsize="21600,21600" o:gfxdata="UEsDBAoAAAAAAIdO4kAAAAAAAAAAAAAAAAAEAAAAZHJzL1BLAwQUAAAACACHTuJA9M4zUNYAAAAF&#10;AQAADwAAAGRycy9kb3ducmV2LnhtbE2PQUsDMRCF70L/QxjBm00qdm23m+1BkIJCwSoVb+lmurs2&#10;mSybbFv/vVMvenkwvMd73xTLs3fiiH1sA2mYjBUIpCrYlmoN729PtzMQMRmyxgVCDd8YYVmOrgqT&#10;23CiVzxuUi24hGJuNDQpdbmUsWrQmzgOHRJ7+9B7k/jsa2l7c+Jy7+SdUpn0piVeaEyHjw1Wh83g&#10;NcxXdVg/b91Wfn593A/Tl1WcVaT1zfVELUAkPKe/MFzwGR1KZtqFgWwUTgM/kn6VvYd5loHYcWiq&#10;MpBlIf/Tlz9QSwMEFAAAAAgAh07iQLielm8+AgAAewQAAA4AAABkcnMvZTJvRG9jLnhtbK1UzW7b&#10;MAy+D9g7CLqvjvPTNkacokjRYUC3Fej2AIosx8IkUaOUON3LDNhtD7HHGfYao2WnS7sdepgPBinS&#10;H/l9pLy42FvDdgqDBlfy/GTEmXISKu02Jf/44frVOWchClcJA06V/F4FfrF8+WLR+kKNoQFTKWQE&#10;4kLR+pI3Mfoiy4JslBXhBLxyFKwBrYjk4iarULSEbk02Ho1Osxaw8ghShUCnV32QD4j4HECoay3V&#10;FcitVS72qKiMiEQpNNoHvkzd1rWS8X1dBxWZKTkxjelNRched+9suRDFBoVvtBxaEM9p4QknK7Sj&#10;og9QVyIKtkX9F5TVEiFAHU8k2KwnkhQhFvnoiTZ3jfAqcSGpg38QPfw/WPlud4tMVyUfjzlzwtLE&#10;f339/vPHNzadnnbytD4UlHXnb7EjGPwNyE+BOVg1wm3UJSK0jRIVNZV3+dmjDzon0Kds3b6FisDF&#10;NkJSal+j7QBJA7ZPA7kv+eRscpZQRKH2kUkK5NNJPhtNOJMUH89nc7K7MqI4IHgM8bUCyzqj5EhD&#10;TxXE7ibEPvWQkhiA0dW1NiY5uFmvDLKdoAW5Ts+AHo7TjGNtyeez8SwhP4qFY4hRev4FYXWke2O0&#10;Lfn5cZJxg2adTL3ccb/eD8qvobon9RD6zaV7S0YD+IWzlra25OHzVqDizLxxNIF5Pp12a54cMvD4&#10;dH04FU4SRMllRM56ZxX7S7H1qDcN1cgTUQeXNK9aJxm7Wfb9DB3TTqZBDPenW/pjP2X9+Wc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zjNQ1gAAAAUBAAAPAAAAAAAAAAEAIAAAACIAAABkcnMv&#10;ZG93bnJldi54bWxQSwECFAAUAAAACACHTuJAuJ6Wbz4CAAB7BAAADgAAAAAAAAABACAAAAAlAQAA&#10;ZHJzL2Uyb0RvYy54bWxQSwUGAAAAAAYABgBZAQAA1QUAAAAA&#10;">
                        <v:fill on="t" focussize="0,0"/>
                        <v:stroke color="#000000" miterlimit="8" joinstyle="miter"/>
                        <v:imagedata o:title=""/>
                        <o:lock v:ext="edit" aspectratio="f"/>
                        <v:textbox inset="2.54mm,0mm,2.54mm,0mm">
                          <w:txbxContent>
                            <w:p>
                              <w:pPr>
                                <w:jc w:val="center"/>
                              </w:pPr>
                              <w:r>
                                <w:rPr>
                                  <w:rFonts w:hint="eastAsia"/>
                                </w:rPr>
                                <w:t>申领排污许可证</w:t>
                              </w:r>
                            </w:p>
                          </w:txbxContent>
                        </v:textbox>
                      </v:rect>
                      <v:shape id="自选图形 447" o:spid="_x0000_s1026" o:spt="32" type="#_x0000_t32" style="position:absolute;left:3266907;top:807920;flip:x;height:400;width:359900;" filled="f" stroked="t" coordsize="21600,21600" o:gfxdata="UEsDBAoAAAAAAIdO4kAAAAAAAAAAAAAAAAAEAAAAZHJzL1BLAwQUAAAACACHTuJAxQu3vdYAAAAF&#10;AQAADwAAAGRycy9kb3ducmV2LnhtbE2PwU7DMBBE70j8g7VIvSBqt1JDCXF6ANqeUEUodzdekqjx&#10;OordNvn7LlzgMtJqRjNvs9XgWnHGPjSeNMymCgRS6W1DlYb95/phCSJEQ9a0nlDDiAFW+e1NZlLr&#10;L/SB5yJWgksopEZDHWOXShnKGp0JU98hsffte2cin30lbW8uXO5aOVcqkc40xAu16fClxvJYnJyG&#10;12K3WH/d74f5WG7fi83yuKPxTevJ3Uw9g4g4xL8w/OAzOuTMdPAnskG0GviR+KvsPT4lCYgDhxYq&#10;AZln8j99fgVQSwMEFAAAAAgAh07iQEM1GBgeAgAA/AMAAA4AAABkcnMvZTJvRG9jLnhtbK1TzXLT&#10;MBC+M8M7aHQndtz8NJ44PSQUDgUy0/IAiizbGmStRlLi5MaN4Rm49cg7wNt0Bt6ClWwKLZce8MGz&#10;0u5+u9+3q+XFsVXkIKyToAs6HqWUCM2hlLou6PubyxfnlDjPdMkUaFHQk3D0YvX82bIzucigAVUK&#10;SxBEu7wzBW28N3mSON6IlrkRGKHRWYFtmcejrZPSsg7RW5VkaTpLOrClscCFc3i76Z10QLRPAYSq&#10;klxsgO9boX2PaoViHim5RhpHV7HbqhLcv6sqJzxRBUWmPv6xCNq78E9WS5bXlplG8qEF9pQWHnFq&#10;mdRY9B5qwzwjeyv/gWolt+Cg8iMObdITiYogi3H6SJvrhhkRuaDUztyL7v4fLH972Foiy4JmZ5Ro&#10;1uLEf3z6+vPj57sv3+++3ZLJZB5E6ozLMXattzbQ5Ed9ba6Af3BEw7phuhax2ZuTQYBxyEgepISD&#10;M1hq172BEmPY3kNU7FjZllRKmtchMYCjKuRY0LNsNlukc0pOBT1P54tsmJY4esKDf7pYpDhHjv4J&#10;GqEmywNcADHW+VcCWhKMgjpvmawbvwatcSnA9qXY4cr5PvF3QkjWcCmVwnuWK026gi6m2TT25kDJ&#10;MjiDz9l6t1aWHFjYrvgNXTwIs7DXZQTzTKqXuiQ+yuStROGUoKFCK0pKlMAnGay+JaUHGYNy/Qx2&#10;UJ62NriDorgUkfSwwGHr/j7HqD+P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u3vdYAAAAF&#10;AQAADwAAAAAAAAABACAAAAAiAAAAZHJzL2Rvd25yZXYueG1sUEsBAhQAFAAAAAgAh07iQEM1GBge&#10;AgAA/AMAAA4AAAAAAAAAAQAgAAAAJQEAAGRycy9lMm9Eb2MueG1sUEsFBgAAAAAGAAYAWQEAALUF&#10;AAAAAA==&#10;">
                        <v:fill on="f" focussize="0,0"/>
                        <v:stroke color="#000000" joinstyle="round" endarrow="block"/>
                        <v:imagedata o:title=""/>
                        <o:lock v:ext="edit" aspectratio="f"/>
                      </v:shape>
                      <v:shape id="自选图形 448" o:spid="_x0000_s1026" o:spt="32" type="#_x0000_t32" style="position:absolute;left:3266907;top:184006;flip:y;height:1099;width:359200;" filled="f" stroked="t" coordsize="21600,21600" o:gfxdata="UEsDBAoAAAAAAIdO4kAAAAAAAAAAAAAAAAAEAAAAZHJzL1BLAwQUAAAACACHTuJAxQu3vdYAAAAF&#10;AQAADwAAAGRycy9kb3ducmV2LnhtbE2PwU7DMBBE70j8g7VIvSBqt1JDCXF6ANqeUEUodzdekqjx&#10;OordNvn7LlzgMtJqRjNvs9XgWnHGPjSeNMymCgRS6W1DlYb95/phCSJEQ9a0nlDDiAFW+e1NZlLr&#10;L/SB5yJWgksopEZDHWOXShnKGp0JU98hsffte2cin30lbW8uXO5aOVcqkc40xAu16fClxvJYnJyG&#10;12K3WH/d74f5WG7fi83yuKPxTevJ3Uw9g4g4xL8w/OAzOuTMdPAnskG0GviR+KvsPT4lCYgDhxYq&#10;AZln8j99fgVQSwMEFAAAAAgAh07iQK4MXCUbAgAA/QMAAA4AAABkcnMvZTJvRG9jLnhtbK1TwW4T&#10;MRC9I/EPlu9kk5CEZJVNDwnlUqBSC3fH9u5a2B7LdrLJjRviG7j1yD/A31SCv2DsjVpaLj2wB8ve&#10;mXnz5vl5eXYwmuylDwpsRUeDISXSchDKNhX9cH3+Yk5JiMwKpsHKih5loGer58+WnSvlGFrQQnqC&#10;IDaUnatoG6MriyLwVhoWBuCkxWAN3rCIR98UwrMO0Y0uxsPhrOjAC+eByxDw76YP0hOifwog1LXi&#10;cgN8Z6SNPaqXmkUcKbTKBbrKbOta8vi+roOMRFcUJ415xSa436a1WC1Z2XjmWsVPFNhTKDyayTBl&#10;sekd1IZFRnZe/QNlFPcQoI4DDqboB8mK4BSj4SNtrlrmZJ4FpQ7uTvTw/2D5u/2lJ0pUdDyhxDKD&#10;N/7ry/ffn7/efvt5++OGTCbzJFLnQom5a3vp05j8YK/cBfBPgVhYt8w2MpO9PjoEGKWK4kFJOgSH&#10;rbbdWxCYw3YRsmKH2htSa+U+psIEjqqQQ0VfjmezxfAVJUcMzCdonf625CESnuLTBfqJEp7iw8Ui&#10;N2Vlwksozof4RoIhaVPRED1TTRvXYC26Anzfi+0vQkxs7wtSsYVzpXU2h7akq+hiOp5mcgG0EimY&#10;0oJvtmvtyZ4le+XvxOJBmoedFRksMqVfW0Fi1il6hcppSVMHIwUlWuKbTLuekrYnHZN0/SVsQRwv&#10;fQonSdEVmfvJwcl2f59z1v2rX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Qu3vdYAAAAFAQAA&#10;DwAAAAAAAAABACAAAAAiAAAAZHJzL2Rvd25yZXYueG1sUEsBAhQAFAAAAAgAh07iQK4MXCUbAgAA&#10;/QMAAA4AAAAAAAAAAQAgAAAAJQEAAGRycy9lMm9Eb2MueG1sUEsFBgAAAAAGAAYAWQEAALIFAAAA&#10;AA==&#10;">
                        <v:fill on="f" focussize="0,0"/>
                        <v:stroke color="#000000" joinstyle="round" endarrow="block"/>
                        <v:imagedata o:title=""/>
                        <o:lock v:ext="edit" aspectratio="f"/>
                      </v:shape>
                      <v:shape id="自选图形 449" o:spid="_x0000_s1026" o:spt="32" type="#_x0000_t32" style="position:absolute;left:1432303;top:808493;flip:x y;height:400;width:403001;" filled="f" stroked="t" coordsize="21600,21600" o:gfxdata="UEsDBAoAAAAAAIdO4kAAAAAAAAAAAAAAAAAEAAAAZHJzL1BLAwQUAAAACACHTuJAFFGP0NUAAAAF&#10;AQAADwAAAGRycy9kb3ducmV2LnhtbE2PwU7DMBBE70j8g7VI3KidClIa4vRQiRMgRNtLb268TaLG&#10;azd20/L3LFzoZaTVjGbelouL68WIQ+w8acgmCgRS7W1HjYbN+vXhGURMhqzpPaGGb4ywqG5vSlNY&#10;f6YvHFepEVxCsTAa2pRCIWWsW3QmTnxAYm/vB2cSn0Mj7WDOXO56OVUql850xAutCbhssT6sTk7D&#10;XoX6c75+s8djeByb9+0mZB8Hre/vMvUCIuEl/YfhF5/RoWKmnT+RjaLXwI+kP2VvNs9zEDsOPakc&#10;ZFXKa/rqB1BLAwQUAAAACACHTuJAeY6hOh4CAAAGBAAADgAAAGRycy9lMm9Eb2MueG1srVPBjtMw&#10;EL0j8Q+W7zRpm0Vt1HQPLQuHBSrtwt11nMTC9li227Q3bohv4MaRf4C/WQn+grFT7UK57IEcrJmM&#10;5828N+PF5UErshfOSzAVHY9ySoThUEvTVvTd7dWzGSU+MFMzBUZU9Cg8vVw+fbLobSkm0IGqhSMI&#10;YnzZ24p2IdgyyzzvhGZ+BFYYDDbgNAvoujarHesRXatskufPsx5cbR1w4T3+XQ9BekJ0jwGEppFc&#10;rIHvtDBhQHVCsYCUfCetp8vUbdMIHt42jReBqIoi05BOLIL2Np7ZcsHK1jHbSX5qgT2mhTNOmkmD&#10;Re+h1iwwsnPyHygtuQMPTRhx0NlAJCmCLMb5mTY3HbMicUGpvb0X3f8/WP5mv3FE1hWdXFBimMaJ&#10;//z07dfHz3dfftx9/0qKYh5F6q0v8e7KbFykyQ/mxl4D/+CJgVXHTCtSs7dHiwDjmJH9lRIdb7HU&#10;tn8NNd5huwBJsUPjNGmUtK9iYrLeRyuWQX3IAZ1iOpnmU0qOFZ3ls2I+HeYmDoFwjBf5NM8xl2O8&#10;yNNQM1ZG4AhinQ8vBWgSjYr64Jhsu7ACY3A9wA2l2P7ah9j2Q0JMNnAllUpbogzpKzq/QKFixIOS&#10;dQwmx7XblXJkz+KepS9pcHbNwc7UCSwwqV6YmoQkWHASJVSCxgpa1JQogY8zWkNLypwEjRoO09hC&#10;fdy4GI7a4nqk3k+rHPfvTz/deni+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UY/Q1QAAAAUB&#10;AAAPAAAAAAAAAAEAIAAAACIAAABkcnMvZG93bnJldi54bWxQSwECFAAUAAAACACHTuJAeY6hOh4C&#10;AAAGBAAADgAAAAAAAAABACAAAAAkAQAAZHJzL2Uyb0RvYy54bWxQSwUGAAAAAAYABgBZAQAAtAUA&#10;AAAA&#10;">
                        <v:fill on="f" focussize="0,0"/>
                        <v:stroke color="#000000" joinstyle="round" endarrow="block"/>
                        <v:imagedata o:title=""/>
                        <o:lock v:ext="edit" aspectratio="f"/>
                      </v:shape>
                      <w10:wrap type="none"/>
                      <w10:anchorlock/>
                    </v:group>
                  </w:pict>
                </mc:Fallback>
              </mc:AlternateContent>
            </w:r>
          </w:p>
          <w:p>
            <w:pPr>
              <w:overflowPunct w:val="0"/>
              <w:spacing w:line="360" w:lineRule="auto"/>
              <w:jc w:val="center"/>
              <w:rPr>
                <w:rFonts w:ascii="Times New Roman" w:hAnsi="Times New Roman"/>
                <w:b/>
                <w:sz w:val="24"/>
                <w:szCs w:val="24"/>
              </w:rPr>
            </w:pPr>
            <w:r>
              <w:rPr>
                <w:rFonts w:ascii="Times New Roman"/>
                <w:b/>
                <w:sz w:val="24"/>
                <w:szCs w:val="24"/>
              </w:rPr>
              <w:t>图</w:t>
            </w:r>
            <w:r>
              <w:rPr>
                <w:rFonts w:ascii="Times New Roman" w:hAnsi="Times New Roman"/>
                <w:b/>
                <w:sz w:val="24"/>
                <w:szCs w:val="24"/>
              </w:rPr>
              <w:t>6-4</w:t>
            </w:r>
            <w:r>
              <w:rPr>
                <w:rFonts w:hint="eastAsia" w:ascii="Times New Roman" w:hAnsi="Times New Roman"/>
                <w:b/>
                <w:sz w:val="24"/>
                <w:szCs w:val="24"/>
              </w:rPr>
              <w:t xml:space="preserve">  验收流程图</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验收程序简述及相关要求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1）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（3）编制验收监测报告，本项以排放污染物为主的建设项目，参照《建设项目竣工环境保护验收技术指南 污染影响类》编制验收监测报告，建设单位不具备自主验收能力的可以委托有能力的技术机构编制。</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验收报告编制完成后5个工作日内，公开验收报告，公示的期限不得少于20个工作日，同步公开环保设施竣工日日期以及对环保设施公开调试的起始日期。建设单位公开上述信息的同时，应当向所在地县级以上环境保护主管部门报送相关信息，并接受监督检查。</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（6）验收报告公示期满后5个工作日内，建设单位应当登录全国建设项目竣工环境保护验收信息平台，填报建设项目基本信息、环境保护设施验收情况等相关信息，环境保护主管部门对上述信息予以公开。</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根据建设项目污染源产生及排放情况和污染防治措施，提出本项目环境保护设施竣工验收及环保投资内容一览表6-</w:t>
            </w:r>
            <w:r>
              <w:rPr>
                <w:rFonts w:ascii="Times New Roman" w:hAnsi="Times New Roman"/>
                <w:sz w:val="24"/>
                <w:szCs w:val="24"/>
              </w:rPr>
              <w:t>2</w:t>
            </w:r>
            <w:r>
              <w:rPr>
                <w:rFonts w:hint="eastAsia" w:ascii="Times New Roman" w:hAnsi="Times New Roman"/>
                <w:sz w:val="24"/>
                <w:szCs w:val="24"/>
              </w:rPr>
              <w:t>0。本项目环保投资</w:t>
            </w:r>
            <w:r>
              <w:rPr>
                <w:rFonts w:ascii="Times New Roman" w:hAnsi="Times New Roman"/>
                <w:sz w:val="24"/>
                <w:szCs w:val="24"/>
              </w:rPr>
              <w:t>1</w:t>
            </w:r>
            <w:r>
              <w:rPr>
                <w:rFonts w:hint="eastAsia" w:ascii="Times New Roman" w:hAnsi="Times New Roman"/>
                <w:sz w:val="24"/>
                <w:szCs w:val="24"/>
              </w:rPr>
              <w:t>25万元，占总投资的</w:t>
            </w:r>
            <w:r>
              <w:rPr>
                <w:rFonts w:ascii="Times New Roman" w:hAnsi="Times New Roman"/>
                <w:sz w:val="24"/>
                <w:szCs w:val="24"/>
              </w:rPr>
              <w:t>5.5</w:t>
            </w:r>
            <w:r>
              <w:rPr>
                <w:rFonts w:hint="eastAsia" w:ascii="Times New Roman" w:hAnsi="Times New Roman"/>
                <w:sz w:val="24"/>
                <w:szCs w:val="24"/>
              </w:rPr>
              <w:t>%。</w:t>
            </w: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bookmarkStart w:id="72" w:name="_GoBack"/>
            <w:bookmarkEnd w:id="72"/>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p>
          <w:p>
            <w:pPr>
              <w:overflowPunct w:val="0"/>
              <w:spacing w:line="360" w:lineRule="auto"/>
              <w:jc w:val="center"/>
              <w:rPr>
                <w:rFonts w:ascii="Times New Roman" w:hAnsi="Times New Roman"/>
                <w:b/>
                <w:sz w:val="24"/>
                <w:szCs w:val="24"/>
              </w:rPr>
            </w:pPr>
            <w:r>
              <w:rPr>
                <w:rFonts w:hint="eastAsia" w:ascii="Times New Roman" w:hAnsi="Times New Roman"/>
                <w:b/>
                <w:sz w:val="24"/>
                <w:szCs w:val="24"/>
              </w:rPr>
              <w:t>表6-</w:t>
            </w:r>
            <w:r>
              <w:rPr>
                <w:rFonts w:ascii="Times New Roman" w:hAnsi="Times New Roman"/>
                <w:b/>
                <w:sz w:val="24"/>
                <w:szCs w:val="24"/>
              </w:rPr>
              <w:t>2</w:t>
            </w:r>
            <w:r>
              <w:rPr>
                <w:rFonts w:hint="eastAsia" w:ascii="Times New Roman" w:hAnsi="Times New Roman"/>
                <w:b/>
                <w:sz w:val="24"/>
                <w:szCs w:val="24"/>
              </w:rPr>
              <w:t>0  建设项目竣工验收及环保投资一览表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7" w:type="dxa"/>
                <w:bottom w:w="0" w:type="dxa"/>
                <w:right w:w="57" w:type="dxa"/>
              </w:tblCellMar>
            </w:tblPr>
            <w:tblGrid>
              <w:gridCol w:w="731"/>
              <w:gridCol w:w="1166"/>
              <w:gridCol w:w="1453"/>
              <w:gridCol w:w="2182"/>
              <w:gridCol w:w="1163"/>
              <w:gridCol w:w="23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tcBorders>
                    <w:top w:val="single" w:color="auto" w:sz="12" w:space="0"/>
                    <w:bottom w:val="single" w:color="auto" w:sz="6" w:space="0"/>
                    <w:right w:val="single" w:color="auto" w:sz="6" w:space="0"/>
                  </w:tcBorders>
                  <w:vAlign w:val="center"/>
                </w:tcPr>
                <w:p>
                  <w:pPr>
                    <w:widowControl/>
                    <w:overflowPunct w:val="0"/>
                    <w:jc w:val="center"/>
                    <w:rPr>
                      <w:rFonts w:ascii="Times New Roman" w:hAnsi="Times New Roman"/>
                      <w:b/>
                      <w:szCs w:val="21"/>
                    </w:rPr>
                  </w:pPr>
                  <w:r>
                    <w:rPr>
                      <w:rFonts w:ascii="Times New Roman" w:hAnsi="Times New Roman"/>
                      <w:b/>
                      <w:szCs w:val="21"/>
                    </w:rPr>
                    <w:t>类型</w:t>
                  </w:r>
                </w:p>
              </w:tc>
              <w:tc>
                <w:tcPr>
                  <w:tcW w:w="1137" w:type="dxa"/>
                  <w:tcBorders>
                    <w:top w:val="single" w:color="auto" w:sz="12"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b/>
                      <w:szCs w:val="21"/>
                    </w:rPr>
                  </w:pPr>
                  <w:r>
                    <w:rPr>
                      <w:rFonts w:ascii="Times New Roman" w:hAnsi="Times New Roman"/>
                      <w:b/>
                      <w:szCs w:val="21"/>
                    </w:rPr>
                    <w:t>污染物来源</w:t>
                  </w:r>
                </w:p>
              </w:tc>
              <w:tc>
                <w:tcPr>
                  <w:tcW w:w="1417" w:type="dxa"/>
                  <w:tcBorders>
                    <w:top w:val="single" w:color="auto" w:sz="12"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b/>
                      <w:szCs w:val="21"/>
                    </w:rPr>
                  </w:pPr>
                  <w:r>
                    <w:rPr>
                      <w:rFonts w:ascii="Times New Roman" w:hAnsi="Times New Roman"/>
                      <w:b/>
                      <w:szCs w:val="21"/>
                    </w:rPr>
                    <w:t>验收因子</w:t>
                  </w:r>
                </w:p>
              </w:tc>
              <w:tc>
                <w:tcPr>
                  <w:tcW w:w="2127" w:type="dxa"/>
                  <w:tcBorders>
                    <w:top w:val="single" w:color="auto" w:sz="12"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b/>
                      <w:szCs w:val="21"/>
                    </w:rPr>
                  </w:pPr>
                  <w:r>
                    <w:rPr>
                      <w:rFonts w:ascii="Times New Roman" w:hAnsi="Times New Roman"/>
                      <w:b/>
                      <w:szCs w:val="21"/>
                    </w:rPr>
                    <w:t>防治措施</w:t>
                  </w:r>
                </w:p>
              </w:tc>
              <w:tc>
                <w:tcPr>
                  <w:tcW w:w="1134" w:type="dxa"/>
                  <w:tcBorders>
                    <w:top w:val="single" w:color="auto" w:sz="12" w:space="0"/>
                    <w:left w:val="single" w:color="auto" w:sz="6" w:space="0"/>
                    <w:bottom w:val="single" w:color="auto" w:sz="6" w:space="0"/>
                    <w:right w:val="single" w:color="auto" w:sz="6" w:space="0"/>
                  </w:tcBorders>
                </w:tcPr>
                <w:p>
                  <w:pPr>
                    <w:widowControl/>
                    <w:overflowPunct w:val="0"/>
                    <w:jc w:val="center"/>
                    <w:rPr>
                      <w:rFonts w:ascii="Times New Roman" w:hAnsi="Times New Roman"/>
                      <w:b/>
                      <w:szCs w:val="21"/>
                    </w:rPr>
                  </w:pPr>
                  <w:r>
                    <w:rPr>
                      <w:rFonts w:hint="eastAsia" w:ascii="Times New Roman" w:hAnsi="Times New Roman"/>
                      <w:b/>
                      <w:szCs w:val="21"/>
                    </w:rPr>
                    <w:t>环保投资</w:t>
                  </w:r>
                </w:p>
                <w:p>
                  <w:pPr>
                    <w:widowControl/>
                    <w:overflowPunct w:val="0"/>
                    <w:jc w:val="center"/>
                    <w:rPr>
                      <w:rFonts w:ascii="Times New Roman" w:hAnsi="Times New Roman"/>
                      <w:b/>
                      <w:szCs w:val="21"/>
                    </w:rPr>
                  </w:pPr>
                  <w:r>
                    <w:rPr>
                      <w:rFonts w:hint="eastAsia" w:ascii="Times New Roman" w:hAnsi="Times New Roman"/>
                      <w:b/>
                      <w:szCs w:val="21"/>
                    </w:rPr>
                    <w:t>（万元）</w:t>
                  </w:r>
                </w:p>
              </w:tc>
              <w:tc>
                <w:tcPr>
                  <w:tcW w:w="2286" w:type="dxa"/>
                  <w:tcBorders>
                    <w:top w:val="single" w:color="auto" w:sz="12" w:space="0"/>
                    <w:left w:val="single" w:color="auto" w:sz="6" w:space="0"/>
                    <w:bottom w:val="single" w:color="auto" w:sz="6" w:space="0"/>
                  </w:tcBorders>
                  <w:vAlign w:val="center"/>
                </w:tcPr>
                <w:p>
                  <w:pPr>
                    <w:widowControl/>
                    <w:overflowPunct w:val="0"/>
                    <w:jc w:val="center"/>
                    <w:rPr>
                      <w:rFonts w:ascii="Times New Roman" w:hAnsi="Times New Roman"/>
                      <w:b/>
                      <w:szCs w:val="21"/>
                    </w:rPr>
                  </w:pPr>
                  <w:r>
                    <w:rPr>
                      <w:rFonts w:ascii="Times New Roman" w:hAnsi="Times New Roman"/>
                      <w:b/>
                      <w:szCs w:val="21"/>
                    </w:rPr>
                    <w:t>验收执行标准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restart"/>
                  <w:tcBorders>
                    <w:top w:val="single" w:color="auto" w:sz="6"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废</w:t>
                  </w:r>
                </w:p>
                <w:p>
                  <w:pPr>
                    <w:widowControl/>
                    <w:overflowPunct w:val="0"/>
                    <w:jc w:val="center"/>
                    <w:rPr>
                      <w:rFonts w:ascii="Times New Roman" w:hAnsi="Times New Roman"/>
                      <w:szCs w:val="21"/>
                    </w:rPr>
                  </w:pPr>
                  <w:r>
                    <w:rPr>
                      <w:rFonts w:ascii="Times New Roman" w:hAnsi="Times New Roman"/>
                      <w:szCs w:val="21"/>
                    </w:rPr>
                    <w:t>气</w:t>
                  </w: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采装</w:t>
                  </w:r>
                </w:p>
              </w:tc>
              <w:tc>
                <w:tcPr>
                  <w:tcW w:w="1417" w:type="dxa"/>
                  <w:tcBorders>
                    <w:top w:val="single" w:color="auto" w:sz="6" w:space="0"/>
                    <w:left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127" w:type="dxa"/>
                  <w:vMerge w:val="restart"/>
                  <w:tcBorders>
                    <w:top w:val="single" w:color="auto" w:sz="6" w:space="0"/>
                    <w:left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洒水抑尘</w:t>
                  </w:r>
                </w:p>
              </w:tc>
              <w:tc>
                <w:tcPr>
                  <w:tcW w:w="1134" w:type="dxa"/>
                  <w:vMerge w:val="restart"/>
                  <w:tcBorders>
                    <w:top w:val="single" w:color="auto" w:sz="6" w:space="0"/>
                    <w:left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2</w:t>
                  </w:r>
                </w:p>
              </w:tc>
              <w:tc>
                <w:tcPr>
                  <w:tcW w:w="2286" w:type="dxa"/>
                  <w:vMerge w:val="restart"/>
                  <w:tcBorders>
                    <w:top w:val="single" w:color="auto" w:sz="6" w:space="0"/>
                    <w:lef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《砖瓦工业大气污染物排放标准》（GB29620-2013）表2中排放限值及表3中边界大气污染物浓度限值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装卸及堆场</w:t>
                  </w:r>
                </w:p>
              </w:tc>
              <w:tc>
                <w:tcPr>
                  <w:tcW w:w="1417" w:type="dxa"/>
                  <w:tcBorders>
                    <w:left w:val="single" w:color="auto" w:sz="6" w:space="0"/>
                    <w:right w:val="single" w:color="auto" w:sz="6" w:space="0"/>
                  </w:tcBorders>
                  <w:vAlign w:val="center"/>
                </w:tcPr>
                <w:p>
                  <w:pPr>
                    <w:overflowPunct w:val="0"/>
                    <w:jc w:val="center"/>
                    <w:rPr>
                      <w:rFonts w:ascii="Times New Roman" w:hAnsi="Times New Roman"/>
                      <w:szCs w:val="21"/>
                      <w:vertAlign w:val="subscript"/>
                    </w:rPr>
                  </w:pPr>
                  <w:r>
                    <w:rPr>
                      <w:rFonts w:hint="eastAsia" w:ascii="Times New Roman" w:hAnsi="Times New Roman"/>
                      <w:szCs w:val="21"/>
                    </w:rPr>
                    <w:t>颗粒物</w:t>
                  </w:r>
                </w:p>
              </w:tc>
              <w:tc>
                <w:tcPr>
                  <w:tcW w:w="2127" w:type="dxa"/>
                  <w:vMerge w:val="continue"/>
                  <w:tcBorders>
                    <w:left w:val="single" w:color="auto" w:sz="6" w:space="0"/>
                    <w:right w:val="single" w:color="auto" w:sz="6" w:space="0"/>
                  </w:tcBorders>
                  <w:vAlign w:val="center"/>
                </w:tcPr>
                <w:p>
                  <w:pPr>
                    <w:widowControl/>
                    <w:overflowPunct w:val="0"/>
                    <w:jc w:val="center"/>
                    <w:rPr>
                      <w:rFonts w:ascii="Times New Roman" w:hAnsi="Times New Roman"/>
                      <w:szCs w:val="21"/>
                    </w:rPr>
                  </w:pPr>
                </w:p>
              </w:tc>
              <w:tc>
                <w:tcPr>
                  <w:tcW w:w="1134" w:type="dxa"/>
                  <w:vMerge w:val="continue"/>
                  <w:tcBorders>
                    <w:left w:val="single" w:color="auto" w:sz="6" w:space="0"/>
                    <w:right w:val="single" w:color="auto" w:sz="6" w:space="0"/>
                  </w:tcBorders>
                  <w:vAlign w:val="center"/>
                </w:tcPr>
                <w:p>
                  <w:pPr>
                    <w:overflowPunct w:val="0"/>
                    <w:jc w:val="center"/>
                    <w:rPr>
                      <w:rFonts w:ascii="Times New Roman" w:hAnsi="Times New Roman"/>
                      <w:szCs w:val="21"/>
                    </w:rPr>
                  </w:pPr>
                </w:p>
              </w:tc>
              <w:tc>
                <w:tcPr>
                  <w:tcW w:w="2286" w:type="dxa"/>
                  <w:vMerge w:val="continue"/>
                  <w:tcBorders>
                    <w:left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运输车辆</w:t>
                  </w:r>
                </w:p>
              </w:tc>
              <w:tc>
                <w:tcPr>
                  <w:tcW w:w="1417" w:type="dxa"/>
                  <w:tcBorders>
                    <w:left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127" w:type="dxa"/>
                  <w:vMerge w:val="continue"/>
                  <w:tcBorders>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p>
              </w:tc>
              <w:tc>
                <w:tcPr>
                  <w:tcW w:w="1134" w:type="dxa"/>
                  <w:vMerge w:val="continue"/>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p>
              </w:tc>
              <w:tc>
                <w:tcPr>
                  <w:tcW w:w="2286" w:type="dxa"/>
                  <w:vMerge w:val="continue"/>
                  <w:tcBorders>
                    <w:left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碎石破碎筛分</w:t>
                  </w:r>
                </w:p>
              </w:tc>
              <w:tc>
                <w:tcPr>
                  <w:tcW w:w="1417" w:type="dxa"/>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12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hint="eastAsia" w:ascii="Times New Roman" w:hAnsi="Times New Roman"/>
                      <w:szCs w:val="21"/>
                    </w:rPr>
                  </w:pPr>
                  <w:r>
                    <w:rPr>
                      <w:rFonts w:hint="eastAsia" w:ascii="Times New Roman" w:hAnsi="Times New Roman"/>
                      <w:szCs w:val="21"/>
                    </w:rPr>
                    <w:t>水雾喷淋装置</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5</w:t>
                  </w:r>
                </w:p>
              </w:tc>
              <w:tc>
                <w:tcPr>
                  <w:tcW w:w="2286" w:type="dxa"/>
                  <w:vMerge w:val="continue"/>
                  <w:tcBorders>
                    <w:left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页岩砖破碎搅拌</w:t>
                  </w:r>
                </w:p>
              </w:tc>
              <w:tc>
                <w:tcPr>
                  <w:tcW w:w="1417" w:type="dxa"/>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12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水雾喷淋装置</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5</w:t>
                  </w:r>
                </w:p>
              </w:tc>
              <w:tc>
                <w:tcPr>
                  <w:tcW w:w="2286" w:type="dxa"/>
                  <w:vMerge w:val="continue"/>
                  <w:tcBorders>
                    <w:left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隧道窑</w:t>
                  </w:r>
                </w:p>
              </w:tc>
              <w:tc>
                <w:tcPr>
                  <w:tcW w:w="1417" w:type="dxa"/>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颗粒物、SO</w:t>
                  </w:r>
                  <w:r>
                    <w:rPr>
                      <w:rFonts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p>
              </w:tc>
              <w:tc>
                <w:tcPr>
                  <w:tcW w:w="212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双碱湿法脱硫除尘系统+</w:t>
                  </w:r>
                  <w:r>
                    <w:rPr>
                      <w:rFonts w:ascii="Times New Roman" w:hAnsi="Times New Roman"/>
                      <w:szCs w:val="21"/>
                    </w:rPr>
                    <w:t>65</w:t>
                  </w:r>
                  <w:r>
                    <w:rPr>
                      <w:rFonts w:hint="eastAsia" w:ascii="Times New Roman" w:hAnsi="Times New Roman"/>
                      <w:szCs w:val="21"/>
                    </w:rPr>
                    <w:t>m高烟囱</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65</w:t>
                  </w:r>
                </w:p>
              </w:tc>
              <w:tc>
                <w:tcPr>
                  <w:tcW w:w="2286" w:type="dxa"/>
                  <w:vMerge w:val="continue"/>
                  <w:tcBorders>
                    <w:left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食堂</w:t>
                  </w:r>
                </w:p>
              </w:tc>
              <w:tc>
                <w:tcPr>
                  <w:tcW w:w="1417" w:type="dxa"/>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油烟废气</w:t>
                  </w:r>
                </w:p>
              </w:tc>
              <w:tc>
                <w:tcPr>
                  <w:tcW w:w="212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油烟净化装置</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1</w:t>
                  </w:r>
                </w:p>
              </w:tc>
              <w:tc>
                <w:tcPr>
                  <w:tcW w:w="2286" w:type="dxa"/>
                  <w:tcBorders>
                    <w:lef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《饮食业油烟排放标准（试行）》（GB18483-2001）表2中的标准限值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restart"/>
                  <w:tcBorders>
                    <w:top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废</w:t>
                  </w:r>
                </w:p>
                <w:p>
                  <w:pPr>
                    <w:overflowPunct w:val="0"/>
                    <w:jc w:val="center"/>
                    <w:rPr>
                      <w:rFonts w:ascii="Times New Roman" w:hAnsi="Times New Roman"/>
                      <w:szCs w:val="21"/>
                    </w:rPr>
                  </w:pPr>
                  <w:r>
                    <w:rPr>
                      <w:rFonts w:ascii="Times New Roman" w:hAnsi="Times New Roman"/>
                      <w:szCs w:val="21"/>
                    </w:rPr>
                    <w:t>水</w:t>
                  </w: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生活</w:t>
                  </w:r>
                </w:p>
                <w:p>
                  <w:pPr>
                    <w:overflowPunct w:val="0"/>
                    <w:jc w:val="center"/>
                    <w:rPr>
                      <w:rFonts w:ascii="Times New Roman" w:hAnsi="Times New Roman"/>
                      <w:szCs w:val="21"/>
                    </w:rPr>
                  </w:pPr>
                  <w:r>
                    <w:rPr>
                      <w:rFonts w:hint="eastAsia" w:ascii="Times New Roman" w:hAnsi="Times New Roman"/>
                      <w:szCs w:val="21"/>
                    </w:rPr>
                    <w:t>污水</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rPr>
                    <w:t>pH值、COD、SS、石油类、BOD</w:t>
                  </w:r>
                  <w:r>
                    <w:rPr>
                      <w:rFonts w:ascii="Times New Roman" w:hAnsi="Times New Roman"/>
                      <w:vertAlign w:val="subscript"/>
                    </w:rPr>
                    <w:t>5</w:t>
                  </w:r>
                  <w:r>
                    <w:rPr>
                      <w:rFonts w:hint="eastAsia" w:ascii="Times New Roman" w:hAnsi="Times New Roman"/>
                    </w:rPr>
                    <w:t>、氨氮</w:t>
                  </w:r>
                </w:p>
              </w:tc>
              <w:tc>
                <w:tcPr>
                  <w:tcW w:w="212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隔油池+化粪池</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2</w:t>
                  </w:r>
                </w:p>
              </w:tc>
              <w:tc>
                <w:tcPr>
                  <w:tcW w:w="2286" w:type="dxa"/>
                  <w:tcBorders>
                    <w:top w:val="single" w:color="auto" w:sz="6" w:space="0"/>
                    <w:left w:val="single" w:color="auto" w:sz="6" w:space="0"/>
                    <w:bottom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用于菜地施肥，综合消纳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初期雨水</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rPr>
                  </w:pPr>
                  <w:r>
                    <w:rPr>
                      <w:rFonts w:hint="eastAsia" w:ascii="Times New Roman" w:hAnsi="Times New Roman"/>
                    </w:rPr>
                    <w:t>SS</w:t>
                  </w:r>
                </w:p>
              </w:tc>
              <w:tc>
                <w:tcPr>
                  <w:tcW w:w="2127" w:type="dxa"/>
                  <w:vMerge w:val="restart"/>
                  <w:tcBorders>
                    <w:top w:val="single" w:color="auto" w:sz="6" w:space="0"/>
                    <w:left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沉淀池（容积2</w:t>
                  </w:r>
                  <w:r>
                    <w:rPr>
                      <w:rFonts w:ascii="Times New Roman" w:hAnsi="Times New Roman"/>
                      <w:szCs w:val="21"/>
                    </w:rPr>
                    <w:t>00</w:t>
                  </w:r>
                  <w:r>
                    <w:rPr>
                      <w:rFonts w:hint="eastAsia"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10</w:t>
                  </w:r>
                </w:p>
              </w:tc>
              <w:tc>
                <w:tcPr>
                  <w:tcW w:w="2286" w:type="dxa"/>
                  <w:vMerge w:val="restart"/>
                  <w:tcBorders>
                    <w:top w:val="single" w:color="auto" w:sz="6" w:space="0"/>
                    <w:lef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沉淀后用于搅拌用水、降尘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搅拌机清洗废水</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rPr>
                  </w:pPr>
                  <w:r>
                    <w:rPr>
                      <w:rFonts w:hint="eastAsia" w:ascii="Times New Roman" w:hAnsi="Times New Roman"/>
                    </w:rPr>
                    <w:t>SS</w:t>
                  </w:r>
                </w:p>
              </w:tc>
              <w:tc>
                <w:tcPr>
                  <w:tcW w:w="2127" w:type="dxa"/>
                  <w:vMerge w:val="continue"/>
                  <w:tcBorders>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10</w:t>
                  </w:r>
                </w:p>
              </w:tc>
              <w:tc>
                <w:tcPr>
                  <w:tcW w:w="2286" w:type="dxa"/>
                  <w:vMerge w:val="continue"/>
                  <w:tcBorders>
                    <w:left w:val="single" w:color="auto" w:sz="6" w:space="0"/>
                    <w:bottom w:val="single" w:color="auto" w:sz="6" w:space="0"/>
                  </w:tcBorders>
                  <w:vAlign w:val="center"/>
                </w:tcPr>
                <w:p>
                  <w:pPr>
                    <w:overflowPunct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喷淋废水</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rPr>
                  </w:pPr>
                  <w:r>
                    <w:rPr>
                      <w:rFonts w:hint="eastAsia" w:ascii="Times New Roman" w:hAnsi="Times New Roman"/>
                    </w:rPr>
                    <w:t>SS</w:t>
                  </w:r>
                </w:p>
              </w:tc>
              <w:tc>
                <w:tcPr>
                  <w:tcW w:w="212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沉淀池（容积1</w:t>
                  </w:r>
                  <w:r>
                    <w:rPr>
                      <w:rFonts w:ascii="Times New Roman" w:hAnsi="Times New Roman"/>
                      <w:szCs w:val="21"/>
                    </w:rPr>
                    <w:t>0</w:t>
                  </w:r>
                  <w:r>
                    <w:rPr>
                      <w:rFonts w:hint="eastAsia"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5</w:t>
                  </w:r>
                </w:p>
              </w:tc>
              <w:tc>
                <w:tcPr>
                  <w:tcW w:w="2286" w:type="dxa"/>
                  <w:tcBorders>
                    <w:top w:val="single" w:color="auto" w:sz="6" w:space="0"/>
                    <w:left w:val="single" w:color="auto" w:sz="6" w:space="0"/>
                    <w:bottom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沉淀后循环使用，不外排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bottom w:val="single" w:color="auto" w:sz="6" w:space="0"/>
                    <w:right w:val="single" w:color="auto" w:sz="6" w:space="0"/>
                  </w:tcBorders>
                  <w:vAlign w:val="center"/>
                </w:tcPr>
                <w:p>
                  <w:pPr>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脱硫废水</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rPr>
                  </w:pPr>
                  <w:r>
                    <w:rPr>
                      <w:rFonts w:hint="eastAsia" w:ascii="Times New Roman" w:hAnsi="Times New Roman"/>
                    </w:rPr>
                    <w:t>-</w:t>
                  </w:r>
                </w:p>
              </w:tc>
              <w:tc>
                <w:tcPr>
                  <w:tcW w:w="2127"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生石灰、烧碱</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w:t>
                  </w:r>
                </w:p>
              </w:tc>
              <w:tc>
                <w:tcPr>
                  <w:tcW w:w="2286" w:type="dxa"/>
                  <w:tcBorders>
                    <w:top w:val="single" w:color="auto" w:sz="6" w:space="0"/>
                    <w:left w:val="single" w:color="auto" w:sz="6" w:space="0"/>
                    <w:bottom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加入石灰水沉淀后循环使用，不外排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tcBorders>
                    <w:top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噪</w:t>
                  </w:r>
                </w:p>
                <w:p>
                  <w:pPr>
                    <w:widowControl/>
                    <w:overflowPunct w:val="0"/>
                    <w:jc w:val="center"/>
                    <w:rPr>
                      <w:rFonts w:ascii="Times New Roman" w:hAnsi="Times New Roman"/>
                      <w:szCs w:val="21"/>
                    </w:rPr>
                  </w:pPr>
                  <w:r>
                    <w:rPr>
                      <w:rFonts w:ascii="Times New Roman" w:hAnsi="Times New Roman"/>
                      <w:szCs w:val="21"/>
                    </w:rPr>
                    <w:t>声</w:t>
                  </w: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设备</w:t>
                  </w:r>
                </w:p>
                <w:p>
                  <w:pPr>
                    <w:widowControl/>
                    <w:overflowPunct w:val="0"/>
                    <w:jc w:val="center"/>
                    <w:rPr>
                      <w:rFonts w:ascii="Times New Roman" w:hAnsi="Times New Roman"/>
                      <w:szCs w:val="21"/>
                    </w:rPr>
                  </w:pPr>
                  <w:r>
                    <w:rPr>
                      <w:rFonts w:ascii="Times New Roman" w:hAnsi="Times New Roman"/>
                      <w:szCs w:val="21"/>
                    </w:rPr>
                    <w:t>噪声</w:t>
                  </w:r>
                </w:p>
              </w:tc>
              <w:tc>
                <w:tcPr>
                  <w:tcW w:w="141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LAeq</w:t>
                  </w:r>
                </w:p>
              </w:tc>
              <w:tc>
                <w:tcPr>
                  <w:tcW w:w="212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选用低噪声设备，加强设备的保养与检修</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4</w:t>
                  </w:r>
                </w:p>
              </w:tc>
              <w:tc>
                <w:tcPr>
                  <w:tcW w:w="2286" w:type="dxa"/>
                  <w:tcBorders>
                    <w:top w:val="single" w:color="auto" w:sz="6" w:space="0"/>
                    <w:left w:val="single" w:color="auto" w:sz="6" w:space="0"/>
                    <w:bottom w:val="single" w:color="auto" w:sz="6" w:space="0"/>
                  </w:tcBorders>
                  <w:vAlign w:val="center"/>
                </w:tcPr>
                <w:p>
                  <w:pPr>
                    <w:overflowPunct w:val="0"/>
                    <w:jc w:val="center"/>
                    <w:rPr>
                      <w:rFonts w:ascii="Times New Roman" w:hAnsi="Times New Roman"/>
                      <w:szCs w:val="21"/>
                    </w:rPr>
                  </w:pPr>
                  <w:r>
                    <w:rPr>
                      <w:rFonts w:ascii="Times New Roman" w:hAnsi="Times New Roman"/>
                      <w:szCs w:val="21"/>
                    </w:rPr>
                    <w:t>《工业企业厂界环境噪声排放标准》</w:t>
                  </w:r>
                  <w:r>
                    <w:rPr>
                      <w:rFonts w:hint="eastAsia" w:ascii="Times New Roman" w:hAnsi="Times New Roman"/>
                      <w:szCs w:val="21"/>
                    </w:rPr>
                    <w:t>（</w:t>
                  </w:r>
                  <w:r>
                    <w:rPr>
                      <w:rFonts w:ascii="Times New Roman" w:hAnsi="Times New Roman"/>
                      <w:szCs w:val="21"/>
                    </w:rPr>
                    <w:t>GB 12348-2008</w:t>
                  </w:r>
                  <w:r>
                    <w:rPr>
                      <w:rFonts w:hint="eastAsia" w:ascii="Times New Roman" w:hAnsi="Times New Roman"/>
                      <w:szCs w:val="21"/>
                    </w:rPr>
                    <w:t>）</w:t>
                  </w:r>
                  <w:r>
                    <w:rPr>
                      <w:rFonts w:ascii="Times New Roman" w:hAnsi="Times New Roman"/>
                      <w:szCs w:val="21"/>
                    </w:rPr>
                    <w:t>中的2类标准要求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tcBorders>
                    <w:top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废气</w:t>
                  </w:r>
                </w:p>
              </w:tc>
              <w:tc>
                <w:tcPr>
                  <w:tcW w:w="1137"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隧道窑</w:t>
                  </w:r>
                </w:p>
              </w:tc>
              <w:tc>
                <w:tcPr>
                  <w:tcW w:w="141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hint="eastAsia" w:ascii="Times New Roman" w:hAnsi="Times New Roman"/>
                      <w:sz w:val="21"/>
                      <w:szCs w:val="21"/>
                    </w:rPr>
                    <w:t>颗粒物、SO</w:t>
                  </w:r>
                  <w:r>
                    <w:rPr>
                      <w:rFonts w:ascii="Times New Roman" w:hAnsi="Times New Roman"/>
                      <w:sz w:val="21"/>
                      <w:szCs w:val="21"/>
                      <w:vertAlign w:val="subscript"/>
                    </w:rPr>
                    <w:t>2</w:t>
                  </w:r>
                  <w:r>
                    <w:rPr>
                      <w:rFonts w:hint="eastAsia" w:ascii="Times New Roman" w:hAnsi="Times New Roman"/>
                      <w:sz w:val="21"/>
                      <w:szCs w:val="21"/>
                    </w:rPr>
                    <w:t>、NO</w:t>
                  </w:r>
                  <w:r>
                    <w:rPr>
                      <w:rFonts w:hint="eastAsia" w:ascii="Times New Roman" w:hAnsi="Times New Roman"/>
                      <w:sz w:val="21"/>
                      <w:szCs w:val="21"/>
                      <w:vertAlign w:val="subscript"/>
                    </w:rPr>
                    <w:t>X</w:t>
                  </w:r>
                </w:p>
              </w:tc>
              <w:tc>
                <w:tcPr>
                  <w:tcW w:w="212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hint="eastAsia" w:ascii="Times New Roman" w:hAnsi="Times New Roman"/>
                      <w:kern w:val="2"/>
                      <w:sz w:val="21"/>
                      <w:szCs w:val="21"/>
                    </w:rPr>
                    <w:t>自动在线监测系统，</w:t>
                  </w:r>
                  <w:r>
                    <w:rPr>
                      <w:rFonts w:ascii="Times New Roman" w:hAnsi="Times New Roman"/>
                      <w:kern w:val="2"/>
                      <w:sz w:val="21"/>
                      <w:szCs w:val="21"/>
                    </w:rPr>
                    <w:t>选用</w:t>
                  </w:r>
                  <w:r>
                    <w:rPr>
                      <w:rFonts w:hint="eastAsia" w:ascii="Times New Roman" w:hAnsi="Times New Roman"/>
                      <w:kern w:val="2"/>
                      <w:sz w:val="21"/>
                      <w:szCs w:val="21"/>
                    </w:rPr>
                    <w:t>高性能的设备</w:t>
                  </w:r>
                  <w:r>
                    <w:rPr>
                      <w:rFonts w:ascii="Times New Roman" w:hAnsi="Times New Roman"/>
                      <w:kern w:val="2"/>
                      <w:sz w:val="21"/>
                      <w:szCs w:val="21"/>
                    </w:rPr>
                    <w:t>，加强设备保养与检修</w:t>
                  </w:r>
                </w:p>
              </w:tc>
              <w:tc>
                <w:tcPr>
                  <w:tcW w:w="1134" w:type="dxa"/>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15</w:t>
                  </w:r>
                </w:p>
              </w:tc>
              <w:tc>
                <w:tcPr>
                  <w:tcW w:w="2286" w:type="dxa"/>
                  <w:tcBorders>
                    <w:top w:val="single" w:color="auto" w:sz="6" w:space="0"/>
                    <w:left w:val="single" w:color="auto" w:sz="6" w:space="0"/>
                    <w:bottom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《砖瓦工业大气污染物排放标准》（GB29620-2013）表2中排放限值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restart"/>
                  <w:tcBorders>
                    <w:top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固</w:t>
                  </w:r>
                </w:p>
                <w:p>
                  <w:pPr>
                    <w:widowControl/>
                    <w:overflowPunct w:val="0"/>
                    <w:jc w:val="center"/>
                    <w:rPr>
                      <w:rFonts w:ascii="Times New Roman" w:hAnsi="Times New Roman"/>
                      <w:szCs w:val="21"/>
                    </w:rPr>
                  </w:pPr>
                  <w:r>
                    <w:rPr>
                      <w:rFonts w:ascii="Times New Roman" w:hAnsi="Times New Roman"/>
                      <w:szCs w:val="21"/>
                    </w:rPr>
                    <w:t>体</w:t>
                  </w:r>
                </w:p>
                <w:p>
                  <w:pPr>
                    <w:widowControl/>
                    <w:overflowPunct w:val="0"/>
                    <w:jc w:val="center"/>
                    <w:rPr>
                      <w:rFonts w:ascii="Times New Roman" w:hAnsi="Times New Roman"/>
                      <w:szCs w:val="21"/>
                    </w:rPr>
                  </w:pPr>
                  <w:r>
                    <w:rPr>
                      <w:rFonts w:ascii="Times New Roman" w:hAnsi="Times New Roman"/>
                      <w:szCs w:val="21"/>
                    </w:rPr>
                    <w:t>废</w:t>
                  </w:r>
                </w:p>
                <w:p>
                  <w:pPr>
                    <w:widowControl/>
                    <w:overflowPunct w:val="0"/>
                    <w:jc w:val="center"/>
                    <w:rPr>
                      <w:rFonts w:ascii="Times New Roman" w:hAnsi="Times New Roman"/>
                      <w:szCs w:val="21"/>
                    </w:rPr>
                  </w:pPr>
                  <w:r>
                    <w:rPr>
                      <w:rFonts w:ascii="Times New Roman" w:hAnsi="Times New Roman"/>
                      <w:szCs w:val="21"/>
                    </w:rPr>
                    <w:t>物</w:t>
                  </w:r>
                </w:p>
              </w:tc>
              <w:tc>
                <w:tcPr>
                  <w:tcW w:w="113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一般</w:t>
                  </w:r>
                </w:p>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固废</w:t>
                  </w:r>
                </w:p>
              </w:tc>
              <w:tc>
                <w:tcPr>
                  <w:tcW w:w="3544" w:type="dxa"/>
                  <w:gridSpan w:val="2"/>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设垃圾收集箱，生活垃圾由环卫部门负责清运处置</w:t>
                  </w:r>
                  <w:r>
                    <w:rPr>
                      <w:rFonts w:hint="eastAsia" w:ascii="Times New Roman" w:hAnsi="Times New Roman"/>
                    </w:rPr>
                    <w:t>；</w:t>
                  </w:r>
                  <w:r>
                    <w:rPr>
                      <w:rFonts w:hint="eastAsia" w:ascii="Times New Roman" w:hAnsi="Times New Roman"/>
                      <w:color w:val="000000" w:themeColor="text1"/>
                      <w:szCs w:val="21"/>
                      <w14:textFill>
                        <w14:solidFill>
                          <w14:schemeClr w14:val="tx1"/>
                        </w14:solidFill>
                      </w14:textFill>
                    </w:rPr>
                    <w:t>沉淀池沉渣定期清理，回用于厂区制砖；</w:t>
                  </w:r>
                  <w:r>
                    <w:rPr>
                      <w:rFonts w:hint="eastAsia" w:ascii="Times New Roman" w:hAnsi="Times New Roman"/>
                      <w:bCs/>
                      <w:color w:val="000000" w:themeColor="text1"/>
                      <w:szCs w:val="21"/>
                      <w14:textFill>
                        <w14:solidFill>
                          <w14:schemeClr w14:val="tx1"/>
                        </w14:solidFill>
                      </w14:textFill>
                    </w:rPr>
                    <w:t>脱硫废水沉渣</w:t>
                  </w:r>
                  <w:r>
                    <w:rPr>
                      <w:rFonts w:ascii="Times New Roman" w:hAnsi="Times New Roman"/>
                      <w:color w:val="000000" w:themeColor="text1"/>
                      <w:kern w:val="0"/>
                      <w:szCs w:val="21"/>
                      <w14:textFill>
                        <w14:solidFill>
                          <w14:schemeClr w14:val="tx1"/>
                        </w14:solidFill>
                      </w14:textFill>
                    </w:rPr>
                    <w:t>集中储存在浓缩池中，并定期清理干化处理</w:t>
                  </w:r>
                  <w:r>
                    <w:rPr>
                      <w:rFonts w:hint="eastAsia" w:ascii="Times New Roman" w:hAnsi="Times New Roman"/>
                      <w:color w:val="000000" w:themeColor="text1"/>
                      <w:kern w:val="0"/>
                      <w:szCs w:val="21"/>
                      <w14:textFill>
                        <w14:solidFill>
                          <w14:schemeClr w14:val="tx1"/>
                        </w14:solidFill>
                      </w14:textFill>
                    </w:rPr>
                    <w:t>作为原料外售给水泥厂；废石及</w:t>
                  </w:r>
                  <w:r>
                    <w:rPr>
                      <w:rFonts w:ascii="Times New Roman" w:hAnsi="Times New Roman"/>
                      <w:color w:val="000000" w:themeColor="text1"/>
                      <w:kern w:val="0"/>
                      <w:szCs w:val="21"/>
                      <w14:textFill>
                        <w14:solidFill>
                          <w14:schemeClr w14:val="tx1"/>
                        </w14:solidFill>
                      </w14:textFill>
                    </w:rPr>
                    <w:t>不合格产品</w:t>
                  </w:r>
                  <w:r>
                    <w:rPr>
                      <w:rFonts w:hint="eastAsia" w:ascii="Times New Roman" w:hAnsi="Times New Roman"/>
                      <w:color w:val="000000" w:themeColor="text1"/>
                      <w:kern w:val="0"/>
                      <w:szCs w:val="21"/>
                      <w14:textFill>
                        <w14:solidFill>
                          <w14:schemeClr w14:val="tx1"/>
                        </w14:solidFill>
                      </w14:textFill>
                    </w:rPr>
                    <w:t>回用于生产；</w:t>
                  </w:r>
                  <w:r>
                    <w:rPr>
                      <w:rFonts w:hint="eastAsia" w:ascii="Times New Roman" w:hAnsi="Times New Roman"/>
                      <w:bCs/>
                      <w:color w:val="000000" w:themeColor="text1"/>
                      <w:szCs w:val="21"/>
                      <w14:textFill>
                        <w14:solidFill>
                          <w14:schemeClr w14:val="tx1"/>
                        </w14:solidFill>
                      </w14:textFill>
                    </w:rPr>
                    <w:t>剥土运至排土场用作复垦土源</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2</w:t>
                  </w:r>
                </w:p>
              </w:tc>
              <w:tc>
                <w:tcPr>
                  <w:tcW w:w="2286" w:type="dxa"/>
                  <w:tcBorders>
                    <w:top w:val="single" w:color="auto" w:sz="6" w:space="0"/>
                    <w:left w:val="single" w:color="auto" w:sz="6" w:space="0"/>
                    <w:bottom w:val="single" w:color="auto" w:sz="6" w:space="0"/>
                  </w:tcBorders>
                  <w:vAlign w:val="center"/>
                </w:tcPr>
                <w:p>
                  <w:pPr>
                    <w:widowControl/>
                    <w:overflowPunct w:val="0"/>
                    <w:jc w:val="center"/>
                    <w:rPr>
                      <w:rFonts w:ascii="Times New Roman" w:hAnsi="Times New Roman"/>
                      <w:szCs w:val="21"/>
                    </w:rPr>
                  </w:pPr>
                  <w:r>
                    <w:rPr>
                      <w:rFonts w:hint="eastAsia" w:ascii="Times New Roman" w:hAnsi="Times New Roman"/>
                      <w:szCs w:val="21"/>
                    </w:rPr>
                    <w:t>《一般工业固体废物贮存、处置场污染控制标准》（GB</w:t>
                  </w:r>
                  <w:r>
                    <w:rPr>
                      <w:rFonts w:ascii="Times New Roman" w:hAnsi="Times New Roman"/>
                      <w:szCs w:val="21"/>
                    </w:rPr>
                    <w:t xml:space="preserve"> </w:t>
                  </w:r>
                  <w:r>
                    <w:rPr>
                      <w:rFonts w:hint="eastAsia" w:ascii="Times New Roman" w:hAnsi="Times New Roman"/>
                      <w:szCs w:val="21"/>
                    </w:rPr>
                    <w:t>18599-2001）及2013修改单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713" w:type="dxa"/>
                  <w:vMerge w:val="continue"/>
                  <w:tcBorders>
                    <w:top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危险</w:t>
                  </w:r>
                </w:p>
                <w:p>
                  <w:pPr>
                    <w:pStyle w:val="7"/>
                    <w:overflowPunct w:val="0"/>
                    <w:spacing w:after="0"/>
                    <w:jc w:val="center"/>
                    <w:rPr>
                      <w:rFonts w:ascii="Times New Roman" w:hAnsi="Times New Roman"/>
                      <w:kern w:val="2"/>
                      <w:sz w:val="21"/>
                      <w:szCs w:val="21"/>
                    </w:rPr>
                  </w:pPr>
                  <w:r>
                    <w:rPr>
                      <w:rFonts w:ascii="Times New Roman" w:hAnsi="Times New Roman"/>
                      <w:kern w:val="2"/>
                      <w:sz w:val="21"/>
                      <w:szCs w:val="21"/>
                    </w:rPr>
                    <w:t>固废</w:t>
                  </w:r>
                </w:p>
              </w:tc>
              <w:tc>
                <w:tcPr>
                  <w:tcW w:w="3544" w:type="dxa"/>
                  <w:gridSpan w:val="2"/>
                  <w:tcBorders>
                    <w:top w:val="single" w:color="auto" w:sz="6" w:space="0"/>
                    <w:left w:val="single" w:color="auto" w:sz="6" w:space="0"/>
                    <w:bottom w:val="single" w:color="auto" w:sz="6" w:space="0"/>
                    <w:right w:val="single" w:color="auto" w:sz="6" w:space="0"/>
                  </w:tcBorders>
                  <w:vAlign w:val="center"/>
                </w:tcPr>
                <w:p>
                  <w:pPr>
                    <w:overflowPunct w:val="0"/>
                    <w:jc w:val="center"/>
                    <w:rPr>
                      <w:rFonts w:ascii="Times New Roman" w:hAnsi="Times New Roman"/>
                      <w:szCs w:val="21"/>
                    </w:rPr>
                  </w:pPr>
                  <w:r>
                    <w:rPr>
                      <w:rFonts w:ascii="Times New Roman" w:hAnsi="Times New Roman"/>
                      <w:szCs w:val="21"/>
                    </w:rPr>
                    <w:t>建有专门的危废暂存间</w:t>
                  </w:r>
                  <w:r>
                    <w:rPr>
                      <w:rFonts w:hint="eastAsia" w:ascii="Times New Roman" w:hAnsi="Times New Roman"/>
                      <w:szCs w:val="21"/>
                    </w:rPr>
                    <w:t>（厂区东南侧，建筑面积约</w:t>
                  </w:r>
                  <w:r>
                    <w:rPr>
                      <w:rFonts w:ascii="Times New Roman" w:hAnsi="Times New Roman"/>
                      <w:szCs w:val="21"/>
                    </w:rPr>
                    <w:t>1</w:t>
                  </w:r>
                  <w:r>
                    <w:rPr>
                      <w:rFonts w:hint="eastAsia" w:ascii="Times New Roman" w:hAnsi="Times New Roman"/>
                      <w:szCs w:val="21"/>
                    </w:rPr>
                    <w:t>0m</w:t>
                  </w:r>
                  <w:r>
                    <w:rPr>
                      <w:rFonts w:hint="eastAsia" w:ascii="Times New Roman" w:hAnsi="Times New Roman"/>
                      <w:szCs w:val="21"/>
                      <w:vertAlign w:val="superscript"/>
                    </w:rPr>
                    <w:t>2</w:t>
                  </w:r>
                  <w:r>
                    <w:rPr>
                      <w:rFonts w:hint="eastAsia" w:ascii="Times New Roman" w:hAnsi="Times New Roman"/>
                      <w:szCs w:val="21"/>
                    </w:rPr>
                    <w:t>）</w:t>
                  </w:r>
                  <w:r>
                    <w:rPr>
                      <w:rFonts w:ascii="Times New Roman" w:hAnsi="Times New Roman"/>
                      <w:szCs w:val="21"/>
                    </w:rPr>
                    <w:t>，危险废物委托有危废处理资质单位进行处理</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2</w:t>
                  </w:r>
                </w:p>
              </w:tc>
              <w:tc>
                <w:tcPr>
                  <w:tcW w:w="2286" w:type="dxa"/>
                  <w:tcBorders>
                    <w:top w:val="single" w:color="auto" w:sz="6" w:space="0"/>
                    <w:left w:val="single" w:color="auto" w:sz="6" w:space="0"/>
                    <w:bottom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《危险废物贮存污染控制标准》</w:t>
                  </w:r>
                  <w:r>
                    <w:rPr>
                      <w:rFonts w:hint="eastAsia" w:ascii="Times New Roman" w:hAnsi="Times New Roman"/>
                      <w:szCs w:val="21"/>
                    </w:rPr>
                    <w:t>（</w:t>
                  </w:r>
                  <w:r>
                    <w:rPr>
                      <w:rFonts w:ascii="Times New Roman" w:hAnsi="Times New Roman"/>
                      <w:szCs w:val="21"/>
                    </w:rPr>
                    <w:t>GB18597-2001</w:t>
                  </w:r>
                  <w:r>
                    <w:rPr>
                      <w:rFonts w:hint="eastAsia" w:ascii="Times New Roman" w:hAnsi="Times New Roman"/>
                      <w:szCs w:val="21"/>
                    </w:rPr>
                    <w:t>）</w:t>
                  </w:r>
                  <w:r>
                    <w:rPr>
                      <w:rFonts w:ascii="Times New Roman" w:hAnsi="Times New Roman"/>
                      <w:szCs w:val="21"/>
                    </w:rPr>
                    <w:t>及2013修改单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cantSplit/>
                <w:trHeight w:val="397" w:hRule="atLeast"/>
                <w:jc w:val="center"/>
              </w:trPr>
              <w:tc>
                <w:tcPr>
                  <w:tcW w:w="1850" w:type="dxa"/>
                  <w:gridSpan w:val="2"/>
                  <w:tcBorders>
                    <w:top w:val="single" w:color="auto" w:sz="6" w:space="0"/>
                    <w:bottom w:val="single" w:color="auto" w:sz="12" w:space="0"/>
                    <w:right w:val="single" w:color="auto" w:sz="6" w:space="0"/>
                  </w:tcBorders>
                  <w:vAlign w:val="center"/>
                </w:tcPr>
                <w:p>
                  <w:pPr>
                    <w:pStyle w:val="7"/>
                    <w:overflowPunct w:val="0"/>
                    <w:spacing w:after="0"/>
                    <w:jc w:val="center"/>
                    <w:rPr>
                      <w:rFonts w:ascii="Times New Roman" w:hAnsi="Times New Roman"/>
                      <w:kern w:val="2"/>
                      <w:sz w:val="21"/>
                      <w:szCs w:val="21"/>
                    </w:rPr>
                  </w:pPr>
                  <w:r>
                    <w:rPr>
                      <w:rFonts w:hint="eastAsia" w:ascii="Times New Roman" w:hAnsi="Times New Roman"/>
                      <w:kern w:val="2"/>
                      <w:sz w:val="21"/>
                      <w:szCs w:val="21"/>
                    </w:rPr>
                    <w:t>合计</w:t>
                  </w:r>
                </w:p>
              </w:tc>
              <w:tc>
                <w:tcPr>
                  <w:tcW w:w="1417" w:type="dxa"/>
                  <w:tcBorders>
                    <w:top w:val="single" w:color="auto" w:sz="6" w:space="0"/>
                    <w:left w:val="single" w:color="auto" w:sz="6" w:space="0"/>
                    <w:bottom w:val="single" w:color="auto" w:sz="12"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w:t>
                  </w:r>
                </w:p>
              </w:tc>
              <w:tc>
                <w:tcPr>
                  <w:tcW w:w="2127" w:type="dxa"/>
                  <w:tcBorders>
                    <w:top w:val="single" w:color="auto" w:sz="6" w:space="0"/>
                    <w:left w:val="single" w:color="auto" w:sz="6" w:space="0"/>
                    <w:bottom w:val="single" w:color="auto" w:sz="12" w:space="0"/>
                    <w:right w:val="single" w:color="auto" w:sz="6" w:space="0"/>
                  </w:tcBorders>
                  <w:vAlign w:val="center"/>
                </w:tcPr>
                <w:p>
                  <w:pPr>
                    <w:overflowPunct w:val="0"/>
                    <w:jc w:val="center"/>
                    <w:rPr>
                      <w:rFonts w:ascii="Times New Roman" w:hAnsi="Times New Roman"/>
                      <w:szCs w:val="21"/>
                    </w:rPr>
                  </w:pPr>
                  <w:r>
                    <w:rPr>
                      <w:rFonts w:hint="eastAsia" w:ascii="Times New Roman" w:hAnsi="Times New Roman"/>
                      <w:szCs w:val="21"/>
                    </w:rPr>
                    <w:t>/</w:t>
                  </w:r>
                </w:p>
              </w:tc>
              <w:tc>
                <w:tcPr>
                  <w:tcW w:w="1134" w:type="dxa"/>
                  <w:tcBorders>
                    <w:top w:val="single" w:color="auto" w:sz="6" w:space="0"/>
                    <w:left w:val="single" w:color="auto" w:sz="6" w:space="0"/>
                    <w:bottom w:val="single" w:color="auto" w:sz="12" w:space="0"/>
                    <w:right w:val="single" w:color="auto" w:sz="6" w:space="0"/>
                  </w:tcBorders>
                  <w:vAlign w:val="center"/>
                </w:tcPr>
                <w:p>
                  <w:pPr>
                    <w:widowControl/>
                    <w:overflowPunct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25</w:t>
                  </w:r>
                </w:p>
              </w:tc>
              <w:tc>
                <w:tcPr>
                  <w:tcW w:w="2286" w:type="dxa"/>
                  <w:tcBorders>
                    <w:top w:val="single" w:color="auto" w:sz="6" w:space="0"/>
                    <w:left w:val="single" w:color="auto" w:sz="6" w:space="0"/>
                    <w:bottom w:val="single" w:color="auto" w:sz="12" w:space="0"/>
                  </w:tcBorders>
                  <w:vAlign w:val="center"/>
                </w:tcPr>
                <w:p>
                  <w:pPr>
                    <w:widowControl/>
                    <w:overflowPunct w:val="0"/>
                    <w:jc w:val="center"/>
                    <w:rPr>
                      <w:rFonts w:ascii="Times New Roman" w:hAnsi="Times New Roman"/>
                      <w:szCs w:val="21"/>
                    </w:rPr>
                  </w:pPr>
                  <w:r>
                    <w:rPr>
                      <w:rFonts w:hint="eastAsia" w:ascii="Times New Roman" w:hAnsi="Times New Roman"/>
                      <w:szCs w:val="21"/>
                    </w:rPr>
                    <w:t>/</w:t>
                  </w:r>
                </w:p>
              </w:tc>
            </w:tr>
          </w:tbl>
          <w:p>
            <w:pPr>
              <w:kinsoku w:val="0"/>
              <w:overflowPunct w:val="0"/>
              <w:spacing w:line="360" w:lineRule="auto"/>
              <w:rPr>
                <w:rFonts w:ascii="Times New Roman" w:hAnsi="Times New Roman"/>
                <w:b/>
                <w:sz w:val="24"/>
                <w:szCs w:val="24"/>
              </w:rPr>
            </w:pPr>
          </w:p>
        </w:tc>
      </w:tr>
    </w:tbl>
    <w:p>
      <w:pPr>
        <w:pStyle w:val="2"/>
        <w:keepNext w:val="0"/>
        <w:keepLines w:val="0"/>
        <w:kinsoku w:val="0"/>
        <w:overflowPunct w:val="0"/>
        <w:rPr>
          <w:rFonts w:ascii="Times New Roman" w:hAnsi="Times New Roman"/>
        </w:rPr>
        <w:sectPr>
          <w:pgSz w:w="11906" w:h="16838"/>
          <w:pgMar w:top="1418" w:right="1418" w:bottom="1418" w:left="1418" w:header="851" w:footer="992" w:gutter="0"/>
          <w:pgNumType w:chapStyle="1"/>
          <w:cols w:space="720" w:num="1"/>
          <w:docGrid w:linePitch="318" w:charSpace="190"/>
        </w:sectPr>
      </w:pPr>
      <w:bookmarkStart w:id="58" w:name="_Toc511833658"/>
      <w:bookmarkStart w:id="59" w:name="_Toc511833748"/>
      <w:bookmarkStart w:id="60" w:name="_Toc511833767"/>
    </w:p>
    <w:p>
      <w:pPr>
        <w:pStyle w:val="2"/>
        <w:kinsoku w:val="0"/>
        <w:overflowPunct w:val="0"/>
        <w:rPr>
          <w:rFonts w:ascii="Times New Roman" w:hAnsi="Times New Roman"/>
        </w:rPr>
      </w:pPr>
      <w:r>
        <w:rPr>
          <w:rFonts w:hint="eastAsia" w:ascii="Times New Roman" w:hAnsi="Times New Roman"/>
        </w:rPr>
        <w:t>七</w:t>
      </w:r>
      <w:r>
        <w:rPr>
          <w:rFonts w:ascii="Times New Roman" w:hAnsi="Times New Roman"/>
        </w:rPr>
        <w:t>、</w:t>
      </w:r>
      <w:r>
        <w:rPr>
          <w:rFonts w:hint="eastAsia" w:ascii="Times New Roman" w:hAnsi="Times New Roman"/>
        </w:rPr>
        <w:t>建设项目拟采取的防治措施及预防治理效果</w:t>
      </w:r>
      <w:bookmarkEnd w:id="58"/>
      <w:bookmarkEnd w:id="59"/>
      <w:bookmarkEnd w:id="60"/>
    </w:p>
    <w:tbl>
      <w:tblPr>
        <w:tblStyle w:val="24"/>
        <w:tblW w:w="90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994"/>
        <w:gridCol w:w="1275"/>
        <w:gridCol w:w="1692"/>
        <w:gridCol w:w="2268"/>
        <w:gridCol w:w="2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851" w:hRule="atLeast"/>
          <w:jc w:val="center"/>
        </w:trPr>
        <w:tc>
          <w:tcPr>
            <w:tcW w:w="994" w:type="dxa"/>
            <w:tcBorders>
              <w:tl2br w:val="single" w:color="000000" w:sz="6" w:space="0"/>
            </w:tcBorders>
            <w:vAlign w:val="center"/>
          </w:tcPr>
          <w:p>
            <w:pPr>
              <w:overflowPunct w:val="0"/>
              <w:jc w:val="right"/>
              <w:rPr>
                <w:rFonts w:ascii="Times New Roman" w:hAnsi="Times New Roman"/>
                <w:b/>
                <w:szCs w:val="21"/>
              </w:rPr>
            </w:pPr>
            <w:r>
              <w:rPr>
                <w:rFonts w:ascii="Times New Roman" w:hAnsi="Times New Roman"/>
                <w:b/>
                <w:szCs w:val="21"/>
              </w:rPr>
              <w:t>内容</w:t>
            </w:r>
          </w:p>
          <w:p>
            <w:pPr>
              <w:overflowPunct w:val="0"/>
              <w:jc w:val="left"/>
              <w:rPr>
                <w:rFonts w:ascii="Times New Roman" w:hAnsi="Times New Roman"/>
                <w:b/>
                <w:szCs w:val="21"/>
              </w:rPr>
            </w:pPr>
            <w:r>
              <w:rPr>
                <w:rFonts w:ascii="Times New Roman" w:hAnsi="Times New Roman"/>
                <w:b/>
                <w:szCs w:val="21"/>
              </w:rPr>
              <w:t>类型</w:t>
            </w:r>
          </w:p>
        </w:tc>
        <w:tc>
          <w:tcPr>
            <w:tcW w:w="1275" w:type="dxa"/>
            <w:vAlign w:val="center"/>
          </w:tcPr>
          <w:p>
            <w:pPr>
              <w:overflowPunct w:val="0"/>
              <w:jc w:val="center"/>
              <w:rPr>
                <w:rFonts w:ascii="Times New Roman" w:hAnsi="Times New Roman"/>
                <w:b/>
                <w:szCs w:val="21"/>
              </w:rPr>
            </w:pPr>
            <w:r>
              <w:rPr>
                <w:rFonts w:ascii="Times New Roman" w:hAnsi="Times New Roman"/>
                <w:b/>
                <w:szCs w:val="21"/>
              </w:rPr>
              <w:t>排放源</w:t>
            </w:r>
          </w:p>
          <w:p>
            <w:pPr>
              <w:overflowPunct w:val="0"/>
              <w:jc w:val="center"/>
              <w:rPr>
                <w:rFonts w:ascii="Times New Roman" w:hAnsi="Times New Roman"/>
                <w:b/>
                <w:szCs w:val="21"/>
              </w:rPr>
            </w:pPr>
            <w:r>
              <w:rPr>
                <w:rFonts w:ascii="Times New Roman" w:hAnsi="Times New Roman"/>
                <w:b/>
                <w:szCs w:val="21"/>
              </w:rPr>
              <w:t>(编号)</w:t>
            </w:r>
          </w:p>
        </w:tc>
        <w:tc>
          <w:tcPr>
            <w:tcW w:w="1692" w:type="dxa"/>
            <w:vAlign w:val="center"/>
          </w:tcPr>
          <w:p>
            <w:pPr>
              <w:overflowPunct w:val="0"/>
              <w:jc w:val="center"/>
              <w:rPr>
                <w:rFonts w:ascii="Times New Roman" w:hAnsi="Times New Roman"/>
                <w:b/>
                <w:szCs w:val="21"/>
              </w:rPr>
            </w:pPr>
            <w:r>
              <w:rPr>
                <w:rFonts w:ascii="Times New Roman" w:hAnsi="Times New Roman"/>
                <w:b/>
                <w:szCs w:val="21"/>
              </w:rPr>
              <w:t>污染物名称</w:t>
            </w:r>
          </w:p>
        </w:tc>
        <w:tc>
          <w:tcPr>
            <w:tcW w:w="2268" w:type="dxa"/>
            <w:vAlign w:val="center"/>
          </w:tcPr>
          <w:p>
            <w:pPr>
              <w:overflowPunct w:val="0"/>
              <w:jc w:val="center"/>
              <w:rPr>
                <w:rFonts w:ascii="Times New Roman" w:hAnsi="Times New Roman"/>
                <w:b/>
                <w:szCs w:val="21"/>
              </w:rPr>
            </w:pPr>
            <w:r>
              <w:rPr>
                <w:rFonts w:ascii="Times New Roman" w:hAnsi="Times New Roman"/>
                <w:b/>
                <w:szCs w:val="21"/>
              </w:rPr>
              <w:t>防治措施</w:t>
            </w:r>
          </w:p>
        </w:tc>
        <w:tc>
          <w:tcPr>
            <w:tcW w:w="2843" w:type="dxa"/>
            <w:vAlign w:val="center"/>
          </w:tcPr>
          <w:p>
            <w:pPr>
              <w:overflowPunct w:val="0"/>
              <w:jc w:val="center"/>
              <w:rPr>
                <w:rFonts w:ascii="Times New Roman" w:hAnsi="Times New Roman"/>
                <w:b/>
                <w:iCs/>
                <w:szCs w:val="21"/>
              </w:rPr>
            </w:pPr>
            <w:r>
              <w:rPr>
                <w:rFonts w:ascii="Times New Roman" w:hAnsi="Times New Roman"/>
                <w:b/>
                <w:iCs/>
                <w:szCs w:val="21"/>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restart"/>
            <w:vAlign w:val="center"/>
          </w:tcPr>
          <w:p>
            <w:pPr>
              <w:overflowPunct w:val="0"/>
              <w:jc w:val="center"/>
              <w:rPr>
                <w:rFonts w:ascii="Times New Roman" w:hAnsi="Times New Roman"/>
                <w:szCs w:val="21"/>
              </w:rPr>
            </w:pPr>
            <w:r>
              <w:rPr>
                <w:rFonts w:ascii="Times New Roman" w:hAnsi="Times New Roman"/>
                <w:szCs w:val="21"/>
              </w:rPr>
              <w:t>大</w:t>
            </w:r>
          </w:p>
          <w:p>
            <w:pPr>
              <w:overflowPunct w:val="0"/>
              <w:jc w:val="center"/>
              <w:rPr>
                <w:rFonts w:ascii="Times New Roman" w:hAnsi="Times New Roman"/>
                <w:szCs w:val="21"/>
              </w:rPr>
            </w:pPr>
            <w:r>
              <w:rPr>
                <w:rFonts w:ascii="Times New Roman" w:hAnsi="Times New Roman"/>
                <w:szCs w:val="21"/>
              </w:rPr>
              <w:t>气</w:t>
            </w:r>
          </w:p>
          <w:p>
            <w:pPr>
              <w:overflowPunct w:val="0"/>
              <w:jc w:val="center"/>
              <w:rPr>
                <w:rFonts w:ascii="Times New Roman" w:hAnsi="Times New Roman"/>
                <w:szCs w:val="21"/>
              </w:rPr>
            </w:pPr>
            <w:r>
              <w:rPr>
                <w:rFonts w:ascii="Times New Roman" w:hAnsi="Times New Roman"/>
                <w:szCs w:val="21"/>
              </w:rPr>
              <w:t>污</w:t>
            </w:r>
          </w:p>
          <w:p>
            <w:pPr>
              <w:overflowPunct w:val="0"/>
              <w:jc w:val="center"/>
              <w:rPr>
                <w:rFonts w:ascii="Times New Roman" w:hAnsi="Times New Roman"/>
                <w:szCs w:val="21"/>
              </w:rPr>
            </w:pPr>
            <w:r>
              <w:rPr>
                <w:rFonts w:ascii="Times New Roman" w:hAnsi="Times New Roman"/>
                <w:szCs w:val="21"/>
              </w:rPr>
              <w:t>染</w:t>
            </w:r>
          </w:p>
          <w:p>
            <w:pPr>
              <w:overflowPunct w:val="0"/>
              <w:jc w:val="center"/>
              <w:rPr>
                <w:rFonts w:ascii="Times New Roman" w:hAnsi="Times New Roman"/>
                <w:szCs w:val="21"/>
              </w:rPr>
            </w:pPr>
            <w:r>
              <w:rPr>
                <w:rFonts w:ascii="Times New Roman" w:hAnsi="Times New Roman"/>
                <w:szCs w:val="21"/>
              </w:rPr>
              <w:t>物</w:t>
            </w: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采装</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268" w:type="dxa"/>
            <w:vMerge w:val="restart"/>
            <w:vAlign w:val="center"/>
          </w:tcPr>
          <w:p>
            <w:pPr>
              <w:overflowPunct w:val="0"/>
              <w:jc w:val="center"/>
              <w:rPr>
                <w:rFonts w:ascii="Times New Roman" w:hAnsi="Times New Roman"/>
                <w:szCs w:val="21"/>
              </w:rPr>
            </w:pPr>
            <w:r>
              <w:rPr>
                <w:rFonts w:hint="eastAsia" w:ascii="Times New Roman" w:hAnsi="Times New Roman"/>
                <w:szCs w:val="21"/>
              </w:rPr>
              <w:t>洒水抑尘</w:t>
            </w:r>
          </w:p>
        </w:tc>
        <w:tc>
          <w:tcPr>
            <w:tcW w:w="2843" w:type="dxa"/>
            <w:vMerge w:val="restart"/>
            <w:vAlign w:val="center"/>
          </w:tcPr>
          <w:p>
            <w:pPr>
              <w:overflowPunct w:val="0"/>
              <w:jc w:val="center"/>
              <w:rPr>
                <w:rFonts w:ascii="Times New Roman" w:hAnsi="Times New Roman"/>
                <w:iCs/>
                <w:color w:val="FF0000"/>
                <w:szCs w:val="21"/>
              </w:rPr>
            </w:pPr>
            <w:r>
              <w:rPr>
                <w:rFonts w:hint="eastAsia" w:ascii="Times New Roman" w:hAnsi="宋体"/>
                <w:szCs w:val="21"/>
              </w:rPr>
              <w:t>达到</w:t>
            </w:r>
            <w:r>
              <w:rPr>
                <w:rFonts w:hint="eastAsia" w:ascii="Times New Roman" w:hAnsi="Times New Roman"/>
                <w:szCs w:val="21"/>
              </w:rPr>
              <w:t>《砖瓦工业大气污染物排放标准》（GB29620-2013）表2中排放限值及表3中边界大气污染物浓度限值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装卸及堆场</w:t>
            </w:r>
          </w:p>
        </w:tc>
        <w:tc>
          <w:tcPr>
            <w:tcW w:w="1692" w:type="dxa"/>
            <w:vAlign w:val="center"/>
          </w:tcPr>
          <w:p>
            <w:pPr>
              <w:overflowPunct w:val="0"/>
              <w:jc w:val="center"/>
              <w:rPr>
                <w:rFonts w:ascii="Times New Roman" w:hAnsi="Times New Roman"/>
                <w:szCs w:val="21"/>
              </w:rPr>
            </w:pPr>
            <w:r>
              <w:rPr>
                <w:rFonts w:ascii="Times New Roman" w:hAnsi="Times New Roman"/>
                <w:szCs w:val="21"/>
              </w:rPr>
              <w:t>颗粒物</w:t>
            </w:r>
          </w:p>
        </w:tc>
        <w:tc>
          <w:tcPr>
            <w:tcW w:w="2268" w:type="dxa"/>
            <w:vMerge w:val="continue"/>
            <w:vAlign w:val="center"/>
          </w:tcPr>
          <w:p>
            <w:pPr>
              <w:overflowPunct w:val="0"/>
              <w:jc w:val="center"/>
              <w:rPr>
                <w:rFonts w:ascii="Times New Roman" w:hAnsi="Times New Roman"/>
                <w:szCs w:val="21"/>
              </w:rPr>
            </w:pPr>
          </w:p>
        </w:tc>
        <w:tc>
          <w:tcPr>
            <w:tcW w:w="2843" w:type="dxa"/>
            <w:vMerge w:val="continue"/>
            <w:vAlign w:val="center"/>
          </w:tcPr>
          <w:p>
            <w:pPr>
              <w:overflowPunct w:val="0"/>
              <w:jc w:val="center"/>
              <w:rPr>
                <w:rFonts w:ascii="Times New Roman" w:hAnsi="Times New Roman"/>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运输车辆</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268" w:type="dxa"/>
            <w:vMerge w:val="continue"/>
            <w:vAlign w:val="center"/>
          </w:tcPr>
          <w:p>
            <w:pPr>
              <w:overflowPunct w:val="0"/>
              <w:jc w:val="center"/>
              <w:rPr>
                <w:rFonts w:ascii="Times New Roman" w:hAnsi="Times New Roman"/>
                <w:szCs w:val="21"/>
              </w:rPr>
            </w:pPr>
          </w:p>
        </w:tc>
        <w:tc>
          <w:tcPr>
            <w:tcW w:w="2843" w:type="dxa"/>
            <w:vMerge w:val="continue"/>
            <w:vAlign w:val="center"/>
          </w:tcPr>
          <w:p>
            <w:pPr>
              <w:overflowPunct w:val="0"/>
              <w:jc w:val="center"/>
              <w:rPr>
                <w:rFonts w:ascii="Times New Roman" w:hAnsi="Times New Roman"/>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碎石破碎筛分</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水雾喷淋装置</w:t>
            </w:r>
          </w:p>
        </w:tc>
        <w:tc>
          <w:tcPr>
            <w:tcW w:w="2843" w:type="dxa"/>
            <w:vMerge w:val="continue"/>
            <w:vAlign w:val="center"/>
          </w:tcPr>
          <w:p>
            <w:pPr>
              <w:overflowPunct w:val="0"/>
              <w:jc w:val="center"/>
              <w:rPr>
                <w:rFonts w:ascii="Times New Roman" w:hAnsi="Times New Roman"/>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页岩砖破碎搅拌</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水雾喷淋装置</w:t>
            </w:r>
          </w:p>
        </w:tc>
        <w:tc>
          <w:tcPr>
            <w:tcW w:w="2843" w:type="dxa"/>
            <w:vMerge w:val="continue"/>
            <w:vAlign w:val="center"/>
          </w:tcPr>
          <w:p>
            <w:pPr>
              <w:overflowPunct w:val="0"/>
              <w:jc w:val="center"/>
              <w:rPr>
                <w:rFonts w:ascii="Times New Roman" w:hAnsi="Times New Roman"/>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隧道窑</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颗粒物、SO</w:t>
            </w:r>
            <w:r>
              <w:rPr>
                <w:rFonts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双碱湿法脱硫除尘系统+</w:t>
            </w:r>
            <w:r>
              <w:rPr>
                <w:rFonts w:ascii="Times New Roman" w:hAnsi="Times New Roman"/>
                <w:szCs w:val="21"/>
              </w:rPr>
              <w:t>65</w:t>
            </w:r>
            <w:r>
              <w:rPr>
                <w:rFonts w:hint="eastAsia" w:ascii="Times New Roman" w:hAnsi="Times New Roman"/>
                <w:szCs w:val="21"/>
              </w:rPr>
              <w:t>m高烟囱</w:t>
            </w:r>
          </w:p>
        </w:tc>
        <w:tc>
          <w:tcPr>
            <w:tcW w:w="2843" w:type="dxa"/>
            <w:vMerge w:val="continue"/>
            <w:vAlign w:val="center"/>
          </w:tcPr>
          <w:p>
            <w:pPr>
              <w:overflowPunct w:val="0"/>
              <w:jc w:val="center"/>
              <w:rPr>
                <w:rFonts w:ascii="Times New Roman" w:hAnsi="Times New Roman"/>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40" w:hRule="atLeast"/>
          <w:jc w:val="center"/>
        </w:trPr>
        <w:tc>
          <w:tcPr>
            <w:tcW w:w="994" w:type="dxa"/>
            <w:vMerge w:val="continue"/>
            <w:textDirection w:val="tbRlV"/>
            <w:vAlign w:val="center"/>
          </w:tcPr>
          <w:p>
            <w:pPr>
              <w:overflowPunct w:val="0"/>
              <w:ind w:left="113" w:right="113"/>
              <w:jc w:val="center"/>
              <w:rPr>
                <w:rFonts w:ascii="Times New Roman" w:hAnsi="Times New Roman"/>
                <w:color w:val="0033CC"/>
                <w:szCs w:val="21"/>
              </w:rPr>
            </w:pPr>
          </w:p>
        </w:tc>
        <w:tc>
          <w:tcPr>
            <w:tcW w:w="1275" w:type="dxa"/>
            <w:tcBorders>
              <w:top w:val="single" w:color="auto" w:sz="4" w:space="0"/>
            </w:tcBorders>
            <w:vAlign w:val="center"/>
          </w:tcPr>
          <w:p>
            <w:pPr>
              <w:overflowPunct w:val="0"/>
              <w:jc w:val="center"/>
              <w:rPr>
                <w:rFonts w:ascii="Times New Roman" w:hAnsi="Times New Roman"/>
                <w:szCs w:val="21"/>
              </w:rPr>
            </w:pPr>
            <w:r>
              <w:rPr>
                <w:rFonts w:hint="eastAsia" w:ascii="Times New Roman" w:hAnsi="Times New Roman"/>
                <w:szCs w:val="21"/>
              </w:rPr>
              <w:t>食堂</w:t>
            </w:r>
          </w:p>
        </w:tc>
        <w:tc>
          <w:tcPr>
            <w:tcW w:w="1692" w:type="dxa"/>
            <w:vAlign w:val="center"/>
          </w:tcPr>
          <w:p>
            <w:pPr>
              <w:overflowPunct w:val="0"/>
              <w:jc w:val="center"/>
              <w:rPr>
                <w:rFonts w:ascii="Times New Roman" w:hAnsi="Times New Roman"/>
                <w:szCs w:val="21"/>
              </w:rPr>
            </w:pPr>
            <w:r>
              <w:rPr>
                <w:rFonts w:hint="eastAsia" w:ascii="Times New Roman" w:hAnsi="Times New Roman"/>
                <w:szCs w:val="21"/>
              </w:rPr>
              <w:t>颗粒物</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油烟净化装置</w:t>
            </w:r>
          </w:p>
        </w:tc>
        <w:tc>
          <w:tcPr>
            <w:tcW w:w="2843" w:type="dxa"/>
            <w:vAlign w:val="center"/>
          </w:tcPr>
          <w:p>
            <w:pPr>
              <w:overflowPunct w:val="0"/>
              <w:jc w:val="center"/>
              <w:rPr>
                <w:rFonts w:ascii="Times New Roman" w:hAnsi="Times New Roman"/>
                <w:iCs/>
                <w:szCs w:val="21"/>
              </w:rPr>
            </w:pPr>
            <w:r>
              <w:rPr>
                <w:rFonts w:hint="eastAsia" w:ascii="Times New Roman" w:hAnsi="Times New Roman"/>
                <w:szCs w:val="21"/>
              </w:rPr>
              <w:t>《饮食业油烟排放标准（试行）》（GB18483-2001）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restart"/>
            <w:vAlign w:val="center"/>
          </w:tcPr>
          <w:p>
            <w:pPr>
              <w:overflowPunct w:val="0"/>
              <w:jc w:val="center"/>
              <w:rPr>
                <w:rFonts w:ascii="Times New Roman" w:hAnsi="Times New Roman"/>
                <w:szCs w:val="21"/>
              </w:rPr>
            </w:pPr>
            <w:r>
              <w:rPr>
                <w:rFonts w:ascii="Times New Roman" w:hAnsi="Times New Roman"/>
                <w:szCs w:val="21"/>
              </w:rPr>
              <w:t>水</w:t>
            </w:r>
          </w:p>
          <w:p>
            <w:pPr>
              <w:overflowPunct w:val="0"/>
              <w:jc w:val="center"/>
              <w:rPr>
                <w:rFonts w:ascii="Times New Roman" w:hAnsi="Times New Roman"/>
                <w:szCs w:val="21"/>
              </w:rPr>
            </w:pPr>
            <w:r>
              <w:rPr>
                <w:rFonts w:ascii="Times New Roman" w:hAnsi="Times New Roman"/>
                <w:szCs w:val="21"/>
              </w:rPr>
              <w:t>污</w:t>
            </w:r>
          </w:p>
          <w:p>
            <w:pPr>
              <w:overflowPunct w:val="0"/>
              <w:jc w:val="center"/>
              <w:rPr>
                <w:rFonts w:ascii="Times New Roman" w:hAnsi="Times New Roman"/>
                <w:szCs w:val="21"/>
              </w:rPr>
            </w:pPr>
            <w:r>
              <w:rPr>
                <w:rFonts w:ascii="Times New Roman" w:hAnsi="Times New Roman"/>
                <w:szCs w:val="21"/>
              </w:rPr>
              <w:t>染</w:t>
            </w:r>
          </w:p>
          <w:p>
            <w:pPr>
              <w:overflowPunct w:val="0"/>
              <w:jc w:val="center"/>
              <w:rPr>
                <w:rFonts w:ascii="Times New Roman" w:hAnsi="Times New Roman"/>
                <w:szCs w:val="21"/>
              </w:rPr>
            </w:pPr>
            <w:r>
              <w:rPr>
                <w:rFonts w:ascii="Times New Roman" w:hAnsi="Times New Roman"/>
                <w:szCs w:val="21"/>
              </w:rPr>
              <w:t>物</w:t>
            </w:r>
          </w:p>
        </w:tc>
        <w:tc>
          <w:tcPr>
            <w:tcW w:w="1275" w:type="dxa"/>
            <w:vAlign w:val="center"/>
          </w:tcPr>
          <w:p>
            <w:pPr>
              <w:overflowPunct w:val="0"/>
              <w:jc w:val="center"/>
              <w:rPr>
                <w:rFonts w:ascii="Times New Roman" w:hAnsi="Times New Roman"/>
                <w:szCs w:val="21"/>
              </w:rPr>
            </w:pPr>
            <w:r>
              <w:rPr>
                <w:rFonts w:hint="eastAsia" w:ascii="Times New Roman" w:hAnsi="Times New Roman"/>
                <w:szCs w:val="21"/>
              </w:rPr>
              <w:t>生活</w:t>
            </w:r>
          </w:p>
          <w:p>
            <w:pPr>
              <w:overflowPunct w:val="0"/>
              <w:jc w:val="center"/>
              <w:rPr>
                <w:rFonts w:ascii="Times New Roman" w:hAnsi="Times New Roman"/>
                <w:szCs w:val="21"/>
              </w:rPr>
            </w:pPr>
            <w:r>
              <w:rPr>
                <w:rFonts w:hint="eastAsia" w:ascii="Times New Roman" w:hAnsi="Times New Roman"/>
                <w:szCs w:val="21"/>
              </w:rPr>
              <w:t>污水</w:t>
            </w:r>
          </w:p>
        </w:tc>
        <w:tc>
          <w:tcPr>
            <w:tcW w:w="1692" w:type="dxa"/>
            <w:vAlign w:val="center"/>
          </w:tcPr>
          <w:p>
            <w:pPr>
              <w:tabs>
                <w:tab w:val="left" w:pos="4215"/>
              </w:tabs>
              <w:jc w:val="center"/>
              <w:rPr>
                <w:rFonts w:ascii="Times New Roman" w:hAnsi="Times New Roman"/>
                <w:szCs w:val="21"/>
              </w:rPr>
            </w:pPr>
            <w:r>
              <w:rPr>
                <w:rFonts w:hint="eastAsia" w:ascii="Times New Roman" w:hAnsi="Times New Roman"/>
              </w:rPr>
              <w:t>pH值、COD、SS、石油类、BOD</w:t>
            </w:r>
            <w:r>
              <w:rPr>
                <w:rFonts w:ascii="Times New Roman" w:hAnsi="Times New Roman"/>
                <w:vertAlign w:val="subscript"/>
              </w:rPr>
              <w:t>5</w:t>
            </w:r>
            <w:r>
              <w:rPr>
                <w:rFonts w:hint="eastAsia" w:ascii="Times New Roman" w:hAnsi="Times New Roman"/>
              </w:rPr>
              <w:t>、氨氮</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隔油池+化粪池</w:t>
            </w:r>
          </w:p>
        </w:tc>
        <w:tc>
          <w:tcPr>
            <w:tcW w:w="2843" w:type="dxa"/>
            <w:vAlign w:val="center"/>
          </w:tcPr>
          <w:p>
            <w:pPr>
              <w:overflowPunct w:val="0"/>
              <w:jc w:val="center"/>
              <w:rPr>
                <w:rFonts w:ascii="Times New Roman" w:hAnsi="Times New Roman"/>
                <w:iCs/>
                <w:szCs w:val="21"/>
              </w:rPr>
            </w:pPr>
            <w:r>
              <w:rPr>
                <w:rFonts w:hint="eastAsia" w:ascii="Times New Roman" w:hAnsi="Times New Roman"/>
                <w:szCs w:val="21"/>
              </w:rPr>
              <w:t>用于菜地施肥，综合消纳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szCs w:val="21"/>
              </w:rPr>
            </w:pPr>
          </w:p>
        </w:tc>
        <w:tc>
          <w:tcPr>
            <w:tcW w:w="1275" w:type="dxa"/>
            <w:vAlign w:val="center"/>
          </w:tcPr>
          <w:p>
            <w:pPr>
              <w:overflowPunct w:val="0"/>
              <w:jc w:val="center"/>
              <w:rPr>
                <w:rFonts w:ascii="Times New Roman" w:hAnsi="Times New Roman"/>
                <w:szCs w:val="21"/>
              </w:rPr>
            </w:pPr>
            <w:r>
              <w:rPr>
                <w:rFonts w:hint="eastAsia" w:ascii="Times New Roman" w:hAnsi="Times New Roman"/>
                <w:szCs w:val="21"/>
              </w:rPr>
              <w:t>初期雨水</w:t>
            </w:r>
          </w:p>
        </w:tc>
        <w:tc>
          <w:tcPr>
            <w:tcW w:w="1692" w:type="dxa"/>
            <w:vAlign w:val="center"/>
          </w:tcPr>
          <w:p>
            <w:pPr>
              <w:tabs>
                <w:tab w:val="left" w:pos="4215"/>
              </w:tabs>
              <w:jc w:val="center"/>
              <w:rPr>
                <w:rFonts w:ascii="Times New Roman" w:hAnsi="Times New Roman"/>
              </w:rPr>
            </w:pPr>
            <w:r>
              <w:rPr>
                <w:rFonts w:hint="eastAsia" w:ascii="Times New Roman" w:hAnsi="Times New Roman"/>
              </w:rPr>
              <w:t>SS</w:t>
            </w:r>
          </w:p>
        </w:tc>
        <w:tc>
          <w:tcPr>
            <w:tcW w:w="2268" w:type="dxa"/>
            <w:vMerge w:val="restart"/>
            <w:vAlign w:val="center"/>
          </w:tcPr>
          <w:p>
            <w:pPr>
              <w:overflowPunct w:val="0"/>
              <w:jc w:val="center"/>
              <w:rPr>
                <w:rFonts w:ascii="Times New Roman" w:hAnsi="Times New Roman"/>
                <w:szCs w:val="21"/>
              </w:rPr>
            </w:pPr>
            <w:r>
              <w:rPr>
                <w:rFonts w:hint="eastAsia" w:ascii="Times New Roman" w:hAnsi="Times New Roman"/>
                <w:szCs w:val="21"/>
              </w:rPr>
              <w:t>沉淀池（容积2</w:t>
            </w:r>
            <w:r>
              <w:rPr>
                <w:rFonts w:ascii="Times New Roman" w:hAnsi="Times New Roman"/>
                <w:szCs w:val="21"/>
              </w:rPr>
              <w:t>00</w:t>
            </w:r>
            <w:r>
              <w:rPr>
                <w:rFonts w:hint="eastAsia"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w:t>
            </w:r>
          </w:p>
        </w:tc>
        <w:tc>
          <w:tcPr>
            <w:tcW w:w="2843" w:type="dxa"/>
            <w:vMerge w:val="restart"/>
            <w:vAlign w:val="center"/>
          </w:tcPr>
          <w:p>
            <w:pPr>
              <w:overflowPunct w:val="0"/>
              <w:jc w:val="center"/>
              <w:rPr>
                <w:rFonts w:ascii="Times New Roman" w:hAnsi="Times New Roman"/>
                <w:szCs w:val="21"/>
              </w:rPr>
            </w:pPr>
            <w:r>
              <w:rPr>
                <w:rFonts w:hint="eastAsia" w:ascii="Times New Roman" w:hAnsi="Times New Roman"/>
                <w:szCs w:val="21"/>
              </w:rPr>
              <w:t>沉淀后用于搅拌用水、降尘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szCs w:val="21"/>
              </w:rPr>
            </w:pPr>
          </w:p>
        </w:tc>
        <w:tc>
          <w:tcPr>
            <w:tcW w:w="1275" w:type="dxa"/>
            <w:vAlign w:val="center"/>
          </w:tcPr>
          <w:p>
            <w:pPr>
              <w:overflowPunct w:val="0"/>
              <w:jc w:val="center"/>
              <w:rPr>
                <w:rFonts w:ascii="Times New Roman" w:hAnsi="Times New Roman"/>
                <w:szCs w:val="21"/>
              </w:rPr>
            </w:pPr>
            <w:r>
              <w:rPr>
                <w:rFonts w:hint="eastAsia" w:ascii="Times New Roman" w:hAnsi="Times New Roman"/>
                <w:szCs w:val="21"/>
              </w:rPr>
              <w:t>搅拌机清洗废水</w:t>
            </w:r>
          </w:p>
        </w:tc>
        <w:tc>
          <w:tcPr>
            <w:tcW w:w="1692" w:type="dxa"/>
            <w:vAlign w:val="center"/>
          </w:tcPr>
          <w:p>
            <w:pPr>
              <w:tabs>
                <w:tab w:val="left" w:pos="4215"/>
              </w:tabs>
              <w:jc w:val="center"/>
              <w:rPr>
                <w:rFonts w:ascii="Times New Roman" w:hAnsi="Times New Roman"/>
              </w:rPr>
            </w:pPr>
            <w:r>
              <w:rPr>
                <w:rFonts w:hint="eastAsia" w:ascii="Times New Roman" w:hAnsi="Times New Roman"/>
              </w:rPr>
              <w:t>SS</w:t>
            </w:r>
          </w:p>
        </w:tc>
        <w:tc>
          <w:tcPr>
            <w:tcW w:w="2268" w:type="dxa"/>
            <w:vMerge w:val="continue"/>
            <w:vAlign w:val="center"/>
          </w:tcPr>
          <w:p>
            <w:pPr>
              <w:overflowPunct w:val="0"/>
              <w:jc w:val="center"/>
              <w:rPr>
                <w:rFonts w:ascii="Times New Roman" w:hAnsi="Times New Roman"/>
                <w:szCs w:val="21"/>
              </w:rPr>
            </w:pPr>
          </w:p>
        </w:tc>
        <w:tc>
          <w:tcPr>
            <w:tcW w:w="2843" w:type="dxa"/>
            <w:vMerge w:val="continue"/>
            <w:vAlign w:val="center"/>
          </w:tcPr>
          <w:p>
            <w:pPr>
              <w:overflowPunct w:val="0"/>
              <w:jc w:val="center"/>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szCs w:val="21"/>
              </w:rPr>
            </w:pPr>
          </w:p>
        </w:tc>
        <w:tc>
          <w:tcPr>
            <w:tcW w:w="1275" w:type="dxa"/>
            <w:vAlign w:val="center"/>
          </w:tcPr>
          <w:p>
            <w:pPr>
              <w:overflowPunct w:val="0"/>
              <w:jc w:val="center"/>
              <w:rPr>
                <w:rFonts w:ascii="Times New Roman" w:hAnsi="Times New Roman"/>
                <w:szCs w:val="21"/>
              </w:rPr>
            </w:pPr>
            <w:r>
              <w:rPr>
                <w:rFonts w:hint="eastAsia" w:ascii="Times New Roman" w:hAnsi="Times New Roman"/>
                <w:szCs w:val="21"/>
              </w:rPr>
              <w:t>喷淋废水</w:t>
            </w:r>
          </w:p>
        </w:tc>
        <w:tc>
          <w:tcPr>
            <w:tcW w:w="1692" w:type="dxa"/>
            <w:vAlign w:val="center"/>
          </w:tcPr>
          <w:p>
            <w:pPr>
              <w:tabs>
                <w:tab w:val="left" w:pos="4215"/>
              </w:tabs>
              <w:jc w:val="center"/>
              <w:rPr>
                <w:rFonts w:ascii="Times New Roman" w:hAnsi="Times New Roman"/>
              </w:rPr>
            </w:pPr>
            <w:r>
              <w:rPr>
                <w:rFonts w:hint="eastAsia" w:ascii="Times New Roman" w:hAnsi="Times New Roman"/>
              </w:rPr>
              <w:t>SS</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沉淀池（容积1</w:t>
            </w:r>
            <w:r>
              <w:rPr>
                <w:rFonts w:ascii="Times New Roman" w:hAnsi="Times New Roman"/>
                <w:szCs w:val="21"/>
              </w:rPr>
              <w:t>0</w:t>
            </w:r>
            <w:r>
              <w:rPr>
                <w:rFonts w:hint="eastAsia"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w:t>
            </w:r>
          </w:p>
        </w:tc>
        <w:tc>
          <w:tcPr>
            <w:tcW w:w="2843" w:type="dxa"/>
            <w:vAlign w:val="center"/>
          </w:tcPr>
          <w:p>
            <w:pPr>
              <w:overflowPunct w:val="0"/>
              <w:jc w:val="center"/>
              <w:rPr>
                <w:rFonts w:ascii="Times New Roman" w:hAnsi="Times New Roman"/>
                <w:szCs w:val="21"/>
              </w:rPr>
            </w:pPr>
            <w:r>
              <w:rPr>
                <w:rFonts w:hint="eastAsia" w:ascii="Times New Roman" w:hAnsi="Times New Roman"/>
                <w:szCs w:val="21"/>
              </w:rPr>
              <w:t>沉淀处理后循环使用，不外排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szCs w:val="21"/>
              </w:rPr>
            </w:pPr>
          </w:p>
        </w:tc>
        <w:tc>
          <w:tcPr>
            <w:tcW w:w="1275" w:type="dxa"/>
            <w:vAlign w:val="center"/>
          </w:tcPr>
          <w:p>
            <w:pPr>
              <w:overflowPunct w:val="0"/>
              <w:jc w:val="center"/>
              <w:rPr>
                <w:rFonts w:ascii="Times New Roman" w:hAnsi="Times New Roman"/>
                <w:szCs w:val="21"/>
              </w:rPr>
            </w:pPr>
            <w:r>
              <w:rPr>
                <w:rFonts w:hint="eastAsia" w:ascii="Times New Roman" w:hAnsi="Times New Roman"/>
                <w:szCs w:val="21"/>
              </w:rPr>
              <w:t>脱硫废水</w:t>
            </w:r>
          </w:p>
        </w:tc>
        <w:tc>
          <w:tcPr>
            <w:tcW w:w="1692" w:type="dxa"/>
            <w:vAlign w:val="center"/>
          </w:tcPr>
          <w:p>
            <w:pPr>
              <w:tabs>
                <w:tab w:val="left" w:pos="4215"/>
              </w:tabs>
              <w:jc w:val="center"/>
              <w:rPr>
                <w:rFonts w:ascii="Times New Roman" w:hAnsi="Times New Roman"/>
              </w:rPr>
            </w:pPr>
            <w:r>
              <w:rPr>
                <w:rFonts w:hint="eastAsia" w:ascii="Times New Roman" w:hAnsi="Times New Roman"/>
              </w:rPr>
              <w:t>-</w:t>
            </w:r>
          </w:p>
        </w:tc>
        <w:tc>
          <w:tcPr>
            <w:tcW w:w="2268" w:type="dxa"/>
            <w:vAlign w:val="center"/>
          </w:tcPr>
          <w:p>
            <w:pPr>
              <w:overflowPunct w:val="0"/>
              <w:jc w:val="center"/>
              <w:rPr>
                <w:rFonts w:ascii="Times New Roman" w:hAnsi="Times New Roman"/>
                <w:szCs w:val="21"/>
              </w:rPr>
            </w:pPr>
            <w:r>
              <w:rPr>
                <w:rFonts w:hint="eastAsia" w:ascii="Times New Roman" w:hAnsi="Times New Roman"/>
                <w:szCs w:val="21"/>
              </w:rPr>
              <w:t>生石灰、烧碱</w:t>
            </w:r>
          </w:p>
        </w:tc>
        <w:tc>
          <w:tcPr>
            <w:tcW w:w="2843" w:type="dxa"/>
            <w:vAlign w:val="center"/>
          </w:tcPr>
          <w:p>
            <w:pPr>
              <w:overflowPunct w:val="0"/>
              <w:jc w:val="center"/>
              <w:rPr>
                <w:rFonts w:ascii="Times New Roman" w:hAnsi="Times New Roman"/>
                <w:szCs w:val="21"/>
              </w:rPr>
            </w:pPr>
            <w:r>
              <w:rPr>
                <w:rFonts w:hint="eastAsia" w:ascii="Times New Roman" w:hAnsi="Times New Roman"/>
                <w:szCs w:val="21"/>
              </w:rPr>
              <w:t>加入石灰水沉淀后循环使用，不外排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restart"/>
            <w:vAlign w:val="center"/>
          </w:tcPr>
          <w:p>
            <w:pPr>
              <w:overflowPunct w:val="0"/>
              <w:jc w:val="center"/>
              <w:rPr>
                <w:rFonts w:ascii="Times New Roman" w:hAnsi="Times New Roman"/>
                <w:szCs w:val="21"/>
              </w:rPr>
            </w:pPr>
            <w:r>
              <w:rPr>
                <w:rFonts w:ascii="Times New Roman" w:hAnsi="Times New Roman"/>
                <w:szCs w:val="21"/>
              </w:rPr>
              <w:t>固</w:t>
            </w:r>
          </w:p>
          <w:p>
            <w:pPr>
              <w:overflowPunct w:val="0"/>
              <w:jc w:val="center"/>
              <w:rPr>
                <w:rFonts w:ascii="Times New Roman" w:hAnsi="Times New Roman"/>
                <w:szCs w:val="21"/>
              </w:rPr>
            </w:pPr>
            <w:r>
              <w:rPr>
                <w:rFonts w:ascii="Times New Roman" w:hAnsi="Times New Roman"/>
                <w:szCs w:val="21"/>
              </w:rPr>
              <w:t>体</w:t>
            </w:r>
          </w:p>
          <w:p>
            <w:pPr>
              <w:overflowPunct w:val="0"/>
              <w:jc w:val="center"/>
              <w:rPr>
                <w:rFonts w:ascii="Times New Roman" w:hAnsi="Times New Roman"/>
                <w:szCs w:val="21"/>
              </w:rPr>
            </w:pPr>
            <w:r>
              <w:rPr>
                <w:rFonts w:ascii="Times New Roman" w:hAnsi="Times New Roman"/>
                <w:szCs w:val="21"/>
              </w:rPr>
              <w:t>废</w:t>
            </w:r>
          </w:p>
          <w:p>
            <w:pPr>
              <w:overflowPunct w:val="0"/>
              <w:jc w:val="center"/>
              <w:rPr>
                <w:rFonts w:ascii="Times New Roman" w:hAnsi="Times New Roman"/>
                <w:szCs w:val="21"/>
              </w:rPr>
            </w:pPr>
            <w:r>
              <w:rPr>
                <w:rFonts w:ascii="Times New Roman" w:hAnsi="Times New Roman"/>
                <w:szCs w:val="21"/>
              </w:rPr>
              <w:t>物</w:t>
            </w:r>
          </w:p>
        </w:tc>
        <w:tc>
          <w:tcPr>
            <w:tcW w:w="1275" w:type="dxa"/>
            <w:vMerge w:val="restart"/>
            <w:vAlign w:val="center"/>
          </w:tcPr>
          <w:p>
            <w:pPr>
              <w:overflowPunct w:val="0"/>
              <w:jc w:val="center"/>
              <w:rPr>
                <w:rFonts w:ascii="Times New Roman" w:hAnsi="Times New Roman"/>
                <w:szCs w:val="21"/>
              </w:rPr>
            </w:pPr>
            <w:r>
              <w:rPr>
                <w:rFonts w:ascii="Times New Roman" w:hAnsi="Times New Roman"/>
                <w:szCs w:val="21"/>
              </w:rPr>
              <w:t>一般固体废物</w:t>
            </w:r>
          </w:p>
        </w:tc>
        <w:tc>
          <w:tcPr>
            <w:tcW w:w="1692" w:type="dxa"/>
            <w:vAlign w:val="center"/>
          </w:tcPr>
          <w:p>
            <w:pPr>
              <w:overflowPunct w:val="0"/>
              <w:jc w:val="center"/>
              <w:rPr>
                <w:rFonts w:ascii="Times New Roman" w:hAnsi="Times New Roman"/>
                <w:szCs w:val="21"/>
              </w:rPr>
            </w:pPr>
            <w:r>
              <w:rPr>
                <w:rFonts w:ascii="Times New Roman" w:hAnsi="Times New Roman"/>
                <w:szCs w:val="21"/>
              </w:rPr>
              <w:t>员工生活垃圾</w:t>
            </w:r>
          </w:p>
        </w:tc>
        <w:tc>
          <w:tcPr>
            <w:tcW w:w="2268" w:type="dxa"/>
            <w:vAlign w:val="center"/>
          </w:tcPr>
          <w:p>
            <w:pPr>
              <w:overflowPunct w:val="0"/>
              <w:jc w:val="center"/>
              <w:rPr>
                <w:rFonts w:ascii="Times New Roman" w:hAnsi="Times New Roman"/>
                <w:szCs w:val="21"/>
              </w:rPr>
            </w:pPr>
            <w:r>
              <w:rPr>
                <w:rFonts w:ascii="Times New Roman" w:hAnsi="Times New Roman"/>
                <w:szCs w:val="21"/>
              </w:rPr>
              <w:t>统一收集后由环卫部门统一处理</w:t>
            </w:r>
          </w:p>
        </w:tc>
        <w:tc>
          <w:tcPr>
            <w:tcW w:w="2843" w:type="dxa"/>
            <w:vMerge w:val="restart"/>
            <w:vAlign w:val="center"/>
          </w:tcPr>
          <w:p>
            <w:pPr>
              <w:overflowPunct w:val="0"/>
              <w:jc w:val="center"/>
              <w:rPr>
                <w:rFonts w:ascii="Times New Roman" w:hAnsi="Times New Roman"/>
                <w:iCs/>
                <w:szCs w:val="21"/>
              </w:rPr>
            </w:pPr>
            <w:r>
              <w:rPr>
                <w:rFonts w:ascii="Times New Roman" w:hAnsi="Times New Roman"/>
                <w:iCs/>
                <w:szCs w:val="21"/>
              </w:rPr>
              <w:t>减量化、资源化、无害化，对环境基本无影响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Merge w:val="continue"/>
            <w:vAlign w:val="center"/>
          </w:tcPr>
          <w:p>
            <w:pPr>
              <w:overflowPunct w:val="0"/>
              <w:jc w:val="center"/>
              <w:rPr>
                <w:rFonts w:ascii="Times New Roman" w:hAnsi="Times New Roman"/>
                <w:szCs w:val="21"/>
              </w:rPr>
            </w:pPr>
          </w:p>
        </w:tc>
        <w:tc>
          <w:tcPr>
            <w:tcW w:w="1692" w:type="dxa"/>
            <w:vAlign w:val="center"/>
          </w:tcPr>
          <w:p>
            <w:pPr>
              <w:overflowPunct w:val="0"/>
              <w:jc w:val="center"/>
              <w:rPr>
                <w:rFonts w:ascii="Times New Roman" w:hAnsi="Times New Roman"/>
                <w:szCs w:val="21"/>
              </w:rPr>
            </w:pPr>
            <w:r>
              <w:rPr>
                <w:rFonts w:hint="eastAsia" w:ascii="Times New Roman" w:hAnsi="Times New Roman"/>
              </w:rPr>
              <w:t>沉淀池沉渣</w:t>
            </w:r>
          </w:p>
        </w:tc>
        <w:tc>
          <w:tcPr>
            <w:tcW w:w="2268" w:type="dxa"/>
            <w:vAlign w:val="center"/>
          </w:tcPr>
          <w:p>
            <w:pPr>
              <w:overflowPunct w:val="0"/>
              <w:jc w:val="center"/>
              <w:rPr>
                <w:rFonts w:ascii="Times New Roman" w:hAnsi="Times New Roman"/>
                <w:szCs w:val="21"/>
              </w:rPr>
            </w:pPr>
            <w:r>
              <w:rPr>
                <w:rFonts w:hint="eastAsia" w:ascii="Times New Roman" w:hAnsi="Times New Roman"/>
              </w:rPr>
              <w:t>回用于砖厂制砖</w:t>
            </w: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Merge w:val="continue"/>
            <w:vAlign w:val="center"/>
          </w:tcPr>
          <w:p>
            <w:pPr>
              <w:overflowPunct w:val="0"/>
              <w:jc w:val="center"/>
              <w:rPr>
                <w:rFonts w:ascii="Times New Roman" w:hAnsi="Times New Roman"/>
                <w:szCs w:val="21"/>
              </w:rPr>
            </w:pPr>
          </w:p>
        </w:tc>
        <w:tc>
          <w:tcPr>
            <w:tcW w:w="1692" w:type="dxa"/>
            <w:vAlign w:val="center"/>
          </w:tcPr>
          <w:p>
            <w:pPr>
              <w:overflowPunct w:val="0"/>
              <w:jc w:val="center"/>
              <w:rPr>
                <w:rFonts w:ascii="Times New Roman" w:hAnsi="Times New Roman"/>
              </w:rPr>
            </w:pPr>
            <w:r>
              <w:rPr>
                <w:rFonts w:hint="eastAsia" w:ascii="Times New Roman" w:hAnsi="Times New Roman"/>
              </w:rPr>
              <w:t>剥土</w:t>
            </w:r>
          </w:p>
        </w:tc>
        <w:tc>
          <w:tcPr>
            <w:tcW w:w="2268" w:type="dxa"/>
            <w:vAlign w:val="center"/>
          </w:tcPr>
          <w:p>
            <w:pPr>
              <w:overflowPunct w:val="0"/>
              <w:jc w:val="center"/>
              <w:rPr>
                <w:rFonts w:ascii="Times New Roman" w:hAnsi="Times New Roman"/>
              </w:rPr>
            </w:pPr>
            <w:r>
              <w:rPr>
                <w:rFonts w:hint="eastAsia" w:ascii="Times New Roman" w:hAnsi="Times New Roman"/>
              </w:rPr>
              <w:t>运至排土场，用作复垦土源</w:t>
            </w: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Merge w:val="continue"/>
            <w:vAlign w:val="center"/>
          </w:tcPr>
          <w:p>
            <w:pPr>
              <w:overflowPunct w:val="0"/>
              <w:jc w:val="center"/>
              <w:rPr>
                <w:rFonts w:ascii="Times New Roman" w:hAnsi="Times New Roman"/>
                <w:szCs w:val="21"/>
              </w:rPr>
            </w:pPr>
          </w:p>
        </w:tc>
        <w:tc>
          <w:tcPr>
            <w:tcW w:w="1692" w:type="dxa"/>
            <w:vAlign w:val="center"/>
          </w:tcPr>
          <w:p>
            <w:pPr>
              <w:overflowPunct w:val="0"/>
              <w:jc w:val="center"/>
              <w:rPr>
                <w:rFonts w:ascii="Times New Roman" w:hAnsi="Times New Roman"/>
              </w:rPr>
            </w:pPr>
            <w:r>
              <w:rPr>
                <w:rFonts w:hint="eastAsia" w:ascii="Times New Roman" w:hAnsi="Times New Roman"/>
              </w:rPr>
              <w:t>废石</w:t>
            </w:r>
          </w:p>
        </w:tc>
        <w:tc>
          <w:tcPr>
            <w:tcW w:w="2268" w:type="dxa"/>
            <w:vMerge w:val="restart"/>
            <w:vAlign w:val="center"/>
          </w:tcPr>
          <w:p>
            <w:pPr>
              <w:overflowPunct w:val="0"/>
              <w:jc w:val="center"/>
              <w:rPr>
                <w:rFonts w:ascii="Times New Roman" w:hAnsi="Times New Roman"/>
              </w:rPr>
            </w:pPr>
            <w:r>
              <w:rPr>
                <w:rFonts w:hint="eastAsia" w:ascii="Times New Roman" w:hAnsi="Times New Roman"/>
              </w:rPr>
              <w:t>作为碎石原料</w:t>
            </w: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Merge w:val="continue"/>
            <w:vAlign w:val="center"/>
          </w:tcPr>
          <w:p>
            <w:pPr>
              <w:overflowPunct w:val="0"/>
              <w:jc w:val="center"/>
              <w:rPr>
                <w:rFonts w:ascii="Times New Roman" w:hAnsi="Times New Roman"/>
                <w:szCs w:val="21"/>
              </w:rPr>
            </w:pPr>
          </w:p>
        </w:tc>
        <w:tc>
          <w:tcPr>
            <w:tcW w:w="1692" w:type="dxa"/>
            <w:vAlign w:val="center"/>
          </w:tcPr>
          <w:p>
            <w:pPr>
              <w:overflowPunct w:val="0"/>
              <w:jc w:val="center"/>
              <w:rPr>
                <w:rFonts w:ascii="Times New Roman" w:hAnsi="Times New Roman"/>
              </w:rPr>
            </w:pPr>
            <w:r>
              <w:rPr>
                <w:rFonts w:hint="eastAsia" w:ascii="Times New Roman" w:hAnsi="Times New Roman"/>
              </w:rPr>
              <w:t>不合格产品</w:t>
            </w:r>
          </w:p>
        </w:tc>
        <w:tc>
          <w:tcPr>
            <w:tcW w:w="2268" w:type="dxa"/>
            <w:vMerge w:val="continue"/>
            <w:vAlign w:val="center"/>
          </w:tcPr>
          <w:p>
            <w:pPr>
              <w:overflowPunct w:val="0"/>
              <w:jc w:val="center"/>
              <w:rPr>
                <w:rFonts w:ascii="Times New Roman" w:hAnsi="Times New Roman"/>
              </w:rPr>
            </w:pP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Merge w:val="continue"/>
            <w:vAlign w:val="center"/>
          </w:tcPr>
          <w:p>
            <w:pPr>
              <w:overflowPunct w:val="0"/>
              <w:jc w:val="center"/>
              <w:rPr>
                <w:rFonts w:ascii="Times New Roman" w:hAnsi="Times New Roman"/>
                <w:szCs w:val="21"/>
              </w:rPr>
            </w:pPr>
          </w:p>
        </w:tc>
        <w:tc>
          <w:tcPr>
            <w:tcW w:w="1692" w:type="dxa"/>
            <w:vAlign w:val="center"/>
          </w:tcPr>
          <w:p>
            <w:pPr>
              <w:overflowPunct w:val="0"/>
              <w:jc w:val="center"/>
              <w:rPr>
                <w:rFonts w:ascii="Times New Roman" w:hAnsi="Times New Roman"/>
              </w:rPr>
            </w:pPr>
            <w:r>
              <w:rPr>
                <w:rFonts w:hint="eastAsia" w:ascii="Times New Roman" w:hAnsi="Times New Roman"/>
              </w:rPr>
              <w:t>脱硫废水沉渣</w:t>
            </w:r>
          </w:p>
        </w:tc>
        <w:tc>
          <w:tcPr>
            <w:tcW w:w="2268" w:type="dxa"/>
            <w:vAlign w:val="center"/>
          </w:tcPr>
          <w:p>
            <w:pPr>
              <w:overflowPunct w:val="0"/>
              <w:jc w:val="center"/>
              <w:rPr>
                <w:rFonts w:ascii="Times New Roman" w:hAnsi="Times New Roman"/>
              </w:rPr>
            </w:pPr>
            <w:r>
              <w:rPr>
                <w:rFonts w:hint="eastAsia" w:ascii="Times New Roman" w:hAnsi="Times New Roman"/>
              </w:rPr>
              <w:t>作为原料外售水泥厂</w:t>
            </w: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Merge w:val="continue"/>
            <w:vAlign w:val="center"/>
          </w:tcPr>
          <w:p>
            <w:pPr>
              <w:overflowPunct w:val="0"/>
              <w:jc w:val="center"/>
              <w:rPr>
                <w:rFonts w:ascii="Times New Roman" w:hAnsi="Times New Roman"/>
                <w:color w:val="0033CC"/>
                <w:szCs w:val="21"/>
              </w:rPr>
            </w:pPr>
          </w:p>
        </w:tc>
        <w:tc>
          <w:tcPr>
            <w:tcW w:w="1275" w:type="dxa"/>
            <w:vAlign w:val="center"/>
          </w:tcPr>
          <w:p>
            <w:pPr>
              <w:overflowPunct w:val="0"/>
              <w:jc w:val="center"/>
              <w:rPr>
                <w:rFonts w:ascii="Times New Roman" w:hAnsi="Times New Roman"/>
                <w:szCs w:val="21"/>
              </w:rPr>
            </w:pPr>
            <w:r>
              <w:rPr>
                <w:rFonts w:ascii="Times New Roman" w:hAnsi="Times New Roman"/>
                <w:szCs w:val="21"/>
              </w:rPr>
              <w:t>危险废物</w:t>
            </w:r>
          </w:p>
        </w:tc>
        <w:tc>
          <w:tcPr>
            <w:tcW w:w="1692" w:type="dxa"/>
            <w:tcMar>
              <w:left w:w="28" w:type="dxa"/>
              <w:right w:w="28" w:type="dxa"/>
            </w:tcMar>
            <w:vAlign w:val="center"/>
          </w:tcPr>
          <w:p>
            <w:pPr>
              <w:tabs>
                <w:tab w:val="left" w:pos="1440"/>
                <w:tab w:val="left" w:pos="1800"/>
              </w:tabs>
              <w:overflowPunct w:val="0"/>
              <w:adjustRightInd w:val="0"/>
              <w:snapToGrid w:val="0"/>
              <w:jc w:val="center"/>
              <w:rPr>
                <w:rFonts w:ascii="Times New Roman" w:hAnsi="Times New Roman"/>
                <w:szCs w:val="21"/>
              </w:rPr>
            </w:pPr>
            <w:r>
              <w:rPr>
                <w:rFonts w:hint="eastAsia" w:ascii="Times New Roman" w:hAnsi="Times New Roman"/>
                <w:szCs w:val="21"/>
              </w:rPr>
              <w:t>废润滑油</w:t>
            </w:r>
          </w:p>
        </w:tc>
        <w:tc>
          <w:tcPr>
            <w:tcW w:w="2268" w:type="dxa"/>
            <w:vAlign w:val="center"/>
          </w:tcPr>
          <w:p>
            <w:pPr>
              <w:tabs>
                <w:tab w:val="left" w:pos="1440"/>
                <w:tab w:val="left" w:pos="1800"/>
              </w:tabs>
              <w:overflowPunct w:val="0"/>
              <w:adjustRightInd w:val="0"/>
              <w:snapToGrid w:val="0"/>
              <w:jc w:val="center"/>
              <w:rPr>
                <w:rFonts w:ascii="Times New Roman" w:hAnsi="Times New Roman"/>
                <w:szCs w:val="21"/>
              </w:rPr>
            </w:pPr>
            <w:r>
              <w:rPr>
                <w:rFonts w:ascii="Times New Roman" w:hAnsi="Times New Roman"/>
                <w:szCs w:val="21"/>
              </w:rPr>
              <w:t>收集后暂存于危废暂存库，委托危废处理单位进行无害化处理</w:t>
            </w:r>
          </w:p>
        </w:tc>
        <w:tc>
          <w:tcPr>
            <w:tcW w:w="2843" w:type="dxa"/>
            <w:vMerge w:val="continue"/>
            <w:vAlign w:val="center"/>
          </w:tcPr>
          <w:p>
            <w:pPr>
              <w:overflowPunct w:val="0"/>
              <w:jc w:val="center"/>
              <w:rPr>
                <w:rFonts w:ascii="Times New Roman" w:hAnsi="Times New Roman"/>
                <w:iCs/>
                <w:color w:val="0033CC"/>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994" w:type="dxa"/>
            <w:vAlign w:val="center"/>
          </w:tcPr>
          <w:p>
            <w:pPr>
              <w:overflowPunct w:val="0"/>
              <w:jc w:val="center"/>
              <w:rPr>
                <w:rFonts w:ascii="Times New Roman" w:hAnsi="Times New Roman"/>
                <w:szCs w:val="21"/>
              </w:rPr>
            </w:pPr>
            <w:r>
              <w:rPr>
                <w:rFonts w:ascii="Times New Roman" w:hAnsi="Times New Roman"/>
                <w:szCs w:val="21"/>
              </w:rPr>
              <w:t>噪</w:t>
            </w:r>
          </w:p>
          <w:p>
            <w:pPr>
              <w:overflowPunct w:val="0"/>
              <w:jc w:val="center"/>
              <w:rPr>
                <w:rFonts w:ascii="Times New Roman" w:hAnsi="Times New Roman"/>
                <w:color w:val="0033CC"/>
                <w:szCs w:val="21"/>
              </w:rPr>
            </w:pPr>
            <w:r>
              <w:rPr>
                <w:rFonts w:ascii="Times New Roman" w:hAnsi="Times New Roman"/>
                <w:szCs w:val="21"/>
              </w:rPr>
              <w:t>声</w:t>
            </w:r>
          </w:p>
        </w:tc>
        <w:tc>
          <w:tcPr>
            <w:tcW w:w="8078" w:type="dxa"/>
            <w:gridSpan w:val="4"/>
            <w:vAlign w:val="center"/>
          </w:tcPr>
          <w:p>
            <w:pPr>
              <w:overflowPunct w:val="0"/>
              <w:rPr>
                <w:rFonts w:ascii="Times New Roman" w:hAnsi="Times New Roman"/>
                <w:bCs/>
                <w:iCs/>
                <w:szCs w:val="21"/>
              </w:rPr>
            </w:pPr>
            <w:r>
              <w:rPr>
                <w:rFonts w:ascii="Times New Roman" w:hAnsi="Times New Roman"/>
                <w:kern w:val="0"/>
                <w:szCs w:val="21"/>
              </w:rPr>
              <w:t>项目停车位处设置应设置禁止鸣笛的标志；采用低噪声设备、隔振、消声、隔音、合理布局等措施，加强场区绿化。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567" w:hRule="atLeast"/>
          <w:jc w:val="center"/>
        </w:trPr>
        <w:tc>
          <w:tcPr>
            <w:tcW w:w="9072" w:type="dxa"/>
            <w:gridSpan w:val="5"/>
          </w:tcPr>
          <w:p>
            <w:pPr>
              <w:overflowPunct w:val="0"/>
              <w:spacing w:before="240" w:beforeLines="100" w:line="360" w:lineRule="auto"/>
              <w:rPr>
                <w:rFonts w:ascii="Times New Roman" w:hAnsi="Times New Roman"/>
                <w:b/>
                <w:iCs/>
                <w:szCs w:val="21"/>
              </w:rPr>
            </w:pPr>
            <w:r>
              <w:rPr>
                <w:rFonts w:ascii="Times New Roman" w:hAnsi="Times New Roman"/>
                <w:b/>
                <w:iCs/>
                <w:szCs w:val="21"/>
              </w:rPr>
              <w:t>生态保护措施及预期效果</w:t>
            </w:r>
          </w:p>
          <w:p>
            <w:pPr>
              <w:overflowPunct w:val="0"/>
              <w:spacing w:line="360" w:lineRule="auto"/>
              <w:ind w:firstLine="420" w:firstLineChars="200"/>
              <w:rPr>
                <w:rFonts w:ascii="Times New Roman" w:hAnsi="Times New Roman"/>
                <w:bCs/>
                <w:iCs/>
                <w:szCs w:val="21"/>
              </w:rPr>
            </w:pPr>
            <w:r>
              <w:rPr>
                <w:rFonts w:hint="eastAsia" w:ascii="Times New Roman" w:hAnsi="Times New Roman"/>
                <w:bCs/>
                <w:iCs/>
                <w:szCs w:val="21"/>
              </w:rPr>
              <w:t>废气、废水、噪声经治理后达标排放，固废能得到安全处置，以减少本项目排放的污染物对周围环境的影响。通过增加绿化面积等措施进行生态环境保护，加强厂区及厂界周围环境绿化，绿化以树、草等形式结合，起到降低噪声、吸附尘粒、净化空气的作用，同时也可防止水土流失。</w:t>
            </w:r>
          </w:p>
          <w:p>
            <w:pPr>
              <w:overflowPunct w:val="0"/>
              <w:spacing w:line="360" w:lineRule="auto"/>
              <w:ind w:firstLine="420" w:firstLineChars="200"/>
              <w:rPr>
                <w:rFonts w:ascii="Times New Roman" w:hAnsi="Times New Roman"/>
                <w:bCs/>
                <w:iCs/>
                <w:szCs w:val="21"/>
              </w:rPr>
            </w:pPr>
          </w:p>
        </w:tc>
      </w:tr>
    </w:tbl>
    <w:p>
      <w:pPr>
        <w:pStyle w:val="2"/>
        <w:keepNext w:val="0"/>
        <w:keepLines w:val="0"/>
        <w:rPr>
          <w:rFonts w:ascii="Times New Roman" w:hAnsi="Times New Roman"/>
        </w:rPr>
        <w:sectPr>
          <w:pgSz w:w="11906" w:h="16838"/>
          <w:pgMar w:top="1418" w:right="1418" w:bottom="1418" w:left="1418" w:header="851" w:footer="992" w:gutter="0"/>
          <w:pgNumType w:chapStyle="1"/>
          <w:cols w:space="720" w:num="1"/>
          <w:docGrid w:linePitch="318" w:charSpace="190"/>
        </w:sectPr>
      </w:pPr>
      <w:bookmarkStart w:id="61" w:name="_Toc511833768"/>
      <w:bookmarkStart w:id="62" w:name="_Toc511833749"/>
      <w:bookmarkStart w:id="63" w:name="_Toc511833659"/>
    </w:p>
    <w:p>
      <w:pPr>
        <w:pStyle w:val="2"/>
        <w:kinsoku w:val="0"/>
        <w:overflowPunct w:val="0"/>
        <w:spacing w:line="240" w:lineRule="auto"/>
        <w:rPr>
          <w:rFonts w:ascii="Times New Roman" w:hAnsi="Times New Roman"/>
        </w:rPr>
      </w:pPr>
      <w:r>
        <w:rPr>
          <w:rFonts w:ascii="Times New Roman" w:hAnsi="Times New Roman"/>
        </w:rPr>
        <w:t>八、项目建设可行性分析</w:t>
      </w:r>
      <w:bookmarkEnd w:id="61"/>
      <w:bookmarkEnd w:id="62"/>
      <w:bookmarkEnd w:id="63"/>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2" w:type="dxa"/>
          </w:tcPr>
          <w:p>
            <w:pPr>
              <w:kinsoku w:val="0"/>
              <w:overflowPunct w:val="0"/>
              <w:spacing w:before="120" w:beforeLines="50" w:line="360" w:lineRule="auto"/>
              <w:rPr>
                <w:rFonts w:ascii="Times New Roman" w:hAnsi="Times New Roman"/>
                <w:b/>
                <w:spacing w:val="8"/>
                <w:sz w:val="28"/>
                <w:szCs w:val="28"/>
              </w:rPr>
            </w:pPr>
            <w:r>
              <w:rPr>
                <w:rFonts w:ascii="Times New Roman" w:hAnsi="Times New Roman"/>
                <w:b/>
                <w:spacing w:val="8"/>
                <w:sz w:val="28"/>
                <w:szCs w:val="28"/>
              </w:rPr>
              <w:t>（一）产业政策分析</w:t>
            </w:r>
          </w:p>
          <w:p>
            <w:pPr>
              <w:spacing w:line="360" w:lineRule="auto"/>
              <w:ind w:firstLine="480" w:firstLineChars="200"/>
              <w:rPr>
                <w:rFonts w:ascii="Times New Roman"/>
                <w:sz w:val="24"/>
                <w:szCs w:val="24"/>
              </w:rPr>
            </w:pPr>
            <w:r>
              <w:rPr>
                <w:rFonts w:ascii="Times New Roman" w:hAnsi="Times New Roman"/>
                <w:sz w:val="24"/>
              </w:rPr>
              <w:t>本项目</w:t>
            </w:r>
            <w:r>
              <w:rPr>
                <w:rFonts w:hint="eastAsia" w:ascii="Times New Roman" w:hAnsi="Times New Roman"/>
                <w:sz w:val="24"/>
              </w:rPr>
              <w:t>属于</w:t>
            </w:r>
            <w:r>
              <w:rPr>
                <w:rFonts w:hint="eastAsia"/>
                <w:sz w:val="24"/>
              </w:rPr>
              <w:t>非金属矿开采加工项目</w:t>
            </w:r>
            <w:r>
              <w:rPr>
                <w:rFonts w:ascii="Times New Roman" w:hAnsi="Times New Roman"/>
                <w:sz w:val="24"/>
              </w:rPr>
              <w:t>，</w:t>
            </w:r>
            <w:r>
              <w:rPr>
                <w:rFonts w:ascii="Times New Roman"/>
                <w:sz w:val="24"/>
                <w:szCs w:val="24"/>
              </w:rPr>
              <w:t>根据《产业结构调整指导目录（</w:t>
            </w:r>
            <w:r>
              <w:rPr>
                <w:rFonts w:ascii="Times New Roman" w:hAnsi="Times New Roman"/>
                <w:sz w:val="24"/>
                <w:szCs w:val="24"/>
              </w:rPr>
              <w:t>2019</w:t>
            </w:r>
            <w:r>
              <w:rPr>
                <w:rFonts w:ascii="Times New Roman"/>
                <w:sz w:val="24"/>
                <w:szCs w:val="24"/>
              </w:rPr>
              <w:t>年本）》，本项目不属于国家产业政策限制类和淘汰类生产项目，且符合国家有关法律、法规和政策规定，属于允许类，符合国家和地区产业政策。</w:t>
            </w:r>
          </w:p>
          <w:p>
            <w:pPr>
              <w:overflowPunct w:val="0"/>
              <w:spacing w:line="360" w:lineRule="auto"/>
              <w:rPr>
                <w:rFonts w:ascii="Times New Roman" w:hAnsi="Times New Roman"/>
                <w:b/>
                <w:bCs/>
                <w:spacing w:val="8"/>
                <w:sz w:val="24"/>
                <w:u w:val="single"/>
              </w:rPr>
            </w:pPr>
            <w:r>
              <w:rPr>
                <w:rFonts w:hint="eastAsia" w:ascii="Times New Roman" w:hAnsi="Times New Roman"/>
                <w:b/>
                <w:bCs/>
                <w:spacing w:val="8"/>
                <w:sz w:val="24"/>
                <w:u w:val="single"/>
              </w:rPr>
              <w:t>1</w:t>
            </w:r>
            <w:r>
              <w:rPr>
                <w:rFonts w:ascii="Times New Roman" w:hAnsi="Times New Roman"/>
                <w:b/>
                <w:bCs/>
                <w:spacing w:val="8"/>
                <w:sz w:val="24"/>
                <w:u w:val="single"/>
              </w:rPr>
              <w:t xml:space="preserve"> </w:t>
            </w:r>
            <w:r>
              <w:rPr>
                <w:rFonts w:hint="eastAsia" w:ascii="Times New Roman" w:hAnsi="Times New Roman"/>
                <w:b/>
                <w:bCs/>
                <w:spacing w:val="8"/>
                <w:sz w:val="24"/>
                <w:u w:val="single"/>
              </w:rPr>
              <w:t>产业政策符合性分析</w:t>
            </w:r>
          </w:p>
          <w:p>
            <w:pPr>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本项目利用煤渣、页岩作为主要原料，采用50门隧道窑生产页岩砖，根据《产业结构调整指导目录（201</w:t>
            </w:r>
            <w:r>
              <w:rPr>
                <w:rFonts w:hint="eastAsia" w:ascii="Times New Roman" w:hAnsi="Times New Roman"/>
                <w:color w:val="000000" w:themeColor="text1"/>
                <w:sz w:val="24"/>
                <w:szCs w:val="24"/>
                <w:u w:val="single"/>
                <w14:textFill>
                  <w14:solidFill>
                    <w14:schemeClr w14:val="tx1"/>
                  </w14:solidFill>
                </w14:textFill>
              </w:rPr>
              <w:t>9</w:t>
            </w:r>
            <w:r>
              <w:rPr>
                <w:rFonts w:ascii="Times New Roman" w:hAnsi="Times New Roman"/>
                <w:color w:val="000000" w:themeColor="text1"/>
                <w:sz w:val="24"/>
                <w:szCs w:val="24"/>
                <w:u w:val="single"/>
                <w14:textFill>
                  <w14:solidFill>
                    <w14:schemeClr w14:val="tx1"/>
                  </w14:solidFill>
                </w14:textFill>
              </w:rPr>
              <w:t>年本）》，对本项目产业政策相符性进行分析，详见下表。</w:t>
            </w:r>
          </w:p>
          <w:p>
            <w:pPr>
              <w:spacing w:line="360" w:lineRule="auto"/>
              <w:jc w:val="center"/>
              <w:rPr>
                <w:rFonts w:ascii="Times New Roman" w:hAnsi="Times New Roman"/>
                <w:b/>
                <w:bCs/>
                <w:sz w:val="24"/>
                <w:szCs w:val="24"/>
                <w:u w:val="single"/>
              </w:rPr>
            </w:pPr>
            <w:r>
              <w:rPr>
                <w:rFonts w:hint="eastAsia" w:ascii="Times New Roman" w:hAnsi="Times New Roman"/>
                <w:b/>
                <w:bCs/>
                <w:color w:val="000000" w:themeColor="text1"/>
                <w:sz w:val="24"/>
                <w:szCs w:val="24"/>
                <w:u w:val="single"/>
                <w14:textFill>
                  <w14:solidFill>
                    <w14:schemeClr w14:val="tx1"/>
                  </w14:solidFill>
                </w14:textFill>
              </w:rPr>
              <w:t>表8</w:t>
            </w:r>
            <w:r>
              <w:rPr>
                <w:rFonts w:ascii="Times New Roman" w:hAnsi="Times New Roman"/>
                <w:b/>
                <w:bCs/>
                <w:color w:val="000000" w:themeColor="text1"/>
                <w:sz w:val="24"/>
                <w:szCs w:val="24"/>
                <w:u w:val="single"/>
                <w14:textFill>
                  <w14:solidFill>
                    <w14:schemeClr w14:val="tx1"/>
                  </w14:solidFill>
                </w14:textFill>
              </w:rPr>
              <w:t xml:space="preserve">-1  </w:t>
            </w:r>
            <w:r>
              <w:rPr>
                <w:rFonts w:hint="eastAsia" w:ascii="Times New Roman" w:hAnsi="Times New Roman"/>
                <w:b/>
                <w:bCs/>
                <w:color w:val="000000" w:themeColor="text1"/>
                <w:sz w:val="24"/>
                <w:szCs w:val="24"/>
                <w:u w:val="single"/>
                <w14:textFill>
                  <w14:solidFill>
                    <w14:schemeClr w14:val="tx1"/>
                  </w14:solidFill>
                </w14:textFill>
              </w:rPr>
              <w:t>产业政策相符性分析一览表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0"/>
              <w:gridCol w:w="906"/>
              <w:gridCol w:w="3828"/>
              <w:gridCol w:w="2551"/>
              <w:gridCol w:w="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Align w:val="center"/>
                </w:tcPr>
                <w:p>
                  <w:pPr>
                    <w:pStyle w:val="7"/>
                    <w:spacing w:after="0"/>
                    <w:jc w:val="center"/>
                    <w:rPr>
                      <w:rFonts w:ascii="Times New Roman" w:hAnsi="Times New Roman" w:eastAsiaTheme="minorEastAsia"/>
                      <w:b/>
                      <w:bCs/>
                      <w:color w:val="000000" w:themeColor="text1"/>
                      <w:sz w:val="21"/>
                      <w:szCs w:val="21"/>
                      <w:u w:val="single"/>
                      <w14:textFill>
                        <w14:solidFill>
                          <w14:schemeClr w14:val="tx1"/>
                        </w14:solidFill>
                      </w14:textFill>
                    </w:rPr>
                  </w:pPr>
                  <w:r>
                    <w:rPr>
                      <w:rFonts w:ascii="Times New Roman" w:hAnsi="Times New Roman" w:eastAsiaTheme="minorEastAsia"/>
                      <w:b/>
                      <w:bCs/>
                      <w:color w:val="000000" w:themeColor="text1"/>
                      <w:sz w:val="21"/>
                      <w:szCs w:val="21"/>
                      <w:u w:val="single"/>
                      <w14:textFill>
                        <w14:solidFill>
                          <w14:schemeClr w14:val="tx1"/>
                        </w14:solidFill>
                      </w14:textFill>
                    </w:rPr>
                    <w:t>序号</w:t>
                  </w:r>
                </w:p>
              </w:tc>
              <w:tc>
                <w:tcPr>
                  <w:tcW w:w="906" w:type="dxa"/>
                  <w:vAlign w:val="center"/>
                </w:tcPr>
                <w:p>
                  <w:pPr>
                    <w:pStyle w:val="7"/>
                    <w:spacing w:after="0"/>
                    <w:jc w:val="center"/>
                    <w:rPr>
                      <w:rFonts w:ascii="Times New Roman" w:hAnsi="Times New Roman" w:eastAsiaTheme="minorEastAsia"/>
                      <w:b/>
                      <w:bCs/>
                      <w:color w:val="000000" w:themeColor="text1"/>
                      <w:sz w:val="21"/>
                      <w:szCs w:val="21"/>
                      <w:u w:val="single"/>
                      <w14:textFill>
                        <w14:solidFill>
                          <w14:schemeClr w14:val="tx1"/>
                        </w14:solidFill>
                      </w14:textFill>
                    </w:rPr>
                  </w:pPr>
                  <w:r>
                    <w:rPr>
                      <w:rFonts w:ascii="Times New Roman" w:hAnsi="Times New Roman" w:eastAsiaTheme="minorEastAsia"/>
                      <w:b/>
                      <w:bCs/>
                      <w:color w:val="000000" w:themeColor="text1"/>
                      <w:sz w:val="21"/>
                      <w:szCs w:val="21"/>
                      <w:u w:val="single"/>
                      <w14:textFill>
                        <w14:solidFill>
                          <w14:schemeClr w14:val="tx1"/>
                        </w14:solidFill>
                      </w14:textFill>
                    </w:rPr>
                    <w:t>类别</w:t>
                  </w:r>
                </w:p>
              </w:tc>
              <w:tc>
                <w:tcPr>
                  <w:tcW w:w="3828" w:type="dxa"/>
                  <w:vAlign w:val="center"/>
                </w:tcPr>
                <w:p>
                  <w:pPr>
                    <w:pStyle w:val="7"/>
                    <w:spacing w:after="0"/>
                    <w:jc w:val="center"/>
                    <w:rPr>
                      <w:rFonts w:ascii="Times New Roman" w:hAnsi="Times New Roman" w:eastAsiaTheme="minorEastAsia"/>
                      <w:b/>
                      <w:bCs/>
                      <w:color w:val="000000" w:themeColor="text1"/>
                      <w:sz w:val="21"/>
                      <w:szCs w:val="21"/>
                      <w:u w:val="single"/>
                      <w14:textFill>
                        <w14:solidFill>
                          <w14:schemeClr w14:val="tx1"/>
                        </w14:solidFill>
                      </w14:textFill>
                    </w:rPr>
                  </w:pPr>
                  <w:r>
                    <w:rPr>
                      <w:rFonts w:ascii="Times New Roman" w:hAnsi="Times New Roman" w:eastAsiaTheme="minorEastAsia"/>
                      <w:b/>
                      <w:bCs/>
                      <w:color w:val="000000" w:themeColor="text1"/>
                      <w:sz w:val="21"/>
                      <w:szCs w:val="21"/>
                      <w:u w:val="single"/>
                      <w14:textFill>
                        <w14:solidFill>
                          <w14:schemeClr w14:val="tx1"/>
                        </w14:solidFill>
                      </w14:textFill>
                    </w:rPr>
                    <w:t>产业结构调整指导目录（2019年本）</w:t>
                  </w:r>
                </w:p>
              </w:tc>
              <w:tc>
                <w:tcPr>
                  <w:tcW w:w="2551" w:type="dxa"/>
                  <w:vAlign w:val="center"/>
                </w:tcPr>
                <w:p>
                  <w:pPr>
                    <w:pStyle w:val="7"/>
                    <w:spacing w:after="0"/>
                    <w:jc w:val="center"/>
                    <w:rPr>
                      <w:rFonts w:ascii="Times New Roman" w:hAnsi="Times New Roman" w:eastAsiaTheme="minorEastAsia"/>
                      <w:b/>
                      <w:bCs/>
                      <w:color w:val="000000" w:themeColor="text1"/>
                      <w:sz w:val="21"/>
                      <w:szCs w:val="21"/>
                      <w:u w:val="single"/>
                      <w14:textFill>
                        <w14:solidFill>
                          <w14:schemeClr w14:val="tx1"/>
                        </w14:solidFill>
                      </w14:textFill>
                    </w:rPr>
                  </w:pPr>
                  <w:r>
                    <w:rPr>
                      <w:rFonts w:ascii="Times New Roman" w:hAnsi="Times New Roman" w:eastAsiaTheme="minorEastAsia"/>
                      <w:b/>
                      <w:bCs/>
                      <w:color w:val="000000" w:themeColor="text1"/>
                      <w:sz w:val="21"/>
                      <w:szCs w:val="21"/>
                      <w:u w:val="single"/>
                      <w14:textFill>
                        <w14:solidFill>
                          <w14:schemeClr w14:val="tx1"/>
                        </w14:solidFill>
                      </w14:textFill>
                    </w:rPr>
                    <w:t>本项目情况</w:t>
                  </w:r>
                </w:p>
              </w:tc>
              <w:tc>
                <w:tcPr>
                  <w:tcW w:w="881" w:type="dxa"/>
                  <w:vAlign w:val="center"/>
                </w:tcPr>
                <w:p>
                  <w:pPr>
                    <w:pStyle w:val="7"/>
                    <w:spacing w:after="0"/>
                    <w:jc w:val="center"/>
                    <w:rPr>
                      <w:rFonts w:ascii="Times New Roman" w:hAnsi="Times New Roman" w:eastAsiaTheme="minorEastAsia"/>
                      <w:b/>
                      <w:bCs/>
                      <w:color w:val="000000" w:themeColor="text1"/>
                      <w:sz w:val="21"/>
                      <w:szCs w:val="21"/>
                      <w:u w:val="single"/>
                      <w14:textFill>
                        <w14:solidFill>
                          <w14:schemeClr w14:val="tx1"/>
                        </w14:solidFill>
                      </w14:textFill>
                    </w:rPr>
                  </w:pPr>
                  <w:r>
                    <w:rPr>
                      <w:rFonts w:ascii="Times New Roman" w:hAnsi="Times New Roman" w:eastAsiaTheme="minorEastAsia"/>
                      <w:b/>
                      <w:bCs/>
                      <w:color w:val="000000" w:themeColor="text1"/>
                      <w:sz w:val="21"/>
                      <w:szCs w:val="21"/>
                      <w:u w:val="singl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1</w:t>
                  </w:r>
                </w:p>
              </w:tc>
              <w:tc>
                <w:tcPr>
                  <w:tcW w:w="906"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鼓励类</w:t>
                  </w: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新型墙体和屋面材料、绝热隔音材料、建筑防水和密封等材料的开发与生产</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本项目生产的是新型节能的环保墙体材料</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restart"/>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2</w:t>
                  </w:r>
                </w:p>
              </w:tc>
              <w:tc>
                <w:tcPr>
                  <w:tcW w:w="906" w:type="dxa"/>
                  <w:vMerge w:val="restart"/>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限制类</w:t>
                  </w: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粘土实心砖生产线</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本项目为烧结页岩多孔砖项目</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906"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3000万标砖/年以下的低硫煤、页岩烧结实心砖生产线</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本项目为年产3000万块页岩砖，项目使用的无烟煤含硫量最高为0.7%，属于低硫煤</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restart"/>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3</w:t>
                  </w:r>
                </w:p>
              </w:tc>
              <w:tc>
                <w:tcPr>
                  <w:tcW w:w="906" w:type="dxa"/>
                  <w:vMerge w:val="restart"/>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淘汰类</w:t>
                  </w: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砖瓦24门以下轮窑以及立窑、无顶轮窑、马蹄窑等土窑（2011年）</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本项目采用50门轮窑</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906"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普通挤砖机</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本项采用JKY600-4.0真空挤出机</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906"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SJ1580-3000双轴、单轴制砖搅拌机</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本项采用双轴搅拌机</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906"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SQP400×500-700×500双辊破碎机</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本项采用颚式破碎机和锤式破碎机</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0"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906" w:type="dxa"/>
                  <w:vMerge w:val="continue"/>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p>
              </w:tc>
              <w:tc>
                <w:tcPr>
                  <w:tcW w:w="3828"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1000型普通切条机</w:t>
                  </w:r>
                </w:p>
              </w:tc>
              <w:tc>
                <w:tcPr>
                  <w:tcW w:w="255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本项采用自动码坯机系统</w:t>
                  </w:r>
                </w:p>
              </w:tc>
              <w:tc>
                <w:tcPr>
                  <w:tcW w:w="881" w:type="dxa"/>
                  <w:vAlign w:val="center"/>
                </w:tcPr>
                <w:p>
                  <w:pPr>
                    <w:pStyle w:val="7"/>
                    <w:spacing w:after="0"/>
                    <w:jc w:val="center"/>
                    <w:rPr>
                      <w:rFonts w:ascii="Times New Roman" w:hAnsi="Times New Roman" w:eastAsiaTheme="minorEastAsia"/>
                      <w:color w:val="000000" w:themeColor="text1"/>
                      <w:sz w:val="21"/>
                      <w:szCs w:val="21"/>
                      <w:u w:val="single"/>
                      <w14:textFill>
                        <w14:solidFill>
                          <w14:schemeClr w14:val="tx1"/>
                        </w14:solidFill>
                      </w14:textFill>
                    </w:rPr>
                  </w:pPr>
                  <w:r>
                    <w:rPr>
                      <w:rFonts w:ascii="Times New Roman" w:hAnsi="Times New Roman" w:eastAsiaTheme="minorEastAsia"/>
                      <w:color w:val="000000" w:themeColor="text1"/>
                      <w:sz w:val="21"/>
                      <w:szCs w:val="21"/>
                      <w:u w:val="single"/>
                      <w14:textFill>
                        <w14:solidFill>
                          <w14:schemeClr w14:val="tx1"/>
                        </w14:solidFill>
                      </w14:textFill>
                    </w:rPr>
                    <w:t>符合</w:t>
                  </w:r>
                </w:p>
              </w:tc>
            </w:tr>
          </w:tbl>
          <w:p>
            <w:pPr>
              <w:overflowPunct w:val="0"/>
              <w:spacing w:line="360" w:lineRule="auto"/>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spacing w:val="8"/>
                <w:sz w:val="24"/>
                <w:u w:val="single"/>
              </w:rPr>
              <w:t xml:space="preserve">2 </w:t>
            </w:r>
            <w:r>
              <w:rPr>
                <w:rFonts w:ascii="Times New Roman" w:hAnsi="Times New Roman"/>
                <w:b/>
                <w:bCs/>
                <w:color w:val="000000" w:themeColor="text1"/>
                <w:sz w:val="24"/>
                <w:szCs w:val="24"/>
                <w:u w:val="single"/>
                <w14:textFill>
                  <w14:solidFill>
                    <w14:schemeClr w14:val="tx1"/>
                  </w14:solidFill>
                </w14:textFill>
              </w:rPr>
              <w:t>与</w:t>
            </w:r>
            <w:bookmarkStart w:id="64" w:name="_Hlk49853261"/>
            <w:r>
              <w:rPr>
                <w:rFonts w:ascii="Times New Roman" w:hAnsi="Times New Roman"/>
                <w:b/>
                <w:bCs/>
                <w:color w:val="000000" w:themeColor="text1"/>
                <w:sz w:val="24"/>
                <w:szCs w:val="24"/>
                <w:u w:val="single"/>
                <w14:textFill>
                  <w14:solidFill>
                    <w14:schemeClr w14:val="tx1"/>
                  </w14:solidFill>
                </w14:textFill>
              </w:rPr>
              <w:t>《益阳市粘土页岩砖专项整治实施方案》</w:t>
            </w:r>
            <w:bookmarkEnd w:id="64"/>
            <w:r>
              <w:rPr>
                <w:rFonts w:ascii="Times New Roman" w:hAnsi="Times New Roman"/>
                <w:b/>
                <w:bCs/>
                <w:color w:val="000000" w:themeColor="text1"/>
                <w:sz w:val="24"/>
                <w:szCs w:val="24"/>
                <w:u w:val="single"/>
                <w14:textFill>
                  <w14:solidFill>
                    <w14:schemeClr w14:val="tx1"/>
                  </w14:solidFill>
                </w14:textFill>
              </w:rPr>
              <w:t>的地方产业政策相符性分析</w:t>
            </w: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根据益阳市人民政府办公室关于印发《益阳市黏土页岩砖专项整治实施方案》的通知（益政办电</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2017</w:t>
            </w:r>
            <w:r>
              <w:rPr>
                <w:rFonts w:hint="eastAsia" w:ascii="Times New Roman" w:hAnsi="Times New Roman"/>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12号）的相关规定要求，对本项目规地方政策相符性进行分析，详见下表。</w:t>
            </w: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p>
          <w:p>
            <w:pPr>
              <w:overflowPunct w:val="0"/>
              <w:spacing w:line="360" w:lineRule="auto"/>
              <w:ind w:firstLine="480" w:firstLineChars="200"/>
              <w:rPr>
                <w:rFonts w:ascii="Times New Roman" w:hAnsi="Times New Roman"/>
                <w:color w:val="000000" w:themeColor="text1"/>
                <w:sz w:val="24"/>
                <w:szCs w:val="24"/>
                <w:u w:val="single"/>
                <w14:textFill>
                  <w14:solidFill>
                    <w14:schemeClr w14:val="tx1"/>
                  </w14:solidFill>
                </w14:textFill>
              </w:rPr>
            </w:pPr>
          </w:p>
          <w:p>
            <w:pPr>
              <w:overflowPunct w:val="0"/>
              <w:spacing w:line="360" w:lineRule="auto"/>
              <w:ind w:firstLine="514" w:firstLineChars="200"/>
              <w:rPr>
                <w:rFonts w:ascii="Times New Roman" w:hAnsi="Times New Roman"/>
                <w:b/>
                <w:bCs/>
                <w:spacing w:val="8"/>
                <w:sz w:val="24"/>
                <w:u w:val="single"/>
              </w:rPr>
            </w:pPr>
          </w:p>
          <w:p>
            <w:pPr>
              <w:overflowPunct w:val="0"/>
              <w:spacing w:line="360" w:lineRule="auto"/>
              <w:jc w:val="center"/>
              <w:rPr>
                <w:rFonts w:ascii="Times New Roman" w:hAnsi="Times New Roman"/>
                <w:b/>
                <w:bCs/>
                <w:spacing w:val="8"/>
                <w:sz w:val="24"/>
                <w:szCs w:val="24"/>
                <w:u w:val="single"/>
              </w:rPr>
            </w:pPr>
            <w:r>
              <w:rPr>
                <w:rFonts w:hint="eastAsia" w:ascii="Times New Roman" w:hAnsi="Times New Roman"/>
                <w:b/>
                <w:bCs/>
                <w:spacing w:val="8"/>
                <w:sz w:val="24"/>
                <w:szCs w:val="24"/>
                <w:u w:val="single"/>
              </w:rPr>
              <w:t>表8</w:t>
            </w:r>
            <w:r>
              <w:rPr>
                <w:rFonts w:ascii="Times New Roman" w:hAnsi="Times New Roman"/>
                <w:b/>
                <w:bCs/>
                <w:spacing w:val="8"/>
                <w:sz w:val="24"/>
                <w:szCs w:val="24"/>
                <w:u w:val="single"/>
              </w:rPr>
              <w:t xml:space="preserve">-2  </w:t>
            </w:r>
            <w:r>
              <w:rPr>
                <w:rFonts w:ascii="Times New Roman" w:hAnsi="Times New Roman"/>
                <w:b/>
                <w:bCs/>
                <w:color w:val="000000" w:themeColor="text1"/>
                <w:sz w:val="24"/>
                <w:szCs w:val="24"/>
                <w:u w:val="single"/>
                <w14:textFill>
                  <w14:solidFill>
                    <w14:schemeClr w14:val="tx1"/>
                  </w14:solidFill>
                </w14:textFill>
              </w:rPr>
              <w:t>本项目与《益阳市粘土页岩砖专项整治实施方案》符合性一览表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3690"/>
              <w:gridCol w:w="3544"/>
              <w:gridCol w:w="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dxa"/>
                  <w:vAlign w:val="center"/>
                </w:tcPr>
                <w:p>
                  <w:pPr>
                    <w:pStyle w:val="7"/>
                    <w:spacing w:after="0"/>
                    <w:jc w:val="center"/>
                    <w:rPr>
                      <w:rFonts w:ascii="Times New Roman" w:hAnsi="Times New Roman" w:eastAsiaTheme="minorEastAsia"/>
                      <w:b/>
                      <w:bCs/>
                      <w:color w:val="000000" w:themeColor="text1"/>
                      <w:kern w:val="21"/>
                      <w:sz w:val="21"/>
                      <w:szCs w:val="21"/>
                      <w:u w:val="single"/>
                      <w14:textFill>
                        <w14:solidFill>
                          <w14:schemeClr w14:val="tx1"/>
                        </w14:solidFill>
                      </w14:textFill>
                    </w:rPr>
                  </w:pPr>
                  <w:r>
                    <w:rPr>
                      <w:rFonts w:ascii="Times New Roman" w:hAnsi="Times New Roman" w:eastAsiaTheme="minorEastAsia"/>
                      <w:b/>
                      <w:bCs/>
                      <w:color w:val="000000" w:themeColor="text1"/>
                      <w:kern w:val="21"/>
                      <w:sz w:val="21"/>
                      <w:szCs w:val="21"/>
                      <w:u w:val="single"/>
                      <w14:textFill>
                        <w14:solidFill>
                          <w14:schemeClr w14:val="tx1"/>
                        </w14:solidFill>
                      </w14:textFill>
                    </w:rPr>
                    <w:t>序号</w:t>
                  </w:r>
                </w:p>
              </w:tc>
              <w:tc>
                <w:tcPr>
                  <w:tcW w:w="3690" w:type="dxa"/>
                  <w:vAlign w:val="center"/>
                </w:tcPr>
                <w:p>
                  <w:pPr>
                    <w:pStyle w:val="7"/>
                    <w:spacing w:after="0"/>
                    <w:jc w:val="center"/>
                    <w:rPr>
                      <w:rFonts w:ascii="Times New Roman" w:hAnsi="Times New Roman" w:eastAsiaTheme="minorEastAsia"/>
                      <w:b/>
                      <w:bCs/>
                      <w:color w:val="000000" w:themeColor="text1"/>
                      <w:kern w:val="21"/>
                      <w:sz w:val="21"/>
                      <w:szCs w:val="21"/>
                      <w:u w:val="single"/>
                      <w14:textFill>
                        <w14:solidFill>
                          <w14:schemeClr w14:val="tx1"/>
                        </w14:solidFill>
                      </w14:textFill>
                    </w:rPr>
                  </w:pPr>
                  <w:r>
                    <w:rPr>
                      <w:rFonts w:ascii="Times New Roman" w:hAnsi="Times New Roman" w:eastAsiaTheme="minorEastAsia"/>
                      <w:b/>
                      <w:bCs/>
                      <w:color w:val="000000" w:themeColor="text1"/>
                      <w:kern w:val="21"/>
                      <w:sz w:val="21"/>
                      <w:szCs w:val="21"/>
                      <w:u w:val="single"/>
                      <w14:textFill>
                        <w14:solidFill>
                          <w14:schemeClr w14:val="tx1"/>
                        </w14:solidFill>
                      </w14:textFill>
                    </w:rPr>
                    <w:t>《益阳市粘土页岩砖专项整治实施方案》要求</w:t>
                  </w:r>
                </w:p>
              </w:tc>
              <w:tc>
                <w:tcPr>
                  <w:tcW w:w="3544" w:type="dxa"/>
                  <w:vAlign w:val="center"/>
                </w:tcPr>
                <w:p>
                  <w:pPr>
                    <w:pStyle w:val="7"/>
                    <w:spacing w:after="0"/>
                    <w:jc w:val="center"/>
                    <w:rPr>
                      <w:rFonts w:ascii="Times New Roman" w:hAnsi="Times New Roman" w:eastAsiaTheme="minorEastAsia"/>
                      <w:b/>
                      <w:bCs/>
                      <w:color w:val="000000" w:themeColor="text1"/>
                      <w:kern w:val="21"/>
                      <w:sz w:val="21"/>
                      <w:szCs w:val="21"/>
                      <w:u w:val="single"/>
                      <w14:textFill>
                        <w14:solidFill>
                          <w14:schemeClr w14:val="tx1"/>
                        </w14:solidFill>
                      </w14:textFill>
                    </w:rPr>
                  </w:pPr>
                  <w:r>
                    <w:rPr>
                      <w:rFonts w:ascii="Times New Roman" w:hAnsi="Times New Roman" w:eastAsiaTheme="minorEastAsia"/>
                      <w:b/>
                      <w:bCs/>
                      <w:color w:val="000000" w:themeColor="text1"/>
                      <w:kern w:val="21"/>
                      <w:sz w:val="21"/>
                      <w:szCs w:val="21"/>
                      <w:u w:val="single"/>
                      <w14:textFill>
                        <w14:solidFill>
                          <w14:schemeClr w14:val="tx1"/>
                        </w14:solidFill>
                      </w14:textFill>
                    </w:rPr>
                    <w:t>本项目情况</w:t>
                  </w:r>
                </w:p>
              </w:tc>
              <w:tc>
                <w:tcPr>
                  <w:tcW w:w="881" w:type="dxa"/>
                  <w:vAlign w:val="center"/>
                </w:tcPr>
                <w:p>
                  <w:pPr>
                    <w:pStyle w:val="7"/>
                    <w:spacing w:after="0"/>
                    <w:jc w:val="center"/>
                    <w:rPr>
                      <w:rFonts w:ascii="Times New Roman" w:hAnsi="Times New Roman" w:eastAsiaTheme="minorEastAsia"/>
                      <w:b/>
                      <w:bCs/>
                      <w:color w:val="000000" w:themeColor="text1"/>
                      <w:kern w:val="21"/>
                      <w:sz w:val="21"/>
                      <w:szCs w:val="21"/>
                      <w:u w:val="single"/>
                      <w14:textFill>
                        <w14:solidFill>
                          <w14:schemeClr w14:val="tx1"/>
                        </w14:solidFill>
                      </w14:textFill>
                    </w:rPr>
                  </w:pPr>
                  <w:r>
                    <w:rPr>
                      <w:rFonts w:ascii="Times New Roman" w:hAnsi="Times New Roman" w:eastAsiaTheme="minorEastAsia"/>
                      <w:b/>
                      <w:bCs/>
                      <w:color w:val="000000" w:themeColor="text1"/>
                      <w:kern w:val="21"/>
                      <w:sz w:val="21"/>
                      <w:szCs w:val="21"/>
                      <w:u w:val="singl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1</w:t>
                  </w:r>
                </w:p>
              </w:tc>
              <w:tc>
                <w:tcPr>
                  <w:tcW w:w="3690"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全市范围内淘汰24门以下轮窑以及立窑、无顶轮窑、马蹄窑等土窑，淘汰普通挤砖机或产品为实心粘土砖的企业</w:t>
                  </w:r>
                </w:p>
              </w:tc>
              <w:tc>
                <w:tcPr>
                  <w:tcW w:w="3544"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本项目采用50门旋转隧道窑，采用JKY600-4.0真空挤出机，本项目生产的是新型节能的环保墙体材料</w:t>
                  </w:r>
                </w:p>
              </w:tc>
              <w:tc>
                <w:tcPr>
                  <w:tcW w:w="88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2</w:t>
                  </w:r>
                </w:p>
              </w:tc>
              <w:tc>
                <w:tcPr>
                  <w:tcW w:w="3690"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在本市城市规划区内淘汰粘土制品生产的企业</w:t>
                  </w:r>
                </w:p>
              </w:tc>
              <w:tc>
                <w:tcPr>
                  <w:tcW w:w="3544"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本项目位于益阳市桃江县鸬鹚渡镇百亩村不属于城市规划区，且生产产品为页岩砖</w:t>
                  </w:r>
                </w:p>
              </w:tc>
              <w:tc>
                <w:tcPr>
                  <w:tcW w:w="88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3</w:t>
                  </w:r>
                </w:p>
              </w:tc>
              <w:tc>
                <w:tcPr>
                  <w:tcW w:w="3690"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鼓励关停企业按国家企业正常要求进行技术改造，转型生产页岩烧结多孔砖或其他新型墙体材料</w:t>
                  </w:r>
                </w:p>
              </w:tc>
              <w:tc>
                <w:tcPr>
                  <w:tcW w:w="3544"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本项目积极响应政策要求，追加环保投资，脱硫除尘等环保设施，降低本项目污染</w:t>
                  </w:r>
                </w:p>
              </w:tc>
              <w:tc>
                <w:tcPr>
                  <w:tcW w:w="88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4</w:t>
                  </w:r>
                </w:p>
              </w:tc>
              <w:tc>
                <w:tcPr>
                  <w:tcW w:w="3690"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使用含硫量小于3%的煤做燃料</w:t>
                  </w:r>
                </w:p>
              </w:tc>
              <w:tc>
                <w:tcPr>
                  <w:tcW w:w="3544"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项目使用的无烟煤含硫量最高为0.7%，属于低硫煤</w:t>
                  </w:r>
                </w:p>
              </w:tc>
              <w:tc>
                <w:tcPr>
                  <w:tcW w:w="881" w:type="dxa"/>
                  <w:vAlign w:val="center"/>
                </w:tcPr>
                <w:p>
                  <w:pPr>
                    <w:pStyle w:val="7"/>
                    <w:spacing w:after="0"/>
                    <w:jc w:val="center"/>
                    <w:rPr>
                      <w:rFonts w:ascii="Times New Roman" w:hAnsi="Times New Roman" w:eastAsiaTheme="minorEastAsia"/>
                      <w:color w:val="000000" w:themeColor="text1"/>
                      <w:kern w:val="21"/>
                      <w:sz w:val="21"/>
                      <w:szCs w:val="21"/>
                      <w:u w:val="single"/>
                      <w14:textFill>
                        <w14:solidFill>
                          <w14:schemeClr w14:val="tx1"/>
                        </w14:solidFill>
                      </w14:textFill>
                    </w:rPr>
                  </w:pPr>
                  <w:r>
                    <w:rPr>
                      <w:rFonts w:ascii="Times New Roman" w:hAnsi="Times New Roman" w:eastAsiaTheme="minorEastAsia"/>
                      <w:color w:val="000000" w:themeColor="text1"/>
                      <w:kern w:val="21"/>
                      <w:sz w:val="21"/>
                      <w:szCs w:val="21"/>
                      <w:u w:val="single"/>
                      <w14:textFill>
                        <w14:solidFill>
                          <w14:schemeClr w14:val="tx1"/>
                        </w14:solidFill>
                      </w14:textFill>
                    </w:rPr>
                    <w:t>符合</w:t>
                  </w:r>
                </w:p>
              </w:tc>
            </w:tr>
          </w:tbl>
          <w:p>
            <w:pPr>
              <w:overflowPunct w:val="0"/>
              <w:spacing w:line="360" w:lineRule="auto"/>
              <w:ind w:firstLine="480" w:firstLineChars="200"/>
              <w:rPr>
                <w:rFonts w:ascii="Times New Roman" w:hAnsi="Times New Roman"/>
                <w:b/>
                <w:bCs/>
                <w:spacing w:val="8"/>
                <w:sz w:val="24"/>
                <w:szCs w:val="24"/>
                <w:u w:val="single"/>
              </w:rPr>
            </w:pPr>
            <w:r>
              <w:rPr>
                <w:rFonts w:ascii="Times New Roman" w:hAnsi="Times New Roman"/>
                <w:color w:val="000000" w:themeColor="text1"/>
                <w:sz w:val="24"/>
                <w:szCs w:val="24"/>
                <w:u w:val="single"/>
                <w14:textFill>
                  <w14:solidFill>
                    <w14:schemeClr w14:val="tx1"/>
                  </w14:solidFill>
                </w14:textFill>
              </w:rPr>
              <w:t>从以上表中的对照分析可以看出，该项目的建设国家及地方的产业政策要求，项目的建设将一定程度上推动当地建材结构调整，为当地经济发展做出贡献。</w:t>
            </w:r>
          </w:p>
          <w:p>
            <w:pPr>
              <w:overflowPunct w:val="0"/>
              <w:spacing w:line="360" w:lineRule="auto"/>
              <w:rPr>
                <w:rFonts w:ascii="Times New Roman" w:hAnsi="Times New Roman"/>
                <w:b/>
                <w:bCs/>
                <w:spacing w:val="8"/>
                <w:sz w:val="24"/>
                <w:u w:val="single"/>
              </w:rPr>
            </w:pPr>
            <w:r>
              <w:rPr>
                <w:rFonts w:ascii="Times New Roman" w:hAnsi="Times New Roman"/>
                <w:b/>
                <w:bCs/>
                <w:spacing w:val="8"/>
                <w:sz w:val="24"/>
                <w:u w:val="single"/>
              </w:rPr>
              <w:t xml:space="preserve">3 </w:t>
            </w:r>
            <w:r>
              <w:rPr>
                <w:rFonts w:hint="eastAsia" w:ascii="Times New Roman" w:hAnsi="Times New Roman"/>
                <w:b/>
                <w:bCs/>
                <w:spacing w:val="8"/>
                <w:sz w:val="24"/>
                <w:u w:val="single"/>
              </w:rPr>
              <w:t>与</w:t>
            </w:r>
            <w:bookmarkStart w:id="65" w:name="_Hlk49853286"/>
            <w:r>
              <w:rPr>
                <w:rFonts w:hint="eastAsia" w:ascii="Times New Roman" w:hAnsi="Times New Roman"/>
                <w:b/>
                <w:bCs/>
                <w:spacing w:val="8"/>
                <w:sz w:val="24"/>
                <w:u w:val="single"/>
              </w:rPr>
              <w:t>《矿山生态环境保护与污染防治技术政策》</w:t>
            </w:r>
            <w:bookmarkEnd w:id="65"/>
            <w:r>
              <w:rPr>
                <w:rFonts w:hint="eastAsia" w:ascii="Times New Roman" w:hAnsi="Times New Roman"/>
                <w:b/>
                <w:bCs/>
                <w:spacing w:val="8"/>
                <w:sz w:val="24"/>
                <w:u w:val="single"/>
              </w:rPr>
              <w:t>符合性分析</w:t>
            </w:r>
          </w:p>
          <w:p>
            <w:pPr>
              <w:overflowPunct w:val="0"/>
              <w:spacing w:line="360" w:lineRule="auto"/>
              <w:jc w:val="center"/>
              <w:rPr>
                <w:rFonts w:ascii="Times New Roman" w:hAnsi="Times New Roman"/>
                <w:b/>
                <w:bCs/>
                <w:spacing w:val="8"/>
                <w:sz w:val="24"/>
                <w:u w:val="single"/>
              </w:rPr>
            </w:pPr>
            <w:r>
              <w:rPr>
                <w:rFonts w:hint="eastAsia" w:ascii="Times New Roman" w:hAnsi="Times New Roman"/>
                <w:b/>
                <w:bCs/>
                <w:spacing w:val="8"/>
                <w:sz w:val="24"/>
                <w:u w:val="single"/>
              </w:rPr>
              <w:t>表8</w:t>
            </w:r>
            <w:r>
              <w:rPr>
                <w:rFonts w:ascii="Times New Roman" w:hAnsi="Times New Roman"/>
                <w:b/>
                <w:bCs/>
                <w:spacing w:val="8"/>
                <w:sz w:val="24"/>
                <w:u w:val="single"/>
              </w:rPr>
              <w:t xml:space="preserve">-3  </w:t>
            </w:r>
            <w:r>
              <w:rPr>
                <w:rFonts w:hint="eastAsia" w:ascii="Times New Roman" w:hAnsi="Times New Roman"/>
                <w:b/>
                <w:bCs/>
                <w:spacing w:val="8"/>
                <w:sz w:val="24"/>
                <w:u w:val="single"/>
              </w:rPr>
              <w:t>与《矿山生态环境保护与污染防治技术政策》符合性分析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7"/>
              <w:gridCol w:w="3978"/>
              <w:gridCol w:w="32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bCs/>
                      <w:szCs w:val="21"/>
                      <w:u w:val="single"/>
                    </w:rPr>
                  </w:pPr>
                  <w:r>
                    <w:rPr>
                      <w:rFonts w:ascii="Times New Roman" w:hAnsi="Times New Roman"/>
                      <w:b/>
                      <w:color w:val="000000"/>
                      <w:kern w:val="0"/>
                      <w:szCs w:val="21"/>
                      <w:u w:val="single"/>
                    </w:rPr>
                    <w:t>类别</w:t>
                  </w:r>
                </w:p>
              </w:tc>
              <w:tc>
                <w:tcPr>
                  <w:tcW w:w="3978" w:type="dxa"/>
                  <w:vAlign w:val="center"/>
                </w:tcPr>
                <w:p>
                  <w:pPr>
                    <w:widowControl/>
                    <w:jc w:val="center"/>
                    <w:rPr>
                      <w:rFonts w:ascii="Times New Roman" w:hAnsi="Times New Roman"/>
                      <w:bCs/>
                      <w:szCs w:val="21"/>
                      <w:u w:val="single"/>
                    </w:rPr>
                  </w:pPr>
                  <w:r>
                    <w:rPr>
                      <w:rFonts w:hint="eastAsia" w:ascii="Times New Roman" w:hAnsi="Times New Roman"/>
                      <w:b/>
                      <w:color w:val="000000"/>
                      <w:kern w:val="0"/>
                      <w:szCs w:val="21"/>
                      <w:u w:val="single"/>
                    </w:rPr>
                    <w:t>《矿山生态环境保护与污染防治技术政策》</w:t>
                  </w:r>
                  <w:r>
                    <w:rPr>
                      <w:rFonts w:ascii="Times New Roman" w:hAnsi="Times New Roman"/>
                      <w:b/>
                      <w:color w:val="000000"/>
                      <w:kern w:val="0"/>
                      <w:szCs w:val="21"/>
                      <w:u w:val="single"/>
                    </w:rPr>
                    <w:t>相关要求</w:t>
                  </w:r>
                </w:p>
              </w:tc>
              <w:tc>
                <w:tcPr>
                  <w:tcW w:w="3291" w:type="dxa"/>
                  <w:vAlign w:val="center"/>
                </w:tcPr>
                <w:p>
                  <w:pPr>
                    <w:pStyle w:val="3"/>
                    <w:widowControl/>
                    <w:ind w:firstLine="0"/>
                    <w:jc w:val="center"/>
                    <w:rPr>
                      <w:rFonts w:ascii="Times New Roman" w:hAnsi="Times New Roman" w:cs="Times New Roman"/>
                      <w:bCs/>
                      <w:szCs w:val="21"/>
                      <w:u w:val="single"/>
                    </w:rPr>
                  </w:pPr>
                  <w:r>
                    <w:rPr>
                      <w:rFonts w:ascii="Times New Roman" w:hAnsi="Times New Roman" w:cs="Times New Roman"/>
                      <w:b/>
                      <w:color w:val="000000"/>
                      <w:kern w:val="0"/>
                      <w:szCs w:val="21"/>
                      <w:u w:val="single"/>
                    </w:rPr>
                    <w:t>本项目或场地情况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Merge w:val="restart"/>
                  <w:vAlign w:val="center"/>
                </w:tcPr>
                <w:p>
                  <w:pPr>
                    <w:widowControl/>
                    <w:jc w:val="center"/>
                    <w:rPr>
                      <w:rFonts w:ascii="Times New Roman" w:hAnsi="Times New Roman"/>
                      <w:szCs w:val="21"/>
                      <w:u w:val="single"/>
                    </w:rPr>
                  </w:pPr>
                  <w:r>
                    <w:rPr>
                      <w:rFonts w:hint="eastAsia" w:ascii="Times New Roman" w:hAnsi="Times New Roman"/>
                      <w:color w:val="000000"/>
                      <w:kern w:val="0"/>
                      <w:szCs w:val="21"/>
                      <w:u w:val="single"/>
                    </w:rPr>
                    <w:t>矿产资源开发规划与设计</w:t>
                  </w:r>
                </w:p>
              </w:tc>
              <w:tc>
                <w:tcPr>
                  <w:tcW w:w="397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（一）禁止的矿产资源开发活动</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①禁止在依法划定的自然保护区（核心区、缓冲区）、风景名胜区、森林公园、饮用水水源保护区、重要湖泊周边、文物古迹所在地、地质遗迹保护区、基本农田保护区等区域内采矿。</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②禁止新建对生态环境产生不可恢复利用的、产生破坏性影响的矿产资源开发项目。</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szCs w:val="21"/>
                      <w:u w:val="single"/>
                    </w:rPr>
                    <w:t>①本项目不在</w:t>
                  </w:r>
                  <w:r>
                    <w:rPr>
                      <w:rFonts w:hint="eastAsia" w:ascii="Times New Roman" w:hAnsi="Times New Roman"/>
                      <w:color w:val="000000"/>
                      <w:kern w:val="0"/>
                      <w:szCs w:val="21"/>
                      <w:u w:val="single"/>
                    </w:rPr>
                    <w:t>依法划定的自然保护区（核心区、缓冲区）、风景名胜区、森林公园、饮用水水源保护区、重要湖泊周边、文物古迹所在地、地质遗迹保护区、基本农田保护区等区域内采矿。</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②本项目不会对生态环境产生不可恢复利用的、产生破坏性影响。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pPr>
                    <w:widowControl/>
                    <w:jc w:val="center"/>
                    <w:rPr>
                      <w:rFonts w:ascii="Times New Roman" w:hAnsi="Times New Roman"/>
                      <w:color w:val="000000"/>
                      <w:kern w:val="0"/>
                      <w:szCs w:val="21"/>
                      <w:u w:val="single"/>
                    </w:rPr>
                  </w:pPr>
                </w:p>
              </w:tc>
              <w:tc>
                <w:tcPr>
                  <w:tcW w:w="397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（二）矿产资源开发规划</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①矿产资源开发应符合国家产业政策要求，选址、布局应符合所在地的区域发展规划。</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②矿产资源开发企业应制定矿产资源综合开发规划，并应进行环境影响评价，规划内容包括资源开发利用、生态环境保护、地质灾害防治、水土保持、废弃地复垦等。</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③在矿产资源的开发规划阶段，应对矿区内的生态环境进行充分调查，建立矿区的水文、地质、土壤和动植物等生态环境和人文环境基础状况数据库。</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④矿产资源开发规划阶段还应注重对矿山所在区域生态环境的保护</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①本项目符合国家产业政策要求，选址、布局符合益阳市及桃江县的区域发展规划。</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②本项目制定了矿产资源综合开发规划，正在进行环境影响评价，规划内容包括资源开发利用、生态环境保护、地质灾害防治、水土保持、废弃地复垦等。</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③本项目在矿产资源的开发规划阶段，对矿区内的生态环境进行充分调查，建立了矿区的水文、地质、土壤和动植物等生态环境和人文环境基础状况数据库。</w:t>
                  </w:r>
                </w:p>
                <w:p>
                  <w:pPr>
                    <w:widowControl/>
                    <w:rPr>
                      <w:rFonts w:ascii="Times New Roman" w:hAnsi="Times New Roman"/>
                      <w:szCs w:val="21"/>
                      <w:u w:val="single"/>
                    </w:rPr>
                  </w:pPr>
                  <w:r>
                    <w:rPr>
                      <w:rFonts w:hint="eastAsia" w:ascii="Times New Roman" w:hAnsi="Times New Roman"/>
                      <w:color w:val="000000"/>
                      <w:kern w:val="0"/>
                      <w:szCs w:val="21"/>
                      <w:u w:val="single"/>
                    </w:rPr>
                    <w:t>④本项目矿产资源开发规划阶段加强了对矿山所在区域生态环境的保护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pPr>
                    <w:widowControl/>
                    <w:jc w:val="center"/>
                    <w:rPr>
                      <w:rFonts w:ascii="Times New Roman" w:hAnsi="Times New Roman"/>
                      <w:color w:val="000000"/>
                      <w:kern w:val="0"/>
                      <w:szCs w:val="21"/>
                      <w:u w:val="single"/>
                    </w:rPr>
                  </w:pPr>
                </w:p>
              </w:tc>
              <w:tc>
                <w:tcPr>
                  <w:tcW w:w="397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（三）矿产资源开发设计</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①应优先选择废物产生量少、水重复利用率高，对矿区生态环境影响小的采、选矿生产工艺与技术。</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②矿井水、选矿水和矿山其它外排水应统筹规划、分类管理、综合利用。</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③地面运输系统设计时，宜考虑采用封闭运输通道运输矿物和固体废物。</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①本项目采用分层阶梯式开拓，采矿方法为推土机或挖机直接开采，辅以自卸式汽车运输，以上工序产污量小，水重复利用率高。</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②废水经混凝沉淀后全部循环使用，不外排。</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③本项目皮带运输机采用全封闭式。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Merge w:val="restart"/>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采矿</w:t>
                  </w:r>
                </w:p>
              </w:tc>
              <w:tc>
                <w:tcPr>
                  <w:tcW w:w="397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（一）鼓励采用的采矿技术</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对于露天开采的矿山，宜推广剥离—排土—造地—复垦一体化技术。</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本项目采用剥离—排土—造地—复垦一体化技术。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pPr>
                    <w:widowControl/>
                    <w:jc w:val="center"/>
                    <w:rPr>
                      <w:rFonts w:ascii="Times New Roman" w:hAnsi="Times New Roman"/>
                      <w:color w:val="000000"/>
                      <w:kern w:val="0"/>
                      <w:szCs w:val="21"/>
                      <w:u w:val="single"/>
                    </w:rPr>
                  </w:pPr>
                </w:p>
              </w:tc>
              <w:tc>
                <w:tcPr>
                  <w:tcW w:w="397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（二）体废物贮存和综合利用</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①对采矿活动所产生的固体废物，应使用专用场所堆放，并采取有效措施防止二次环境污染及诱发次生地质灾害。</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②大力推广采矿固体废物的综合利用技术</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①本项目剥离的土石运至排土场用作复垦土源。</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②本项目剥离的土石运至排土场用作复垦土源。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废气地复垦</w:t>
                  </w:r>
                </w:p>
              </w:tc>
              <w:tc>
                <w:tcPr>
                  <w:tcW w:w="3978" w:type="dxa"/>
                  <w:vAlign w:val="center"/>
                </w:tcPr>
                <w:p>
                  <w:pPr>
                    <w:widowControl/>
                    <w:rPr>
                      <w:rFonts w:ascii="Times New Roman" w:hAnsi="Times New Roman"/>
                      <w:color w:val="000000"/>
                      <w:kern w:val="21"/>
                      <w:szCs w:val="21"/>
                      <w:u w:val="single"/>
                    </w:rPr>
                  </w:pPr>
                  <w:r>
                    <w:rPr>
                      <w:rFonts w:hint="eastAsia" w:ascii="Times New Roman" w:hAnsi="Times New Roman"/>
                      <w:color w:val="000000"/>
                      <w:kern w:val="21"/>
                      <w:szCs w:val="21"/>
                      <w:u w:val="single"/>
                    </w:rPr>
                    <w:t>①矿山开采企业应将废弃地复垦纳入矿山日常生产与管理，提倡采用采（选）矿—排土（尾）—造地—复垦一体化技术。</w:t>
                  </w:r>
                </w:p>
                <w:p>
                  <w:pPr>
                    <w:widowControl/>
                    <w:rPr>
                      <w:rFonts w:ascii="Times New Roman" w:hAnsi="Times New Roman"/>
                      <w:color w:val="000000"/>
                      <w:kern w:val="21"/>
                      <w:szCs w:val="21"/>
                      <w:u w:val="single"/>
                    </w:rPr>
                  </w:pPr>
                  <w:r>
                    <w:rPr>
                      <w:rFonts w:hint="eastAsia" w:ascii="Times New Roman" w:hAnsi="Times New Roman"/>
                      <w:color w:val="000000"/>
                      <w:kern w:val="21"/>
                      <w:szCs w:val="21"/>
                      <w:u w:val="single"/>
                    </w:rPr>
                    <w:t>②矿山废弃地复垦应做可垦性试验，采取最合理的方式进行废弃地复垦。</w:t>
                  </w:r>
                </w:p>
                <w:p>
                  <w:pPr>
                    <w:widowControl/>
                    <w:rPr>
                      <w:rFonts w:ascii="Times New Roman" w:hAnsi="Times New Roman"/>
                      <w:color w:val="000000"/>
                      <w:kern w:val="0"/>
                      <w:szCs w:val="21"/>
                      <w:u w:val="single"/>
                    </w:rPr>
                  </w:pPr>
                  <w:r>
                    <w:rPr>
                      <w:rFonts w:hint="eastAsia" w:ascii="Times New Roman" w:hAnsi="Times New Roman"/>
                      <w:color w:val="000000"/>
                      <w:kern w:val="21"/>
                      <w:szCs w:val="21"/>
                      <w:u w:val="single"/>
                    </w:rPr>
                    <w:t>③矿山生产过程中应采取种植植物和覆盖等复垦措施，对露天坑、废石场、尾矿库、矸石山等永久性坡面进行稳定化处理，防止水土流失和滑坡。</w:t>
                  </w:r>
                </w:p>
              </w:tc>
              <w:tc>
                <w:tcPr>
                  <w:tcW w:w="329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w:t>
                  </w:r>
                  <w:r>
                    <w:rPr>
                      <w:rFonts w:hint="eastAsia" w:ascii="Times New Roman" w:hAnsi="Times New Roman"/>
                      <w:color w:val="000000"/>
                      <w:kern w:val="21"/>
                      <w:szCs w:val="21"/>
                      <w:u w:val="single"/>
                    </w:rPr>
                    <w:t>采用采矿—排土—造地—复垦一体化技术。</w:t>
                  </w:r>
                </w:p>
              </w:tc>
            </w:tr>
          </w:tbl>
          <w:p>
            <w:pPr>
              <w:overflowPunct w:val="0"/>
              <w:spacing w:line="360" w:lineRule="auto"/>
              <w:rPr>
                <w:rFonts w:ascii="Times New Roman" w:hAnsi="Times New Roman"/>
                <w:b/>
                <w:bCs/>
                <w:spacing w:val="8"/>
                <w:sz w:val="24"/>
                <w:u w:val="single"/>
              </w:rPr>
            </w:pPr>
            <w:r>
              <w:rPr>
                <w:rFonts w:ascii="Times New Roman" w:hAnsi="Times New Roman"/>
                <w:b/>
                <w:bCs/>
                <w:spacing w:val="8"/>
                <w:sz w:val="24"/>
                <w:u w:val="single"/>
              </w:rPr>
              <w:t xml:space="preserve">4 </w:t>
            </w:r>
            <w:r>
              <w:rPr>
                <w:rFonts w:hint="eastAsia" w:ascii="Times New Roman" w:hAnsi="Times New Roman"/>
                <w:b/>
                <w:bCs/>
                <w:spacing w:val="8"/>
                <w:sz w:val="24"/>
                <w:u w:val="single"/>
              </w:rPr>
              <w:t>与《矿山生态环境保护与恢复治理技术规范（试行）》的符合性分析</w:t>
            </w:r>
          </w:p>
          <w:p>
            <w:pPr>
              <w:spacing w:line="360" w:lineRule="auto"/>
              <w:jc w:val="center"/>
              <w:rPr>
                <w:rFonts w:ascii="Times New Roman" w:hAnsi="Times New Roman"/>
                <w:b/>
                <w:bCs/>
                <w:spacing w:val="8"/>
                <w:sz w:val="24"/>
                <w:u w:val="single"/>
              </w:rPr>
            </w:pPr>
            <w:r>
              <w:rPr>
                <w:rFonts w:hint="eastAsia" w:ascii="Times New Roman" w:hAnsi="Times New Roman"/>
                <w:b/>
                <w:bCs/>
                <w:spacing w:val="8"/>
                <w:sz w:val="24"/>
                <w:u w:val="single"/>
              </w:rPr>
              <w:t>表8</w:t>
            </w:r>
            <w:r>
              <w:rPr>
                <w:rFonts w:ascii="Times New Roman" w:hAnsi="Times New Roman"/>
                <w:b/>
                <w:bCs/>
                <w:spacing w:val="8"/>
                <w:sz w:val="24"/>
                <w:u w:val="single"/>
              </w:rPr>
              <w:t xml:space="preserve">-4  </w:t>
            </w:r>
            <w:r>
              <w:rPr>
                <w:rFonts w:hint="eastAsia" w:ascii="Times New Roman" w:hAnsi="Times New Roman"/>
                <w:b/>
                <w:bCs/>
                <w:spacing w:val="8"/>
                <w:sz w:val="24"/>
                <w:u w:val="single"/>
              </w:rPr>
              <w:t>与《矿山生态环境保护与恢复治理技术规范（试行）》符合性分析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7"/>
              <w:gridCol w:w="4971"/>
              <w:gridCol w:w="22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Align w:val="center"/>
                </w:tcPr>
                <w:p>
                  <w:pPr>
                    <w:widowControl/>
                    <w:jc w:val="center"/>
                    <w:rPr>
                      <w:rFonts w:ascii="Times New Roman" w:hAnsi="Times New Roman"/>
                      <w:bCs/>
                      <w:szCs w:val="21"/>
                      <w:u w:val="single"/>
                    </w:rPr>
                  </w:pPr>
                  <w:r>
                    <w:rPr>
                      <w:rFonts w:ascii="Times New Roman" w:hAnsi="Times New Roman"/>
                      <w:b/>
                      <w:color w:val="000000"/>
                      <w:kern w:val="0"/>
                      <w:szCs w:val="21"/>
                      <w:u w:val="single"/>
                    </w:rPr>
                    <w:t>类别</w:t>
                  </w:r>
                </w:p>
              </w:tc>
              <w:tc>
                <w:tcPr>
                  <w:tcW w:w="4971" w:type="dxa"/>
                  <w:vAlign w:val="center"/>
                </w:tcPr>
                <w:p>
                  <w:pPr>
                    <w:widowControl/>
                    <w:jc w:val="center"/>
                    <w:rPr>
                      <w:rFonts w:ascii="Times New Roman" w:hAnsi="Times New Roman"/>
                      <w:bCs/>
                      <w:szCs w:val="21"/>
                      <w:u w:val="single"/>
                    </w:rPr>
                  </w:pPr>
                  <w:r>
                    <w:rPr>
                      <w:rFonts w:hint="eastAsia" w:ascii="Times New Roman" w:hAnsi="Times New Roman"/>
                      <w:b/>
                      <w:color w:val="000000"/>
                      <w:kern w:val="0"/>
                      <w:szCs w:val="21"/>
                      <w:u w:val="single"/>
                    </w:rPr>
                    <w:t>《矿山生态环境保护与污染防治技术政策》</w:t>
                  </w:r>
                  <w:r>
                    <w:rPr>
                      <w:rFonts w:ascii="Times New Roman" w:hAnsi="Times New Roman"/>
                      <w:b/>
                      <w:color w:val="000000"/>
                      <w:kern w:val="0"/>
                      <w:szCs w:val="21"/>
                      <w:u w:val="single"/>
                    </w:rPr>
                    <w:t>相关要求</w:t>
                  </w:r>
                </w:p>
              </w:tc>
              <w:tc>
                <w:tcPr>
                  <w:tcW w:w="2298" w:type="dxa"/>
                  <w:vAlign w:val="center"/>
                </w:tcPr>
                <w:p>
                  <w:pPr>
                    <w:pStyle w:val="3"/>
                    <w:widowControl/>
                    <w:ind w:firstLine="0"/>
                    <w:jc w:val="center"/>
                    <w:rPr>
                      <w:rFonts w:ascii="Times New Roman" w:hAnsi="Times New Roman" w:cs="Times New Roman"/>
                      <w:bCs/>
                      <w:szCs w:val="21"/>
                      <w:u w:val="single"/>
                    </w:rPr>
                  </w:pPr>
                  <w:r>
                    <w:rPr>
                      <w:rFonts w:ascii="Times New Roman" w:hAnsi="Times New Roman" w:cs="Times New Roman"/>
                      <w:b/>
                      <w:color w:val="000000"/>
                      <w:kern w:val="0"/>
                      <w:szCs w:val="21"/>
                      <w:u w:val="single"/>
                    </w:rPr>
                    <w:t>本项目或场地情况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dxa"/>
                  <w:vAlign w:val="center"/>
                </w:tcPr>
                <w:p>
                  <w:pPr>
                    <w:widowControl/>
                    <w:jc w:val="center"/>
                    <w:rPr>
                      <w:rFonts w:ascii="Times New Roman" w:hAnsi="Times New Roman"/>
                      <w:szCs w:val="21"/>
                      <w:u w:val="single"/>
                    </w:rPr>
                  </w:pPr>
                  <w:r>
                    <w:rPr>
                      <w:rFonts w:hint="eastAsia" w:ascii="Times New Roman" w:hAnsi="Times New Roman"/>
                      <w:color w:val="000000"/>
                      <w:kern w:val="0"/>
                      <w:szCs w:val="21"/>
                      <w:u w:val="single"/>
                    </w:rPr>
                    <w:t>矿山生态环境保护与恢复治理的一般要求</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②矿产资源开发活动应符合国家和区域主体功能区划、生态功能区划、生态环境保护规划的要求，采取有效预防和保护措施，避免或减轻矿产资源开发活动造成的生态破坏和环境污染。</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④所有矿山企业均应对照本标准各项要求，编制实施矿山生态环境保护与恢复治理方案。</w:t>
                  </w:r>
                </w:p>
              </w:tc>
              <w:tc>
                <w:tcPr>
                  <w:tcW w:w="2298" w:type="dxa"/>
                  <w:vAlign w:val="center"/>
                </w:tcPr>
                <w:p>
                  <w:pPr>
                    <w:widowControl/>
                    <w:rPr>
                      <w:rFonts w:ascii="Times New Roman" w:hAnsi="Times New Roman"/>
                      <w:color w:val="000000"/>
                      <w:kern w:val="0"/>
                      <w:szCs w:val="21"/>
                      <w:u w:val="single"/>
                    </w:rPr>
                  </w:pPr>
                  <w:r>
                    <w:rPr>
                      <w:rFonts w:hint="eastAsia" w:ascii="Times New Roman" w:hAnsi="Times New Roman"/>
                      <w:szCs w:val="21"/>
                      <w:u w:val="single"/>
                    </w:rPr>
                    <w:t>①本项目不属于生态敏感区</w:t>
                  </w:r>
                  <w:r>
                    <w:rPr>
                      <w:rFonts w:hint="eastAsia" w:ascii="Times New Roman" w:hAnsi="Times New Roman"/>
                      <w:color w:val="000000"/>
                      <w:kern w:val="0"/>
                      <w:szCs w:val="21"/>
                      <w:u w:val="single"/>
                    </w:rPr>
                    <w:t>。</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②本项目符合益阳市及桃江县相关规划。</w:t>
                  </w:r>
                </w:p>
                <w:p>
                  <w:pPr>
                    <w:widowControl/>
                    <w:rPr>
                      <w:rFonts w:ascii="Times New Roman" w:hAnsi="Times New Roman"/>
                      <w:color w:val="000000"/>
                      <w:kern w:val="21"/>
                      <w:szCs w:val="21"/>
                      <w:u w:val="single"/>
                    </w:rPr>
                  </w:pPr>
                  <w:r>
                    <w:rPr>
                      <w:rFonts w:hint="eastAsia" w:ascii="Times New Roman" w:hAnsi="Times New Roman"/>
                      <w:color w:val="000000"/>
                      <w:kern w:val="0"/>
                      <w:szCs w:val="21"/>
                      <w:u w:val="single"/>
                    </w:rPr>
                    <w:t>③本项目采用</w:t>
                  </w:r>
                  <w:r>
                    <w:rPr>
                      <w:rFonts w:hint="eastAsia" w:ascii="Times New Roman" w:hAnsi="Times New Roman"/>
                      <w:color w:val="000000"/>
                      <w:kern w:val="21"/>
                      <w:szCs w:val="21"/>
                      <w:u w:val="single"/>
                    </w:rPr>
                    <w:t>采矿—排土—造地—复垦一体化技术，表现出较高的保护及治理水平</w:t>
                  </w:r>
                </w:p>
                <w:p>
                  <w:pPr>
                    <w:widowControl/>
                    <w:rPr>
                      <w:rFonts w:ascii="Times New Roman" w:hAnsi="Times New Roman"/>
                      <w:color w:val="000000"/>
                      <w:kern w:val="0"/>
                      <w:szCs w:val="21"/>
                      <w:u w:val="single"/>
                    </w:rPr>
                  </w:pPr>
                  <w:r>
                    <w:rPr>
                      <w:rFonts w:hint="eastAsia" w:ascii="Times New Roman" w:hAnsi="Times New Roman"/>
                      <w:color w:val="000000"/>
                      <w:kern w:val="21"/>
                      <w:szCs w:val="21"/>
                      <w:u w:val="single"/>
                    </w:rPr>
                    <w:t>④已编制</w:t>
                  </w:r>
                  <w:r>
                    <w:rPr>
                      <w:rFonts w:hint="eastAsia" w:ascii="Times New Roman" w:hAnsi="Times New Roman"/>
                      <w:color w:val="000000"/>
                      <w:kern w:val="0"/>
                      <w:szCs w:val="21"/>
                      <w:u w:val="single"/>
                    </w:rPr>
                    <w:t>矿山生态环境保护与恢复治理方案。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矿山生态保护</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采矿产生的固体废物，应在专用场所堆放，并采取措施防止二次污染；禁止向河流、湖泊、水库等水体及行洪渠道排放岩土、含油垃圾、泥浆、煤渣、煤矸石和其他固体废物。</w:t>
                  </w:r>
                </w:p>
              </w:tc>
              <w:tc>
                <w:tcPr>
                  <w:tcW w:w="2298" w:type="dxa"/>
                  <w:vAlign w:val="center"/>
                </w:tcPr>
                <w:p>
                  <w:pPr>
                    <w:widowControl/>
                    <w:rPr>
                      <w:rFonts w:ascii="Times New Roman" w:hAnsi="Times New Roman"/>
                      <w:szCs w:val="21"/>
                      <w:u w:val="single"/>
                    </w:rPr>
                  </w:pPr>
                  <w:r>
                    <w:rPr>
                      <w:rFonts w:hint="eastAsia" w:ascii="Times New Roman" w:hAnsi="Times New Roman"/>
                      <w:color w:val="000000"/>
                      <w:kern w:val="0"/>
                      <w:szCs w:val="21"/>
                      <w:u w:val="single"/>
                    </w:rPr>
                    <w:t>本项目剥离的土石运至排土场用作复垦土源，其他一般固废设置有固废暂存堆场进行堆放。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排土场植被恢复</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排土场应设置完整的排水系统，位于沟谷的排土场应设置防洪和排水设施，避免阻碍泄洪，防止淤塞农田、加剧水土流失和诱发地质灾害。</w:t>
                  </w:r>
                </w:p>
              </w:tc>
              <w:tc>
                <w:tcPr>
                  <w:tcW w:w="229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本项目排土场周围设置有排水沟。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露天采场生态恢复</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露天采场回填应做到地面平整，充分利用工程前收集的表土和露天采场风化物覆盖于表层，并做好水土保持与防风固沙措施</w:t>
                  </w:r>
                </w:p>
              </w:tc>
              <w:tc>
                <w:tcPr>
                  <w:tcW w:w="229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本项目回填做到地面平整，充分利用工程前收集的表土和露天采场风化物覆盖于表层，并做好水土保持与防风固沙措施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矿山工业工业场地生态恢复</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矿山工业场地不再使用的厂房、堆料场、沉沙设施、垃圾池、管线等各项建（构）筑物和基础设施应全部拆除，并进行景观和植被恢复。转为商住等其他用途的，应开展污染场地调查、风险评估与修复治理。</w:t>
                  </w:r>
                </w:p>
              </w:tc>
              <w:tc>
                <w:tcPr>
                  <w:tcW w:w="229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本项目在服务期满后将拆除全部建（构）筑物和基础设施，并进行景观和植被恢复。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57"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矿山大气污染防治</w:t>
                  </w:r>
                </w:p>
              </w:tc>
              <w:tc>
                <w:tcPr>
                  <w:tcW w:w="4971"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①采矿清理地面植被时，禁止燃烧植被。运输剥离土的道路应洒水或采取其他措施减少粉尘。</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②勘探、采矿及选矿作业中所用设备应配备粉尘收集或降尘设施。</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③矿物和矿渣运输道路应硬化并洒水防尘，运输车辆应采取围挡、遮盖等措施。</w:t>
                  </w:r>
                </w:p>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④矿物堆场和临时料场应采取防止风蚀和扬尘措施。</w:t>
                  </w:r>
                </w:p>
              </w:tc>
              <w:tc>
                <w:tcPr>
                  <w:tcW w:w="2298" w:type="dxa"/>
                  <w:vAlign w:val="center"/>
                </w:tcPr>
                <w:p>
                  <w:pPr>
                    <w:widowControl/>
                    <w:rPr>
                      <w:rFonts w:ascii="Times New Roman" w:hAnsi="Times New Roman"/>
                      <w:color w:val="000000"/>
                      <w:kern w:val="0"/>
                      <w:szCs w:val="21"/>
                      <w:u w:val="single"/>
                    </w:rPr>
                  </w:pPr>
                  <w:r>
                    <w:rPr>
                      <w:rFonts w:hint="eastAsia" w:ascii="Times New Roman" w:hAnsi="Times New Roman"/>
                      <w:color w:val="000000"/>
                      <w:kern w:val="0"/>
                      <w:szCs w:val="21"/>
                      <w:u w:val="single"/>
                    </w:rPr>
                    <w:t>本项目采取洒水抑尘、路面硬化等方式对开采、运输、堆存等工序进行降尘。</w:t>
                  </w:r>
                </w:p>
              </w:tc>
            </w:tr>
          </w:tbl>
          <w:p>
            <w:pPr>
              <w:spacing w:line="360" w:lineRule="auto"/>
              <w:ind w:firstLine="480" w:firstLineChars="200"/>
              <w:rPr>
                <w:rFonts w:ascii="Times New Roman" w:hAnsi="Times New Roman"/>
                <w:sz w:val="24"/>
                <w:szCs w:val="24"/>
                <w:u w:val="single"/>
              </w:rPr>
            </w:pPr>
            <w:r>
              <w:rPr>
                <w:rFonts w:ascii="Times New Roman"/>
                <w:sz w:val="24"/>
                <w:szCs w:val="24"/>
                <w:u w:val="single"/>
              </w:rPr>
              <w:t>综上所述，本项目符合国家相关产业政策要求。</w:t>
            </w:r>
          </w:p>
          <w:p>
            <w:pPr>
              <w:overflowPunct w:val="0"/>
              <w:spacing w:line="360" w:lineRule="auto"/>
              <w:rPr>
                <w:rFonts w:ascii="Times New Roman" w:hAnsi="Times New Roman"/>
                <w:b/>
                <w:spacing w:val="8"/>
                <w:sz w:val="28"/>
                <w:szCs w:val="28"/>
              </w:rPr>
            </w:pPr>
            <w:r>
              <w:rPr>
                <w:rFonts w:hint="eastAsia" w:ascii="Times New Roman" w:hAnsi="Times New Roman"/>
                <w:b/>
                <w:spacing w:val="8"/>
                <w:sz w:val="28"/>
                <w:szCs w:val="28"/>
              </w:rPr>
              <w:t>（二）相关规划符合性分析</w:t>
            </w:r>
          </w:p>
          <w:p>
            <w:pPr>
              <w:overflowPunct w:val="0"/>
              <w:spacing w:line="360" w:lineRule="auto"/>
              <w:rPr>
                <w:rFonts w:ascii="Times New Roman" w:hAnsi="Times New Roman"/>
                <w:b/>
                <w:bCs/>
                <w:spacing w:val="8"/>
                <w:sz w:val="24"/>
                <w:u w:val="single"/>
              </w:rPr>
            </w:pPr>
            <w:r>
              <w:rPr>
                <w:rFonts w:hint="eastAsia" w:ascii="Times New Roman" w:hAnsi="Times New Roman"/>
                <w:b/>
                <w:bCs/>
                <w:spacing w:val="8"/>
                <w:sz w:val="24"/>
                <w:u w:val="single"/>
              </w:rPr>
              <w:t>1</w:t>
            </w:r>
            <w:r>
              <w:rPr>
                <w:rFonts w:ascii="Times New Roman" w:hAnsi="Times New Roman"/>
                <w:b/>
                <w:bCs/>
                <w:spacing w:val="8"/>
                <w:sz w:val="24"/>
                <w:u w:val="single"/>
              </w:rPr>
              <w:t xml:space="preserve"> </w:t>
            </w:r>
            <w:r>
              <w:rPr>
                <w:rFonts w:hint="eastAsia" w:ascii="Times New Roman" w:hAnsi="Times New Roman"/>
                <w:b/>
                <w:bCs/>
                <w:spacing w:val="8"/>
                <w:sz w:val="24"/>
                <w:u w:val="single"/>
              </w:rPr>
              <w:t>与</w:t>
            </w:r>
            <w:bookmarkStart w:id="66" w:name="_Hlk49853399"/>
            <w:r>
              <w:rPr>
                <w:rFonts w:hint="eastAsia" w:ascii="Times New Roman" w:hAnsi="Times New Roman"/>
                <w:b/>
                <w:bCs/>
                <w:spacing w:val="8"/>
                <w:sz w:val="24"/>
                <w:u w:val="single"/>
              </w:rPr>
              <w:t>《桃江县矿产资源总体规划（2016-2020年）》</w:t>
            </w:r>
            <w:bookmarkEnd w:id="66"/>
            <w:r>
              <w:rPr>
                <w:rFonts w:hint="eastAsia" w:ascii="Times New Roman" w:hAnsi="Times New Roman"/>
                <w:b/>
                <w:bCs/>
                <w:spacing w:val="8"/>
                <w:sz w:val="24"/>
                <w:u w:val="single"/>
              </w:rPr>
              <w:t>符合性分析</w:t>
            </w:r>
          </w:p>
          <w:p>
            <w:pPr>
              <w:overflowPunct w:val="0"/>
              <w:spacing w:line="360" w:lineRule="auto"/>
              <w:ind w:firstLine="480" w:firstLineChars="200"/>
              <w:rPr>
                <w:rFonts w:ascii="Times New Roman" w:hAnsi="Times New Roman"/>
                <w:sz w:val="24"/>
                <w:u w:val="single"/>
              </w:rPr>
            </w:pPr>
            <w:r>
              <w:rPr>
                <w:rFonts w:hint="eastAsia" w:ascii="Times New Roman" w:hAnsi="Times New Roman"/>
                <w:sz w:val="24"/>
                <w:u w:val="single"/>
              </w:rPr>
              <w:t>根据桃江县成矿地质条件、开发利用程度及商业性地质勘查的布局原则，全县共设有限制开采区3处，禁止开采区9处，具体见下表8-</w:t>
            </w:r>
            <w:r>
              <w:rPr>
                <w:rFonts w:ascii="Times New Roman" w:hAnsi="Times New Roman"/>
                <w:sz w:val="24"/>
                <w:u w:val="single"/>
              </w:rPr>
              <w:t>3</w:t>
            </w:r>
            <w:r>
              <w:rPr>
                <w:rFonts w:hint="eastAsia" w:ascii="Times New Roman" w:hAnsi="Times New Roman"/>
                <w:sz w:val="24"/>
                <w:u w:val="single"/>
              </w:rPr>
              <w:t>。</w:t>
            </w:r>
          </w:p>
          <w:p>
            <w:pPr>
              <w:overflowPunct w:val="0"/>
              <w:spacing w:line="360" w:lineRule="auto"/>
              <w:jc w:val="center"/>
              <w:rPr>
                <w:rFonts w:ascii="Times New Roman" w:hAnsi="Times New Roman"/>
                <w:b/>
                <w:bCs/>
                <w:spacing w:val="8"/>
                <w:sz w:val="28"/>
                <w:szCs w:val="28"/>
                <w:u w:val="single"/>
              </w:rPr>
            </w:pPr>
            <w:r>
              <w:rPr>
                <w:rFonts w:ascii="Times New Roman" w:hAnsi="Times New Roman"/>
                <w:b/>
                <w:bCs/>
                <w:spacing w:val="8"/>
                <w:sz w:val="24"/>
                <w:u w:val="single"/>
              </w:rPr>
              <w:t xml:space="preserve">表8-5  </w:t>
            </w:r>
            <w:r>
              <w:rPr>
                <w:rFonts w:ascii="Times New Roman" w:hAnsi="Times New Roman"/>
                <w:b/>
                <w:bCs/>
                <w:color w:val="000000" w:themeColor="text1"/>
                <w:sz w:val="24"/>
                <w:szCs w:val="24"/>
                <w:u w:val="single"/>
                <w14:textFill>
                  <w14:solidFill>
                    <w14:schemeClr w14:val="tx1"/>
                  </w14:solidFill>
                </w14:textFill>
              </w:rPr>
              <w:t>桃江县矿产资源规划</w:t>
            </w:r>
            <w:r>
              <w:rPr>
                <w:rFonts w:ascii="Times New Roman" w:hAnsi="Times New Roman"/>
                <w:b/>
                <w:bCs/>
                <w:spacing w:val="8"/>
                <w:sz w:val="24"/>
                <w:u w:val="single"/>
              </w:rPr>
              <w:t>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3402"/>
              <w:gridCol w:w="1559"/>
              <w:gridCol w:w="1124"/>
              <w:gridCol w:w="14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Align w:val="center"/>
                </w:tcPr>
                <w:p>
                  <w:pPr>
                    <w:jc w:val="center"/>
                    <w:rPr>
                      <w:rFonts w:ascii="Times New Roman" w:hAnsi="Times New Roman"/>
                      <w:b/>
                      <w:bCs/>
                      <w:color w:val="000000" w:themeColor="text1"/>
                      <w:szCs w:val="21"/>
                      <w:u w:val="single"/>
                      <w14:textFill>
                        <w14:solidFill>
                          <w14:schemeClr w14:val="tx1"/>
                        </w14:solidFill>
                      </w14:textFill>
                    </w:rPr>
                  </w:pPr>
                  <w:r>
                    <w:rPr>
                      <w:rStyle w:val="88"/>
                      <w:rFonts w:ascii="Times New Roman" w:hAnsi="Times New Roman"/>
                      <w:b/>
                      <w:bCs/>
                      <w:color w:val="000000" w:themeColor="text1"/>
                      <w:sz w:val="21"/>
                      <w:szCs w:val="21"/>
                      <w:u w:val="single"/>
                      <w14:textFill>
                        <w14:solidFill>
                          <w14:schemeClr w14:val="tx1"/>
                        </w14:solidFill>
                      </w14:textFill>
                    </w:rPr>
                    <w:t>类别</w:t>
                  </w:r>
                </w:p>
              </w:tc>
              <w:tc>
                <w:tcPr>
                  <w:tcW w:w="3402" w:type="dxa"/>
                  <w:vAlign w:val="center"/>
                </w:tcPr>
                <w:p>
                  <w:pPr>
                    <w:jc w:val="center"/>
                    <w:rPr>
                      <w:rFonts w:ascii="Times New Roman" w:hAnsi="Times New Roman"/>
                      <w:b/>
                      <w:bCs/>
                      <w:color w:val="000000" w:themeColor="text1"/>
                      <w:szCs w:val="21"/>
                      <w:u w:val="single"/>
                      <w14:textFill>
                        <w14:solidFill>
                          <w14:schemeClr w14:val="tx1"/>
                        </w14:solidFill>
                      </w14:textFill>
                    </w:rPr>
                  </w:pPr>
                  <w:r>
                    <w:rPr>
                      <w:rStyle w:val="88"/>
                      <w:rFonts w:ascii="Times New Roman" w:hAnsi="Times New Roman"/>
                      <w:b/>
                      <w:bCs/>
                      <w:color w:val="000000" w:themeColor="text1"/>
                      <w:sz w:val="21"/>
                      <w:szCs w:val="21"/>
                      <w:u w:val="single"/>
                      <w14:textFill>
                        <w14:solidFill>
                          <w14:schemeClr w14:val="tx1"/>
                        </w14:solidFill>
                      </w14:textFill>
                    </w:rPr>
                    <w:t>区名称</w:t>
                  </w:r>
                </w:p>
              </w:tc>
              <w:tc>
                <w:tcPr>
                  <w:tcW w:w="1559" w:type="dxa"/>
                  <w:vAlign w:val="center"/>
                </w:tcPr>
                <w:p>
                  <w:pPr>
                    <w:jc w:val="center"/>
                    <w:rPr>
                      <w:rFonts w:ascii="Times New Roman" w:hAnsi="Times New Roman"/>
                      <w:b/>
                      <w:bCs/>
                      <w:color w:val="000000" w:themeColor="text1"/>
                      <w:szCs w:val="21"/>
                      <w:u w:val="single"/>
                      <w14:textFill>
                        <w14:solidFill>
                          <w14:schemeClr w14:val="tx1"/>
                        </w14:solidFill>
                      </w14:textFill>
                    </w:rPr>
                  </w:pPr>
                  <w:r>
                    <w:rPr>
                      <w:rStyle w:val="88"/>
                      <w:rFonts w:ascii="Times New Roman" w:hAnsi="Times New Roman"/>
                      <w:b/>
                      <w:bCs/>
                      <w:color w:val="000000" w:themeColor="text1"/>
                      <w:sz w:val="21"/>
                      <w:szCs w:val="21"/>
                      <w:u w:val="single"/>
                      <w14:textFill>
                        <w14:solidFill>
                          <w14:schemeClr w14:val="tx1"/>
                        </w14:solidFill>
                      </w14:textFill>
                    </w:rPr>
                    <w:t>所在行政区</w:t>
                  </w:r>
                </w:p>
              </w:tc>
              <w:tc>
                <w:tcPr>
                  <w:tcW w:w="1124" w:type="dxa"/>
                  <w:vAlign w:val="center"/>
                </w:tcPr>
                <w:p>
                  <w:pPr>
                    <w:jc w:val="center"/>
                    <w:rPr>
                      <w:rFonts w:ascii="Times New Roman" w:hAnsi="Times New Roman"/>
                      <w:b/>
                      <w:bCs/>
                      <w:color w:val="000000" w:themeColor="text1"/>
                      <w:szCs w:val="21"/>
                      <w:u w:val="single"/>
                      <w14:textFill>
                        <w14:solidFill>
                          <w14:schemeClr w14:val="tx1"/>
                        </w14:solidFill>
                      </w14:textFill>
                    </w:rPr>
                  </w:pPr>
                  <w:r>
                    <w:rPr>
                      <w:rStyle w:val="88"/>
                      <w:rFonts w:ascii="Times New Roman" w:hAnsi="Times New Roman"/>
                      <w:b/>
                      <w:bCs/>
                      <w:color w:val="000000" w:themeColor="text1"/>
                      <w:sz w:val="21"/>
                      <w:szCs w:val="21"/>
                      <w:u w:val="single"/>
                      <w14:textFill>
                        <w14:solidFill>
                          <w14:schemeClr w14:val="tx1"/>
                        </w14:solidFill>
                      </w14:textFill>
                    </w:rPr>
                    <w:t>面积（</w:t>
                  </w:r>
                  <w:r>
                    <w:rPr>
                      <w:rStyle w:val="89"/>
                      <w:rFonts w:hint="eastAsia" w:ascii="Times New Roman" w:hAnsi="Times New Roman" w:cs="Times New Roman" w:eastAsiaTheme="minorEastAsia"/>
                      <w:b/>
                      <w:bCs/>
                      <w:color w:val="000000" w:themeColor="text1"/>
                      <w:sz w:val="21"/>
                      <w:szCs w:val="21"/>
                      <w:u w:val="single"/>
                      <w14:textFill>
                        <w14:solidFill>
                          <w14:schemeClr w14:val="tx1"/>
                        </w14:solidFill>
                      </w14:textFill>
                    </w:rPr>
                    <w:t>km</w:t>
                  </w:r>
                  <w:r>
                    <w:rPr>
                      <w:rStyle w:val="89"/>
                      <w:rFonts w:ascii="Times New Roman" w:hAnsi="Times New Roman" w:cs="Times New Roman" w:eastAsiaTheme="minorEastAsia"/>
                      <w:b/>
                      <w:bCs/>
                      <w:color w:val="000000" w:themeColor="text1"/>
                      <w:sz w:val="21"/>
                      <w:szCs w:val="21"/>
                      <w:u w:val="single"/>
                      <w:vertAlign w:val="superscript"/>
                      <w14:textFill>
                        <w14:solidFill>
                          <w14:schemeClr w14:val="tx1"/>
                        </w14:solidFill>
                      </w14:textFill>
                    </w:rPr>
                    <w:t>2</w:t>
                  </w:r>
                  <w:r>
                    <w:rPr>
                      <w:rStyle w:val="88"/>
                      <w:rFonts w:ascii="Times New Roman" w:hAnsi="Times New Roman"/>
                      <w:b/>
                      <w:bCs/>
                      <w:color w:val="000000" w:themeColor="text1"/>
                      <w:sz w:val="21"/>
                      <w:szCs w:val="21"/>
                      <w:u w:val="single"/>
                      <w14:textFill>
                        <w14:solidFill>
                          <w14:schemeClr w14:val="tx1"/>
                        </w14:solidFill>
                      </w14:textFill>
                    </w:rPr>
                    <w:t>）</w:t>
                  </w:r>
                </w:p>
              </w:tc>
              <w:tc>
                <w:tcPr>
                  <w:tcW w:w="1458" w:type="dxa"/>
                  <w:vAlign w:val="center"/>
                </w:tcPr>
                <w:p>
                  <w:pPr>
                    <w:jc w:val="center"/>
                    <w:rPr>
                      <w:rFonts w:ascii="Times New Roman" w:hAnsi="Times New Roman"/>
                      <w:b/>
                      <w:bCs/>
                      <w:color w:val="000000" w:themeColor="text1"/>
                      <w:szCs w:val="21"/>
                      <w:u w:val="single"/>
                      <w14:textFill>
                        <w14:solidFill>
                          <w14:schemeClr w14:val="tx1"/>
                        </w14:solidFill>
                      </w14:textFill>
                    </w:rPr>
                  </w:pPr>
                  <w:r>
                    <w:rPr>
                      <w:rStyle w:val="88"/>
                      <w:rFonts w:ascii="Times New Roman" w:hAnsi="Times New Roman"/>
                      <w:b/>
                      <w:bCs/>
                      <w:color w:val="000000" w:themeColor="text1"/>
                      <w:sz w:val="21"/>
                      <w:szCs w:val="21"/>
                      <w:u w:val="single"/>
                      <w14:textFill>
                        <w14:solidFill>
                          <w14:schemeClr w14:val="tx1"/>
                        </w14:solidFill>
                      </w14:textFill>
                    </w:rPr>
                    <w:t>限制矿产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限制开采区</w:t>
                  </w: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桃江县泗里河石煤、钒、铀矿限制开采区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马迹塘镇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28.32</w:t>
                  </w:r>
                </w:p>
              </w:tc>
              <w:tc>
                <w:tcPr>
                  <w:tcW w:w="1458"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石煤、钒、煤、铀矿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桃江县源嘉桥煤、石煤、钒矿限制开采区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灰山港镇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37.91</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桃江锰矿、煤矿限制开采区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松木塘镇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281.49</w:t>
                  </w:r>
                </w:p>
              </w:tc>
              <w:tc>
                <w:tcPr>
                  <w:tcW w:w="1458"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锰、石煤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禁止开采区</w:t>
                  </w: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桃江县中心城区禁止开采区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桃花江镇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30.51</w:t>
                  </w:r>
                </w:p>
              </w:tc>
              <w:tc>
                <w:tcPr>
                  <w:tcW w:w="1458"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除地热、矿泉水以外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桃江县马迹塘饮水源区禁止开采区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马迹塘镇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2.58</w:t>
                  </w:r>
                </w:p>
              </w:tc>
              <w:tc>
                <w:tcPr>
                  <w:tcW w:w="1458"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禁止一切露天矿产资源开采活动，除地热、矿泉水以外；地下开采在不得影响禁止区主体功能，并且与相关部门协商一致的情况下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桃花江竹海风景区禁止开采区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桃花江镇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10.19</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修山风景区禁止开采区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修山镇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5.92</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羞女湖国家湿地公园禁止开采区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三堂街、修山镇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32.86</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桃花江风景区禁止开采区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松木塘镇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40.76</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浮邱山风景区禁止开采区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浮邱山乡</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11.32</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罗溪风景区禁止开采区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松木塘镇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15.83</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c>
                <w:tcPr>
                  <w:tcW w:w="3402"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碧螺湖水库风景区禁止开采区</w:t>
                  </w:r>
                </w:p>
              </w:tc>
              <w:tc>
                <w:tcPr>
                  <w:tcW w:w="1559"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8"/>
                      <w:rFonts w:ascii="Times New Roman" w:hAnsi="Times New Roman"/>
                      <w:color w:val="000000" w:themeColor="text1"/>
                      <w:sz w:val="21"/>
                      <w:szCs w:val="21"/>
                      <w:u w:val="single"/>
                      <w14:textFill>
                        <w14:solidFill>
                          <w14:schemeClr w14:val="tx1"/>
                        </w14:solidFill>
                      </w14:textFill>
                    </w:rPr>
                    <w:t>武潭镇</w:t>
                  </w:r>
                </w:p>
              </w:tc>
              <w:tc>
                <w:tcPr>
                  <w:tcW w:w="1124" w:type="dxa"/>
                  <w:vAlign w:val="center"/>
                </w:tcPr>
                <w:p>
                  <w:pPr>
                    <w:jc w:val="center"/>
                    <w:rPr>
                      <w:rFonts w:ascii="Times New Roman" w:hAnsi="Times New Roman"/>
                      <w:color w:val="000000" w:themeColor="text1"/>
                      <w:szCs w:val="21"/>
                      <w:u w:val="single"/>
                      <w14:textFill>
                        <w14:solidFill>
                          <w14:schemeClr w14:val="tx1"/>
                        </w14:solidFill>
                      </w14:textFill>
                    </w:rPr>
                  </w:pPr>
                  <w:r>
                    <w:rPr>
                      <w:rStyle w:val="89"/>
                      <w:rFonts w:ascii="Times New Roman" w:hAnsi="Times New Roman" w:cs="Times New Roman" w:eastAsiaTheme="minorEastAsia"/>
                      <w:color w:val="000000" w:themeColor="text1"/>
                      <w:sz w:val="21"/>
                      <w:szCs w:val="21"/>
                      <w:u w:val="single"/>
                      <w14:textFill>
                        <w14:solidFill>
                          <w14:schemeClr w14:val="tx1"/>
                        </w14:solidFill>
                      </w14:textFill>
                    </w:rPr>
                    <w:t>2.74</w:t>
                  </w:r>
                </w:p>
              </w:tc>
              <w:tc>
                <w:tcPr>
                  <w:tcW w:w="1458" w:type="dxa"/>
                  <w:vMerge w:val="continue"/>
                  <w:vAlign w:val="center"/>
                </w:tcPr>
                <w:p>
                  <w:pPr>
                    <w:jc w:val="center"/>
                    <w:rPr>
                      <w:rFonts w:ascii="Times New Roman" w:hAnsi="Times New Roman"/>
                      <w:color w:val="000000" w:themeColor="text1"/>
                      <w:szCs w:val="21"/>
                      <w:u w:val="single"/>
                      <w14:textFill>
                        <w14:solidFill>
                          <w14:schemeClr w14:val="tx1"/>
                        </w14:solidFill>
                      </w14:textFill>
                    </w:rPr>
                  </w:pPr>
                </w:p>
              </w:tc>
            </w:tr>
          </w:tbl>
          <w:p>
            <w:pPr>
              <w:overflowPunct w:val="0"/>
              <w:spacing w:line="360" w:lineRule="auto"/>
              <w:ind w:firstLine="480" w:firstLineChars="200"/>
              <w:rPr>
                <w:rFonts w:ascii="Times New Roman" w:hAnsi="Times New Roman"/>
                <w:sz w:val="24"/>
                <w:u w:val="single"/>
              </w:rPr>
            </w:pPr>
            <w:r>
              <w:rPr>
                <w:rFonts w:hint="eastAsia" w:ascii="Times New Roman" w:hAnsi="Times New Roman"/>
                <w:sz w:val="24"/>
                <w:u w:val="single"/>
              </w:rPr>
              <w:t>本项目矿山不位于上表中限制开采区和禁止开采区中，符合《桃江县矿产资源总体规划（2016-2020年）》的要求。</w:t>
            </w:r>
          </w:p>
          <w:p>
            <w:pPr>
              <w:overflowPunct w:val="0"/>
              <w:spacing w:line="360" w:lineRule="auto"/>
              <w:rPr>
                <w:rFonts w:ascii="Times New Roman" w:hAnsi="Times New Roman"/>
                <w:b/>
                <w:bCs/>
                <w:spacing w:val="8"/>
                <w:sz w:val="24"/>
                <w:u w:val="single"/>
              </w:rPr>
            </w:pPr>
            <w:r>
              <w:rPr>
                <w:rFonts w:ascii="Times New Roman" w:hAnsi="Times New Roman"/>
                <w:b/>
                <w:bCs/>
                <w:spacing w:val="8"/>
                <w:sz w:val="24"/>
                <w:u w:val="single"/>
              </w:rPr>
              <w:t xml:space="preserve">2 </w:t>
            </w:r>
            <w:r>
              <w:rPr>
                <w:rFonts w:hint="eastAsia" w:ascii="Times New Roman" w:hAnsi="Times New Roman"/>
                <w:b/>
                <w:bCs/>
                <w:spacing w:val="8"/>
                <w:sz w:val="24"/>
                <w:u w:val="single"/>
              </w:rPr>
              <w:t>与</w:t>
            </w:r>
            <w:bookmarkStart w:id="67" w:name="_Hlk49853407"/>
            <w:r>
              <w:rPr>
                <w:rFonts w:hint="eastAsia" w:ascii="Times New Roman" w:hAnsi="Times New Roman"/>
                <w:b/>
                <w:bCs/>
                <w:spacing w:val="8"/>
                <w:sz w:val="24"/>
                <w:u w:val="single"/>
              </w:rPr>
              <w:t>《益阳市矿产资源总体规划（2016-2020年）》</w:t>
            </w:r>
            <w:bookmarkEnd w:id="67"/>
            <w:r>
              <w:rPr>
                <w:rFonts w:hint="eastAsia" w:ascii="Times New Roman" w:hAnsi="Times New Roman"/>
                <w:b/>
                <w:bCs/>
                <w:spacing w:val="8"/>
                <w:sz w:val="24"/>
                <w:u w:val="single"/>
              </w:rPr>
              <w:t>符合性分析</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（1）</w:t>
            </w:r>
            <w:r>
              <w:rPr>
                <w:rFonts w:ascii="Times New Roman" w:hAnsi="Times New Roman"/>
                <w:color w:val="000000" w:themeColor="text1"/>
                <w:sz w:val="24"/>
                <w:u w:val="single"/>
                <w14:textFill>
                  <w14:solidFill>
                    <w14:schemeClr w14:val="tx1"/>
                  </w14:solidFill>
                </w14:textFill>
              </w:rPr>
              <w:t>矿产资源开采规划分区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①重点开采区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共划定益阳城区重点矿区、符竹溪</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木瓜园重点矿区、桃江舞凤山—修山重点矿区、桃江灰山港重点矿区、桃江响涛源</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安化平江溪重点矿区等5个重点开采区。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②限制开采区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共划定南洞庭湖生态功能恢复区、美人窝风景区、杨林钒矿区、安化大福</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桃江板溪锑铀钒矿区、渣滓溪锑矿区和清塘铺</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廖家坪煤钨锑矿区等5个限制开采区。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③禁止开采区</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全市规划禁止开采区23个，主要为益阳市城市发展规划区，国家级自然保护区，湿地公园、森林公园、地质公园，省级自然保护区、森林公园、湖泊湿地，3A级风景名胜区和重要水源保护区等。</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（2）</w:t>
            </w:r>
            <w:r>
              <w:rPr>
                <w:rFonts w:ascii="Times New Roman" w:hAnsi="Times New Roman"/>
                <w:color w:val="000000" w:themeColor="text1"/>
                <w:sz w:val="24"/>
                <w:u w:val="single"/>
                <w14:textFill>
                  <w14:solidFill>
                    <w14:schemeClr w14:val="tx1"/>
                  </w14:solidFill>
                </w14:textFill>
              </w:rPr>
              <w:t>开采准入条件</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①</w:t>
            </w:r>
            <w:r>
              <w:rPr>
                <w:rFonts w:ascii="Times New Roman" w:hAnsi="Times New Roman"/>
                <w:color w:val="000000" w:themeColor="text1"/>
                <w:sz w:val="24"/>
                <w:u w:val="single"/>
                <w14:textFill>
                  <w14:solidFill>
                    <w14:schemeClr w14:val="tx1"/>
                  </w14:solidFill>
                </w14:textFill>
              </w:rPr>
              <w:t>采矿权人资质、勘查程度要求、资源储量要求等必需具备相关法律、法规规定的条件，并具备与矿山规模相适应的人、财、技术、设备等条件。</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②</w:t>
            </w:r>
            <w:r>
              <w:rPr>
                <w:rFonts w:ascii="Times New Roman" w:hAnsi="Times New Roman"/>
                <w:color w:val="000000" w:themeColor="text1"/>
                <w:sz w:val="24"/>
                <w:u w:val="single"/>
                <w14:textFill>
                  <w14:solidFill>
                    <w14:schemeClr w14:val="tx1"/>
                  </w14:solidFill>
                </w14:textFill>
              </w:rPr>
              <w:t>必须符合本《规划》规定的开采矿种和范围要求，开采规模与矿区（床）核定的开采储量相适应，不低于本《规划》确定的最低开采规模，调控矿种的计划产量符合相应矿种总量调控指标范围，“三率”指标达到设计水平。</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③</w:t>
            </w:r>
            <w:r>
              <w:rPr>
                <w:rFonts w:ascii="Times New Roman" w:hAnsi="Times New Roman"/>
                <w:color w:val="000000" w:themeColor="text1"/>
                <w:sz w:val="24"/>
                <w:u w:val="single"/>
                <w14:textFill>
                  <w14:solidFill>
                    <w14:schemeClr w14:val="tx1"/>
                  </w14:solidFill>
                </w14:textFill>
              </w:rPr>
              <w:t>必须制定能利用的共（伴）生矿产综合开发利用方案；暂难利用的共伴生矿以及含有益组分的尾矿必须制定有效的保护措施。</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④</w:t>
            </w:r>
            <w:r>
              <w:rPr>
                <w:rFonts w:ascii="Times New Roman" w:hAnsi="Times New Roman"/>
                <w:color w:val="000000" w:themeColor="text1"/>
                <w:sz w:val="24"/>
                <w:u w:val="single"/>
                <w14:textFill>
                  <w14:solidFill>
                    <w14:schemeClr w14:val="tx1"/>
                  </w14:solidFill>
                </w14:textFill>
              </w:rPr>
              <w:t>矿山企业必须具有通过主管部门组织专家评审的矿产开发利用方案、矿山环境影响评价报告、矿山地质环境恢复治理及土地复垦方案和矿山安全生产预评估报告；同时要求拥有合法的矿山用地手续并缴纳足额矿山地质环境治理备用金。</w:t>
            </w:r>
          </w:p>
          <w:p>
            <w:pPr>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hint="eastAsia" w:ascii="Times New Roman" w:hAnsi="Times New Roman"/>
                <w:color w:val="000000" w:themeColor="text1"/>
                <w:sz w:val="24"/>
                <w:u w:val="single"/>
                <w14:textFill>
                  <w14:solidFill>
                    <w14:schemeClr w14:val="tx1"/>
                  </w14:solidFill>
                </w14:textFill>
              </w:rPr>
              <w:t>⑤</w:t>
            </w:r>
            <w:r>
              <w:rPr>
                <w:rFonts w:ascii="Times New Roman" w:hAnsi="Times New Roman"/>
                <w:color w:val="000000" w:themeColor="text1"/>
                <w:sz w:val="24"/>
                <w:u w:val="single"/>
                <w14:textFill>
                  <w14:solidFill>
                    <w14:schemeClr w14:val="tx1"/>
                  </w14:solidFill>
                </w14:textFill>
              </w:rPr>
              <w:t>符合国家劳动安全卫生规定，具备保障安全生产的必要条件。</w:t>
            </w:r>
          </w:p>
          <w:p>
            <w:pPr>
              <w:spacing w:line="360" w:lineRule="auto"/>
              <w:ind w:firstLine="480" w:firstLineChars="200"/>
              <w:rPr>
                <w:rFonts w:ascii="Times New Roman" w:hAnsi="Times New Roman"/>
                <w:sz w:val="24"/>
                <w:u w:val="single"/>
              </w:rPr>
            </w:pPr>
            <w:r>
              <w:rPr>
                <w:rFonts w:ascii="Times New Roman" w:hAnsi="Times New Roman"/>
                <w:color w:val="000000" w:themeColor="text1"/>
                <w:sz w:val="24"/>
                <w:u w:val="single"/>
                <w14:textFill>
                  <w14:solidFill>
                    <w14:schemeClr w14:val="tx1"/>
                  </w14:solidFill>
                </w14:textFill>
              </w:rPr>
              <w:t>根据以上内容可知，本项目的建设符合《规划》的准入条件，不在《规划》规定的限制和禁采区内，符合</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益阳市矿产资源总体规划（2016</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2020年）</w:t>
            </w:r>
            <w:r>
              <w:rPr>
                <w:rFonts w:hint="eastAsia" w:ascii="Times New Roman" w:hAnsi="Times New Roman"/>
                <w:color w:val="000000" w:themeColor="text1"/>
                <w:sz w:val="24"/>
                <w:u w:val="single"/>
                <w14:textFill>
                  <w14:solidFill>
                    <w14:schemeClr w14:val="tx1"/>
                  </w14:solidFill>
                </w14:textFill>
              </w:rPr>
              <w:t>》</w:t>
            </w:r>
            <w:r>
              <w:rPr>
                <w:rFonts w:ascii="Times New Roman" w:hAnsi="Times New Roman"/>
                <w:color w:val="000000" w:themeColor="text1"/>
                <w:sz w:val="24"/>
                <w:u w:val="single"/>
                <w14:textFill>
                  <w14:solidFill>
                    <w14:schemeClr w14:val="tx1"/>
                  </w14:solidFill>
                </w14:textFill>
              </w:rPr>
              <w:t>的要求。</w:t>
            </w:r>
          </w:p>
          <w:p>
            <w:pPr>
              <w:overflowPunct w:val="0"/>
              <w:spacing w:line="360" w:lineRule="auto"/>
              <w:rPr>
                <w:rFonts w:ascii="Times New Roman" w:hAnsi="Times New Roman"/>
                <w:b/>
                <w:snapToGrid w:val="0"/>
                <w:sz w:val="24"/>
                <w:u w:val="single"/>
              </w:rPr>
            </w:pPr>
            <w:r>
              <w:rPr>
                <w:rFonts w:ascii="Times New Roman" w:hAnsi="Times New Roman"/>
                <w:b/>
                <w:bCs/>
                <w:spacing w:val="8"/>
                <w:sz w:val="24"/>
                <w:u w:val="single"/>
              </w:rPr>
              <w:t xml:space="preserve">3 </w:t>
            </w:r>
            <w:r>
              <w:rPr>
                <w:rFonts w:ascii="Times New Roman" w:hAnsi="Times New Roman"/>
                <w:b/>
                <w:snapToGrid w:val="0"/>
                <w:sz w:val="24"/>
                <w:u w:val="single"/>
              </w:rPr>
              <w:t>与</w:t>
            </w:r>
            <w:bookmarkStart w:id="68" w:name="_Hlk49853414"/>
            <w:r>
              <w:rPr>
                <w:rFonts w:ascii="Times New Roman" w:hAnsi="Times New Roman"/>
                <w:b/>
                <w:snapToGrid w:val="0"/>
                <w:sz w:val="24"/>
                <w:u w:val="single"/>
              </w:rPr>
              <w:t>《湖南省砂石骨料行业规范条件（2017本）》</w:t>
            </w:r>
            <w:bookmarkEnd w:id="68"/>
            <w:r>
              <w:rPr>
                <w:rFonts w:ascii="Times New Roman" w:hAnsi="Times New Roman"/>
                <w:b/>
                <w:snapToGrid w:val="0"/>
                <w:sz w:val="24"/>
                <w:u w:val="single"/>
              </w:rPr>
              <w:t>符合性分析</w:t>
            </w:r>
          </w:p>
          <w:p>
            <w:pPr>
              <w:overflowPunct w:val="0"/>
              <w:spacing w:line="360" w:lineRule="auto"/>
              <w:jc w:val="center"/>
              <w:rPr>
                <w:rFonts w:ascii="Times New Roman" w:hAnsi="Times New Roman"/>
                <w:b/>
                <w:bCs/>
                <w:spacing w:val="8"/>
                <w:sz w:val="24"/>
                <w:u w:val="single"/>
              </w:rPr>
            </w:pPr>
            <w:r>
              <w:rPr>
                <w:rFonts w:hint="eastAsia" w:ascii="Times New Roman" w:hAnsi="Times New Roman"/>
                <w:b/>
                <w:snapToGrid w:val="0"/>
                <w:sz w:val="24"/>
                <w:u w:val="single"/>
              </w:rPr>
              <w:t>表8</w:t>
            </w:r>
            <w:r>
              <w:rPr>
                <w:rFonts w:ascii="Times New Roman" w:hAnsi="Times New Roman"/>
                <w:b/>
                <w:snapToGrid w:val="0"/>
                <w:sz w:val="24"/>
                <w:u w:val="single"/>
              </w:rPr>
              <w:t>-6  与《湖南省砂石骨料行业规范条件（2017本）》符合性分析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8"/>
              <w:gridCol w:w="4394"/>
              <w:gridCol w:w="2410"/>
              <w:gridCol w:w="11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Align w:val="center"/>
                </w:tcPr>
                <w:p>
                  <w:pPr>
                    <w:widowControl/>
                    <w:jc w:val="center"/>
                    <w:rPr>
                      <w:rFonts w:ascii="Times New Roman" w:hAnsi="Times New Roman"/>
                      <w:bCs/>
                      <w:szCs w:val="21"/>
                      <w:u w:val="single"/>
                    </w:rPr>
                  </w:pPr>
                  <w:r>
                    <w:rPr>
                      <w:rFonts w:ascii="Times New Roman" w:hAnsi="Times New Roman"/>
                      <w:b/>
                      <w:color w:val="000000"/>
                      <w:kern w:val="0"/>
                      <w:szCs w:val="21"/>
                      <w:u w:val="single"/>
                    </w:rPr>
                    <w:t>类别</w:t>
                  </w:r>
                </w:p>
              </w:tc>
              <w:tc>
                <w:tcPr>
                  <w:tcW w:w="4394" w:type="dxa"/>
                  <w:vAlign w:val="center"/>
                </w:tcPr>
                <w:p>
                  <w:pPr>
                    <w:widowControl/>
                    <w:jc w:val="center"/>
                    <w:rPr>
                      <w:rFonts w:ascii="Times New Roman" w:hAnsi="Times New Roman"/>
                      <w:bCs/>
                      <w:szCs w:val="21"/>
                      <w:u w:val="single"/>
                    </w:rPr>
                  </w:pPr>
                  <w:r>
                    <w:rPr>
                      <w:rFonts w:ascii="Times New Roman" w:hAnsi="Times New Roman"/>
                      <w:b/>
                      <w:color w:val="000000"/>
                      <w:kern w:val="0"/>
                      <w:szCs w:val="21"/>
                      <w:u w:val="single"/>
                    </w:rPr>
                    <w:t>《湖南省砂石骨料行业规范条件（2017本）》相关要求</w:t>
                  </w:r>
                </w:p>
              </w:tc>
              <w:tc>
                <w:tcPr>
                  <w:tcW w:w="2410" w:type="dxa"/>
                  <w:vAlign w:val="center"/>
                </w:tcPr>
                <w:p>
                  <w:pPr>
                    <w:pStyle w:val="3"/>
                    <w:widowControl/>
                    <w:ind w:firstLine="0"/>
                    <w:jc w:val="center"/>
                    <w:rPr>
                      <w:rFonts w:ascii="Times New Roman" w:hAnsi="Times New Roman" w:cs="Times New Roman"/>
                      <w:bCs/>
                      <w:szCs w:val="21"/>
                      <w:u w:val="single"/>
                    </w:rPr>
                  </w:pPr>
                  <w:r>
                    <w:rPr>
                      <w:rFonts w:ascii="Times New Roman" w:hAnsi="Times New Roman" w:cs="Times New Roman"/>
                      <w:b/>
                      <w:color w:val="000000"/>
                      <w:kern w:val="0"/>
                      <w:szCs w:val="21"/>
                      <w:u w:val="single"/>
                    </w:rPr>
                    <w:t>本项目或场地情况</w:t>
                  </w:r>
                </w:p>
              </w:tc>
              <w:tc>
                <w:tcPr>
                  <w:tcW w:w="1164" w:type="dxa"/>
                  <w:vAlign w:val="center"/>
                </w:tcPr>
                <w:p>
                  <w:pPr>
                    <w:widowControl/>
                    <w:jc w:val="center"/>
                    <w:rPr>
                      <w:rFonts w:ascii="Times New Roman" w:hAnsi="Times New Roman"/>
                      <w:bCs/>
                      <w:szCs w:val="21"/>
                      <w:u w:val="single"/>
                    </w:rPr>
                  </w:pPr>
                  <w:r>
                    <w:rPr>
                      <w:rFonts w:ascii="Times New Roman" w:hAnsi="Times New Roman"/>
                      <w:b/>
                      <w:color w:val="000000"/>
                      <w:kern w:val="0"/>
                      <w:szCs w:val="21"/>
                      <w:u w:val="single"/>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restart"/>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规划布局和建设要求</w:t>
                  </w:r>
                </w:p>
              </w:tc>
              <w:tc>
                <w:tcPr>
                  <w:tcW w:w="439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（一）新建、改扩建碎石石骨料项目应符合国家产业政策和当地产业、矿产资源及土地利用总体规划等要求，统筹资源、环境、物流和市场等因素合理布局</w:t>
                  </w:r>
                  <w:r>
                    <w:rPr>
                      <w:rFonts w:hint="eastAsia" w:ascii="Times New Roman" w:hAnsi="Times New Roman"/>
                      <w:color w:val="000000"/>
                      <w:kern w:val="0"/>
                      <w:szCs w:val="21"/>
                      <w:u w:val="single"/>
                    </w:rPr>
                    <w:t>，</w:t>
                  </w:r>
                  <w:r>
                    <w:rPr>
                      <w:rFonts w:ascii="Times New Roman" w:hAnsi="Times New Roman"/>
                      <w:color w:val="000000"/>
                      <w:kern w:val="0"/>
                      <w:szCs w:val="21"/>
                      <w:u w:val="single"/>
                    </w:rPr>
                    <w:t>推动产业规模化、集约化、基地化发展。</w:t>
                  </w:r>
                </w:p>
              </w:tc>
              <w:tc>
                <w:tcPr>
                  <w:tcW w:w="2410"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本项目为技术改造项目，符合国家产业政策和当地产业、土地利用总体规划等要求</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continue"/>
                  <w:vAlign w:val="center"/>
                </w:tcPr>
                <w:p>
                  <w:pPr>
                    <w:pStyle w:val="3"/>
                    <w:widowControl/>
                    <w:ind w:firstLine="0"/>
                    <w:jc w:val="center"/>
                    <w:rPr>
                      <w:rFonts w:ascii="Times New Roman" w:hAnsi="Times New Roman" w:cs="Times New Roman"/>
                      <w:bCs/>
                      <w:szCs w:val="21"/>
                      <w:u w:val="single"/>
                    </w:rPr>
                  </w:pPr>
                </w:p>
              </w:tc>
              <w:tc>
                <w:tcPr>
                  <w:tcW w:w="4394"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（二）</w:t>
                  </w:r>
                  <w:r>
                    <w:rPr>
                      <w:rFonts w:ascii="Times New Roman" w:hAnsi="Times New Roman"/>
                      <w:color w:val="000000"/>
                      <w:kern w:val="0"/>
                      <w:szCs w:val="21"/>
                      <w:u w:val="single"/>
                    </w:rPr>
                    <w:t>碎石石骨料矿山企业须取得矿山资源储量报告、矿产开发利用方案、采矿许可证、矿山地质环境综合防治方案、水土保持方案、环境影响评价报告、安全生产许可证和安全预评价报告等相关证照或审批文件。天然砂石骨料企业还须取得河道采砂许可证等审批文件。</w:t>
                  </w:r>
                </w:p>
              </w:tc>
              <w:tc>
                <w:tcPr>
                  <w:tcW w:w="2410"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本项目已取得矿山资源储量报告、矿产开发利用方案、采矿许可证、矿山地质环境综合防治方案、水土保持方案、环境影响评价报告、安全生产许可证和安全预评价报告等相关证照或审批文件。</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continue"/>
                  <w:vAlign w:val="center"/>
                </w:tcPr>
                <w:p>
                  <w:pPr>
                    <w:pStyle w:val="3"/>
                    <w:widowControl/>
                    <w:ind w:firstLine="0"/>
                    <w:jc w:val="center"/>
                    <w:rPr>
                      <w:rFonts w:ascii="Times New Roman" w:hAnsi="Times New Roman" w:cs="Times New Roman"/>
                      <w:bCs/>
                      <w:szCs w:val="21"/>
                      <w:u w:val="single"/>
                    </w:rPr>
                  </w:pPr>
                </w:p>
              </w:tc>
              <w:tc>
                <w:tcPr>
                  <w:tcW w:w="4394" w:type="dxa"/>
                  <w:vAlign w:val="center"/>
                </w:tcPr>
                <w:p>
                  <w:pPr>
                    <w:widowControl/>
                    <w:jc w:val="center"/>
                    <w:rPr>
                      <w:rFonts w:ascii="Times New Roman" w:hAnsi="Times New Roman"/>
                      <w:color w:val="000000"/>
                      <w:kern w:val="0"/>
                      <w:szCs w:val="21"/>
                      <w:u w:val="single"/>
                    </w:rPr>
                  </w:pPr>
                  <w:r>
                    <w:rPr>
                      <w:rFonts w:hint="eastAsia" w:ascii="Times New Roman" w:hAnsi="Times New Roman"/>
                      <w:color w:val="000000"/>
                      <w:kern w:val="0"/>
                      <w:szCs w:val="21"/>
                      <w:u w:val="single"/>
                    </w:rPr>
                    <w:t>（三）</w:t>
                  </w:r>
                  <w:r>
                    <w:rPr>
                      <w:rFonts w:ascii="Times New Roman" w:hAnsi="Times New Roman"/>
                      <w:color w:val="000000"/>
                      <w:kern w:val="0"/>
                      <w:szCs w:val="21"/>
                      <w:u w:val="single"/>
                    </w:rPr>
                    <w:t>新建碎石石骨料项目宜选择资源或接近矿山资源所在地，远离居民区。严禁在风景名胜区、地质公园、生态保护区、自然和文化遗产保护区、饮用水源保护区、城市建成区等区域新建和扩建碎石石骨料项目。严禁布置在矿山爆破安全危险区范围内，已建成的项目应按照相关规划和规定进行处置。</w:t>
                  </w:r>
                </w:p>
              </w:tc>
              <w:tc>
                <w:tcPr>
                  <w:tcW w:w="2410"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本项目选址在矿山资源所在地，本项目不在风景名胜区、地质公园、生态保护区、自然和文化遗产保护区、饮用水源保护区、城市建成区等区域范围内。</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工艺与装备</w:t>
                  </w:r>
                </w:p>
              </w:tc>
              <w:tc>
                <w:tcPr>
                  <w:tcW w:w="4394" w:type="dxa"/>
                  <w:vAlign w:val="center"/>
                </w:tcPr>
                <w:p>
                  <w:pPr>
                    <w:widowControl/>
                    <w:jc w:val="center"/>
                    <w:rPr>
                      <w:rFonts w:ascii="Times New Roman" w:hAnsi="Times New Roman"/>
                      <w:color w:val="000000"/>
                      <w:kern w:val="0"/>
                      <w:szCs w:val="21"/>
                      <w:u w:val="single"/>
                    </w:rPr>
                  </w:pPr>
                  <w:r>
                    <w:rPr>
                      <w:rFonts w:ascii="Times New Roman" w:hAnsi="Times New Roman"/>
                      <w:color w:val="000000"/>
                      <w:kern w:val="0"/>
                      <w:szCs w:val="21"/>
                      <w:u w:val="single"/>
                    </w:rPr>
                    <w:t>生产设备的配置应与砂石骨料工厂的生产规模相适应，满足砂石骨料生产工艺要求，优选大型设备，减少设备台数</w:t>
                  </w:r>
                  <w:r>
                    <w:rPr>
                      <w:rFonts w:hint="eastAsia" w:ascii="Times New Roman" w:hAnsi="Times New Roman"/>
                      <w:color w:val="000000"/>
                      <w:kern w:val="0"/>
                      <w:szCs w:val="21"/>
                      <w:u w:val="single"/>
                    </w:rPr>
                    <w:t>，</w:t>
                  </w:r>
                  <w:r>
                    <w:rPr>
                      <w:rFonts w:ascii="Times New Roman" w:hAnsi="Times New Roman"/>
                      <w:color w:val="000000"/>
                      <w:kern w:val="0"/>
                      <w:szCs w:val="21"/>
                      <w:u w:val="single"/>
                    </w:rPr>
                    <w:t>降低总装机功率。物料输送应采用式输送机</w:t>
                  </w:r>
                </w:p>
              </w:tc>
              <w:tc>
                <w:tcPr>
                  <w:tcW w:w="2410"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根据业主提供的资料，本项目设备满足工要求。本项目物料输送采用带式输送机。</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restart"/>
                  <w:vAlign w:val="center"/>
                </w:tcPr>
                <w:p>
                  <w:pPr>
                    <w:pStyle w:val="3"/>
                    <w:widowControl/>
                    <w:ind w:firstLine="0"/>
                    <w:jc w:val="center"/>
                    <w:rPr>
                      <w:rFonts w:ascii="Times New Roman" w:hAnsi="Times New Roman" w:cs="Times New Roman"/>
                      <w:color w:val="000000"/>
                      <w:kern w:val="0"/>
                      <w:szCs w:val="21"/>
                      <w:u w:val="single"/>
                    </w:rPr>
                  </w:pPr>
                  <w:r>
                    <w:rPr>
                      <w:rFonts w:ascii="Times New Roman" w:hAnsi="Times New Roman" w:cs="Times New Roman"/>
                      <w:color w:val="000000"/>
                      <w:kern w:val="0"/>
                      <w:szCs w:val="21"/>
                      <w:u w:val="single"/>
                    </w:rPr>
                    <w:t>环境保护与资源综合利用</w:t>
                  </w:r>
                </w:p>
              </w:tc>
              <w:tc>
                <w:tcPr>
                  <w:tcW w:w="4394" w:type="dxa"/>
                  <w:vAlign w:val="center"/>
                </w:tcPr>
                <w:p>
                  <w:pPr>
                    <w:widowControl/>
                    <w:rPr>
                      <w:rFonts w:ascii="Times New Roman" w:hAnsi="Times New Roman"/>
                      <w:szCs w:val="21"/>
                      <w:u w:val="single"/>
                    </w:rPr>
                  </w:pPr>
                  <w:r>
                    <w:rPr>
                      <w:rFonts w:ascii="Times New Roman" w:hAnsi="Times New Roman"/>
                      <w:color w:val="000000"/>
                      <w:kern w:val="0"/>
                      <w:szCs w:val="21"/>
                      <w:u w:val="single"/>
                    </w:rPr>
                    <w:t>（一）环境保护</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砂石骨料企业应制订相关环境保护管理体系文件和环境突发事件应急预案等。</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碎石石骨料生产线须配套收尘装置</w:t>
                  </w:r>
                  <w:r>
                    <w:rPr>
                      <w:rFonts w:hint="eastAsia" w:ascii="Times New Roman" w:hAnsi="Times New Roman"/>
                      <w:color w:val="000000"/>
                      <w:kern w:val="0"/>
                      <w:szCs w:val="21"/>
                      <w:u w:val="single"/>
                    </w:rPr>
                    <w:t>，</w:t>
                  </w:r>
                  <w:r>
                    <w:rPr>
                      <w:rFonts w:ascii="Times New Roman" w:hAnsi="Times New Roman"/>
                      <w:color w:val="000000"/>
                      <w:kern w:val="0"/>
                      <w:szCs w:val="21"/>
                      <w:u w:val="single"/>
                    </w:rPr>
                    <w:t>采用喷雾、洒水、全封闭皮带运输等措施。破碎加工区、中间料库、成品库等区域实现厂房全封闭，污染物排放符合《大气污染物综合排放标准》</w:t>
                  </w:r>
                  <w:r>
                    <w:rPr>
                      <w:rFonts w:hint="eastAsia" w:ascii="Times New Roman" w:hAnsi="Times New Roman"/>
                      <w:color w:val="000000"/>
                      <w:kern w:val="0"/>
                      <w:szCs w:val="21"/>
                      <w:u w:val="single"/>
                    </w:rPr>
                    <w:t>（</w:t>
                  </w:r>
                  <w:r>
                    <w:rPr>
                      <w:rFonts w:ascii="Times New Roman" w:hAnsi="Times New Roman"/>
                      <w:color w:val="000000"/>
                      <w:kern w:val="0"/>
                      <w:szCs w:val="21"/>
                      <w:u w:val="single"/>
                    </w:rPr>
                    <w:t>GB16297-1996</w:t>
                  </w:r>
                  <w:r>
                    <w:rPr>
                      <w:rFonts w:hint="eastAsia" w:ascii="Times New Roman" w:hAnsi="Times New Roman"/>
                      <w:color w:val="000000"/>
                      <w:kern w:val="0"/>
                      <w:szCs w:val="21"/>
                      <w:u w:val="single"/>
                    </w:rPr>
                    <w:t>）</w:t>
                  </w:r>
                  <w:r>
                    <w:rPr>
                      <w:rFonts w:ascii="Times New Roman" w:hAnsi="Times New Roman"/>
                      <w:color w:val="000000"/>
                      <w:kern w:val="0"/>
                      <w:szCs w:val="21"/>
                      <w:u w:val="single"/>
                    </w:rPr>
                    <w:t>要求。</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矿山开采鼓励选用湿式凿岩工艺</w:t>
                  </w:r>
                  <w:r>
                    <w:rPr>
                      <w:rFonts w:hint="eastAsia" w:ascii="Times New Roman" w:hAnsi="Times New Roman"/>
                      <w:color w:val="000000"/>
                      <w:kern w:val="0"/>
                      <w:szCs w:val="21"/>
                      <w:u w:val="single"/>
                    </w:rPr>
                    <w:t>，</w:t>
                  </w:r>
                  <w:r>
                    <w:rPr>
                      <w:rFonts w:ascii="Times New Roman" w:hAnsi="Times New Roman"/>
                      <w:color w:val="000000"/>
                      <w:kern w:val="0"/>
                      <w:szCs w:val="21"/>
                      <w:u w:val="single"/>
                    </w:rPr>
                    <w:t>若采用干法凿岩工艺，须加设除尘装置，作业场所应采用喷雾、洒水等措施。</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碎石骨料生产线须配置消声、减振、隔振等设施</w:t>
                  </w:r>
                  <w:r>
                    <w:rPr>
                      <w:rFonts w:hint="eastAsia" w:ascii="Times New Roman" w:hAnsi="Times New Roman"/>
                      <w:color w:val="000000"/>
                      <w:kern w:val="0"/>
                      <w:szCs w:val="21"/>
                      <w:u w:val="single"/>
                    </w:rPr>
                    <w:t>，</w:t>
                  </w:r>
                  <w:r>
                    <w:rPr>
                      <w:rFonts w:ascii="Times New Roman" w:hAnsi="Times New Roman"/>
                      <w:color w:val="000000"/>
                      <w:kern w:val="0"/>
                      <w:szCs w:val="21"/>
                      <w:u w:val="single"/>
                    </w:rPr>
                    <w:t>工厂噪声应符合《工业企业厂界环境噪声排放标准》</w:t>
                  </w:r>
                  <w:r>
                    <w:rPr>
                      <w:rFonts w:hint="eastAsia" w:ascii="Times New Roman" w:hAnsi="Times New Roman"/>
                      <w:color w:val="000000"/>
                      <w:kern w:val="0"/>
                      <w:szCs w:val="21"/>
                      <w:u w:val="single"/>
                    </w:rPr>
                    <w:t>（</w:t>
                  </w:r>
                  <w:r>
                    <w:rPr>
                      <w:rFonts w:ascii="Times New Roman" w:hAnsi="Times New Roman"/>
                      <w:color w:val="000000"/>
                      <w:kern w:val="0"/>
                      <w:szCs w:val="21"/>
                      <w:u w:val="single"/>
                    </w:rPr>
                    <w:t>GB12348-2008</w:t>
                  </w:r>
                  <w:r>
                    <w:rPr>
                      <w:rFonts w:hint="eastAsia" w:ascii="Times New Roman" w:hAnsi="Times New Roman"/>
                      <w:color w:val="000000"/>
                      <w:kern w:val="0"/>
                      <w:szCs w:val="21"/>
                      <w:u w:val="single"/>
                    </w:rPr>
                    <w:t>）</w:t>
                  </w:r>
                  <w:r>
                    <w:rPr>
                      <w:rFonts w:ascii="Times New Roman" w:hAnsi="Times New Roman"/>
                      <w:color w:val="000000"/>
                      <w:kern w:val="0"/>
                      <w:szCs w:val="21"/>
                      <w:u w:val="single"/>
                    </w:rPr>
                    <w:t>要求。</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厂区污水排放符合</w:t>
                  </w:r>
                  <w:r>
                    <w:rPr>
                      <w:rFonts w:hint="eastAsia" w:ascii="Times New Roman" w:hAnsi="Times New Roman"/>
                      <w:color w:val="000000"/>
                      <w:kern w:val="0"/>
                      <w:szCs w:val="21"/>
                      <w:u w:val="single"/>
                    </w:rPr>
                    <w:t>《</w:t>
                  </w:r>
                  <w:r>
                    <w:rPr>
                      <w:rFonts w:ascii="Times New Roman" w:hAnsi="Times New Roman"/>
                      <w:color w:val="000000"/>
                      <w:kern w:val="0"/>
                      <w:szCs w:val="21"/>
                      <w:u w:val="single"/>
                    </w:rPr>
                    <w:t>污水综合排放标准》</w:t>
                  </w:r>
                  <w:r>
                    <w:rPr>
                      <w:rFonts w:hint="eastAsia" w:ascii="Times New Roman" w:hAnsi="Times New Roman"/>
                      <w:color w:val="000000"/>
                      <w:kern w:val="0"/>
                      <w:szCs w:val="21"/>
                      <w:u w:val="single"/>
                    </w:rPr>
                    <w:t>（</w:t>
                  </w:r>
                  <w:r>
                    <w:rPr>
                      <w:rFonts w:ascii="Times New Roman" w:hAnsi="Times New Roman"/>
                      <w:color w:val="000000"/>
                      <w:kern w:val="0"/>
                      <w:szCs w:val="21"/>
                      <w:u w:val="single"/>
                    </w:rPr>
                    <w:t>GB8978-1996</w:t>
                  </w:r>
                  <w:r>
                    <w:rPr>
                      <w:rFonts w:hint="eastAsia" w:ascii="Times New Roman" w:hAnsi="Times New Roman"/>
                      <w:color w:val="000000"/>
                      <w:kern w:val="0"/>
                      <w:szCs w:val="21"/>
                      <w:u w:val="single"/>
                    </w:rPr>
                    <w:t>）</w:t>
                  </w:r>
                  <w:r>
                    <w:rPr>
                      <w:rFonts w:ascii="Times New Roman" w:hAnsi="Times New Roman"/>
                      <w:color w:val="000000"/>
                      <w:kern w:val="0"/>
                      <w:szCs w:val="21"/>
                      <w:u w:val="single"/>
                    </w:rPr>
                    <w:t>二级及以上要求</w:t>
                  </w:r>
                  <w:r>
                    <w:rPr>
                      <w:rFonts w:hint="eastAsia" w:ascii="Times New Roman" w:hAnsi="Times New Roman"/>
                      <w:color w:val="000000"/>
                      <w:kern w:val="0"/>
                      <w:szCs w:val="21"/>
                      <w:u w:val="single"/>
                    </w:rPr>
                    <w:t>，</w:t>
                  </w:r>
                  <w:r>
                    <w:rPr>
                      <w:rFonts w:ascii="Times New Roman" w:hAnsi="Times New Roman"/>
                      <w:color w:val="000000"/>
                      <w:kern w:val="0"/>
                      <w:szCs w:val="21"/>
                      <w:u w:val="single"/>
                    </w:rPr>
                    <w:t>湿法生产线必须设置水处理循环系统。</w:t>
                  </w:r>
                </w:p>
                <w:p>
                  <w:pPr>
                    <w:widowControl/>
                    <w:ind w:firstLine="420" w:firstLineChars="200"/>
                    <w:rPr>
                      <w:rFonts w:ascii="Times New Roman" w:hAnsi="Times New Roman"/>
                      <w:szCs w:val="21"/>
                      <w:u w:val="single"/>
                    </w:rPr>
                  </w:pPr>
                  <w:r>
                    <w:rPr>
                      <w:rFonts w:ascii="Times New Roman" w:hAnsi="Times New Roman"/>
                      <w:color w:val="000000"/>
                      <w:kern w:val="0"/>
                      <w:szCs w:val="21"/>
                      <w:u w:val="single"/>
                    </w:rPr>
                    <w:t>公用工程、环境保护设计应符合《碎石石骨料工厂设计规范》</w:t>
                  </w:r>
                  <w:r>
                    <w:rPr>
                      <w:rFonts w:hint="eastAsia" w:ascii="Times New Roman" w:hAnsi="Times New Roman"/>
                      <w:color w:val="000000"/>
                      <w:kern w:val="0"/>
                      <w:szCs w:val="21"/>
                      <w:u w:val="single"/>
                    </w:rPr>
                    <w:t>（</w:t>
                  </w:r>
                  <w:r>
                    <w:rPr>
                      <w:rFonts w:ascii="Times New Roman" w:hAnsi="Times New Roman"/>
                      <w:color w:val="000000"/>
                      <w:kern w:val="0"/>
                      <w:szCs w:val="21"/>
                      <w:u w:val="single"/>
                    </w:rPr>
                    <w:t>GB51186-2016</w:t>
                  </w:r>
                  <w:r>
                    <w:rPr>
                      <w:rFonts w:hint="eastAsia" w:ascii="Times New Roman" w:hAnsi="Times New Roman"/>
                      <w:color w:val="000000"/>
                      <w:kern w:val="0"/>
                      <w:szCs w:val="21"/>
                      <w:u w:val="single"/>
                    </w:rPr>
                    <w:t>）</w:t>
                  </w:r>
                  <w:r>
                    <w:rPr>
                      <w:rFonts w:ascii="Times New Roman" w:hAnsi="Times New Roman"/>
                      <w:color w:val="000000"/>
                      <w:kern w:val="0"/>
                      <w:szCs w:val="21"/>
                      <w:u w:val="single"/>
                    </w:rPr>
                    <w:t>等有关标准规定</w:t>
                  </w:r>
                  <w:r>
                    <w:rPr>
                      <w:rFonts w:hint="eastAsia" w:ascii="Times New Roman" w:hAnsi="Times New Roman"/>
                      <w:color w:val="000000"/>
                      <w:kern w:val="0"/>
                      <w:szCs w:val="21"/>
                      <w:u w:val="single"/>
                    </w:rPr>
                    <w:t>，</w:t>
                  </w:r>
                  <w:r>
                    <w:rPr>
                      <w:rFonts w:ascii="Times New Roman" w:hAnsi="Times New Roman"/>
                      <w:color w:val="000000"/>
                      <w:kern w:val="0"/>
                      <w:szCs w:val="21"/>
                      <w:u w:val="single"/>
                    </w:rPr>
                    <w:t>配套建设的环境保护设施应与主体工程同时设计、同时施工同时投入使用。</w:t>
                  </w:r>
                </w:p>
              </w:tc>
              <w:tc>
                <w:tcPr>
                  <w:tcW w:w="2410" w:type="dxa"/>
                  <w:vAlign w:val="center"/>
                </w:tcPr>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本项目投产后将制订相关环境保护管理体系文件和环境突发事件应急案等。</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项目拟按照本规范和环评报告要求采取相应的废水、废气和噪声污染防治措施，确保废水、废气和噪声达标排放。</w:t>
                  </w:r>
                </w:p>
                <w:p>
                  <w:pPr>
                    <w:widowControl/>
                    <w:ind w:firstLine="420" w:firstLineChars="200"/>
                    <w:rPr>
                      <w:rFonts w:ascii="Times New Roman" w:hAnsi="Times New Roman"/>
                      <w:szCs w:val="21"/>
                      <w:u w:val="single"/>
                    </w:rPr>
                  </w:pPr>
                  <w:r>
                    <w:rPr>
                      <w:rFonts w:ascii="Times New Roman" w:hAnsi="Times New Roman"/>
                      <w:color w:val="000000"/>
                      <w:kern w:val="0"/>
                      <w:szCs w:val="21"/>
                      <w:u w:val="single"/>
                    </w:rPr>
                    <w:t>项目将严格执行环保三同时制度。</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continue"/>
                  <w:vAlign w:val="center"/>
                </w:tcPr>
                <w:p>
                  <w:pPr>
                    <w:pStyle w:val="3"/>
                    <w:widowControl/>
                    <w:ind w:firstLine="0"/>
                    <w:jc w:val="center"/>
                    <w:rPr>
                      <w:rFonts w:ascii="Times New Roman" w:hAnsi="Times New Roman" w:cs="Times New Roman"/>
                      <w:bCs/>
                      <w:szCs w:val="21"/>
                      <w:u w:val="single"/>
                    </w:rPr>
                  </w:pPr>
                </w:p>
              </w:tc>
              <w:tc>
                <w:tcPr>
                  <w:tcW w:w="4394" w:type="dxa"/>
                  <w:vAlign w:val="center"/>
                </w:tcPr>
                <w:p>
                  <w:pPr>
                    <w:widowControl/>
                    <w:rPr>
                      <w:rFonts w:ascii="Times New Roman" w:hAnsi="Times New Roman"/>
                      <w:szCs w:val="21"/>
                      <w:u w:val="single"/>
                    </w:rPr>
                  </w:pPr>
                  <w:r>
                    <w:rPr>
                      <w:rFonts w:ascii="Times New Roman" w:hAnsi="Times New Roman"/>
                      <w:color w:val="000000"/>
                      <w:kern w:val="0"/>
                      <w:szCs w:val="21"/>
                      <w:u w:val="single"/>
                    </w:rPr>
                    <w:t>（二）资源综合利用</w:t>
                  </w:r>
                </w:p>
                <w:p>
                  <w:pPr>
                    <w:widowControl/>
                    <w:ind w:firstLine="420" w:firstLineChars="200"/>
                    <w:rPr>
                      <w:rFonts w:ascii="Times New Roman" w:hAnsi="Times New Roman"/>
                      <w:color w:val="000000"/>
                      <w:kern w:val="0"/>
                      <w:szCs w:val="21"/>
                      <w:u w:val="single"/>
                    </w:rPr>
                  </w:pPr>
                  <w:r>
                    <w:rPr>
                      <w:rFonts w:ascii="Times New Roman" w:hAnsi="Times New Roman"/>
                      <w:color w:val="000000"/>
                      <w:kern w:val="0"/>
                      <w:szCs w:val="21"/>
                      <w:u w:val="single"/>
                    </w:rPr>
                    <w:t>砂石骨料生产线须配置废弃物综合利用及处置设施</w:t>
                  </w:r>
                  <w:r>
                    <w:rPr>
                      <w:rFonts w:hint="eastAsia" w:ascii="Times New Roman" w:hAnsi="Times New Roman"/>
                      <w:color w:val="000000"/>
                      <w:kern w:val="0"/>
                      <w:szCs w:val="21"/>
                      <w:u w:val="single"/>
                    </w:rPr>
                    <w:t>，</w:t>
                  </w:r>
                  <w:r>
                    <w:rPr>
                      <w:rFonts w:ascii="Times New Roman" w:hAnsi="Times New Roman"/>
                      <w:color w:val="000000"/>
                      <w:kern w:val="0"/>
                      <w:szCs w:val="21"/>
                      <w:u w:val="single"/>
                    </w:rPr>
                    <w:t>矿山开采应选择资源节约型、环境友好型开发方式，最大限度减少对自然环境的破坏，符合区域生态建设要求。实现资源分级利用、优质优用和综合利用。鼓励企业利用尾矿、废石、工业和建筑垃圾开发生产满足相关要求的砂石骨料。</w:t>
                  </w:r>
                </w:p>
              </w:tc>
              <w:tc>
                <w:tcPr>
                  <w:tcW w:w="2410" w:type="dxa"/>
                  <w:vAlign w:val="center"/>
                </w:tcPr>
                <w:p>
                  <w:pPr>
                    <w:widowControl/>
                    <w:ind w:firstLine="420" w:firstLineChars="200"/>
                    <w:rPr>
                      <w:rFonts w:ascii="Times New Roman" w:hAnsi="Times New Roman"/>
                      <w:szCs w:val="21"/>
                      <w:u w:val="single"/>
                    </w:rPr>
                  </w:pPr>
                  <w:r>
                    <w:rPr>
                      <w:rFonts w:ascii="Times New Roman" w:hAnsi="Times New Roman"/>
                      <w:color w:val="000000"/>
                      <w:kern w:val="0"/>
                      <w:szCs w:val="21"/>
                      <w:u w:val="single"/>
                    </w:rPr>
                    <w:t>本项目选择资源节约型、环境友好型开发方式，最大限度减少对自然环境的破坏，符合区域生态建设要求。实现资源分级利用、优质优用和综合利用。</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8" w:type="dxa"/>
                  <w:vMerge w:val="continue"/>
                  <w:vAlign w:val="center"/>
                </w:tcPr>
                <w:p>
                  <w:pPr>
                    <w:pStyle w:val="3"/>
                    <w:widowControl/>
                    <w:ind w:firstLine="0"/>
                    <w:jc w:val="center"/>
                    <w:rPr>
                      <w:rFonts w:ascii="Times New Roman" w:hAnsi="Times New Roman" w:cs="Times New Roman"/>
                      <w:bCs/>
                      <w:szCs w:val="21"/>
                      <w:u w:val="single"/>
                    </w:rPr>
                  </w:pPr>
                </w:p>
              </w:tc>
              <w:tc>
                <w:tcPr>
                  <w:tcW w:w="4394" w:type="dxa"/>
                  <w:vAlign w:val="center"/>
                </w:tcPr>
                <w:p>
                  <w:pPr>
                    <w:widowControl/>
                    <w:rPr>
                      <w:rFonts w:ascii="Times New Roman" w:hAnsi="Times New Roman"/>
                      <w:szCs w:val="21"/>
                      <w:u w:val="single"/>
                    </w:rPr>
                  </w:pPr>
                  <w:r>
                    <w:rPr>
                      <w:rFonts w:hint="eastAsia" w:ascii="Times New Roman" w:hAnsi="Times New Roman"/>
                      <w:color w:val="000000"/>
                      <w:kern w:val="0"/>
                      <w:szCs w:val="21"/>
                      <w:u w:val="single"/>
                    </w:rPr>
                    <w:t>（三）</w:t>
                  </w:r>
                  <w:r>
                    <w:rPr>
                      <w:rFonts w:ascii="Times New Roman" w:hAnsi="Times New Roman"/>
                      <w:color w:val="000000"/>
                      <w:kern w:val="0"/>
                      <w:szCs w:val="21"/>
                      <w:u w:val="single"/>
                    </w:rPr>
                    <w:t>环境恢复与复垦</w:t>
                  </w:r>
                </w:p>
                <w:p>
                  <w:pPr>
                    <w:widowControl/>
                    <w:ind w:firstLine="420" w:firstLineChars="200"/>
                    <w:rPr>
                      <w:rFonts w:ascii="Times New Roman" w:hAnsi="Times New Roman"/>
                      <w:bCs/>
                      <w:szCs w:val="21"/>
                      <w:u w:val="single"/>
                    </w:rPr>
                  </w:pPr>
                  <w:r>
                    <w:rPr>
                      <w:rFonts w:ascii="Times New Roman" w:hAnsi="Times New Roman"/>
                      <w:color w:val="000000"/>
                      <w:kern w:val="0"/>
                      <w:szCs w:val="21"/>
                      <w:u w:val="single"/>
                    </w:rPr>
                    <w:t>做到</w:t>
                  </w:r>
                  <w:r>
                    <w:rPr>
                      <w:rFonts w:hint="eastAsia" w:ascii="Times New Roman" w:hAnsi="Times New Roman"/>
                      <w:color w:val="000000"/>
                      <w:kern w:val="0"/>
                      <w:szCs w:val="21"/>
                      <w:u w:val="single"/>
                    </w:rPr>
                    <w:t>“</w:t>
                  </w:r>
                  <w:r>
                    <w:rPr>
                      <w:rFonts w:ascii="Times New Roman" w:hAnsi="Times New Roman"/>
                      <w:color w:val="000000"/>
                      <w:kern w:val="0"/>
                      <w:szCs w:val="21"/>
                      <w:u w:val="single"/>
                    </w:rPr>
                    <w:t>边开采、边治理</w:t>
                  </w:r>
                  <w:r>
                    <w:rPr>
                      <w:rFonts w:hint="eastAsia" w:ascii="Times New Roman" w:hAnsi="Times New Roman"/>
                      <w:color w:val="000000"/>
                      <w:kern w:val="0"/>
                      <w:szCs w:val="21"/>
                      <w:u w:val="single"/>
                    </w:rPr>
                    <w:t>”</w:t>
                  </w:r>
                  <w:r>
                    <w:rPr>
                      <w:rFonts w:ascii="Times New Roman" w:hAnsi="Times New Roman"/>
                      <w:color w:val="000000"/>
                      <w:kern w:val="0"/>
                      <w:szCs w:val="21"/>
                      <w:u w:val="single"/>
                    </w:rPr>
                    <w:t>，及时修复、改善、美化采区地表景观。具备回填条件的露天采坑，在确保不产生二次污染的前提下，鼓励利用矿山固体废物进行回填。对于地下开采的矿山，采用适用的充填开采技术。</w:t>
                  </w:r>
                </w:p>
              </w:tc>
              <w:tc>
                <w:tcPr>
                  <w:tcW w:w="2410" w:type="dxa"/>
                  <w:vAlign w:val="center"/>
                </w:tcPr>
                <w:p>
                  <w:pPr>
                    <w:widowControl/>
                    <w:ind w:firstLine="420" w:firstLineChars="200"/>
                    <w:rPr>
                      <w:rFonts w:ascii="Times New Roman" w:hAnsi="Times New Roman"/>
                      <w:szCs w:val="21"/>
                      <w:u w:val="single"/>
                    </w:rPr>
                  </w:pPr>
                  <w:r>
                    <w:rPr>
                      <w:rFonts w:ascii="Times New Roman" w:hAnsi="Times New Roman"/>
                      <w:color w:val="000000"/>
                      <w:kern w:val="0"/>
                      <w:szCs w:val="21"/>
                      <w:u w:val="single"/>
                    </w:rPr>
                    <w:t>本项目</w:t>
                  </w:r>
                  <w:r>
                    <w:rPr>
                      <w:rFonts w:hint="eastAsia" w:ascii="Times New Roman" w:hAnsi="Times New Roman"/>
                      <w:color w:val="000000"/>
                      <w:kern w:val="0"/>
                      <w:szCs w:val="21"/>
                      <w:u w:val="single"/>
                    </w:rPr>
                    <w:t>“</w:t>
                  </w:r>
                  <w:r>
                    <w:rPr>
                      <w:rFonts w:ascii="Times New Roman" w:hAnsi="Times New Roman"/>
                      <w:color w:val="000000"/>
                      <w:kern w:val="0"/>
                      <w:szCs w:val="21"/>
                      <w:u w:val="single"/>
                    </w:rPr>
                    <w:t>边开采、边治理</w:t>
                  </w:r>
                  <w:r>
                    <w:rPr>
                      <w:rFonts w:hint="eastAsia" w:ascii="Times New Roman" w:hAnsi="Times New Roman"/>
                      <w:color w:val="000000"/>
                      <w:kern w:val="0"/>
                      <w:szCs w:val="21"/>
                      <w:u w:val="single"/>
                    </w:rPr>
                    <w:t>”</w:t>
                  </w:r>
                  <w:r>
                    <w:rPr>
                      <w:rFonts w:ascii="Times New Roman" w:hAnsi="Times New Roman"/>
                      <w:color w:val="000000"/>
                      <w:kern w:val="0"/>
                      <w:szCs w:val="21"/>
                      <w:u w:val="single"/>
                    </w:rPr>
                    <w:t>，及时修复、改善、美化采区地表景观。</w:t>
                  </w:r>
                </w:p>
              </w:tc>
              <w:tc>
                <w:tcPr>
                  <w:tcW w:w="1164" w:type="dxa"/>
                  <w:vAlign w:val="center"/>
                </w:tcPr>
                <w:p>
                  <w:pPr>
                    <w:widowControl/>
                    <w:jc w:val="center"/>
                    <w:rPr>
                      <w:rFonts w:ascii="Times New Roman" w:hAnsi="Times New Roman"/>
                      <w:szCs w:val="21"/>
                      <w:u w:val="single"/>
                    </w:rPr>
                  </w:pPr>
                  <w:r>
                    <w:rPr>
                      <w:rFonts w:ascii="Times New Roman" w:hAnsi="Times New Roman"/>
                      <w:color w:val="000000"/>
                      <w:kern w:val="0"/>
                      <w:szCs w:val="21"/>
                      <w:u w:val="single"/>
                    </w:rPr>
                    <w:t>满足要求</w:t>
                  </w:r>
                </w:p>
              </w:tc>
            </w:tr>
          </w:tbl>
          <w:p>
            <w:pPr>
              <w:overflowPunct w:val="0"/>
              <w:spacing w:line="360" w:lineRule="auto"/>
              <w:rPr>
                <w:rFonts w:ascii="Times New Roman" w:hAnsi="Times New Roman"/>
                <w:b/>
                <w:spacing w:val="8"/>
                <w:sz w:val="28"/>
                <w:szCs w:val="28"/>
              </w:rPr>
            </w:pPr>
            <w:r>
              <w:rPr>
                <w:rFonts w:ascii="Times New Roman" w:hAnsi="Times New Roman"/>
                <w:b/>
                <w:spacing w:val="8"/>
                <w:sz w:val="28"/>
                <w:szCs w:val="28"/>
              </w:rPr>
              <w:t>（</w:t>
            </w:r>
            <w:r>
              <w:rPr>
                <w:rFonts w:hint="eastAsia" w:ascii="Times New Roman" w:hAnsi="Times New Roman"/>
                <w:b/>
                <w:spacing w:val="8"/>
                <w:sz w:val="28"/>
                <w:szCs w:val="28"/>
              </w:rPr>
              <w:t>三</w:t>
            </w:r>
            <w:r>
              <w:rPr>
                <w:rFonts w:ascii="Times New Roman" w:hAnsi="Times New Roman"/>
                <w:b/>
                <w:spacing w:val="8"/>
                <w:sz w:val="28"/>
                <w:szCs w:val="28"/>
              </w:rPr>
              <w:t>）选址合理性分析</w:t>
            </w:r>
          </w:p>
          <w:p>
            <w:pPr>
              <w:spacing w:line="360" w:lineRule="auto"/>
              <w:ind w:firstLine="480" w:firstLineChars="200"/>
              <w:rPr>
                <w:rFonts w:ascii="Times New Roman" w:hAnsi="Times New Roman"/>
                <w:sz w:val="24"/>
                <w:szCs w:val="24"/>
              </w:rPr>
            </w:pPr>
            <w:r>
              <w:rPr>
                <w:rFonts w:ascii="Times New Roman" w:hAnsi="Times New Roman"/>
                <w:sz w:val="24"/>
                <w:szCs w:val="24"/>
              </w:rPr>
              <w:t>（1）地理位置及基础设施</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建设选址依托了桃江县境内的优势资源，项目所在地内无主要铁路、公路干线，高压输电线路和通信线路。本矿工程地质条件较好，矿体岩层稳定性较好，无溶洞等不良地质现象，发生地面坍塌、泥石流、山体滑坡等地质灾害的可能性较小。</w:t>
            </w:r>
            <w:r>
              <w:rPr>
                <w:rFonts w:ascii="Times New Roman" w:hAnsi="Times New Roman"/>
                <w:bCs/>
                <w:color w:val="000000" w:themeColor="text1"/>
                <w:sz w:val="24"/>
                <w14:textFill>
                  <w14:solidFill>
                    <w14:schemeClr w14:val="tx1"/>
                  </w14:solidFill>
                </w14:textFill>
              </w:rPr>
              <w:t>矿区周围尚未发现文物古迹、有价值的自然景观和稀有动植物种等需要特殊保护的对象，且矿区不位于桃江县生态红线一级、二级保护范围内。</w:t>
            </w:r>
          </w:p>
          <w:p>
            <w:pPr>
              <w:spacing w:line="360" w:lineRule="auto"/>
              <w:ind w:firstLine="480" w:firstLineChars="200"/>
              <w:rPr>
                <w:rFonts w:ascii="Times New Roman" w:hAnsi="Times New Roman"/>
                <w:sz w:val="24"/>
                <w:szCs w:val="24"/>
              </w:rPr>
            </w:pPr>
            <w:r>
              <w:rPr>
                <w:rFonts w:ascii="Times New Roman" w:hAnsi="Times New Roman"/>
                <w:bCs/>
                <w:color w:val="000000" w:themeColor="text1"/>
                <w:sz w:val="24"/>
                <w14:textFill>
                  <w14:solidFill>
                    <w14:schemeClr w14:val="tx1"/>
                  </w14:solidFill>
                </w14:textFill>
              </w:rPr>
              <w:t>项目产生</w:t>
            </w:r>
            <w:r>
              <w:rPr>
                <w:rFonts w:hint="eastAsia" w:ascii="Times New Roman" w:hAnsi="Times New Roman"/>
                <w:bCs/>
                <w:color w:val="000000" w:themeColor="text1"/>
                <w:sz w:val="24"/>
                <w14:textFill>
                  <w14:solidFill>
                    <w14:schemeClr w14:val="tx1"/>
                  </w14:solidFill>
                </w14:textFill>
              </w:rPr>
              <w:t>废气</w:t>
            </w:r>
            <w:r>
              <w:rPr>
                <w:rFonts w:ascii="Times New Roman" w:hAnsi="Times New Roman"/>
                <w:bCs/>
                <w:color w:val="000000" w:themeColor="text1"/>
                <w:sz w:val="24"/>
                <w14:textFill>
                  <w14:solidFill>
                    <w14:schemeClr w14:val="tx1"/>
                  </w14:solidFill>
                </w14:textFill>
              </w:rPr>
              <w:t>达标排放，正常生产时各边界噪声达标，产生的</w:t>
            </w:r>
            <w:r>
              <w:rPr>
                <w:rFonts w:ascii="Times New Roman" w:hAnsi="Times New Roman"/>
                <w:color w:val="000000" w:themeColor="text1"/>
                <w:sz w:val="24"/>
                <w14:textFill>
                  <w14:solidFill>
                    <w14:schemeClr w14:val="tx1"/>
                  </w14:solidFill>
                </w14:textFill>
              </w:rPr>
              <w:t>废水、固废全部合理处置，生态影响通过有效措施处理后可降到可控范围，区域环境质量良好。本项目选址基本合理。</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（2）排土场选址合理性分析</w:t>
            </w:r>
          </w:p>
          <w:p>
            <w:pPr>
              <w:spacing w:line="360" w:lineRule="auto"/>
              <w:ind w:firstLine="480" w:firstLineChars="200"/>
              <w:rPr>
                <w:rFonts w:ascii="Times New Roman" w:hAnsi="Times New Roman"/>
                <w:bCs/>
                <w:sz w:val="24"/>
                <w:szCs w:val="24"/>
              </w:rPr>
            </w:pPr>
            <w:r>
              <w:rPr>
                <w:rFonts w:ascii="Times New Roman" w:hAnsi="Times New Roman"/>
                <w:color w:val="000000" w:themeColor="text1"/>
                <w:sz w:val="24"/>
                <w14:textFill>
                  <w14:solidFill>
                    <w14:schemeClr w14:val="tx1"/>
                  </w14:solidFill>
                </w14:textFill>
              </w:rPr>
              <w:t>按照《矿区水文地质工程地质勘探规范》（GB 12719</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1991），矿区为水文地质条件简单的矿</w:t>
            </w:r>
            <w:r>
              <w:rPr>
                <w:rFonts w:ascii="Times New Roman" w:hAnsi="Times New Roman"/>
                <w:bCs/>
                <w:color w:val="000000" w:themeColor="text1"/>
                <w:sz w:val="24"/>
                <w14:textFill>
                  <w14:solidFill>
                    <w14:schemeClr w14:val="tx1"/>
                  </w14:solidFill>
                </w14:textFill>
              </w:rPr>
              <w:t>区。矿区环境地质现状良好，矿区内及其周围没有崩塌、滑坡、泥石流等地质灾害现象。环评要求建设单位在排土场上游及两侧设置排洪沟，底部设置挡土墙，排土场下游无建筑设施，通过建设排洪沟，可有效避免雨季洪水影响，排土场位置选择合理，安全设施得当，综合分析，排土场对周围环境影响较小。</w:t>
            </w:r>
            <w:r>
              <w:rPr>
                <w:rFonts w:ascii="Times New Roman" w:hAnsi="Times New Roman"/>
                <w:color w:val="000000" w:themeColor="text1"/>
                <w:sz w:val="24"/>
                <w14:textFill>
                  <w14:solidFill>
                    <w14:schemeClr w14:val="tx1"/>
                  </w14:solidFill>
                </w14:textFill>
              </w:rPr>
              <w:t>本</w:t>
            </w:r>
            <w:r>
              <w:rPr>
                <w:rFonts w:ascii="Times New Roman" w:hAnsi="Times New Roman"/>
                <w:color w:val="000000" w:themeColor="text1"/>
                <w:sz w:val="24"/>
                <w:szCs w:val="24"/>
                <w14:textFill>
                  <w14:solidFill>
                    <w14:schemeClr w14:val="tx1"/>
                  </w14:solidFill>
                </w14:textFill>
              </w:rPr>
              <w:t>项目排土场位于</w:t>
            </w:r>
            <w:r>
              <w:rPr>
                <w:rFonts w:hint="eastAsia" w:ascii="Times New Roman" w:hAnsi="Times New Roman"/>
                <w:color w:val="000000" w:themeColor="text1"/>
                <w:sz w:val="24"/>
                <w:szCs w:val="24"/>
                <w14:textFill>
                  <w14:solidFill>
                    <w14:schemeClr w14:val="tx1"/>
                  </w14:solidFill>
                </w14:textFill>
              </w:rPr>
              <w:t>厂区西南侧</w:t>
            </w:r>
            <w:r>
              <w:rPr>
                <w:rFonts w:ascii="Times New Roman" w:hAnsi="Times New Roman"/>
                <w:color w:val="000000" w:themeColor="text1"/>
                <w:sz w:val="24"/>
                <w:szCs w:val="24"/>
                <w14:textFill>
                  <w14:solidFill>
                    <w14:schemeClr w14:val="tx1"/>
                  </w14:solidFill>
                </w14:textFill>
              </w:rPr>
              <w:t>，占地800平方米，占地类型为荒地，不在自然保护区、风景名胜区、生态红线保护范围内，根据《一般工业固体废弃物贮存、处置场污染控制标准》（GB 18599-2001）中对Ⅰ类一般工业固体废物储存、处置场选址的要求，同时结合相关地质勘测报告排土场不在断层、断层破碎带、溶洞区及天然滑坡或泥石流影响区，完全符合Ⅰ类固体废弃物场址选择要求。</w:t>
            </w:r>
          </w:p>
          <w:p>
            <w:pPr>
              <w:spacing w:line="360" w:lineRule="auto"/>
              <w:ind w:firstLine="480" w:firstLineChars="200"/>
              <w:rPr>
                <w:rFonts w:ascii="Times New Roman" w:hAnsi="Times New Roman"/>
                <w:sz w:val="24"/>
                <w:szCs w:val="24"/>
              </w:rPr>
            </w:pPr>
            <w:r>
              <w:rPr>
                <w:rFonts w:ascii="Times New Roman" w:hAnsi="宋体"/>
                <w:sz w:val="24"/>
                <w:szCs w:val="24"/>
              </w:rPr>
              <w:t>（</w:t>
            </w:r>
            <w:r>
              <w:rPr>
                <w:rFonts w:ascii="Times New Roman" w:hAnsi="Times New Roman"/>
                <w:sz w:val="24"/>
                <w:szCs w:val="24"/>
              </w:rPr>
              <w:t>3</w:t>
            </w:r>
            <w:r>
              <w:rPr>
                <w:rFonts w:ascii="Times New Roman" w:hAnsi="宋体"/>
                <w:sz w:val="24"/>
                <w:szCs w:val="24"/>
              </w:rPr>
              <w:t>）环境容量</w:t>
            </w:r>
          </w:p>
          <w:p>
            <w:pPr>
              <w:spacing w:line="360" w:lineRule="auto"/>
              <w:ind w:firstLine="480" w:firstLineChars="200"/>
              <w:rPr>
                <w:rFonts w:ascii="Times New Roman" w:hAnsi="宋体"/>
                <w:sz w:val="24"/>
              </w:rPr>
            </w:pPr>
            <w:r>
              <w:rPr>
                <w:rFonts w:ascii="Times New Roman" w:hAnsi="宋体"/>
                <w:sz w:val="24"/>
                <w:szCs w:val="24"/>
              </w:rPr>
              <w:t>按照《环境空气质量标准》</w:t>
            </w:r>
            <w:r>
              <w:rPr>
                <w:rFonts w:hint="eastAsia" w:ascii="Times New Roman" w:hAnsi="宋体"/>
                <w:sz w:val="24"/>
                <w:szCs w:val="24"/>
              </w:rPr>
              <w:t>（</w:t>
            </w:r>
            <w:r>
              <w:rPr>
                <w:rFonts w:ascii="Times New Roman" w:hAnsi="Times New Roman"/>
                <w:sz w:val="24"/>
                <w:szCs w:val="24"/>
              </w:rPr>
              <w:t>GB 3095-2012</w:t>
            </w:r>
            <w:r>
              <w:rPr>
                <w:rFonts w:hint="eastAsia" w:ascii="Times New Roman" w:hAnsi="宋体"/>
                <w:sz w:val="24"/>
                <w:szCs w:val="24"/>
              </w:rPr>
              <w:t>）</w:t>
            </w:r>
            <w:r>
              <w:rPr>
                <w:rFonts w:ascii="Times New Roman" w:hAnsi="宋体"/>
                <w:sz w:val="24"/>
                <w:szCs w:val="24"/>
              </w:rPr>
              <w:t>中二级评价标准，项目所在地</w:t>
            </w:r>
            <w:r>
              <w:rPr>
                <w:rFonts w:hint="eastAsia" w:ascii="Times New Roman" w:hAnsi="Times New Roman"/>
                <w:sz w:val="24"/>
                <w:szCs w:val="24"/>
              </w:rPr>
              <w:t>环境空气质量各</w:t>
            </w:r>
            <w:r>
              <w:rPr>
                <w:rFonts w:hint="eastAsia" w:ascii="Times New Roman" w:hAnsi="宋体"/>
                <w:sz w:val="24"/>
              </w:rPr>
              <w:t>常规监测因子中</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年均浓度不能满足二级标准限值</w:t>
            </w:r>
            <w:r>
              <w:rPr>
                <w:rFonts w:hint="eastAsia" w:ascii="Times New Roman" w:hAnsi="宋体"/>
                <w:sz w:val="24"/>
              </w:rPr>
              <w:t>，其它监测因子的</w:t>
            </w:r>
            <w:r>
              <w:rPr>
                <w:rFonts w:hint="eastAsia" w:ascii="Times New Roman" w:hAnsi="Times New Roman"/>
                <w:sz w:val="24"/>
                <w:szCs w:val="24"/>
              </w:rPr>
              <w:t>指标</w:t>
            </w:r>
            <w:r>
              <w:rPr>
                <w:rFonts w:ascii="Times New Roman" w:hAnsi="Times New Roman"/>
                <w:bCs/>
                <w:sz w:val="24"/>
                <w:szCs w:val="24"/>
              </w:rPr>
              <w:t>均符合《环境空气质量标准》</w:t>
            </w:r>
            <w:r>
              <w:rPr>
                <w:rFonts w:hint="eastAsia" w:ascii="Times New Roman" w:hAnsi="Times New Roman"/>
                <w:bCs/>
                <w:sz w:val="24"/>
                <w:szCs w:val="24"/>
              </w:rPr>
              <w:t>（</w:t>
            </w:r>
            <w:r>
              <w:rPr>
                <w:rFonts w:ascii="Times New Roman" w:hAnsi="Times New Roman"/>
                <w:bCs/>
                <w:sz w:val="24"/>
                <w:szCs w:val="24"/>
              </w:rPr>
              <w:t>GB 3095-2012</w:t>
            </w:r>
            <w:r>
              <w:rPr>
                <w:rFonts w:hint="eastAsia" w:ascii="Times New Roman" w:hAnsi="Times New Roman"/>
                <w:bCs/>
                <w:sz w:val="24"/>
                <w:szCs w:val="24"/>
              </w:rPr>
              <w:t>）</w:t>
            </w:r>
            <w:r>
              <w:rPr>
                <w:rFonts w:ascii="Times New Roman" w:hAnsi="Times New Roman"/>
                <w:bCs/>
                <w:sz w:val="24"/>
                <w:szCs w:val="24"/>
              </w:rPr>
              <w:t>二级标准限值</w:t>
            </w:r>
            <w:r>
              <w:rPr>
                <w:rFonts w:hint="eastAsia" w:ascii="Times New Roman" w:hAnsi="Times New Roman"/>
                <w:bCs/>
                <w:sz w:val="24"/>
                <w:szCs w:val="24"/>
              </w:rPr>
              <w:t>，为不达标区</w:t>
            </w:r>
            <w:r>
              <w:rPr>
                <w:rFonts w:hint="eastAsia" w:ascii="Times New Roman" w:hAnsi="宋体"/>
                <w:sz w:val="24"/>
                <w:szCs w:val="24"/>
              </w:rPr>
              <w:t>；按照</w:t>
            </w:r>
            <w:r>
              <w:rPr>
                <w:rFonts w:ascii="Times New Roman" w:hAnsi="Times New Roman"/>
                <w:sz w:val="24"/>
                <w:szCs w:val="24"/>
              </w:rPr>
              <w:t>《地表水环境质量标准》</w:t>
            </w:r>
            <w:r>
              <w:rPr>
                <w:rFonts w:hint="eastAsia" w:ascii="Times New Roman" w:hAnsi="Times New Roman"/>
                <w:sz w:val="24"/>
                <w:szCs w:val="24"/>
              </w:rPr>
              <w:t>（</w:t>
            </w:r>
            <w:r>
              <w:rPr>
                <w:rFonts w:ascii="Times New Roman" w:hAnsi="Times New Roman"/>
                <w:sz w:val="24"/>
                <w:szCs w:val="24"/>
              </w:rPr>
              <w:t>GB 38378-2002</w:t>
            </w:r>
            <w:r>
              <w:rPr>
                <w:rFonts w:hint="eastAsia" w:ascii="Times New Roman" w:hAnsi="Times New Roman"/>
                <w:sz w:val="24"/>
                <w:szCs w:val="24"/>
              </w:rPr>
              <w:t>）</w:t>
            </w:r>
            <w:r>
              <w:rPr>
                <w:rFonts w:ascii="Times New Roman" w:hAnsi="宋体"/>
                <w:sz w:val="24"/>
              </w:rPr>
              <w:t>，</w:t>
            </w:r>
            <w:r>
              <w:rPr>
                <w:rFonts w:hint="eastAsia" w:ascii="Times New Roman" w:hAnsi="宋体"/>
                <w:sz w:val="24"/>
              </w:rPr>
              <w:t>项目区地表水满足</w:t>
            </w:r>
            <w:r>
              <w:rPr>
                <w:rFonts w:ascii="Times New Roman" w:hAnsi="Times New Roman"/>
                <w:sz w:val="24"/>
                <w:szCs w:val="24"/>
              </w:rPr>
              <w:t>Ⅲ</w:t>
            </w:r>
            <w:r>
              <w:rPr>
                <w:rFonts w:hint="eastAsia" w:ascii="Times New Roman" w:hAnsi="Times New Roman"/>
                <w:sz w:val="24"/>
                <w:szCs w:val="24"/>
              </w:rPr>
              <w:t>类水标准要求；</w:t>
            </w:r>
            <w:r>
              <w:rPr>
                <w:rFonts w:ascii="Times New Roman" w:hAnsi="宋体"/>
                <w:sz w:val="24"/>
                <w:szCs w:val="24"/>
              </w:rPr>
              <w:t>项目</w:t>
            </w:r>
            <w:r>
              <w:rPr>
                <w:rFonts w:hint="eastAsia" w:ascii="Times New Roman" w:hAnsi="宋体"/>
                <w:sz w:val="24"/>
                <w:szCs w:val="24"/>
              </w:rPr>
              <w:t>厂界</w:t>
            </w:r>
            <w:r>
              <w:rPr>
                <w:rFonts w:ascii="Times New Roman" w:hAnsi="宋体"/>
                <w:sz w:val="24"/>
                <w:szCs w:val="24"/>
              </w:rPr>
              <w:t>声环境质量达到《声环境质量标准》</w:t>
            </w:r>
            <w:r>
              <w:rPr>
                <w:rFonts w:hint="eastAsia" w:ascii="Times New Roman" w:hAnsi="宋体"/>
                <w:sz w:val="24"/>
                <w:szCs w:val="24"/>
              </w:rPr>
              <w:t>（</w:t>
            </w:r>
            <w:r>
              <w:rPr>
                <w:rFonts w:ascii="Times New Roman" w:hAnsi="Times New Roman"/>
                <w:sz w:val="24"/>
                <w:szCs w:val="24"/>
              </w:rPr>
              <w:t>GB3096-2008</w:t>
            </w:r>
            <w:r>
              <w:rPr>
                <w:rFonts w:hint="eastAsia" w:ascii="Times New Roman" w:hAnsi="宋体"/>
                <w:sz w:val="24"/>
                <w:szCs w:val="24"/>
              </w:rPr>
              <w:t>）</w:t>
            </w:r>
            <w:r>
              <w:rPr>
                <w:rFonts w:ascii="Times New Roman" w:hAnsi="宋体"/>
                <w:sz w:val="24"/>
                <w:szCs w:val="24"/>
              </w:rPr>
              <w:t>昼夜间的</w:t>
            </w:r>
            <w:r>
              <w:rPr>
                <w:rFonts w:hint="eastAsia" w:ascii="Times New Roman" w:hAnsi="Times New Roman"/>
                <w:sz w:val="24"/>
                <w:szCs w:val="24"/>
              </w:rPr>
              <w:t>2</w:t>
            </w:r>
            <w:r>
              <w:rPr>
                <w:rFonts w:ascii="Times New Roman" w:hAnsi="宋体"/>
                <w:sz w:val="24"/>
                <w:szCs w:val="24"/>
              </w:rPr>
              <w:t>类</w:t>
            </w:r>
            <w:r>
              <w:rPr>
                <w:rFonts w:hint="eastAsia" w:ascii="Times New Roman" w:hAnsi="宋体"/>
                <w:sz w:val="24"/>
                <w:szCs w:val="24"/>
              </w:rPr>
              <w:t>区</w:t>
            </w:r>
            <w:r>
              <w:rPr>
                <w:rFonts w:ascii="Times New Roman" w:hAnsi="宋体"/>
                <w:sz w:val="24"/>
                <w:szCs w:val="24"/>
              </w:rPr>
              <w:t>标准</w:t>
            </w:r>
            <w:r>
              <w:rPr>
                <w:rFonts w:ascii="Times New Roman" w:hAnsi="宋体"/>
                <w:sz w:val="24"/>
              </w:rPr>
              <w:t>。因此，</w:t>
            </w:r>
            <w:r>
              <w:rPr>
                <w:rFonts w:hint="eastAsia" w:ascii="Times New Roman" w:hAnsi="宋体"/>
                <w:sz w:val="24"/>
              </w:rPr>
              <w:t>本</w:t>
            </w:r>
            <w:r>
              <w:rPr>
                <w:rFonts w:ascii="Times New Roman" w:hAnsi="宋体"/>
                <w:sz w:val="24"/>
              </w:rPr>
              <w:t>项目与环境容量相符。</w:t>
            </w:r>
          </w:p>
          <w:p>
            <w:pPr>
              <w:overflowPunct w:val="0"/>
              <w:spacing w:line="360" w:lineRule="auto"/>
              <w:ind w:firstLine="480" w:firstLineChars="200"/>
              <w:rPr>
                <w:rFonts w:ascii="Times New Roman" w:hAnsi="宋体"/>
                <w:sz w:val="24"/>
              </w:rPr>
            </w:pPr>
            <w:r>
              <w:rPr>
                <w:rFonts w:hint="eastAsia" w:ascii="Times New Roman" w:hAnsi="宋体"/>
                <w:sz w:val="24"/>
              </w:rPr>
              <w:t>（</w:t>
            </w:r>
            <w:r>
              <w:rPr>
                <w:rFonts w:ascii="Times New Roman" w:hAnsi="Times New Roman"/>
                <w:sz w:val="24"/>
              </w:rPr>
              <w:t>4</w:t>
            </w:r>
            <w:r>
              <w:rPr>
                <w:rFonts w:hint="eastAsia" w:ascii="Times New Roman" w:hAnsi="宋体"/>
                <w:sz w:val="24"/>
              </w:rPr>
              <w:t>）</w:t>
            </w:r>
            <w:r>
              <w:rPr>
                <w:rFonts w:ascii="Times New Roman" w:hAnsi="Times New Roman"/>
                <w:kern w:val="0"/>
                <w:sz w:val="24"/>
                <w:szCs w:val="24"/>
              </w:rPr>
              <w:t>达标排放</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本项目产生的废气、废水、噪声</w:t>
            </w:r>
            <w:r>
              <w:rPr>
                <w:rFonts w:hint="eastAsia" w:ascii="Times New Roman" w:hAnsi="Times New Roman"/>
                <w:kern w:val="0"/>
                <w:sz w:val="24"/>
                <w:szCs w:val="24"/>
              </w:rPr>
              <w:t>经处理后能实现达标排放，</w:t>
            </w:r>
            <w:r>
              <w:rPr>
                <w:rFonts w:ascii="Times New Roman" w:hAnsi="Times New Roman"/>
                <w:kern w:val="0"/>
                <w:sz w:val="24"/>
                <w:szCs w:val="24"/>
              </w:rPr>
              <w:t>固废</w:t>
            </w:r>
            <w:r>
              <w:rPr>
                <w:rFonts w:hint="eastAsia" w:ascii="Times New Roman" w:hAnsi="Times New Roman"/>
                <w:kern w:val="0"/>
                <w:sz w:val="24"/>
                <w:szCs w:val="24"/>
              </w:rPr>
              <w:t>经处理后实行安全处置</w:t>
            </w:r>
            <w:r>
              <w:rPr>
                <w:rFonts w:ascii="Times New Roman" w:hAnsi="Times New Roman"/>
                <w:kern w:val="0"/>
                <w:sz w:val="24"/>
                <w:szCs w:val="24"/>
              </w:rPr>
              <w:t>，对周围环境产生的影响较小。</w:t>
            </w:r>
          </w:p>
          <w:p>
            <w:pPr>
              <w:overflowPunct w:val="0"/>
              <w:spacing w:line="360" w:lineRule="auto"/>
              <w:ind w:firstLine="480" w:firstLineChars="200"/>
              <w:rPr>
                <w:rFonts w:ascii="Times New Roman" w:hAnsi="Times New Roman"/>
                <w:sz w:val="24"/>
              </w:rPr>
            </w:pPr>
            <w:r>
              <w:rPr>
                <w:rFonts w:ascii="Times New Roman" w:hAnsi="宋体"/>
                <w:sz w:val="24"/>
              </w:rPr>
              <w:t>综上所述，</w:t>
            </w:r>
            <w:r>
              <w:rPr>
                <w:rFonts w:hint="eastAsia" w:ascii="Times New Roman" w:hAnsi="宋体"/>
                <w:sz w:val="24"/>
              </w:rPr>
              <w:t>项目</w:t>
            </w:r>
            <w:r>
              <w:rPr>
                <w:rFonts w:ascii="Times New Roman" w:hAnsi="宋体"/>
                <w:sz w:val="24"/>
              </w:rPr>
              <w:t>选址合理。</w:t>
            </w:r>
          </w:p>
          <w:p>
            <w:pPr>
              <w:overflowPunct w:val="0"/>
              <w:spacing w:line="360" w:lineRule="auto"/>
              <w:rPr>
                <w:rFonts w:ascii="Times New Roman" w:hAnsi="Times New Roman"/>
                <w:b/>
                <w:spacing w:val="8"/>
                <w:sz w:val="28"/>
                <w:szCs w:val="28"/>
              </w:rPr>
            </w:pPr>
            <w:r>
              <w:rPr>
                <w:rFonts w:ascii="Times New Roman" w:hAnsi="Times New Roman"/>
                <w:b/>
                <w:spacing w:val="8"/>
                <w:sz w:val="28"/>
                <w:szCs w:val="28"/>
              </w:rPr>
              <w:t>（</w:t>
            </w:r>
            <w:r>
              <w:rPr>
                <w:rFonts w:hint="eastAsia" w:ascii="Times New Roman" w:hAnsi="Times New Roman"/>
                <w:b/>
                <w:sz w:val="28"/>
                <w:szCs w:val="28"/>
              </w:rPr>
              <w:t>三</w:t>
            </w:r>
            <w:r>
              <w:rPr>
                <w:rFonts w:ascii="Times New Roman" w:hAnsi="Times New Roman"/>
                <w:b/>
                <w:sz w:val="28"/>
                <w:szCs w:val="28"/>
              </w:rPr>
              <w:t>）</w:t>
            </w:r>
            <w:r>
              <w:rPr>
                <w:rFonts w:ascii="Times New Roman" w:hAnsi="Times New Roman"/>
                <w:b/>
                <w:spacing w:val="8"/>
                <w:sz w:val="28"/>
                <w:szCs w:val="28"/>
              </w:rPr>
              <w:t>平面布局合理性分析</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根据现场调查，碎石生产线分为生产加工区、成品堆放区</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主体厂房靠中部建设，成品堆放区则</w:t>
            </w:r>
            <w:r>
              <w:rPr>
                <w:rFonts w:hint="eastAsia" w:ascii="Times New Roman" w:hAnsi="Times New Roman"/>
                <w:color w:val="000000" w:themeColor="text1"/>
                <w:sz w:val="24"/>
                <w:szCs w:val="24"/>
                <w14:textFill>
                  <w14:solidFill>
                    <w14:schemeClr w14:val="tx1"/>
                  </w14:solidFill>
                </w14:textFill>
              </w:rPr>
              <w:t>靠近厂房西南侧</w:t>
            </w:r>
            <w:r>
              <w:rPr>
                <w:rFonts w:ascii="Times New Roman" w:hAnsi="Times New Roman"/>
                <w:color w:val="000000" w:themeColor="text1"/>
                <w:sz w:val="24"/>
                <w:szCs w:val="24"/>
                <w14:textFill>
                  <w14:solidFill>
                    <w14:schemeClr w14:val="tx1"/>
                  </w14:solidFill>
                </w14:textFill>
              </w:rPr>
              <w:t>，既方便厂内成品堆放，也便于出厂物资装载、运输；项目主体厂房设置与周边环境保护目标具有一定的距离，在整体布局上既能满足生产需求，也能优化布局，降低污染物对环境敏感点的影响。</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页岩砖生产线由</w:t>
            </w:r>
            <w:r>
              <w:rPr>
                <w:rFonts w:hint="eastAsia" w:ascii="Times New Roman" w:hAnsi="Times New Roman"/>
                <w:color w:val="000000" w:themeColor="text1"/>
                <w:sz w:val="24"/>
                <w:szCs w:val="24"/>
                <w14:textFill>
                  <w14:solidFill>
                    <w14:schemeClr w14:val="tx1"/>
                  </w14:solidFill>
                </w14:textFill>
              </w:rPr>
              <w:t>西向东</w:t>
            </w:r>
            <w:r>
              <w:rPr>
                <w:rFonts w:ascii="Times New Roman" w:hAnsi="Times New Roman"/>
                <w:color w:val="000000" w:themeColor="text1"/>
                <w:sz w:val="24"/>
                <w:szCs w:val="24"/>
                <w14:textFill>
                  <w14:solidFill>
                    <w14:schemeClr w14:val="tx1"/>
                  </w14:solidFill>
                </w14:textFill>
              </w:rPr>
              <w:t>分别为生活区、隧道窑和页岩砖加工区、破碎混料区、</w:t>
            </w:r>
            <w:r>
              <w:rPr>
                <w:rFonts w:hint="eastAsia" w:ascii="Times New Roman" w:hAnsi="Times New Roman"/>
                <w:color w:val="000000" w:themeColor="text1"/>
                <w:sz w:val="24"/>
                <w:szCs w:val="24"/>
                <w14:textFill>
                  <w14:solidFill>
                    <w14:schemeClr w14:val="tx1"/>
                  </w14:solidFill>
                </w14:textFill>
              </w:rPr>
              <w:t>成品</w:t>
            </w:r>
            <w:r>
              <w:rPr>
                <w:rFonts w:ascii="Times New Roman" w:hAnsi="Times New Roman"/>
                <w:color w:val="000000" w:themeColor="text1"/>
                <w:sz w:val="24"/>
                <w:szCs w:val="24"/>
                <w14:textFill>
                  <w14:solidFill>
                    <w14:schemeClr w14:val="tx1"/>
                  </w14:solidFill>
                </w14:textFill>
              </w:rPr>
              <w:t>堆存区三大功能区。项目所需石材来源于项目西南侧的采石场，采石场开采后直接运往场区西南侧的原料堆放区，经破碎混料后由皮带运至隧道窑进行烧制。项目各建筑物之间的布局与工艺流程衔接合理，能满足生产工艺和卫生质量要求，各个环节衔接紧凑，便于运输和管理。</w:t>
            </w:r>
          </w:p>
          <w:p>
            <w:pPr>
              <w:spacing w:line="360" w:lineRule="auto"/>
              <w:ind w:firstLine="480" w:firstLineChars="200"/>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从环境保护的角度分析，该项目平面布置是基本合理的。</w:t>
            </w:r>
          </w:p>
          <w:p>
            <w:pPr>
              <w:spacing w:line="360" w:lineRule="auto"/>
              <w:rPr>
                <w:rFonts w:ascii="Times New Roman" w:hAnsi="Times New Roman"/>
                <w:b/>
                <w:sz w:val="28"/>
                <w:szCs w:val="28"/>
              </w:rPr>
            </w:pPr>
            <w:r>
              <w:rPr>
                <w:rFonts w:hint="eastAsia" w:ascii="Times New Roman" w:hAnsi="Times New Roman"/>
                <w:b/>
                <w:sz w:val="28"/>
                <w:szCs w:val="28"/>
              </w:rPr>
              <w:t>（四）三线一单符合性分析</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）生态红线</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本项目位于</w:t>
            </w:r>
            <w:r>
              <w:rPr>
                <w:rFonts w:ascii="Times New Roman" w:hAnsi="Times New Roman"/>
                <w:color w:val="000000" w:themeColor="text1"/>
                <w:sz w:val="24"/>
                <w:szCs w:val="24"/>
                <w14:textFill>
                  <w14:solidFill>
                    <w14:schemeClr w14:val="tx1"/>
                  </w14:solidFill>
                </w14:textFill>
              </w:rPr>
              <w:t>桃江县鸬鹚渡镇百亩村</w:t>
            </w:r>
            <w:r>
              <w:rPr>
                <w:rFonts w:hint="eastAsia" w:ascii="Times New Roman" w:hAnsi="Times New Roman"/>
                <w:sz w:val="24"/>
                <w:szCs w:val="24"/>
              </w:rPr>
              <w:t>，根据桃江县生态保护红线划定情况汇总，同时结合桃江县生态保护红线分布区示意图（见附图），本项目不属生态保护红线划定范围内，符合生态保护红线保护范围要求。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）环境质量底线</w:t>
            </w:r>
          </w:p>
          <w:p>
            <w:pPr>
              <w:spacing w:line="360" w:lineRule="auto"/>
              <w:ind w:firstLine="480" w:firstLineChars="200"/>
              <w:rPr>
                <w:rFonts w:ascii="Times New Roman" w:hAnsi="Times New Roman"/>
                <w:sz w:val="24"/>
                <w:szCs w:val="24"/>
              </w:rPr>
            </w:pPr>
            <w:r>
              <w:rPr>
                <w:rFonts w:ascii="Times New Roman" w:hAnsi="Times New Roman"/>
                <w:sz w:val="24"/>
                <w:szCs w:val="24"/>
              </w:rPr>
              <w:t>项目区域环境空气质量属于《环境空气质量标准》（GB3095-2012）中二类功能区、地表水环境质量属于《地表水环境质量标准》（GB3838-2002）中Ⅲ类功能区、声环境质量属于《声环境质量标准》（GB3096-2008）中2类功能区。</w:t>
            </w:r>
          </w:p>
          <w:p>
            <w:pPr>
              <w:spacing w:line="360" w:lineRule="auto"/>
              <w:ind w:firstLine="480" w:firstLineChars="200"/>
              <w:rPr>
                <w:rFonts w:ascii="Times New Roman" w:hAnsi="Times New Roman"/>
                <w:sz w:val="24"/>
                <w:szCs w:val="24"/>
              </w:rPr>
            </w:pPr>
            <w:r>
              <w:rPr>
                <w:rFonts w:ascii="Times New Roman" w:hAnsi="Times New Roman"/>
                <w:sz w:val="24"/>
                <w:szCs w:val="24"/>
              </w:rPr>
              <w:t>项目所在区域的环境空气中，SO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年均浓度、CO24小时平均第95百分位数浓度、O</w:t>
            </w:r>
            <w:r>
              <w:rPr>
                <w:rFonts w:ascii="Times New Roman" w:hAnsi="Times New Roman"/>
                <w:sz w:val="24"/>
                <w:szCs w:val="24"/>
                <w:vertAlign w:val="subscript"/>
              </w:rPr>
              <w:t>3</w:t>
            </w:r>
            <w:r>
              <w:rPr>
                <w:rFonts w:ascii="Times New Roman" w:hAnsi="Times New Roman"/>
                <w:sz w:val="24"/>
                <w:szCs w:val="24"/>
              </w:rPr>
              <w:t>8小时平均第90百分位数浓度能满足《环境空气质量标准》</w:t>
            </w:r>
            <w:r>
              <w:rPr>
                <w:rFonts w:hint="eastAsia" w:ascii="Times New Roman" w:hAnsi="Times New Roman"/>
                <w:sz w:val="24"/>
                <w:szCs w:val="24"/>
              </w:rPr>
              <w:t>（</w:t>
            </w:r>
            <w:r>
              <w:rPr>
                <w:rFonts w:ascii="Times New Roman" w:hAnsi="Times New Roman"/>
                <w:sz w:val="24"/>
                <w:szCs w:val="24"/>
              </w:rPr>
              <w:t>GB3095-2012）中的二级标准限值；PM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年均浓度不能满足二级标准限值。项目所在区域为环境空气质量不达标区。根据项目区域大气环境环境质量统计结果可知，2018年本项目所在区域环境空气中细颗粒物（PM</w:t>
            </w:r>
            <w:r>
              <w:rPr>
                <w:rFonts w:ascii="Times New Roman" w:hAnsi="Times New Roman"/>
                <w:sz w:val="24"/>
                <w:szCs w:val="24"/>
                <w:vertAlign w:val="subscript"/>
              </w:rPr>
              <w:t>2.5</w:t>
            </w:r>
            <w:r>
              <w:rPr>
                <w:rFonts w:ascii="Times New Roman" w:hAnsi="Times New Roman"/>
                <w:sz w:val="24"/>
                <w:szCs w:val="24"/>
              </w:rPr>
              <w:t>）和可吸入颗粒物（PM</w:t>
            </w:r>
            <w:r>
              <w:rPr>
                <w:rFonts w:ascii="Times New Roman" w:hAnsi="Times New Roman"/>
                <w:sz w:val="24"/>
                <w:szCs w:val="24"/>
                <w:vertAlign w:val="subscript"/>
              </w:rPr>
              <w:t>2.5</w:t>
            </w:r>
            <w:r>
              <w:rPr>
                <w:rFonts w:ascii="Times New Roman" w:hAnsi="Times New Roman"/>
                <w:sz w:val="24"/>
                <w:szCs w:val="24"/>
              </w:rPr>
              <w:t>）年平均浓度超过了《环境空气质量标准》（GB3095-2012）中的二级标准限值（35μg/m</w:t>
            </w:r>
            <w:r>
              <w:rPr>
                <w:rFonts w:ascii="Times New Roman" w:hAnsi="Times New Roman"/>
                <w:sz w:val="24"/>
                <w:szCs w:val="24"/>
                <w:vertAlign w:val="superscript"/>
              </w:rPr>
              <w:t>3</w:t>
            </w:r>
            <w:r>
              <w:rPr>
                <w:rFonts w:ascii="Times New Roman" w:hAnsi="Times New Roman"/>
                <w:sz w:val="24"/>
                <w:szCs w:val="24"/>
              </w:rPr>
              <w:t>）。目前益阳市已出台了《益阳市创建环境空气质量达标城市工作方案》（益办〔2018〕41号），努力促进益阳市区及桃江县等区域实现空气质量达标，根据该方案，力争在2020年实现桃江县环境空气达标</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根据本评价环境影响分析章节内容，本项目在正常工况、各项环保措施正常运行时，本项目对各环境要素的影响较小，不会改变各环境要素的环境质量现状级别/类别可见本项目符合环境质量底线相关要求。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）资源利用上线</w:t>
            </w:r>
          </w:p>
          <w:p>
            <w:pPr>
              <w:spacing w:line="360" w:lineRule="auto"/>
              <w:ind w:firstLine="480" w:firstLineChars="200"/>
              <w:rPr>
                <w:rFonts w:ascii="Times New Roman" w:hAnsi="Times New Roman"/>
                <w:sz w:val="24"/>
                <w:szCs w:val="24"/>
              </w:rPr>
            </w:pPr>
            <w:r>
              <w:rPr>
                <w:rFonts w:ascii="Times New Roman" w:hAnsi="Times New Roman"/>
                <w:sz w:val="24"/>
                <w:szCs w:val="24"/>
              </w:rPr>
              <w:t>本项目选址位于</w:t>
            </w:r>
            <w:r>
              <w:rPr>
                <w:rFonts w:hint="eastAsia" w:ascii="Times New Roman" w:hAnsi="Times New Roman"/>
                <w:sz w:val="24"/>
                <w:szCs w:val="24"/>
              </w:rPr>
              <w:t>桃江县鸬鹚渡镇百亩村</w:t>
            </w:r>
            <w:r>
              <w:rPr>
                <w:rFonts w:ascii="Times New Roman" w:hAnsi="Times New Roman"/>
                <w:sz w:val="24"/>
                <w:szCs w:val="24"/>
              </w:rPr>
              <w:t>。本项目在建设及运营过程中，不会造成项目区域资源的大量消耗，突破区域的资源利用上线。</w:t>
            </w:r>
          </w:p>
          <w:p>
            <w:pPr>
              <w:spacing w:line="360" w:lineRule="auto"/>
              <w:ind w:firstLine="480" w:firstLineChars="200"/>
              <w:rPr>
                <w:rFonts w:ascii="Times New Roman" w:hAnsi="Times New Roman"/>
                <w:sz w:val="24"/>
                <w:szCs w:val="24"/>
              </w:rPr>
            </w:pPr>
            <w:r>
              <w:rPr>
                <w:rFonts w:ascii="Times New Roman" w:hAnsi="Times New Roman"/>
                <w:sz w:val="24"/>
                <w:szCs w:val="24"/>
              </w:rPr>
              <w:t>（4）环境负面准入清单</w:t>
            </w:r>
          </w:p>
          <w:p>
            <w:pPr>
              <w:spacing w:line="360" w:lineRule="auto"/>
              <w:ind w:firstLine="480" w:firstLineChars="200"/>
              <w:textAlignment w:val="baseline"/>
              <w:rPr>
                <w:rFonts w:ascii="Times New Roman" w:hAnsi="Times New Roman"/>
                <w:sz w:val="24"/>
              </w:rPr>
            </w:pPr>
            <w:r>
              <w:rPr>
                <w:rFonts w:ascii="Times New Roman" w:hAnsi="Times New Roman"/>
                <w:sz w:val="24"/>
              </w:rPr>
              <w:t>目前益阳市环境准入负面清单尚未正式发布，本环评仅从国家和地方相关产业政策的角度进行简要分析。查阅国家发展改革委和商务部发布的《市场准入负面清单（2018年版）》（发改经体[2018]1892号）和《桃江县重点生态功能区产业准入负面清单（试行）》，本项目不属于其中的限制类和禁止类项目。本项目的建设符合相关产业政策的要求。综上所述，本项目不在环境准入负面清单内。</w:t>
            </w:r>
          </w:p>
          <w:p>
            <w:pPr>
              <w:spacing w:line="360" w:lineRule="auto"/>
              <w:ind w:firstLine="480" w:firstLineChars="200"/>
              <w:textAlignment w:val="baseline"/>
              <w:rPr>
                <w:rFonts w:ascii="Times New Roman" w:hAnsi="Times New Roman"/>
                <w:kern w:val="0"/>
                <w:sz w:val="24"/>
              </w:rPr>
            </w:pPr>
            <w:r>
              <w:rPr>
                <w:rFonts w:ascii="Times New Roman" w:hAnsi="Times New Roman"/>
                <w:kern w:val="0"/>
                <w:sz w:val="24"/>
              </w:rPr>
              <w:t>（5）总量控制</w:t>
            </w:r>
          </w:p>
          <w:p>
            <w:pPr>
              <w:spacing w:line="360" w:lineRule="auto"/>
              <w:ind w:firstLine="480" w:firstLineChars="200"/>
              <w:textAlignment w:val="baseline"/>
              <w:rPr>
                <w:rFonts w:ascii="Times New Roman" w:hAnsi="Times New Roman"/>
                <w:sz w:val="24"/>
                <w:szCs w:val="24"/>
              </w:rPr>
            </w:pPr>
            <w:r>
              <w:rPr>
                <w:rFonts w:ascii="Times New Roman" w:hAnsi="Times New Roman"/>
                <w:sz w:val="24"/>
                <w:szCs w:val="24"/>
              </w:rPr>
              <w:t>根据2014年环保部《建设项目主要污染物排放总量指标审核及管理暂行办法》确定实施污染物排放总量控制的要求，为了全面完成环保的各项指标，按国家</w:t>
            </w:r>
            <w:r>
              <w:rPr>
                <w:rFonts w:hint="eastAsia" w:ascii="Times New Roman" w:hAnsi="Times New Roman"/>
                <w:sz w:val="24"/>
                <w:szCs w:val="24"/>
              </w:rPr>
              <w:t>“</w:t>
            </w:r>
            <w:r>
              <w:rPr>
                <w:rFonts w:ascii="Times New Roman" w:hAnsi="Times New Roman"/>
                <w:sz w:val="24"/>
                <w:szCs w:val="24"/>
              </w:rPr>
              <w:t>十三五</w:t>
            </w:r>
            <w:r>
              <w:rPr>
                <w:rFonts w:hint="eastAsia" w:ascii="Times New Roman" w:hAnsi="Times New Roman"/>
                <w:sz w:val="24"/>
                <w:szCs w:val="24"/>
              </w:rPr>
              <w:t>”</w:t>
            </w:r>
            <w:r>
              <w:rPr>
                <w:rFonts w:ascii="Times New Roman" w:hAnsi="Times New Roman"/>
                <w:sz w:val="24"/>
                <w:szCs w:val="24"/>
              </w:rPr>
              <w:t>期间总量控制指标并根据本项目实际情况，对本项目产生的大气污染物、水污染物、固废提出总量控制建议指标，供环境主管部门参考。本评价确定建设项目污染物排放总量控制因子为二氧化硫、氮氧化物。建议总量控制指标为</w:t>
            </w:r>
            <w:r>
              <w:rPr>
                <w:rFonts w:hint="eastAsia" w:ascii="Times New Roman" w:hAnsi="Times New Roman"/>
                <w:sz w:val="24"/>
                <w:szCs w:val="24"/>
              </w:rPr>
              <w:t>SO</w:t>
            </w:r>
            <w:r>
              <w:rPr>
                <w:rFonts w:ascii="Times New Roman" w:hAnsi="Times New Roman"/>
                <w:sz w:val="24"/>
                <w:szCs w:val="24"/>
                <w:vertAlign w:val="subscript"/>
              </w:rPr>
              <w:t>2</w:t>
            </w:r>
            <w:r>
              <w:rPr>
                <w:rFonts w:hint="eastAsia" w:ascii="Times New Roman" w:hAnsi="Times New Roman"/>
                <w:sz w:val="24"/>
                <w:szCs w:val="24"/>
              </w:rPr>
              <w:t>：</w:t>
            </w:r>
            <w:r>
              <w:rPr>
                <w:rFonts w:ascii="Times New Roman" w:hAnsi="Times New Roman"/>
                <w:sz w:val="24"/>
                <w:szCs w:val="24"/>
              </w:rPr>
              <w:t>14.45t/a，</w:t>
            </w:r>
            <w:r>
              <w:rPr>
                <w:rFonts w:hint="eastAsia" w:ascii="Times New Roman" w:hAnsi="Times New Roman"/>
                <w:sz w:val="24"/>
                <w:szCs w:val="24"/>
              </w:rPr>
              <w:t>NO</w:t>
            </w:r>
            <w:r>
              <w:rPr>
                <w:rFonts w:hint="eastAsia" w:ascii="Times New Roman" w:hAnsi="Times New Roman"/>
                <w:sz w:val="24"/>
                <w:szCs w:val="24"/>
                <w:vertAlign w:val="subscript"/>
              </w:rPr>
              <w:t>X</w:t>
            </w:r>
            <w:r>
              <w:rPr>
                <w:rFonts w:hint="eastAsia" w:ascii="Times New Roman" w:hAnsi="Times New Roman"/>
                <w:sz w:val="24"/>
                <w:szCs w:val="24"/>
              </w:rPr>
              <w:t>：</w:t>
            </w:r>
            <w:r>
              <w:rPr>
                <w:rFonts w:ascii="Times New Roman" w:hAnsi="Times New Roman"/>
                <w:sz w:val="24"/>
                <w:szCs w:val="24"/>
              </w:rPr>
              <w:t>9.98</w:t>
            </w:r>
            <w:r>
              <w:rPr>
                <w:rFonts w:hint="eastAsia" w:ascii="Times New Roman" w:hAnsi="Times New Roman"/>
                <w:sz w:val="24"/>
                <w:szCs w:val="24"/>
              </w:rPr>
              <w:t>t</w:t>
            </w:r>
            <w:r>
              <w:rPr>
                <w:rFonts w:ascii="Times New Roman" w:hAnsi="Times New Roman"/>
                <w:sz w:val="24"/>
                <w:szCs w:val="24"/>
              </w:rPr>
              <w:t>/a。</w:t>
            </w:r>
            <w:r>
              <w:rPr>
                <w:rFonts w:hint="eastAsia" w:ascii="Times New Roman" w:hAnsi="Times New Roman"/>
                <w:sz w:val="24"/>
                <w:szCs w:val="24"/>
              </w:rPr>
              <w:t>本公司原拥有的总量指标为每年二氧化硫（SO</w:t>
            </w:r>
            <w:r>
              <w:rPr>
                <w:rFonts w:ascii="Times New Roman" w:hAnsi="Times New Roman"/>
                <w:sz w:val="24"/>
                <w:szCs w:val="24"/>
                <w:vertAlign w:val="subscript"/>
              </w:rPr>
              <w:t>2</w:t>
            </w:r>
            <w:r>
              <w:rPr>
                <w:rFonts w:hint="eastAsia" w:ascii="Times New Roman" w:hAnsi="Times New Roman"/>
                <w:sz w:val="24"/>
                <w:szCs w:val="24"/>
              </w:rPr>
              <w:t>）31吨、氮氧化物（NO</w:t>
            </w:r>
            <w:r>
              <w:rPr>
                <w:rFonts w:hint="eastAsia" w:ascii="Times New Roman" w:hAnsi="Times New Roman"/>
                <w:sz w:val="24"/>
                <w:szCs w:val="24"/>
                <w:vertAlign w:val="subscript"/>
              </w:rPr>
              <w:t>X</w:t>
            </w:r>
            <w:r>
              <w:rPr>
                <w:rFonts w:hint="eastAsia" w:ascii="Times New Roman" w:hAnsi="Times New Roman"/>
                <w:sz w:val="24"/>
                <w:szCs w:val="24"/>
              </w:rPr>
              <w:t>）24吨，由本公司重新向益阳市生态环境局桃江分局申请确认。</w:t>
            </w: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rFonts w:ascii="Times New Roman" w:hAnsi="Times New Roman"/>
                <w:sz w:val="24"/>
                <w:szCs w:val="24"/>
              </w:rPr>
            </w:pPr>
          </w:p>
          <w:p>
            <w:pPr>
              <w:spacing w:line="360" w:lineRule="auto"/>
              <w:ind w:firstLine="480" w:firstLineChars="200"/>
              <w:textAlignment w:val="baseline"/>
              <w:rPr>
                <w:color w:val="FF0000"/>
                <w:kern w:val="0"/>
                <w:sz w:val="24"/>
              </w:rPr>
            </w:pPr>
          </w:p>
        </w:tc>
      </w:tr>
    </w:tbl>
    <w:p>
      <w:pPr>
        <w:pStyle w:val="2"/>
        <w:keepNext w:val="0"/>
        <w:keepLines w:val="0"/>
        <w:kinsoku w:val="0"/>
        <w:overflowPunct w:val="0"/>
        <w:rPr>
          <w:rFonts w:ascii="Times New Roman" w:hAnsi="Times New Roman"/>
        </w:rPr>
        <w:sectPr>
          <w:pgSz w:w="11906" w:h="16838"/>
          <w:pgMar w:top="1418" w:right="1418" w:bottom="1418" w:left="1418" w:header="851" w:footer="992" w:gutter="0"/>
          <w:pgNumType w:chapStyle="1"/>
          <w:cols w:space="720" w:num="1"/>
          <w:docGrid w:linePitch="318" w:charSpace="190"/>
        </w:sectPr>
      </w:pPr>
      <w:bookmarkStart w:id="69" w:name="_Toc511833660"/>
      <w:bookmarkStart w:id="70" w:name="_Toc511833750"/>
      <w:bookmarkStart w:id="71" w:name="_Toc511833769"/>
    </w:p>
    <w:p>
      <w:pPr>
        <w:pStyle w:val="2"/>
        <w:kinsoku w:val="0"/>
        <w:overflowPunct w:val="0"/>
        <w:spacing w:line="240" w:lineRule="auto"/>
        <w:rPr>
          <w:rFonts w:ascii="Times New Roman" w:hAnsi="Times New Roman"/>
        </w:rPr>
      </w:pPr>
      <w:r>
        <w:rPr>
          <w:rFonts w:ascii="Times New Roman" w:hAnsi="Times New Roman"/>
        </w:rPr>
        <w:t>九、结论与建议</w:t>
      </w:r>
      <w:bookmarkEnd w:id="69"/>
      <w:bookmarkEnd w:id="70"/>
      <w:bookmarkEnd w:id="71"/>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9" w:hRule="atLeast"/>
          <w:jc w:val="center"/>
        </w:trPr>
        <w:tc>
          <w:tcPr>
            <w:tcW w:w="9072" w:type="dxa"/>
          </w:tcPr>
          <w:p>
            <w:pPr>
              <w:kinsoku w:val="0"/>
              <w:overflowPunct w:val="0"/>
              <w:spacing w:before="120" w:beforeLines="50" w:line="360" w:lineRule="auto"/>
              <w:rPr>
                <w:rFonts w:ascii="Times New Roman" w:hAnsi="Times New Roman"/>
                <w:b/>
                <w:spacing w:val="8"/>
                <w:sz w:val="28"/>
                <w:szCs w:val="28"/>
              </w:rPr>
            </w:pPr>
            <w:r>
              <w:rPr>
                <w:rFonts w:ascii="Times New Roman" w:hAnsi="Times New Roman"/>
                <w:b/>
                <w:spacing w:val="8"/>
                <w:sz w:val="28"/>
                <w:szCs w:val="28"/>
              </w:rPr>
              <w:t>（一）结论</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1 项目概况</w:t>
            </w:r>
          </w:p>
          <w:p>
            <w:pPr>
              <w:spacing w:line="360" w:lineRule="auto"/>
              <w:ind w:firstLine="480" w:firstLineChars="200"/>
              <w:rPr>
                <w:rFonts w:ascii="Times New Roman" w:hAnsi="Times New Roman"/>
                <w:sz w:val="24"/>
                <w:szCs w:val="24"/>
              </w:rPr>
            </w:pPr>
            <w:r>
              <w:rPr>
                <w:rFonts w:ascii="Times New Roman" w:hAnsi="Times New Roman"/>
                <w:sz w:val="24"/>
                <w:szCs w:val="24"/>
              </w:rPr>
              <w:t>桃江县鑫泰建材有限公司年产6000万块烧结页岩砖以及配套碎石生产线扩建项目</w:t>
            </w:r>
            <w:r>
              <w:rPr>
                <w:rFonts w:ascii="Times New Roman" w:hAnsi="宋体"/>
                <w:sz w:val="24"/>
                <w:szCs w:val="24"/>
              </w:rPr>
              <w:t>位于</w:t>
            </w:r>
            <w:r>
              <w:rPr>
                <w:rFonts w:hint="eastAsia" w:ascii="Times New Roman" w:hAnsi="Times New Roman"/>
                <w:sz w:val="24"/>
                <w:szCs w:val="24"/>
              </w:rPr>
              <w:t>益阳市</w:t>
            </w:r>
            <w:r>
              <w:rPr>
                <w:rFonts w:ascii="Times New Roman" w:hAnsi="Times New Roman"/>
                <w:sz w:val="24"/>
                <w:szCs w:val="24"/>
              </w:rPr>
              <w:t>桃江县鸬鹚渡镇百亩村</w:t>
            </w:r>
            <w:r>
              <w:rPr>
                <w:rFonts w:ascii="Times New Roman" w:hAnsi="宋体"/>
                <w:sz w:val="24"/>
                <w:szCs w:val="24"/>
              </w:rPr>
              <w:t>，</w:t>
            </w:r>
            <w:r>
              <w:rPr>
                <w:rFonts w:ascii="Times New Roman" w:hAnsi="Times New Roman"/>
                <w:sz w:val="24"/>
                <w:szCs w:val="24"/>
              </w:rPr>
              <w:t>占地20000</w:t>
            </w:r>
            <w:r>
              <w:rPr>
                <w:rFonts w:hint="eastAsia" w:ascii="Times New Roman" w:hAnsi="Times New Roman"/>
                <w:sz w:val="24"/>
                <w:szCs w:val="24"/>
              </w:rPr>
              <w:t>平方米，属于改扩建项目，主要淘汰二条轮窑生产线，改建一条隧道窑生产线（一烘一烧），将每年生产烧结页岩砖规模从3500万块扩到6000万块，并新增一条年产</w:t>
            </w:r>
            <w:r>
              <w:rPr>
                <w:rFonts w:ascii="Times New Roman" w:hAnsi="Times New Roman"/>
                <w:sz w:val="24"/>
                <w:szCs w:val="24"/>
              </w:rPr>
              <w:t>10</w:t>
            </w:r>
            <w:r>
              <w:rPr>
                <w:rFonts w:hint="eastAsia" w:ascii="Times New Roman" w:hAnsi="Times New Roman"/>
                <w:sz w:val="24"/>
                <w:szCs w:val="24"/>
              </w:rPr>
              <w:t>万吨碎石生产线以及其它公用辅助设施，利用原有的年开采规模6.6万吨矿石的矿山提供原料。公司拥有的采矿许可证有效期为2017年9月15日至2022年3月15日。</w:t>
            </w:r>
          </w:p>
          <w:p>
            <w:pPr>
              <w:kinsoku w:val="0"/>
              <w:overflowPunct w:val="0"/>
              <w:spacing w:line="360" w:lineRule="auto"/>
              <w:rPr>
                <w:rFonts w:ascii="Times New Roman" w:hAnsi="Times New Roman"/>
                <w:b/>
                <w:spacing w:val="8"/>
                <w:sz w:val="24"/>
                <w:szCs w:val="24"/>
              </w:rPr>
            </w:pPr>
            <w:r>
              <w:rPr>
                <w:rFonts w:ascii="Times New Roman" w:hAnsi="Times New Roman"/>
                <w:b/>
                <w:spacing w:val="8"/>
                <w:sz w:val="24"/>
                <w:szCs w:val="24"/>
              </w:rPr>
              <w:t>2 区域环境质量</w:t>
            </w:r>
          </w:p>
          <w:p>
            <w:pPr>
              <w:spacing w:line="360" w:lineRule="auto"/>
              <w:ind w:firstLine="480" w:firstLineChars="200"/>
              <w:rPr>
                <w:rFonts w:ascii="Times New Roman" w:hAnsi="Times New Roman"/>
                <w:bCs/>
                <w:sz w:val="24"/>
              </w:rPr>
            </w:pPr>
            <w:r>
              <w:rPr>
                <w:rFonts w:ascii="Times New Roman" w:hAnsi="Times New Roman"/>
                <w:bCs/>
                <w:sz w:val="24"/>
              </w:rPr>
              <w:t>（1）监测结果表明评价</w:t>
            </w:r>
            <w:r>
              <w:rPr>
                <w:rFonts w:hint="eastAsia" w:ascii="Times New Roman" w:hAnsi="Times New Roman"/>
                <w:bCs/>
                <w:sz w:val="24"/>
              </w:rPr>
              <w:t>，</w:t>
            </w:r>
            <w:r>
              <w:rPr>
                <w:rFonts w:hint="eastAsia" w:ascii="Times New Roman" w:hAnsi="Times New Roman"/>
                <w:sz w:val="24"/>
                <w:szCs w:val="24"/>
              </w:rPr>
              <w:t>环境空气质量各</w:t>
            </w:r>
            <w:r>
              <w:rPr>
                <w:rFonts w:hint="eastAsia" w:ascii="Times New Roman" w:hAnsi="宋体"/>
                <w:sz w:val="24"/>
              </w:rPr>
              <w:t>常规监测因子中</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年均浓度不能满足二级标准限值</w:t>
            </w:r>
            <w:r>
              <w:rPr>
                <w:rFonts w:hint="eastAsia" w:ascii="Times New Roman" w:hAnsi="Times New Roman"/>
                <w:sz w:val="24"/>
                <w:szCs w:val="24"/>
              </w:rPr>
              <w:t>，其它监测因子</w:t>
            </w:r>
            <w:r>
              <w:rPr>
                <w:rFonts w:hint="eastAsia" w:ascii="Times New Roman" w:hAnsi="宋体"/>
                <w:sz w:val="24"/>
              </w:rPr>
              <w:t>的</w:t>
            </w:r>
            <w:r>
              <w:rPr>
                <w:rFonts w:hint="eastAsia" w:ascii="Times New Roman" w:hAnsi="Times New Roman"/>
                <w:sz w:val="24"/>
                <w:szCs w:val="24"/>
              </w:rPr>
              <w:t>指标</w:t>
            </w:r>
            <w:r>
              <w:rPr>
                <w:rFonts w:ascii="Times New Roman" w:hAnsi="Times New Roman"/>
                <w:sz w:val="24"/>
                <w:szCs w:val="24"/>
              </w:rPr>
              <w:t>均</w:t>
            </w:r>
            <w:r>
              <w:rPr>
                <w:rFonts w:ascii="Times New Roman" w:hAnsi="Times New Roman"/>
                <w:bCs/>
                <w:sz w:val="24"/>
              </w:rPr>
              <w:t>满足《环境空气质量标准》</w:t>
            </w:r>
            <w:r>
              <w:rPr>
                <w:rFonts w:hint="eastAsia" w:ascii="Times New Roman" w:hAnsi="Times New Roman"/>
                <w:bCs/>
                <w:sz w:val="24"/>
              </w:rPr>
              <w:t>（</w:t>
            </w:r>
            <w:r>
              <w:rPr>
                <w:rFonts w:ascii="Times New Roman" w:hAnsi="Times New Roman"/>
                <w:bCs/>
                <w:sz w:val="24"/>
              </w:rPr>
              <w:t>GB3095-2012</w:t>
            </w:r>
            <w:r>
              <w:rPr>
                <w:rFonts w:hint="eastAsia" w:ascii="Times New Roman" w:hAnsi="Times New Roman"/>
                <w:bCs/>
                <w:sz w:val="24"/>
              </w:rPr>
              <w:t>）</w:t>
            </w:r>
            <w:r>
              <w:rPr>
                <w:rFonts w:ascii="Times New Roman" w:hAnsi="Times New Roman"/>
                <w:bCs/>
                <w:sz w:val="24"/>
              </w:rPr>
              <w:t>中的二级标准要求</w:t>
            </w:r>
            <w:r>
              <w:rPr>
                <w:rFonts w:hint="eastAsia" w:ascii="Times New Roman"/>
                <w:sz w:val="24"/>
              </w:rPr>
              <w:t>。</w:t>
            </w:r>
          </w:p>
          <w:p>
            <w:pPr>
              <w:spacing w:line="360" w:lineRule="auto"/>
              <w:ind w:firstLine="480" w:firstLineChars="200"/>
              <w:rPr>
                <w:rFonts w:ascii="Times New Roman" w:hAnsi="Times New Roman"/>
                <w:bCs/>
                <w:sz w:val="24"/>
              </w:rPr>
            </w:pPr>
            <w:r>
              <w:rPr>
                <w:rFonts w:ascii="Times New Roman" w:hAnsi="Times New Roman"/>
                <w:bCs/>
                <w:sz w:val="24"/>
              </w:rPr>
              <w:t>（2）</w:t>
            </w:r>
            <w:r>
              <w:rPr>
                <w:rFonts w:hint="eastAsia" w:ascii="Times New Roman" w:hAnsi="Times New Roman"/>
                <w:sz w:val="24"/>
                <w:szCs w:val="24"/>
              </w:rPr>
              <w:t>根据监测结果，</w:t>
            </w:r>
            <w:r>
              <w:rPr>
                <w:rFonts w:ascii="Times New Roman" w:hAnsi="Times New Roman"/>
                <w:sz w:val="24"/>
              </w:rPr>
              <w:t>本项目断面</w:t>
            </w:r>
            <w:r>
              <w:rPr>
                <w:rFonts w:hint="eastAsia" w:ascii="Times New Roman" w:hAnsi="Times New Roman"/>
                <w:sz w:val="24"/>
                <w:szCs w:val="24"/>
              </w:rPr>
              <w:t>各监测因子均符合《地表水环境质量标准》（GB</w:t>
            </w:r>
            <w:r>
              <w:rPr>
                <w:rFonts w:ascii="Times New Roman" w:hAnsi="Times New Roman"/>
                <w:sz w:val="24"/>
                <w:szCs w:val="24"/>
              </w:rPr>
              <w:t xml:space="preserve"> </w:t>
            </w:r>
            <w:r>
              <w:rPr>
                <w:rFonts w:hint="eastAsia" w:ascii="Times New Roman" w:hAnsi="Times New Roman"/>
                <w:sz w:val="24"/>
                <w:szCs w:val="24"/>
              </w:rPr>
              <w:t>3838-2002）</w:t>
            </w:r>
            <w:r>
              <w:rPr>
                <w:rFonts w:ascii="Times New Roman" w:hAnsi="Times New Roman"/>
                <w:sz w:val="24"/>
                <w:szCs w:val="24"/>
              </w:rPr>
              <w:t>Ⅲ</w:t>
            </w:r>
            <w:r>
              <w:rPr>
                <w:rFonts w:hint="eastAsia" w:ascii="Times New Roman" w:hAnsi="Times New Roman"/>
                <w:sz w:val="24"/>
                <w:szCs w:val="24"/>
              </w:rPr>
              <w:t>类标准要求。</w:t>
            </w:r>
          </w:p>
          <w:p>
            <w:pPr>
              <w:spacing w:line="360" w:lineRule="auto"/>
              <w:ind w:firstLine="480" w:firstLineChars="200"/>
              <w:rPr>
                <w:rFonts w:ascii="Times New Roman" w:hAnsi="Times New Roman"/>
                <w:sz w:val="24"/>
                <w:szCs w:val="24"/>
              </w:rPr>
            </w:pPr>
            <w:r>
              <w:rPr>
                <w:rFonts w:ascii="Times New Roman" w:hAnsi="Times New Roman"/>
                <w:bCs/>
                <w:sz w:val="24"/>
              </w:rPr>
              <w:t>（3）根据噪声监测结果，</w:t>
            </w:r>
            <w:r>
              <w:rPr>
                <w:rFonts w:ascii="Times New Roman" w:hAnsi="Times New Roman"/>
                <w:sz w:val="24"/>
                <w:szCs w:val="24"/>
              </w:rPr>
              <w:t>厂界</w:t>
            </w:r>
            <w:r>
              <w:rPr>
                <w:rFonts w:hint="eastAsia" w:ascii="Times New Roman" w:hAnsi="Times New Roman"/>
                <w:sz w:val="24"/>
                <w:szCs w:val="24"/>
              </w:rPr>
              <w:t>各</w:t>
            </w:r>
            <w:r>
              <w:rPr>
                <w:rFonts w:ascii="Times New Roman" w:hAnsi="Times New Roman"/>
                <w:sz w:val="24"/>
                <w:szCs w:val="24"/>
              </w:rPr>
              <w:t>监测点昼、夜间噪声级均可达到《声环境质量标准》</w:t>
            </w:r>
            <w:r>
              <w:rPr>
                <w:rFonts w:hint="eastAsia" w:ascii="Times New Roman" w:hAnsi="Times New Roman"/>
                <w:sz w:val="24"/>
                <w:szCs w:val="24"/>
              </w:rPr>
              <w:t>（</w:t>
            </w:r>
            <w:r>
              <w:rPr>
                <w:rFonts w:ascii="Times New Roman" w:hAnsi="Times New Roman"/>
                <w:sz w:val="24"/>
                <w:szCs w:val="24"/>
              </w:rPr>
              <w:t>GB 3096-2008</w:t>
            </w:r>
            <w:r>
              <w:rPr>
                <w:rFonts w:hint="eastAsia" w:ascii="Times New Roman" w:hAnsi="Times New Roman"/>
                <w:sz w:val="24"/>
                <w:szCs w:val="24"/>
              </w:rPr>
              <w:t>）</w:t>
            </w:r>
            <w:r>
              <w:rPr>
                <w:rFonts w:ascii="Times New Roman" w:hAnsi="Times New Roman"/>
                <w:sz w:val="24"/>
                <w:szCs w:val="24"/>
              </w:rPr>
              <w:t>中2类区标准</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hint="eastAsia" w:ascii="Times New Roman" w:hAnsi="Times New Roman"/>
                <w:bCs/>
                <w:sz w:val="24"/>
              </w:rPr>
              <w:t>综上所述</w:t>
            </w:r>
            <w:r>
              <w:rPr>
                <w:rFonts w:ascii="Times New Roman" w:hAnsi="Times New Roman"/>
                <w:bCs/>
                <w:sz w:val="24"/>
              </w:rPr>
              <w:t>，目前评价区域</w:t>
            </w:r>
            <w:r>
              <w:rPr>
                <w:rFonts w:hint="eastAsia" w:ascii="Times New Roman" w:hAnsi="Times New Roman"/>
                <w:bCs/>
                <w:sz w:val="24"/>
              </w:rPr>
              <w:t>大气、地表水、声</w:t>
            </w:r>
            <w:r>
              <w:rPr>
                <w:rFonts w:ascii="Times New Roman" w:hAnsi="Times New Roman"/>
                <w:bCs/>
                <w:sz w:val="24"/>
              </w:rPr>
              <w:t>环境质量现状较好，</w:t>
            </w:r>
            <w:r>
              <w:rPr>
                <w:rFonts w:hint="eastAsia" w:ascii="Times New Roman" w:hAnsi="Times New Roman"/>
                <w:bCs/>
                <w:sz w:val="24"/>
              </w:rPr>
              <w:t>项目所在地整体环境质量较好，有足够的环境容量</w:t>
            </w:r>
            <w:r>
              <w:rPr>
                <w:rFonts w:ascii="Times New Roman" w:hAnsi="Times New Roman"/>
                <w:bCs/>
                <w:sz w:val="24"/>
              </w:rPr>
              <w:t>。</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3 环境影响分析结论</w:t>
            </w:r>
          </w:p>
          <w:p>
            <w:pPr>
              <w:kinsoku w:val="0"/>
              <w:overflowPunct w:val="0"/>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大气环境影响</w:t>
            </w:r>
          </w:p>
          <w:p>
            <w:pPr>
              <w:spacing w:line="360" w:lineRule="auto"/>
              <w:ind w:firstLine="480" w:firstLineChars="200"/>
              <w:rPr>
                <w:rFonts w:ascii="Times New Roman" w:hAnsi="Times New Roman"/>
                <w:sz w:val="24"/>
                <w:szCs w:val="24"/>
              </w:rPr>
            </w:pPr>
            <w:r>
              <w:rPr>
                <w:rFonts w:hint="eastAsia" w:ascii="Times New Roman" w:hAnsi="Times New Roman"/>
                <w:bCs/>
                <w:snapToGrid w:val="0"/>
                <w:color w:val="000000" w:themeColor="text1"/>
                <w:kern w:val="0"/>
                <w:sz w:val="24"/>
                <w:szCs w:val="24"/>
                <w14:textFill>
                  <w14:solidFill>
                    <w14:schemeClr w14:val="tx1"/>
                  </w14:solidFill>
                </w14:textFill>
              </w:rPr>
              <w:t>采矿颗粒物采用喷洒水淋系统除尘；堆场为半封闭式，堆场颗粒物通过洒水降尘处理；采取硬化道路降低运输扬尘，定期对道路进行清扫及洒水抑尘处理；碎石工序采用湿法破碎，并在封闭的室内作业，破碎筛分粉尘经水雾喷淋装置降尘处理后，无组织排放；页岩砖生产工序的破碎搅拌粉尘经水雾喷淋装置降尘处理后，无组织排放放；窑炉废气经一套双碱湿法脱硫除尘系统处理后，通过一根65米高的烟囱有组织排放，以上废气排放浓度满足</w:t>
            </w:r>
            <w:r>
              <w:rPr>
                <w:rFonts w:hint="eastAsia" w:ascii="Times New Roman" w:hAnsi="Times New Roman"/>
                <w:sz w:val="24"/>
                <w:szCs w:val="24"/>
              </w:rPr>
              <w:t>窑炉废气</w:t>
            </w:r>
            <w:r>
              <w:rPr>
                <w:rFonts w:ascii="Times New Roman" w:hAnsi="Times New Roman"/>
                <w:sz w:val="24"/>
                <w:szCs w:val="24"/>
              </w:rPr>
              <w:t>执行《砖瓦工业大气污染物排放标准》（GB29620-2013）</w:t>
            </w:r>
            <w:r>
              <w:rPr>
                <w:rFonts w:hint="eastAsia" w:ascii="Times New Roman" w:hAnsi="Times New Roman"/>
                <w:sz w:val="24"/>
                <w:szCs w:val="24"/>
              </w:rPr>
              <w:t>表2中排放限值及表3中边界大气污染物浓度限值</w:t>
            </w:r>
            <w:r>
              <w:rPr>
                <w:rFonts w:ascii="Times New Roman" w:hAnsi="Times New Roman"/>
                <w:bCs/>
                <w:snapToGrid w:val="0"/>
                <w:color w:val="000000" w:themeColor="text1"/>
                <w:kern w:val="0"/>
                <w:sz w:val="24"/>
                <w:szCs w:val="24"/>
                <w14:textFill>
                  <w14:solidFill>
                    <w14:schemeClr w14:val="tx1"/>
                  </w14:solidFill>
                </w14:textFill>
              </w:rPr>
              <w:t>。</w:t>
            </w:r>
            <w:r>
              <w:rPr>
                <w:rFonts w:hint="eastAsia" w:ascii="Times New Roman" w:hAnsi="Times New Roman"/>
                <w:bCs/>
                <w:snapToGrid w:val="0"/>
                <w:color w:val="000000" w:themeColor="text1"/>
                <w:kern w:val="0"/>
                <w:sz w:val="24"/>
                <w:szCs w:val="24"/>
                <w14:textFill>
                  <w14:solidFill>
                    <w14:schemeClr w14:val="tx1"/>
                  </w14:solidFill>
                </w14:textFill>
              </w:rPr>
              <w:t>食堂油烟废气经油烟净化装置后</w:t>
            </w:r>
            <w:r>
              <w:rPr>
                <w:rFonts w:hint="eastAsia" w:ascii="Times New Roman" w:hAnsi="Times New Roman"/>
                <w:sz w:val="24"/>
                <w:szCs w:val="24"/>
              </w:rPr>
              <w:t>满足《饮食业油烟排放标准（试行）》（GB18483-2001）表2中的标准限值。</w:t>
            </w:r>
          </w:p>
          <w:p>
            <w:pPr>
              <w:kinsoku w:val="0"/>
              <w:overflowPunct w:val="0"/>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w:t>
            </w:r>
            <w:r>
              <w:rPr>
                <w:rFonts w:ascii="Times New Roman" w:hAnsi="宋体"/>
                <w:bCs/>
                <w:sz w:val="24"/>
              </w:rPr>
              <w:t>水环境影响</w:t>
            </w:r>
          </w:p>
          <w:p>
            <w:pPr>
              <w:overflowPunct w:val="0"/>
              <w:spacing w:line="360" w:lineRule="auto"/>
              <w:ind w:firstLine="480" w:firstLineChars="200"/>
              <w:rPr>
                <w:rFonts w:ascii="Times New Roman" w:hAnsi="Times New Roman"/>
                <w:sz w:val="24"/>
                <w:szCs w:val="24"/>
              </w:rPr>
            </w:pPr>
            <w:r>
              <w:rPr>
                <w:rFonts w:hint="eastAsia" w:ascii="Times New Roman" w:hAnsi="Times New Roman"/>
                <w:sz w:val="24"/>
                <w:szCs w:val="24"/>
              </w:rPr>
              <w:t>本项目各工序降尘用水，均通过地表渗透和蒸发损耗，无外排；初期雨水以及搅拌机清洗废水经沉淀池处理后，回用于搅拌用水、洒水降尘</w:t>
            </w:r>
            <w:r>
              <w:rPr>
                <w:rFonts w:hint="eastAsia" w:ascii="Times New Roman" w:hAnsi="Times New Roman"/>
                <w:bCs/>
                <w:snapToGrid w:val="0"/>
                <w:color w:val="000000" w:themeColor="text1"/>
                <w:kern w:val="0"/>
                <w:sz w:val="24"/>
                <w:szCs w:val="24"/>
                <w14:textFill>
                  <w14:solidFill>
                    <w14:schemeClr w14:val="tx1"/>
                  </w14:solidFill>
                </w14:textFill>
              </w:rPr>
              <w:t>；喷淋废水经沉淀处理后，循环使用不外排；脱硫废水加入石灰水沉淀后，循环使用不外排</w:t>
            </w:r>
            <w:r>
              <w:rPr>
                <w:rFonts w:hint="eastAsia" w:ascii="Times New Roman" w:hAnsi="Times New Roman"/>
                <w:sz w:val="24"/>
                <w:szCs w:val="24"/>
              </w:rPr>
              <w:t>；</w:t>
            </w:r>
            <w:r>
              <w:rPr>
                <w:rFonts w:ascii="Times New Roman" w:hAnsi="Times New Roman"/>
                <w:snapToGrid w:val="0"/>
                <w:color w:val="000000" w:themeColor="text1"/>
                <w:kern w:val="0"/>
                <w:sz w:val="24"/>
                <w:szCs w:val="24"/>
                <w14:textFill>
                  <w14:solidFill>
                    <w14:schemeClr w14:val="tx1"/>
                  </w14:solidFill>
                </w14:textFill>
              </w:rPr>
              <w:t>生活污水经</w:t>
            </w:r>
            <w:r>
              <w:rPr>
                <w:rFonts w:hint="eastAsia" w:ascii="Times New Roman" w:hAnsi="Times New Roman"/>
                <w:snapToGrid w:val="0"/>
                <w:color w:val="000000" w:themeColor="text1"/>
                <w:kern w:val="0"/>
                <w:sz w:val="24"/>
                <w:szCs w:val="24"/>
                <w14:textFill>
                  <w14:solidFill>
                    <w14:schemeClr w14:val="tx1"/>
                  </w14:solidFill>
                </w14:textFill>
              </w:rPr>
              <w:t>隔油池+</w:t>
            </w:r>
            <w:r>
              <w:rPr>
                <w:rFonts w:ascii="Times New Roman" w:hAnsi="Times New Roman"/>
                <w:snapToGrid w:val="0"/>
                <w:color w:val="000000" w:themeColor="text1"/>
                <w:kern w:val="0"/>
                <w:sz w:val="24"/>
                <w:szCs w:val="24"/>
                <w14:textFill>
                  <w14:solidFill>
                    <w14:schemeClr w14:val="tx1"/>
                  </w14:solidFill>
                </w14:textFill>
              </w:rPr>
              <w:t>化粪池处理后</w:t>
            </w:r>
            <w:r>
              <w:rPr>
                <w:rFonts w:hint="eastAsia" w:ascii="Times New Roman" w:hAnsi="Times New Roman"/>
                <w:snapToGrid w:val="0"/>
                <w:color w:val="000000" w:themeColor="text1"/>
                <w:kern w:val="0"/>
                <w:sz w:val="24"/>
                <w:szCs w:val="24"/>
                <w14:textFill>
                  <w14:solidFill>
                    <w14:schemeClr w14:val="tx1"/>
                  </w14:solidFill>
                </w14:textFill>
              </w:rPr>
              <w:t>用于周边菜地施肥，综合消纳。</w:t>
            </w:r>
            <w:r>
              <w:rPr>
                <w:rFonts w:hint="eastAsia" w:ascii="Times New Roman" w:hAnsi="Times New Roman"/>
                <w:sz w:val="24"/>
                <w:szCs w:val="24"/>
              </w:rPr>
              <w:t>因此，废水排放对周围环境影响较小。</w:t>
            </w:r>
          </w:p>
          <w:p>
            <w:pPr>
              <w:spacing w:line="360" w:lineRule="auto"/>
              <w:ind w:firstLine="480" w:firstLineChars="200"/>
              <w:rPr>
                <w:rFonts w:ascii="Times New Roman" w:hAnsi="Times New Roman"/>
                <w:bCs/>
                <w:sz w:val="24"/>
              </w:rPr>
            </w:pPr>
            <w:r>
              <w:rPr>
                <w:rFonts w:ascii="Times New Roman" w:hAnsi="Times New Roman"/>
                <w:sz w:val="24"/>
                <w:szCs w:val="24"/>
              </w:rPr>
              <w:t>（3）</w:t>
            </w:r>
            <w:r>
              <w:rPr>
                <w:rFonts w:ascii="Times New Roman" w:hAnsi="宋体"/>
                <w:bCs/>
                <w:sz w:val="24"/>
              </w:rPr>
              <w:t>声环境影响</w:t>
            </w:r>
          </w:p>
          <w:p>
            <w:pPr>
              <w:overflowPunct w:val="0"/>
              <w:spacing w:line="360" w:lineRule="auto"/>
              <w:ind w:firstLine="480" w:firstLineChars="200"/>
              <w:rPr>
                <w:rFonts w:ascii="Times New Roman" w:hAnsi="Times New Roman"/>
                <w:sz w:val="24"/>
                <w:szCs w:val="24"/>
              </w:rPr>
            </w:pPr>
            <w:r>
              <w:rPr>
                <w:rFonts w:ascii="Times New Roman" w:hAnsi="Times New Roman"/>
                <w:bCs/>
                <w:color w:val="000000" w:themeColor="text1"/>
                <w:sz w:val="24"/>
                <w:szCs w:val="24"/>
                <w14:textFill>
                  <w14:solidFill>
                    <w14:schemeClr w14:val="tx1"/>
                  </w14:solidFill>
                </w14:textFill>
              </w:rPr>
              <w:t>经预测本项目东、西、南、北厂界昼间噪声均能够满足</w:t>
            </w:r>
            <w:r>
              <w:rPr>
                <w:rFonts w:ascii="Times New Roman" w:hAnsi="Times New Roman"/>
                <w:color w:val="000000" w:themeColor="text1"/>
                <w:sz w:val="24"/>
                <w:szCs w:val="24"/>
                <w14:textFill>
                  <w14:solidFill>
                    <w14:schemeClr w14:val="tx1"/>
                  </w14:solidFill>
                </w14:textFill>
              </w:rPr>
              <w:t>《工业企业厂界环境噪声排放标准》</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GB12348-2008</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中的2类标准限值要求；本项目</w:t>
            </w:r>
            <w:r>
              <w:rPr>
                <w:rFonts w:ascii="Times New Roman" w:hAnsi="Times New Roman"/>
                <w:bCs/>
                <w:snapToGrid w:val="0"/>
                <w:color w:val="000000" w:themeColor="text1"/>
                <w:kern w:val="0"/>
                <w:sz w:val="24"/>
                <w:szCs w:val="24"/>
                <w14:textFill>
                  <w14:solidFill>
                    <w14:schemeClr w14:val="tx1"/>
                  </w14:solidFill>
                </w14:textFill>
              </w:rPr>
              <w:t>应采取相应的措施，对设备噪声进行控制。高噪声设备设专用设备间及安装减震基座、隔声罩；加强设备的维护和保养，维持设备处于良好的运行状态；加强生产管理，合理安排生产时间；修建围墙、加强周边绿环。采取上述措施后，本项目生产过程中产生的噪声能得到有效的控制，确保不对项目用地周界外较近处村民住宅声环境产生影响。</w:t>
            </w:r>
            <w:r>
              <w:rPr>
                <w:rFonts w:ascii="Times New Roman" w:hAnsi="Times New Roman"/>
                <w:color w:val="000000" w:themeColor="text1"/>
                <w:sz w:val="24"/>
                <w:szCs w:val="24"/>
                <w14:textFill>
                  <w14:solidFill>
                    <w14:schemeClr w14:val="tx1"/>
                  </w14:solidFill>
                </w14:textFill>
              </w:rPr>
              <w:t>所以本项目建成后，对周围环境影响较小。</w:t>
            </w:r>
          </w:p>
          <w:p>
            <w:pPr>
              <w:spacing w:line="360" w:lineRule="auto"/>
              <w:ind w:firstLine="480" w:firstLineChars="200"/>
              <w:rPr>
                <w:rFonts w:ascii="Times New Roman" w:hAnsi="Times New Roman"/>
                <w:sz w:val="24"/>
              </w:rPr>
            </w:pPr>
            <w:r>
              <w:rPr>
                <w:rFonts w:ascii="Times New Roman" w:hAnsi="Times New Roman"/>
                <w:sz w:val="24"/>
              </w:rPr>
              <w:t>（4）固体废弃物</w:t>
            </w:r>
            <w:r>
              <w:rPr>
                <w:rFonts w:hint="eastAsia" w:ascii="Times New Roman" w:hAnsi="Times New Roman"/>
                <w:sz w:val="24"/>
              </w:rPr>
              <w:t>影响</w:t>
            </w:r>
          </w:p>
          <w:p>
            <w:pPr>
              <w:spacing w:line="360" w:lineRule="auto"/>
              <w:ind w:firstLine="480" w:firstLineChars="200"/>
              <w:rPr>
                <w:rFonts w:ascii="Times New Roman" w:hAnsi="Times New Roman"/>
                <w:sz w:val="24"/>
              </w:rPr>
            </w:pPr>
            <w:r>
              <w:rPr>
                <w:rFonts w:ascii="Times New Roman" w:hAnsi="Times New Roman"/>
                <w:sz w:val="24"/>
              </w:rPr>
              <w:t>项目产生的固体废物主要分为一般固体废物和危险废物，</w:t>
            </w:r>
            <w:r>
              <w:rPr>
                <w:rFonts w:hint="eastAsia" w:ascii="Times New Roman" w:hAnsi="Times New Roman"/>
                <w:sz w:val="24"/>
              </w:rPr>
              <w:t>剥土运至排土场用作复垦土源；</w:t>
            </w:r>
            <w:r>
              <w:rPr>
                <w:rFonts w:hint="eastAsia" w:ascii="Times New Roman" w:hAnsi="Times New Roman"/>
                <w:sz w:val="24"/>
                <w:szCs w:val="24"/>
              </w:rPr>
              <w:t>初期雨水以及搅拌机清洗废水</w:t>
            </w:r>
            <w:r>
              <w:rPr>
                <w:rFonts w:hint="eastAsia" w:ascii="Times New Roman" w:hAnsi="Times New Roman"/>
                <w:sz w:val="24"/>
              </w:rPr>
              <w:t>沉淀池沉渣定期清理，回用于厂区制砖；废石以及不合格产品作为碎石原料；脱硫废水沉渣集中储存在浓缩池中，并定期清理干化处理作为原料外售给水泥；废润滑油暂存于厂内危废暂存间，定期交由有资质单位处置</w:t>
            </w:r>
            <w:r>
              <w:rPr>
                <w:rFonts w:ascii="Times New Roman" w:hAnsi="Times New Roman"/>
                <w:sz w:val="24"/>
              </w:rPr>
              <w:t>，对环境影响较小。</w:t>
            </w:r>
          </w:p>
          <w:p>
            <w:pPr>
              <w:kinsoku w:val="0"/>
              <w:overflowPunct w:val="0"/>
              <w:spacing w:line="360" w:lineRule="auto"/>
              <w:textAlignment w:val="baseline"/>
              <w:rPr>
                <w:rFonts w:ascii="Times New Roman" w:hAnsi="Times New Roman"/>
                <w:b/>
                <w:spacing w:val="8"/>
                <w:sz w:val="24"/>
                <w:szCs w:val="24"/>
              </w:rPr>
            </w:pPr>
            <w:r>
              <w:rPr>
                <w:rFonts w:hint="eastAsia" w:ascii="Times New Roman" w:hAnsi="Times New Roman"/>
                <w:b/>
                <w:spacing w:val="8"/>
                <w:sz w:val="24"/>
                <w:szCs w:val="24"/>
              </w:rPr>
              <w:t>4</w:t>
            </w:r>
            <w:r>
              <w:rPr>
                <w:rFonts w:ascii="Times New Roman" w:hAnsi="Times New Roman"/>
                <w:b/>
                <w:spacing w:val="8"/>
                <w:sz w:val="24"/>
                <w:szCs w:val="24"/>
              </w:rPr>
              <w:t xml:space="preserve"> </w:t>
            </w:r>
            <w:r>
              <w:rPr>
                <w:rFonts w:hint="eastAsia" w:ascii="Times New Roman" w:hAnsi="Times New Roman"/>
                <w:b/>
                <w:spacing w:val="8"/>
                <w:sz w:val="24"/>
                <w:szCs w:val="24"/>
              </w:rPr>
              <w:t>总量控制</w:t>
            </w:r>
          </w:p>
          <w:p>
            <w:pPr>
              <w:kinsoku w:val="0"/>
              <w:overflowPunct w:val="0"/>
              <w:spacing w:line="360" w:lineRule="auto"/>
              <w:ind w:firstLine="480" w:firstLineChars="200"/>
              <w:textAlignment w:val="baseline"/>
              <w:rPr>
                <w:rFonts w:ascii="Times New Roman" w:hAnsi="Times New Roman"/>
                <w:sz w:val="24"/>
                <w:szCs w:val="24"/>
              </w:rPr>
            </w:pPr>
            <w:r>
              <w:rPr>
                <w:rFonts w:hint="eastAsia" w:ascii="Times New Roman" w:hAnsi="Times New Roman"/>
                <w:bCs/>
                <w:sz w:val="24"/>
                <w:szCs w:val="24"/>
              </w:rPr>
              <w:t>通过对本项目的生产工艺和原料的分析计算，在考虑环保设施的处理效果后，建议本项目总量指标设定为每年二氧化硫（</w:t>
            </w:r>
            <w:r>
              <w:rPr>
                <w:rFonts w:hint="eastAsia" w:ascii="Times New Roman" w:hAnsi="Times New Roman"/>
                <w:sz w:val="24"/>
                <w:szCs w:val="24"/>
              </w:rPr>
              <w:t>SO</w:t>
            </w:r>
            <w:r>
              <w:rPr>
                <w:rFonts w:ascii="Times New Roman" w:hAnsi="Times New Roman"/>
                <w:sz w:val="24"/>
                <w:szCs w:val="24"/>
                <w:vertAlign w:val="subscript"/>
              </w:rPr>
              <w:t>2</w:t>
            </w:r>
            <w:r>
              <w:rPr>
                <w:rFonts w:hint="eastAsia" w:ascii="Times New Roman" w:hAnsi="Times New Roman"/>
                <w:sz w:val="24"/>
                <w:szCs w:val="24"/>
              </w:rPr>
              <w:t>）</w:t>
            </w:r>
            <w:r>
              <w:rPr>
                <w:rFonts w:ascii="Times New Roman" w:hAnsi="Times New Roman"/>
                <w:sz w:val="24"/>
                <w:szCs w:val="24"/>
              </w:rPr>
              <w:t>14.45</w:t>
            </w:r>
            <w:r>
              <w:rPr>
                <w:rFonts w:hint="eastAsia" w:ascii="Times New Roman" w:hAnsi="Times New Roman"/>
                <w:sz w:val="24"/>
                <w:szCs w:val="24"/>
              </w:rPr>
              <w:t>吨</w:t>
            </w:r>
            <w:r>
              <w:rPr>
                <w:rFonts w:ascii="Times New Roman" w:hAnsi="Times New Roman"/>
                <w:sz w:val="24"/>
                <w:szCs w:val="24"/>
              </w:rPr>
              <w:t>，</w:t>
            </w:r>
            <w:r>
              <w:rPr>
                <w:rFonts w:hint="eastAsia" w:ascii="Times New Roman" w:hAnsi="Times New Roman"/>
                <w:sz w:val="24"/>
                <w:szCs w:val="24"/>
              </w:rPr>
              <w:t>氮氧化物（NO</w:t>
            </w:r>
            <w:r>
              <w:rPr>
                <w:rFonts w:hint="eastAsia" w:ascii="Times New Roman" w:hAnsi="Times New Roman"/>
                <w:sz w:val="24"/>
                <w:szCs w:val="24"/>
                <w:vertAlign w:val="subscript"/>
              </w:rPr>
              <w:t>X</w:t>
            </w:r>
            <w:r>
              <w:rPr>
                <w:rFonts w:hint="eastAsia" w:ascii="Times New Roman" w:hAnsi="Times New Roman"/>
                <w:sz w:val="24"/>
                <w:szCs w:val="24"/>
              </w:rPr>
              <w:t>）</w:t>
            </w:r>
            <w:r>
              <w:rPr>
                <w:rFonts w:ascii="Times New Roman" w:hAnsi="Times New Roman"/>
                <w:sz w:val="24"/>
                <w:szCs w:val="24"/>
              </w:rPr>
              <w:t>9.98</w:t>
            </w:r>
            <w:r>
              <w:rPr>
                <w:rFonts w:hint="eastAsia" w:ascii="Times New Roman" w:hAnsi="Times New Roman"/>
                <w:sz w:val="24"/>
                <w:szCs w:val="24"/>
              </w:rPr>
              <w:t>吨。</w:t>
            </w:r>
          </w:p>
          <w:p>
            <w:pPr>
              <w:kinsoku w:val="0"/>
              <w:overflowPunct w:val="0"/>
              <w:spacing w:line="360" w:lineRule="auto"/>
              <w:textAlignment w:val="baseline"/>
              <w:rPr>
                <w:rFonts w:ascii="Times New Roman" w:hAnsi="Times New Roman"/>
                <w:b/>
                <w:spacing w:val="8"/>
                <w:sz w:val="24"/>
                <w:szCs w:val="24"/>
              </w:rPr>
            </w:pPr>
            <w:r>
              <w:rPr>
                <w:rFonts w:ascii="Times New Roman" w:hAnsi="Times New Roman"/>
                <w:b/>
                <w:spacing w:val="8"/>
                <w:sz w:val="24"/>
                <w:szCs w:val="24"/>
              </w:rPr>
              <w:t>5 综合结论</w:t>
            </w:r>
          </w:p>
          <w:p>
            <w:pPr>
              <w:spacing w:line="360" w:lineRule="auto"/>
              <w:ind w:firstLine="480" w:firstLineChars="200"/>
              <w:rPr>
                <w:rFonts w:ascii="Times New Roman" w:hAnsi="Times New Roman"/>
                <w:sz w:val="24"/>
              </w:rPr>
            </w:pPr>
            <w:r>
              <w:rPr>
                <w:rFonts w:ascii="Times New Roman" w:hAnsi="Times New Roman"/>
                <w:sz w:val="24"/>
              </w:rPr>
              <w:t>综上所述，</w:t>
            </w:r>
            <w:r>
              <w:rPr>
                <w:rFonts w:ascii="Times New Roman" w:hAnsi="Times New Roman"/>
                <w:sz w:val="24"/>
                <w:szCs w:val="24"/>
              </w:rPr>
              <w:t>桃江县鑫泰建材有限公司年产6000万块烧结页岩砖以及配套碎石生产线扩建项目</w:t>
            </w:r>
            <w:r>
              <w:rPr>
                <w:rFonts w:ascii="Times New Roman" w:hAnsi="Times New Roman"/>
                <w:sz w:val="24"/>
              </w:rPr>
              <w:t>符合</w:t>
            </w:r>
            <w:r>
              <w:rPr>
                <w:rFonts w:hint="eastAsia" w:ascii="Times New Roman" w:hAnsi="Times New Roman"/>
                <w:sz w:val="24"/>
              </w:rPr>
              <w:t>现行</w:t>
            </w:r>
            <w:r>
              <w:rPr>
                <w:rFonts w:ascii="Times New Roman" w:hAnsi="Times New Roman"/>
                <w:sz w:val="24"/>
              </w:rPr>
              <w:t>国家产业政策</w:t>
            </w:r>
            <w:r>
              <w:rPr>
                <w:rFonts w:hint="eastAsia" w:ascii="Times New Roman" w:hAnsi="Times New Roman"/>
                <w:sz w:val="24"/>
              </w:rPr>
              <w:t>，</w:t>
            </w:r>
            <w:r>
              <w:rPr>
                <w:rFonts w:ascii="Times New Roman" w:hAnsi="Times New Roman"/>
                <w:sz w:val="24"/>
              </w:rPr>
              <w:t>选址合理</w:t>
            </w:r>
            <w:r>
              <w:rPr>
                <w:rFonts w:hint="eastAsia" w:ascii="Times New Roman" w:hAnsi="Times New Roman"/>
                <w:sz w:val="24"/>
              </w:rPr>
              <w:t>，</w:t>
            </w:r>
            <w:r>
              <w:rPr>
                <w:rFonts w:ascii="Times New Roman" w:hAnsi="Times New Roman"/>
                <w:sz w:val="24"/>
              </w:rPr>
              <w:t>项目所在区域环境空气、地表水环境、声环境现状良好，在采取</w:t>
            </w:r>
            <w:r>
              <w:rPr>
                <w:rFonts w:hint="eastAsia" w:ascii="Times New Roman" w:hAnsi="Times New Roman"/>
                <w:sz w:val="24"/>
              </w:rPr>
              <w:t>本</w:t>
            </w:r>
            <w:r>
              <w:rPr>
                <w:rFonts w:ascii="Times New Roman" w:hAnsi="Times New Roman"/>
                <w:sz w:val="24"/>
              </w:rPr>
              <w:t>环评提出的各项污染防治措施</w:t>
            </w:r>
            <w:r>
              <w:rPr>
                <w:rFonts w:hint="eastAsia" w:ascii="Times New Roman" w:hAnsi="Times New Roman"/>
                <w:sz w:val="24"/>
              </w:rPr>
              <w:t>后</w:t>
            </w:r>
            <w:r>
              <w:rPr>
                <w:rFonts w:ascii="Times New Roman" w:hAnsi="Times New Roman"/>
                <w:sz w:val="24"/>
              </w:rPr>
              <w:t>，</w:t>
            </w:r>
            <w:r>
              <w:rPr>
                <w:rFonts w:hint="eastAsia" w:ascii="Times New Roman" w:hAnsi="Times New Roman"/>
                <w:sz w:val="24"/>
              </w:rPr>
              <w:t>可</w:t>
            </w:r>
            <w:r>
              <w:rPr>
                <w:rFonts w:ascii="Times New Roman" w:hAnsi="Times New Roman"/>
                <w:sz w:val="24"/>
              </w:rPr>
              <w:t>实现达标排放，项目产生的污染物对周围环境</w:t>
            </w:r>
            <w:r>
              <w:rPr>
                <w:rFonts w:hint="eastAsia" w:ascii="Times New Roman" w:hAnsi="Times New Roman"/>
                <w:sz w:val="24"/>
              </w:rPr>
              <w:t>不会产生显著性的</w:t>
            </w:r>
            <w:r>
              <w:rPr>
                <w:rFonts w:ascii="Times New Roman" w:hAnsi="Times New Roman"/>
                <w:sz w:val="24"/>
              </w:rPr>
              <w:t>影响</w:t>
            </w:r>
            <w:r>
              <w:rPr>
                <w:rFonts w:hint="eastAsia" w:ascii="Times New Roman" w:hAnsi="Times New Roman"/>
                <w:sz w:val="24"/>
              </w:rPr>
              <w:t>，</w:t>
            </w:r>
            <w:r>
              <w:rPr>
                <w:rFonts w:ascii="Times New Roman" w:hAnsi="Times New Roman"/>
                <w:sz w:val="24"/>
              </w:rPr>
              <w:t>工程建设对环境的影响是可以接受的。因此，本项目从环境保护角度来说是可行的。</w:t>
            </w:r>
          </w:p>
          <w:p>
            <w:pPr>
              <w:kinsoku w:val="0"/>
              <w:overflowPunct w:val="0"/>
              <w:spacing w:line="360" w:lineRule="auto"/>
              <w:rPr>
                <w:rFonts w:ascii="Times New Roman" w:hAnsi="Times New Roman"/>
                <w:b/>
                <w:spacing w:val="8"/>
                <w:sz w:val="28"/>
                <w:szCs w:val="28"/>
              </w:rPr>
            </w:pPr>
            <w:r>
              <w:rPr>
                <w:rFonts w:ascii="Times New Roman" w:hAnsi="Times New Roman"/>
                <w:b/>
                <w:spacing w:val="8"/>
                <w:sz w:val="28"/>
                <w:szCs w:val="28"/>
              </w:rPr>
              <w:t>（二）建议</w:t>
            </w:r>
          </w:p>
          <w:p>
            <w:pPr>
              <w:spacing w:line="360" w:lineRule="auto"/>
              <w:rPr>
                <w:rFonts w:ascii="Times New Roman" w:hAnsi="Times New Roman"/>
                <w:b/>
                <w:bCs/>
                <w:snapToGrid w:val="0"/>
                <w:color w:val="000000" w:themeColor="text1"/>
                <w:kern w:val="0"/>
                <w:sz w:val="24"/>
                <w14:textFill>
                  <w14:solidFill>
                    <w14:schemeClr w14:val="tx1"/>
                  </w14:solidFill>
                </w14:textFill>
              </w:rPr>
            </w:pPr>
            <w:r>
              <w:rPr>
                <w:rFonts w:hint="eastAsia" w:ascii="Times New Roman" w:hAnsi="Times New Roman"/>
                <w:b/>
                <w:bCs/>
                <w:snapToGrid w:val="0"/>
                <w:color w:val="000000" w:themeColor="text1"/>
                <w:kern w:val="0"/>
                <w:sz w:val="24"/>
                <w14:textFill>
                  <w14:solidFill>
                    <w14:schemeClr w14:val="tx1"/>
                  </w14:solidFill>
                </w14:textFill>
              </w:rPr>
              <w:t>1</w:t>
            </w:r>
            <w:r>
              <w:rPr>
                <w:rFonts w:ascii="Times New Roman" w:hAnsi="Times New Roman"/>
                <w:b/>
                <w:bCs/>
                <w:snapToGrid w:val="0"/>
                <w:color w:val="000000" w:themeColor="text1"/>
                <w:kern w:val="0"/>
                <w:sz w:val="24"/>
                <w14:textFill>
                  <w14:solidFill>
                    <w14:schemeClr w14:val="tx1"/>
                  </w14:solidFill>
                </w14:textFill>
              </w:rPr>
              <w:t xml:space="preserve"> </w:t>
            </w:r>
            <w:r>
              <w:rPr>
                <w:rFonts w:hint="eastAsia" w:ascii="Times New Roman" w:hAnsi="Times New Roman"/>
                <w:b/>
                <w:bCs/>
                <w:snapToGrid w:val="0"/>
                <w:color w:val="000000" w:themeColor="text1"/>
                <w:kern w:val="0"/>
                <w:sz w:val="24"/>
                <w14:textFill>
                  <w14:solidFill>
                    <w14:schemeClr w14:val="tx1"/>
                  </w14:solidFill>
                </w14:textFill>
              </w:rPr>
              <w:t>采矿区</w:t>
            </w:r>
            <w:r>
              <w:rPr>
                <w:rFonts w:ascii="Times New Roman" w:hAnsi="Times New Roman"/>
                <w:b/>
                <w:bCs/>
                <w:snapToGrid w:val="0"/>
                <w:color w:val="000000" w:themeColor="text1"/>
                <w:kern w:val="0"/>
                <w:sz w:val="24"/>
                <w14:textFill>
                  <w14:solidFill>
                    <w14:schemeClr w14:val="tx1"/>
                  </w14:solidFill>
                </w14:textFill>
              </w:rPr>
              <w:t>建议要求</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（1）</w:t>
            </w:r>
            <w:r>
              <w:rPr>
                <w:rFonts w:ascii="Times New Roman" w:hAnsi="Times New Roman"/>
                <w:snapToGrid w:val="0"/>
                <w:color w:val="000000" w:themeColor="text1"/>
                <w:kern w:val="0"/>
                <w:sz w:val="24"/>
                <w14:textFill>
                  <w14:solidFill>
                    <w14:schemeClr w14:val="tx1"/>
                  </w14:solidFill>
                </w14:textFill>
              </w:rPr>
              <w:t>规范采石场及运输道路的抑尘措施，尤其在风速较大的干旱季节，要做到按时喷洒。</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（2）</w:t>
            </w:r>
            <w:r>
              <w:rPr>
                <w:rFonts w:ascii="Times New Roman" w:hAnsi="Times New Roman"/>
                <w:snapToGrid w:val="0"/>
                <w:color w:val="000000" w:themeColor="text1"/>
                <w:kern w:val="0"/>
                <w:sz w:val="24"/>
                <w14:textFill>
                  <w14:solidFill>
                    <w14:schemeClr w14:val="tx1"/>
                  </w14:solidFill>
                </w14:textFill>
              </w:rPr>
              <w:t>按照有关设计参数进行矿山开采，设置安全平台。</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（3）</w:t>
            </w:r>
            <w:r>
              <w:rPr>
                <w:rFonts w:ascii="Times New Roman" w:hAnsi="Times New Roman"/>
                <w:snapToGrid w:val="0"/>
                <w:color w:val="000000" w:themeColor="text1"/>
                <w:kern w:val="0"/>
                <w:sz w:val="24"/>
                <w14:textFill>
                  <w14:solidFill>
                    <w14:schemeClr w14:val="tx1"/>
                  </w14:solidFill>
                </w14:textFill>
              </w:rPr>
              <w:t>严格按照已进行的安全评价要求，规范地指导项目的生产。环评要求做好相关的安全防范，杜绝事故的发生，安全保护措施和防护距离以安评结论为准。</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（4）</w:t>
            </w:r>
            <w:r>
              <w:rPr>
                <w:rFonts w:ascii="Times New Roman" w:hAnsi="Times New Roman"/>
                <w:snapToGrid w:val="0"/>
                <w:color w:val="000000" w:themeColor="text1"/>
                <w:kern w:val="0"/>
                <w:sz w:val="24"/>
                <w14:textFill>
                  <w14:solidFill>
                    <w14:schemeClr w14:val="tx1"/>
                  </w14:solidFill>
                </w14:textFill>
              </w:rPr>
              <w:t>要加强地质灾害防治措施。严格按设计方案开采。定期检查矿区边坡的稳定状况，及时清理松动浮石，对软弱岩层边坡，如土质边坡、风化带边坡、破碎带边坡和软弱夹层边坡，采取锚喷、浆砌、喷射混凝土等方法予以加固。</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（5）</w:t>
            </w:r>
            <w:r>
              <w:rPr>
                <w:rFonts w:ascii="Times New Roman" w:hAnsi="Times New Roman"/>
                <w:snapToGrid w:val="0"/>
                <w:color w:val="000000" w:themeColor="text1"/>
                <w:kern w:val="0"/>
                <w:sz w:val="24"/>
                <w14:textFill>
                  <w14:solidFill>
                    <w14:schemeClr w14:val="tx1"/>
                  </w14:solidFill>
                </w14:textFill>
              </w:rPr>
              <w:t>截雨排洪设施要落实，最大限度减少采场的汇水面积和地表径流量，保障汛季洪水的及时疏导。</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（6）</w:t>
            </w:r>
            <w:r>
              <w:rPr>
                <w:rFonts w:ascii="Times New Roman" w:hAnsi="Times New Roman"/>
                <w:snapToGrid w:val="0"/>
                <w:color w:val="000000" w:themeColor="text1"/>
                <w:kern w:val="0"/>
                <w:sz w:val="24"/>
                <w14:textFill>
                  <w14:solidFill>
                    <w14:schemeClr w14:val="tx1"/>
                  </w14:solidFill>
                </w14:textFill>
              </w:rPr>
              <w:t>要加强项目区的水土保持工作。落实必要的生态补偿措施。根据水土保持方案采用工程措施和生物措施，防止水土流失。要落实生态恢复资金以保证植被恢复工程的实施，项目建设单位应向当地政府签定植被恢复保证书，建立矿山复垦和水土保持专项资金账户，以便于政府有关部门切实监督植被恢复计划的实施。</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（7）</w:t>
            </w:r>
            <w:r>
              <w:rPr>
                <w:rFonts w:ascii="Times New Roman" w:hAnsi="Times New Roman"/>
                <w:snapToGrid w:val="0"/>
                <w:color w:val="000000" w:themeColor="text1"/>
                <w:kern w:val="0"/>
                <w:sz w:val="24"/>
                <w14:textFill>
                  <w14:solidFill>
                    <w14:schemeClr w14:val="tx1"/>
                  </w14:solidFill>
                </w14:textFill>
              </w:rPr>
              <w:t>要制定环境风险应急预案及相关措施。</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（8）</w:t>
            </w:r>
            <w:r>
              <w:rPr>
                <w:rFonts w:ascii="Times New Roman" w:hAnsi="Times New Roman"/>
                <w:snapToGrid w:val="0"/>
                <w:color w:val="000000" w:themeColor="text1"/>
                <w:kern w:val="0"/>
                <w:sz w:val="24"/>
                <w14:textFill>
                  <w14:solidFill>
                    <w14:schemeClr w14:val="tx1"/>
                  </w14:solidFill>
                </w14:textFill>
              </w:rPr>
              <w:t>应遵循在开发中保护、在保护中开发的理念，坚持</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边开采、边治理</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的原则，从源头上控制生态环境的破坏，努力减少已造成的生态环境损失。对矿区资源开发造成的生态破坏和环境污染，通过生物、工程和管理措施及时开展恢复治理。</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（9）</w:t>
            </w:r>
            <w:r>
              <w:rPr>
                <w:rFonts w:ascii="Times New Roman" w:hAnsi="Times New Roman"/>
                <w:snapToGrid w:val="0"/>
                <w:color w:val="000000" w:themeColor="text1"/>
                <w:kern w:val="0"/>
                <w:sz w:val="24"/>
                <w14:textFill>
                  <w14:solidFill>
                    <w14:schemeClr w14:val="tx1"/>
                  </w14:solidFill>
                </w14:textFill>
              </w:rPr>
              <w:t>根据项目所处的区域、自然地理条件、生态恢复与环境治理的技术条件，按照</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整体生态功能恢复</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和</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景观相似性</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原则，因地制宜采取切实可行的恢复治理措施，进行矿区生态恢复。</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（1</w:t>
            </w:r>
            <w:r>
              <w:rPr>
                <w:rFonts w:ascii="Times New Roman" w:hAnsi="Times New Roman"/>
                <w:snapToGrid w:val="0"/>
                <w:color w:val="000000" w:themeColor="text1"/>
                <w:kern w:val="0"/>
                <w:sz w:val="24"/>
                <w14:textFill>
                  <w14:solidFill>
                    <w14:schemeClr w14:val="tx1"/>
                  </w14:solidFill>
                </w14:textFill>
              </w:rPr>
              <w:t>0</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严禁越境开采。</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（1</w:t>
            </w:r>
            <w:r>
              <w:rPr>
                <w:rFonts w:ascii="Times New Roman" w:hAnsi="Times New Roman"/>
                <w:snapToGrid w:val="0"/>
                <w:color w:val="000000" w:themeColor="text1"/>
                <w:kern w:val="0"/>
                <w:sz w:val="24"/>
                <w14:textFill>
                  <w14:solidFill>
                    <w14:schemeClr w14:val="tx1"/>
                  </w14:solidFill>
                </w14:textFill>
              </w:rPr>
              <w:t>1</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采矿结束后，矿区必须按照《矿山生态环境与污染防治技术政策》（环发</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2015</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109号）文件的要求做好复垦工作。所有的废渣土必须回填剥矿区，上层覆土、恢复绿化以乔木为主，适当分布灌木，以防治表土层的流失。</w:t>
            </w:r>
          </w:p>
          <w:p>
            <w:pPr>
              <w:spacing w:line="360" w:lineRule="auto"/>
              <w:rPr>
                <w:rFonts w:ascii="Times New Roman" w:hAnsi="Times New Roman"/>
                <w:b/>
                <w:bCs/>
                <w:snapToGrid w:val="0"/>
                <w:color w:val="000000" w:themeColor="text1"/>
                <w:kern w:val="0"/>
                <w:sz w:val="24"/>
                <w14:textFill>
                  <w14:solidFill>
                    <w14:schemeClr w14:val="tx1"/>
                  </w14:solidFill>
                </w14:textFill>
              </w:rPr>
            </w:pPr>
            <w:r>
              <w:rPr>
                <w:rFonts w:ascii="Times New Roman" w:hAnsi="Times New Roman"/>
                <w:b/>
                <w:bCs/>
                <w:snapToGrid w:val="0"/>
                <w:color w:val="000000" w:themeColor="text1"/>
                <w:kern w:val="0"/>
                <w:sz w:val="24"/>
                <w14:textFill>
                  <w14:solidFill>
                    <w14:schemeClr w14:val="tx1"/>
                  </w14:solidFill>
                </w14:textFill>
              </w:rPr>
              <w:t xml:space="preserve">2 </w:t>
            </w:r>
            <w:r>
              <w:rPr>
                <w:rFonts w:hint="eastAsia" w:ascii="Times New Roman" w:hAnsi="Times New Roman"/>
                <w:b/>
                <w:bCs/>
                <w:snapToGrid w:val="0"/>
                <w:color w:val="000000" w:themeColor="text1"/>
                <w:kern w:val="0"/>
                <w:sz w:val="24"/>
                <w14:textFill>
                  <w14:solidFill>
                    <w14:schemeClr w14:val="tx1"/>
                  </w14:solidFill>
                </w14:textFill>
              </w:rPr>
              <w:t>加工区</w:t>
            </w:r>
            <w:r>
              <w:rPr>
                <w:rFonts w:ascii="Times New Roman" w:hAnsi="Times New Roman"/>
                <w:b/>
                <w:bCs/>
                <w:snapToGrid w:val="0"/>
                <w:color w:val="000000" w:themeColor="text1"/>
                <w:kern w:val="0"/>
                <w:sz w:val="24"/>
                <w14:textFill>
                  <w14:solidFill>
                    <w14:schemeClr w14:val="tx1"/>
                  </w14:solidFill>
                </w14:textFill>
              </w:rPr>
              <w:t>建议与要求</w:t>
            </w:r>
          </w:p>
          <w:p>
            <w:pPr>
              <w:spacing w:line="360" w:lineRule="auto"/>
              <w:ind w:firstLine="480" w:firstLineChars="200"/>
              <w:rPr>
                <w:rFonts w:ascii="Times New Roman" w:hAnsi="Times New Roman"/>
                <w:snapToGrid w:val="0"/>
                <w:kern w:val="0"/>
                <w:sz w:val="24"/>
              </w:rPr>
            </w:pPr>
            <w:r>
              <w:rPr>
                <w:rFonts w:hint="eastAsia" w:ascii="Times New Roman" w:hAnsi="Times New Roman"/>
                <w:snapToGrid w:val="0"/>
                <w:kern w:val="0"/>
                <w:sz w:val="24"/>
              </w:rPr>
              <w:t>（1）</w:t>
            </w:r>
            <w:r>
              <w:rPr>
                <w:rFonts w:ascii="Times New Roman" w:hAnsi="Times New Roman"/>
                <w:snapToGrid w:val="0"/>
                <w:kern w:val="0"/>
                <w:sz w:val="24"/>
              </w:rPr>
              <w:t>加强管理</w:t>
            </w:r>
            <w:r>
              <w:rPr>
                <w:rFonts w:hint="eastAsia" w:ascii="Times New Roman" w:hAnsi="Times New Roman"/>
                <w:snapToGrid w:val="0"/>
                <w:kern w:val="0"/>
                <w:sz w:val="24"/>
              </w:rPr>
              <w:t>，加强对窑炉尾气自动监测系统的正常维护，保证其正常运行。确保窑炉尾气达标排放。</w:t>
            </w:r>
          </w:p>
          <w:p>
            <w:pPr>
              <w:spacing w:line="360" w:lineRule="auto"/>
              <w:ind w:firstLine="480" w:firstLineChars="200"/>
              <w:rPr>
                <w:rFonts w:ascii="Times New Roman" w:hAnsi="Times New Roman"/>
                <w:snapToGrid w:val="0"/>
                <w:kern w:val="0"/>
                <w:sz w:val="24"/>
              </w:rPr>
            </w:pPr>
            <w:r>
              <w:rPr>
                <w:rFonts w:hint="eastAsia" w:ascii="Times New Roman" w:hAnsi="Times New Roman"/>
                <w:snapToGrid w:val="0"/>
                <w:kern w:val="0"/>
                <w:sz w:val="24"/>
              </w:rPr>
              <w:t>（2）</w:t>
            </w:r>
            <w:r>
              <w:rPr>
                <w:rFonts w:ascii="Times New Roman" w:hAnsi="Times New Roman"/>
                <w:snapToGrid w:val="0"/>
                <w:kern w:val="0"/>
                <w:sz w:val="24"/>
              </w:rPr>
              <w:t>通过</w:t>
            </w:r>
            <w:r>
              <w:rPr>
                <w:rFonts w:hint="eastAsia" w:ascii="Times New Roman" w:hAnsi="Times New Roman"/>
                <w:snapToGrid w:val="0"/>
                <w:kern w:val="0"/>
                <w:sz w:val="24"/>
              </w:rPr>
              <w:t>加强对水处理设施的监管</w:t>
            </w:r>
            <w:r>
              <w:rPr>
                <w:rFonts w:ascii="Times New Roman" w:hAnsi="Times New Roman"/>
                <w:snapToGrid w:val="0"/>
                <w:kern w:val="0"/>
                <w:sz w:val="24"/>
              </w:rPr>
              <w:t>，确保</w:t>
            </w:r>
            <w:r>
              <w:rPr>
                <w:rFonts w:hint="eastAsia" w:ascii="Times New Roman" w:hAnsi="Times New Roman"/>
                <w:snapToGrid w:val="0"/>
                <w:kern w:val="0"/>
                <w:sz w:val="24"/>
              </w:rPr>
              <w:t>水处理</w:t>
            </w:r>
            <w:r>
              <w:rPr>
                <w:rFonts w:ascii="Times New Roman" w:hAnsi="Times New Roman"/>
                <w:snapToGrid w:val="0"/>
                <w:kern w:val="0"/>
                <w:sz w:val="24"/>
              </w:rPr>
              <w:t>设施正常运行，减少</w:t>
            </w:r>
            <w:r>
              <w:rPr>
                <w:rFonts w:hint="eastAsia" w:ascii="Times New Roman" w:hAnsi="Times New Roman"/>
                <w:snapToGrid w:val="0"/>
                <w:kern w:val="0"/>
                <w:sz w:val="24"/>
              </w:rPr>
              <w:t>水</w:t>
            </w:r>
            <w:r>
              <w:rPr>
                <w:rFonts w:ascii="Times New Roman" w:hAnsi="Times New Roman"/>
                <w:snapToGrid w:val="0"/>
                <w:kern w:val="0"/>
                <w:sz w:val="24"/>
              </w:rPr>
              <w:t>污染物的排放，减轻对周围环境的影响</w:t>
            </w:r>
            <w:r>
              <w:rPr>
                <w:rFonts w:hint="eastAsia" w:ascii="Times New Roman" w:hAnsi="Times New Roman"/>
                <w:snapToGrid w:val="0"/>
                <w:kern w:val="0"/>
                <w:sz w:val="24"/>
              </w:rPr>
              <w:t>。</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kern w:val="0"/>
                <w:sz w:val="24"/>
              </w:rPr>
              <w:t>（3）</w:t>
            </w:r>
            <w:r>
              <w:rPr>
                <w:rFonts w:ascii="Times New Roman" w:hAnsi="Times New Roman"/>
                <w:snapToGrid w:val="0"/>
                <w:kern w:val="0"/>
                <w:sz w:val="24"/>
              </w:rPr>
              <w:t>加强职工环境意识教育，制定环保设施操作运行规程，建立健全各项环保岗位责任制，强化环保管理，确保环保设施正常稳</w:t>
            </w:r>
            <w:r>
              <w:rPr>
                <w:rFonts w:ascii="Times New Roman" w:hAnsi="Times New Roman"/>
                <w:snapToGrid w:val="0"/>
                <w:color w:val="000000" w:themeColor="text1"/>
                <w:kern w:val="0"/>
                <w:sz w:val="24"/>
                <w14:textFill>
                  <w14:solidFill>
                    <w14:schemeClr w14:val="tx1"/>
                  </w14:solidFill>
                </w14:textFill>
              </w:rPr>
              <w:t>定运行，防止污染事故发生；</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（4）</w:t>
            </w:r>
            <w:r>
              <w:rPr>
                <w:rFonts w:ascii="Times New Roman" w:hAnsi="Times New Roman"/>
                <w:snapToGrid w:val="0"/>
                <w:color w:val="000000" w:themeColor="text1"/>
                <w:kern w:val="0"/>
                <w:sz w:val="24"/>
                <w14:textFill>
                  <w14:solidFill>
                    <w14:schemeClr w14:val="tx1"/>
                  </w14:solidFill>
                </w14:textFill>
              </w:rPr>
              <w:t>建设方严格执行国家</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三同时</w:t>
            </w:r>
            <w:r>
              <w:rPr>
                <w:rFonts w:hint="eastAsia"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14:textFill>
                  <w14:solidFill>
                    <w14:schemeClr w14:val="tx1"/>
                  </w14:solidFill>
                </w14:textFill>
              </w:rPr>
              <w:t>政策，做到环保设施与主体工程同时设计，同时施工，同时运行投产，并业主自行组织验收。</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（5）</w:t>
            </w:r>
            <w:r>
              <w:rPr>
                <w:rFonts w:ascii="Times New Roman" w:hAnsi="Times New Roman"/>
                <w:snapToGrid w:val="0"/>
                <w:color w:val="000000" w:themeColor="text1"/>
                <w:kern w:val="0"/>
                <w:sz w:val="24"/>
                <w14:textFill>
                  <w14:solidFill>
                    <w14:schemeClr w14:val="tx1"/>
                  </w14:solidFill>
                </w14:textFill>
              </w:rPr>
              <w:t>企业应加强对操作设备的运行管理，确保作业过程的用水量和用水方式的正确性，一方面能有效降低设备温度，增加设备使用寿命，提高项目清洁生产水平。</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14:textFill>
                  <w14:solidFill>
                    <w14:schemeClr w14:val="tx1"/>
                  </w14:solidFill>
                </w14:textFill>
              </w:rPr>
              <w:t>（6）</w:t>
            </w:r>
            <w:r>
              <w:rPr>
                <w:rFonts w:ascii="Times New Roman" w:hAnsi="Times New Roman"/>
                <w:snapToGrid w:val="0"/>
                <w:color w:val="000000" w:themeColor="text1"/>
                <w:kern w:val="0"/>
                <w:sz w:val="24"/>
                <w14:textFill>
                  <w14:solidFill>
                    <w14:schemeClr w14:val="tx1"/>
                  </w14:solidFill>
                </w14:textFill>
              </w:rPr>
              <w:t>合理规划厂区绿化，绿化面积应满足有关规定，绿化以树、灌、草等相结合的形式美化环境。做好场区绿化工作，以进一步降低噪声和粉尘对周边环境影响。</w:t>
            </w: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ind w:firstLine="480" w:firstLineChars="200"/>
              <w:rPr>
                <w:rFonts w:ascii="Times New Roman" w:hAnsi="Times New Roman"/>
                <w:snapToGrid w:val="0"/>
                <w:color w:val="000000" w:themeColor="text1"/>
                <w:kern w:val="0"/>
                <w:sz w:val="24"/>
                <w14:textFill>
                  <w14:solidFill>
                    <w14:schemeClr w14:val="tx1"/>
                  </w14:solidFill>
                </w14:textFill>
              </w:rPr>
            </w:pPr>
          </w:p>
          <w:p>
            <w:pPr>
              <w:spacing w:line="360" w:lineRule="auto"/>
              <w:rPr>
                <w:rFonts w:ascii="Times New Roman"/>
                <w:color w:val="000000"/>
                <w:kern w:val="24"/>
                <w:sz w:val="24"/>
                <w:szCs w:val="20"/>
              </w:rPr>
            </w:pPr>
          </w:p>
        </w:tc>
      </w:tr>
    </w:tbl>
    <w:p>
      <w:pPr>
        <w:kinsoku w:val="0"/>
        <w:overflowPunct w:val="0"/>
        <w:spacing w:line="20" w:lineRule="atLeast"/>
        <w:rPr>
          <w:kern w:val="44"/>
          <w:sz w:val="10"/>
          <w:szCs w:val="10"/>
        </w:rPr>
      </w:pPr>
    </w:p>
    <w:sectPr>
      <w:pgSz w:w="11906" w:h="16838"/>
      <w:pgMar w:top="1418" w:right="1418" w:bottom="1418" w:left="1418" w:header="851" w:footer="992" w:gutter="0"/>
      <w:pgNumType w:chapStyle="1"/>
      <w:cols w:space="720" w:num="1"/>
      <w:docGrid w:linePitch="318" w:charSpace="19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TimesNewRoman">
    <w:altName w:val="微软雅黑"/>
    <w:panose1 w:val="00000000000000000000"/>
    <w:charset w:val="00"/>
    <w:family w:val="auto"/>
    <w:pitch w:val="default"/>
    <w:sig w:usb0="00000000" w:usb1="00000000" w:usb2="00000000" w:usb3="00000000" w:csb0="00040001" w:csb1="00000000"/>
  </w:font>
  <w:font w:name="文鼎大标宋">
    <w:altName w:val="新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 MERGEFORMAT </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 MERGEFORMAT </w:instrText>
    </w:r>
    <w:r>
      <w:fldChar w:fldCharType="separate"/>
    </w:r>
    <w:r>
      <w:rPr>
        <w:lang w:val="zh-CN"/>
      </w:rPr>
      <w:t>12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1"/>
  <w:bordersDoNotSurroundFooter w:val="1"/>
  <w:hideSpellingErrors/>
  <w:documentProtection w:enforcement="0"/>
  <w:defaultTabStop w:val="420"/>
  <w:drawingGridHorizontalSpacing w:val="211"/>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A28"/>
    <w:rsid w:val="00000269"/>
    <w:rsid w:val="000007E7"/>
    <w:rsid w:val="00000C3C"/>
    <w:rsid w:val="00000C8C"/>
    <w:rsid w:val="00003300"/>
    <w:rsid w:val="000033BC"/>
    <w:rsid w:val="000038E8"/>
    <w:rsid w:val="00003C39"/>
    <w:rsid w:val="00004171"/>
    <w:rsid w:val="00004A1D"/>
    <w:rsid w:val="00005393"/>
    <w:rsid w:val="000056B1"/>
    <w:rsid w:val="00005E20"/>
    <w:rsid w:val="00005E91"/>
    <w:rsid w:val="00006053"/>
    <w:rsid w:val="00006402"/>
    <w:rsid w:val="00006794"/>
    <w:rsid w:val="00006B32"/>
    <w:rsid w:val="00006D4F"/>
    <w:rsid w:val="00006E70"/>
    <w:rsid w:val="000074C9"/>
    <w:rsid w:val="00007B0C"/>
    <w:rsid w:val="00010324"/>
    <w:rsid w:val="0001068C"/>
    <w:rsid w:val="00011197"/>
    <w:rsid w:val="00011397"/>
    <w:rsid w:val="00011A5B"/>
    <w:rsid w:val="00011D87"/>
    <w:rsid w:val="00011E58"/>
    <w:rsid w:val="0001230A"/>
    <w:rsid w:val="0001271C"/>
    <w:rsid w:val="00012A0F"/>
    <w:rsid w:val="00012B6B"/>
    <w:rsid w:val="0001413A"/>
    <w:rsid w:val="000141EB"/>
    <w:rsid w:val="000143F4"/>
    <w:rsid w:val="00014595"/>
    <w:rsid w:val="000148CF"/>
    <w:rsid w:val="00014C6D"/>
    <w:rsid w:val="00014E6C"/>
    <w:rsid w:val="00016D2D"/>
    <w:rsid w:val="000171A3"/>
    <w:rsid w:val="000178D9"/>
    <w:rsid w:val="00020059"/>
    <w:rsid w:val="000200DE"/>
    <w:rsid w:val="00020A66"/>
    <w:rsid w:val="00020DCE"/>
    <w:rsid w:val="000214E0"/>
    <w:rsid w:val="00021932"/>
    <w:rsid w:val="00022D44"/>
    <w:rsid w:val="00023D8A"/>
    <w:rsid w:val="00024418"/>
    <w:rsid w:val="0002493C"/>
    <w:rsid w:val="000261E6"/>
    <w:rsid w:val="00030151"/>
    <w:rsid w:val="000307A8"/>
    <w:rsid w:val="00030816"/>
    <w:rsid w:val="00030F47"/>
    <w:rsid w:val="000315C8"/>
    <w:rsid w:val="0003180A"/>
    <w:rsid w:val="0003221F"/>
    <w:rsid w:val="00032DD5"/>
    <w:rsid w:val="000330EC"/>
    <w:rsid w:val="00033348"/>
    <w:rsid w:val="00033392"/>
    <w:rsid w:val="00033B47"/>
    <w:rsid w:val="00033FA1"/>
    <w:rsid w:val="00034CEE"/>
    <w:rsid w:val="00034D3D"/>
    <w:rsid w:val="00034D50"/>
    <w:rsid w:val="00035501"/>
    <w:rsid w:val="0003560D"/>
    <w:rsid w:val="00035879"/>
    <w:rsid w:val="00036D18"/>
    <w:rsid w:val="0004182C"/>
    <w:rsid w:val="00041FF5"/>
    <w:rsid w:val="000425FB"/>
    <w:rsid w:val="00043326"/>
    <w:rsid w:val="00043CF3"/>
    <w:rsid w:val="00043F80"/>
    <w:rsid w:val="000445FC"/>
    <w:rsid w:val="00044ECD"/>
    <w:rsid w:val="00045AF5"/>
    <w:rsid w:val="00045CA5"/>
    <w:rsid w:val="00045DD3"/>
    <w:rsid w:val="00045EAF"/>
    <w:rsid w:val="00046073"/>
    <w:rsid w:val="000474C3"/>
    <w:rsid w:val="00047F06"/>
    <w:rsid w:val="00050B40"/>
    <w:rsid w:val="0005157B"/>
    <w:rsid w:val="00051D1F"/>
    <w:rsid w:val="00051D55"/>
    <w:rsid w:val="00052433"/>
    <w:rsid w:val="00054458"/>
    <w:rsid w:val="00056316"/>
    <w:rsid w:val="00056E51"/>
    <w:rsid w:val="00056EB8"/>
    <w:rsid w:val="00057D54"/>
    <w:rsid w:val="00057E79"/>
    <w:rsid w:val="000609A3"/>
    <w:rsid w:val="00060D0E"/>
    <w:rsid w:val="00060D4E"/>
    <w:rsid w:val="00061400"/>
    <w:rsid w:val="00061E9C"/>
    <w:rsid w:val="00062275"/>
    <w:rsid w:val="00062B7C"/>
    <w:rsid w:val="00062F72"/>
    <w:rsid w:val="00063343"/>
    <w:rsid w:val="00063B8F"/>
    <w:rsid w:val="00063D16"/>
    <w:rsid w:val="00063DB9"/>
    <w:rsid w:val="00063E8B"/>
    <w:rsid w:val="000643CD"/>
    <w:rsid w:val="000643F1"/>
    <w:rsid w:val="000644A4"/>
    <w:rsid w:val="00064992"/>
    <w:rsid w:val="000657BE"/>
    <w:rsid w:val="000662B6"/>
    <w:rsid w:val="000664C9"/>
    <w:rsid w:val="0006690A"/>
    <w:rsid w:val="00066E1C"/>
    <w:rsid w:val="0006722E"/>
    <w:rsid w:val="00067270"/>
    <w:rsid w:val="000673F7"/>
    <w:rsid w:val="000707E3"/>
    <w:rsid w:val="00070B4B"/>
    <w:rsid w:val="00070CB6"/>
    <w:rsid w:val="000711F5"/>
    <w:rsid w:val="0007233B"/>
    <w:rsid w:val="00072401"/>
    <w:rsid w:val="0007325C"/>
    <w:rsid w:val="0007354A"/>
    <w:rsid w:val="000743B2"/>
    <w:rsid w:val="00074B40"/>
    <w:rsid w:val="000751B6"/>
    <w:rsid w:val="000756A3"/>
    <w:rsid w:val="00075C9D"/>
    <w:rsid w:val="00075CA8"/>
    <w:rsid w:val="00077026"/>
    <w:rsid w:val="00080972"/>
    <w:rsid w:val="00080FB8"/>
    <w:rsid w:val="000827AA"/>
    <w:rsid w:val="00082D80"/>
    <w:rsid w:val="00082F89"/>
    <w:rsid w:val="00083357"/>
    <w:rsid w:val="00083806"/>
    <w:rsid w:val="00084832"/>
    <w:rsid w:val="0008634F"/>
    <w:rsid w:val="00087519"/>
    <w:rsid w:val="0008752D"/>
    <w:rsid w:val="0008791C"/>
    <w:rsid w:val="00087F01"/>
    <w:rsid w:val="0009061A"/>
    <w:rsid w:val="00090AC5"/>
    <w:rsid w:val="00090B53"/>
    <w:rsid w:val="00090F61"/>
    <w:rsid w:val="00091671"/>
    <w:rsid w:val="0009294C"/>
    <w:rsid w:val="00092FFD"/>
    <w:rsid w:val="000935B7"/>
    <w:rsid w:val="00094869"/>
    <w:rsid w:val="000952C0"/>
    <w:rsid w:val="00095D76"/>
    <w:rsid w:val="00095E15"/>
    <w:rsid w:val="00096A89"/>
    <w:rsid w:val="00096AF9"/>
    <w:rsid w:val="00096B9E"/>
    <w:rsid w:val="00096D19"/>
    <w:rsid w:val="0009764F"/>
    <w:rsid w:val="0009796C"/>
    <w:rsid w:val="00097AFA"/>
    <w:rsid w:val="000A0129"/>
    <w:rsid w:val="000A1127"/>
    <w:rsid w:val="000A1B23"/>
    <w:rsid w:val="000A32A0"/>
    <w:rsid w:val="000A3649"/>
    <w:rsid w:val="000A37FA"/>
    <w:rsid w:val="000A3BE2"/>
    <w:rsid w:val="000A414F"/>
    <w:rsid w:val="000A4258"/>
    <w:rsid w:val="000A4391"/>
    <w:rsid w:val="000A472B"/>
    <w:rsid w:val="000A47F9"/>
    <w:rsid w:val="000A48C6"/>
    <w:rsid w:val="000A4DD0"/>
    <w:rsid w:val="000A5457"/>
    <w:rsid w:val="000A5A40"/>
    <w:rsid w:val="000A5C23"/>
    <w:rsid w:val="000A6884"/>
    <w:rsid w:val="000A7873"/>
    <w:rsid w:val="000A7A45"/>
    <w:rsid w:val="000B19A9"/>
    <w:rsid w:val="000B2331"/>
    <w:rsid w:val="000B2BFC"/>
    <w:rsid w:val="000B309A"/>
    <w:rsid w:val="000B3D38"/>
    <w:rsid w:val="000B4658"/>
    <w:rsid w:val="000B4B9E"/>
    <w:rsid w:val="000B4CF9"/>
    <w:rsid w:val="000B651D"/>
    <w:rsid w:val="000B68B3"/>
    <w:rsid w:val="000B6A20"/>
    <w:rsid w:val="000B6E76"/>
    <w:rsid w:val="000B7191"/>
    <w:rsid w:val="000B7293"/>
    <w:rsid w:val="000B7722"/>
    <w:rsid w:val="000C0184"/>
    <w:rsid w:val="000C3164"/>
    <w:rsid w:val="000C31E6"/>
    <w:rsid w:val="000C3BD0"/>
    <w:rsid w:val="000C44D0"/>
    <w:rsid w:val="000C49A2"/>
    <w:rsid w:val="000C4CAB"/>
    <w:rsid w:val="000C59F8"/>
    <w:rsid w:val="000C60B3"/>
    <w:rsid w:val="000C6598"/>
    <w:rsid w:val="000C6910"/>
    <w:rsid w:val="000C7057"/>
    <w:rsid w:val="000C72D4"/>
    <w:rsid w:val="000C7872"/>
    <w:rsid w:val="000D064E"/>
    <w:rsid w:val="000D0A9E"/>
    <w:rsid w:val="000D17B2"/>
    <w:rsid w:val="000D20C7"/>
    <w:rsid w:val="000D2BD3"/>
    <w:rsid w:val="000D2BF6"/>
    <w:rsid w:val="000D2CC4"/>
    <w:rsid w:val="000D306C"/>
    <w:rsid w:val="000D4AED"/>
    <w:rsid w:val="000D56E0"/>
    <w:rsid w:val="000D58DF"/>
    <w:rsid w:val="000D58ED"/>
    <w:rsid w:val="000D669B"/>
    <w:rsid w:val="000D6740"/>
    <w:rsid w:val="000D7990"/>
    <w:rsid w:val="000D7D47"/>
    <w:rsid w:val="000E02D6"/>
    <w:rsid w:val="000E039C"/>
    <w:rsid w:val="000E0745"/>
    <w:rsid w:val="000E075C"/>
    <w:rsid w:val="000E09BC"/>
    <w:rsid w:val="000E151C"/>
    <w:rsid w:val="000E16C4"/>
    <w:rsid w:val="000E1CFA"/>
    <w:rsid w:val="000E24AA"/>
    <w:rsid w:val="000E2654"/>
    <w:rsid w:val="000E2A70"/>
    <w:rsid w:val="000E3156"/>
    <w:rsid w:val="000E338C"/>
    <w:rsid w:val="000E38D3"/>
    <w:rsid w:val="000E4829"/>
    <w:rsid w:val="000E5AEC"/>
    <w:rsid w:val="000E5BF9"/>
    <w:rsid w:val="000E5C7E"/>
    <w:rsid w:val="000E61FE"/>
    <w:rsid w:val="000E6A19"/>
    <w:rsid w:val="000E735C"/>
    <w:rsid w:val="000E7433"/>
    <w:rsid w:val="000F01AF"/>
    <w:rsid w:val="000F0B0A"/>
    <w:rsid w:val="000F178F"/>
    <w:rsid w:val="000F20E3"/>
    <w:rsid w:val="000F31A0"/>
    <w:rsid w:val="000F3D2F"/>
    <w:rsid w:val="000F41C7"/>
    <w:rsid w:val="000F4364"/>
    <w:rsid w:val="000F667D"/>
    <w:rsid w:val="000F688A"/>
    <w:rsid w:val="000F6E29"/>
    <w:rsid w:val="000F767A"/>
    <w:rsid w:val="00100037"/>
    <w:rsid w:val="001008B5"/>
    <w:rsid w:val="00101014"/>
    <w:rsid w:val="00101C26"/>
    <w:rsid w:val="00101C96"/>
    <w:rsid w:val="00101DA4"/>
    <w:rsid w:val="0010264E"/>
    <w:rsid w:val="00102C58"/>
    <w:rsid w:val="00102DCE"/>
    <w:rsid w:val="00102FFC"/>
    <w:rsid w:val="001031FB"/>
    <w:rsid w:val="00103D7F"/>
    <w:rsid w:val="0010409A"/>
    <w:rsid w:val="001053AA"/>
    <w:rsid w:val="00105A97"/>
    <w:rsid w:val="0010624E"/>
    <w:rsid w:val="001065D4"/>
    <w:rsid w:val="0011059A"/>
    <w:rsid w:val="001105CA"/>
    <w:rsid w:val="001106DF"/>
    <w:rsid w:val="001108FB"/>
    <w:rsid w:val="00110CB1"/>
    <w:rsid w:val="0011158E"/>
    <w:rsid w:val="0011175F"/>
    <w:rsid w:val="00112872"/>
    <w:rsid w:val="0011289C"/>
    <w:rsid w:val="00112982"/>
    <w:rsid w:val="001133F4"/>
    <w:rsid w:val="00113C7C"/>
    <w:rsid w:val="00113E4B"/>
    <w:rsid w:val="00114302"/>
    <w:rsid w:val="00114522"/>
    <w:rsid w:val="001149B9"/>
    <w:rsid w:val="00115662"/>
    <w:rsid w:val="00115688"/>
    <w:rsid w:val="00116650"/>
    <w:rsid w:val="001169C0"/>
    <w:rsid w:val="00117F75"/>
    <w:rsid w:val="00120028"/>
    <w:rsid w:val="00120E30"/>
    <w:rsid w:val="001221D0"/>
    <w:rsid w:val="0012292F"/>
    <w:rsid w:val="00123627"/>
    <w:rsid w:val="0012383C"/>
    <w:rsid w:val="00123875"/>
    <w:rsid w:val="0012389C"/>
    <w:rsid w:val="00123909"/>
    <w:rsid w:val="001239C6"/>
    <w:rsid w:val="00123DF6"/>
    <w:rsid w:val="0012446C"/>
    <w:rsid w:val="001245AD"/>
    <w:rsid w:val="0012560F"/>
    <w:rsid w:val="00126374"/>
    <w:rsid w:val="00126BFC"/>
    <w:rsid w:val="001305D5"/>
    <w:rsid w:val="00130662"/>
    <w:rsid w:val="0013082D"/>
    <w:rsid w:val="00130FF7"/>
    <w:rsid w:val="00131793"/>
    <w:rsid w:val="0013180A"/>
    <w:rsid w:val="0013290D"/>
    <w:rsid w:val="00132F60"/>
    <w:rsid w:val="00133F3C"/>
    <w:rsid w:val="001340F2"/>
    <w:rsid w:val="0013426C"/>
    <w:rsid w:val="00134292"/>
    <w:rsid w:val="00135D97"/>
    <w:rsid w:val="00136160"/>
    <w:rsid w:val="00136711"/>
    <w:rsid w:val="00136872"/>
    <w:rsid w:val="00136A5E"/>
    <w:rsid w:val="00136B59"/>
    <w:rsid w:val="0013703E"/>
    <w:rsid w:val="0013759C"/>
    <w:rsid w:val="00140051"/>
    <w:rsid w:val="001400DA"/>
    <w:rsid w:val="0014103F"/>
    <w:rsid w:val="00141409"/>
    <w:rsid w:val="001414FE"/>
    <w:rsid w:val="00142032"/>
    <w:rsid w:val="001421DE"/>
    <w:rsid w:val="001422B3"/>
    <w:rsid w:val="00142449"/>
    <w:rsid w:val="0014283D"/>
    <w:rsid w:val="00143C09"/>
    <w:rsid w:val="00143CFF"/>
    <w:rsid w:val="00144980"/>
    <w:rsid w:val="00145190"/>
    <w:rsid w:val="001457F9"/>
    <w:rsid w:val="001471F1"/>
    <w:rsid w:val="00147985"/>
    <w:rsid w:val="001500F9"/>
    <w:rsid w:val="00151414"/>
    <w:rsid w:val="0015231A"/>
    <w:rsid w:val="00153211"/>
    <w:rsid w:val="0015326A"/>
    <w:rsid w:val="00153674"/>
    <w:rsid w:val="00153BEB"/>
    <w:rsid w:val="00153D8F"/>
    <w:rsid w:val="001548F0"/>
    <w:rsid w:val="00154DB1"/>
    <w:rsid w:val="001553A9"/>
    <w:rsid w:val="001556CC"/>
    <w:rsid w:val="00155DB4"/>
    <w:rsid w:val="0015652C"/>
    <w:rsid w:val="00156D67"/>
    <w:rsid w:val="00156EBA"/>
    <w:rsid w:val="00156F7C"/>
    <w:rsid w:val="00157CDE"/>
    <w:rsid w:val="00157E7E"/>
    <w:rsid w:val="00161715"/>
    <w:rsid w:val="00161B69"/>
    <w:rsid w:val="00162714"/>
    <w:rsid w:val="001639C4"/>
    <w:rsid w:val="001639E1"/>
    <w:rsid w:val="00163F71"/>
    <w:rsid w:val="00163FDE"/>
    <w:rsid w:val="001644FC"/>
    <w:rsid w:val="001645F1"/>
    <w:rsid w:val="00164CC2"/>
    <w:rsid w:val="001652D6"/>
    <w:rsid w:val="00165F47"/>
    <w:rsid w:val="00166906"/>
    <w:rsid w:val="00167917"/>
    <w:rsid w:val="001710E7"/>
    <w:rsid w:val="00171150"/>
    <w:rsid w:val="001723A5"/>
    <w:rsid w:val="001723E1"/>
    <w:rsid w:val="00172A81"/>
    <w:rsid w:val="00172BD7"/>
    <w:rsid w:val="001730E8"/>
    <w:rsid w:val="00173BA9"/>
    <w:rsid w:val="001749AC"/>
    <w:rsid w:val="001749F2"/>
    <w:rsid w:val="00175247"/>
    <w:rsid w:val="001754FE"/>
    <w:rsid w:val="001757CF"/>
    <w:rsid w:val="00175C8F"/>
    <w:rsid w:val="0017669A"/>
    <w:rsid w:val="001767D1"/>
    <w:rsid w:val="0017683B"/>
    <w:rsid w:val="001768B2"/>
    <w:rsid w:val="0017695E"/>
    <w:rsid w:val="00176DCB"/>
    <w:rsid w:val="00176E98"/>
    <w:rsid w:val="00177237"/>
    <w:rsid w:val="00180378"/>
    <w:rsid w:val="00180EB8"/>
    <w:rsid w:val="001825B3"/>
    <w:rsid w:val="001838F8"/>
    <w:rsid w:val="00183990"/>
    <w:rsid w:val="00183D69"/>
    <w:rsid w:val="00184DC6"/>
    <w:rsid w:val="00184F65"/>
    <w:rsid w:val="00184FAD"/>
    <w:rsid w:val="0018587A"/>
    <w:rsid w:val="00185A59"/>
    <w:rsid w:val="00185AAA"/>
    <w:rsid w:val="00187186"/>
    <w:rsid w:val="00187603"/>
    <w:rsid w:val="0019092A"/>
    <w:rsid w:val="00190FD2"/>
    <w:rsid w:val="001919F3"/>
    <w:rsid w:val="00191A83"/>
    <w:rsid w:val="00191F06"/>
    <w:rsid w:val="00192337"/>
    <w:rsid w:val="0019245B"/>
    <w:rsid w:val="00192DEE"/>
    <w:rsid w:val="00192E20"/>
    <w:rsid w:val="0019313D"/>
    <w:rsid w:val="001931A7"/>
    <w:rsid w:val="00193762"/>
    <w:rsid w:val="001937F3"/>
    <w:rsid w:val="00193A8E"/>
    <w:rsid w:val="001951B1"/>
    <w:rsid w:val="00196D57"/>
    <w:rsid w:val="00197EF2"/>
    <w:rsid w:val="001A147B"/>
    <w:rsid w:val="001A1B21"/>
    <w:rsid w:val="001A1B2B"/>
    <w:rsid w:val="001A25A8"/>
    <w:rsid w:val="001A3684"/>
    <w:rsid w:val="001A380A"/>
    <w:rsid w:val="001A48AE"/>
    <w:rsid w:val="001A4B83"/>
    <w:rsid w:val="001A4D18"/>
    <w:rsid w:val="001A5E7F"/>
    <w:rsid w:val="001A5F05"/>
    <w:rsid w:val="001A6106"/>
    <w:rsid w:val="001A6A8E"/>
    <w:rsid w:val="001A723A"/>
    <w:rsid w:val="001A7A74"/>
    <w:rsid w:val="001A7C25"/>
    <w:rsid w:val="001B0E3A"/>
    <w:rsid w:val="001B13C2"/>
    <w:rsid w:val="001B18EA"/>
    <w:rsid w:val="001B1E86"/>
    <w:rsid w:val="001B2521"/>
    <w:rsid w:val="001B2B66"/>
    <w:rsid w:val="001B2B73"/>
    <w:rsid w:val="001B44C4"/>
    <w:rsid w:val="001B5AAF"/>
    <w:rsid w:val="001B5BFF"/>
    <w:rsid w:val="001B6032"/>
    <w:rsid w:val="001B660E"/>
    <w:rsid w:val="001B6D49"/>
    <w:rsid w:val="001B7AC5"/>
    <w:rsid w:val="001B7BB7"/>
    <w:rsid w:val="001B7EAD"/>
    <w:rsid w:val="001C043D"/>
    <w:rsid w:val="001C0649"/>
    <w:rsid w:val="001C26BD"/>
    <w:rsid w:val="001C2734"/>
    <w:rsid w:val="001C2C23"/>
    <w:rsid w:val="001C360C"/>
    <w:rsid w:val="001C3C3E"/>
    <w:rsid w:val="001C4381"/>
    <w:rsid w:val="001C4ECE"/>
    <w:rsid w:val="001C511A"/>
    <w:rsid w:val="001C645A"/>
    <w:rsid w:val="001C68FB"/>
    <w:rsid w:val="001C6BA4"/>
    <w:rsid w:val="001C745E"/>
    <w:rsid w:val="001C74F2"/>
    <w:rsid w:val="001C7C4F"/>
    <w:rsid w:val="001D00DF"/>
    <w:rsid w:val="001D0683"/>
    <w:rsid w:val="001D0922"/>
    <w:rsid w:val="001D0DA1"/>
    <w:rsid w:val="001D1B5A"/>
    <w:rsid w:val="001D1D7D"/>
    <w:rsid w:val="001D1DB1"/>
    <w:rsid w:val="001D1E59"/>
    <w:rsid w:val="001D1EA6"/>
    <w:rsid w:val="001D2841"/>
    <w:rsid w:val="001D28C2"/>
    <w:rsid w:val="001D2A4D"/>
    <w:rsid w:val="001D2FD4"/>
    <w:rsid w:val="001D3639"/>
    <w:rsid w:val="001D4D3A"/>
    <w:rsid w:val="001D4E1E"/>
    <w:rsid w:val="001D5A4C"/>
    <w:rsid w:val="001D5E03"/>
    <w:rsid w:val="001D5F98"/>
    <w:rsid w:val="001D6100"/>
    <w:rsid w:val="001D6287"/>
    <w:rsid w:val="001D6972"/>
    <w:rsid w:val="001D746E"/>
    <w:rsid w:val="001D7E07"/>
    <w:rsid w:val="001D7ECD"/>
    <w:rsid w:val="001E09F0"/>
    <w:rsid w:val="001E0E42"/>
    <w:rsid w:val="001E0F28"/>
    <w:rsid w:val="001E1317"/>
    <w:rsid w:val="001E16BB"/>
    <w:rsid w:val="001E1A37"/>
    <w:rsid w:val="001E1A61"/>
    <w:rsid w:val="001E1B85"/>
    <w:rsid w:val="001E1F81"/>
    <w:rsid w:val="001E2471"/>
    <w:rsid w:val="001E2475"/>
    <w:rsid w:val="001E2A96"/>
    <w:rsid w:val="001E2CFA"/>
    <w:rsid w:val="001E4AAF"/>
    <w:rsid w:val="001E5136"/>
    <w:rsid w:val="001E54FC"/>
    <w:rsid w:val="001E5653"/>
    <w:rsid w:val="001E5DCC"/>
    <w:rsid w:val="001E6429"/>
    <w:rsid w:val="001E6A49"/>
    <w:rsid w:val="001E6F1F"/>
    <w:rsid w:val="001E72BE"/>
    <w:rsid w:val="001E779C"/>
    <w:rsid w:val="001E7D56"/>
    <w:rsid w:val="001F019F"/>
    <w:rsid w:val="001F0D72"/>
    <w:rsid w:val="001F1BC1"/>
    <w:rsid w:val="001F23A4"/>
    <w:rsid w:val="001F2433"/>
    <w:rsid w:val="001F2A74"/>
    <w:rsid w:val="001F3244"/>
    <w:rsid w:val="001F450E"/>
    <w:rsid w:val="001F4C0C"/>
    <w:rsid w:val="001F4E17"/>
    <w:rsid w:val="001F53ED"/>
    <w:rsid w:val="001F56B2"/>
    <w:rsid w:val="001F60C6"/>
    <w:rsid w:val="001F784D"/>
    <w:rsid w:val="001F79DE"/>
    <w:rsid w:val="001F7E80"/>
    <w:rsid w:val="0020160D"/>
    <w:rsid w:val="00202302"/>
    <w:rsid w:val="002027E3"/>
    <w:rsid w:val="0020287D"/>
    <w:rsid w:val="00202CEC"/>
    <w:rsid w:val="0020303A"/>
    <w:rsid w:val="00203716"/>
    <w:rsid w:val="002039A4"/>
    <w:rsid w:val="00203FD9"/>
    <w:rsid w:val="0020413F"/>
    <w:rsid w:val="0020488F"/>
    <w:rsid w:val="0020575F"/>
    <w:rsid w:val="002067A7"/>
    <w:rsid w:val="00207253"/>
    <w:rsid w:val="0020744F"/>
    <w:rsid w:val="002074F5"/>
    <w:rsid w:val="002077CE"/>
    <w:rsid w:val="00210924"/>
    <w:rsid w:val="00210E45"/>
    <w:rsid w:val="00211087"/>
    <w:rsid w:val="00211C03"/>
    <w:rsid w:val="00211E17"/>
    <w:rsid w:val="002132CC"/>
    <w:rsid w:val="002139D3"/>
    <w:rsid w:val="0021406C"/>
    <w:rsid w:val="00214C95"/>
    <w:rsid w:val="002161B2"/>
    <w:rsid w:val="00216A3A"/>
    <w:rsid w:val="002177C9"/>
    <w:rsid w:val="00217C7B"/>
    <w:rsid w:val="0022052E"/>
    <w:rsid w:val="0022076E"/>
    <w:rsid w:val="002209D4"/>
    <w:rsid w:val="00220A5D"/>
    <w:rsid w:val="00220C3F"/>
    <w:rsid w:val="00221480"/>
    <w:rsid w:val="0022169C"/>
    <w:rsid w:val="0022173F"/>
    <w:rsid w:val="00221BD1"/>
    <w:rsid w:val="00221E5D"/>
    <w:rsid w:val="00222332"/>
    <w:rsid w:val="00222449"/>
    <w:rsid w:val="00222953"/>
    <w:rsid w:val="0022354D"/>
    <w:rsid w:val="0022361A"/>
    <w:rsid w:val="00223783"/>
    <w:rsid w:val="00223BB9"/>
    <w:rsid w:val="002249F5"/>
    <w:rsid w:val="0022534C"/>
    <w:rsid w:val="00225AD9"/>
    <w:rsid w:val="00225BBB"/>
    <w:rsid w:val="00225E92"/>
    <w:rsid w:val="00231101"/>
    <w:rsid w:val="002317CB"/>
    <w:rsid w:val="00231BFD"/>
    <w:rsid w:val="00232112"/>
    <w:rsid w:val="00232DA1"/>
    <w:rsid w:val="00232EED"/>
    <w:rsid w:val="002330B4"/>
    <w:rsid w:val="002347EC"/>
    <w:rsid w:val="00234B63"/>
    <w:rsid w:val="00235624"/>
    <w:rsid w:val="00235C28"/>
    <w:rsid w:val="00236545"/>
    <w:rsid w:val="00237446"/>
    <w:rsid w:val="00237AD5"/>
    <w:rsid w:val="00241155"/>
    <w:rsid w:val="0024163D"/>
    <w:rsid w:val="002418DC"/>
    <w:rsid w:val="002426D2"/>
    <w:rsid w:val="002427A9"/>
    <w:rsid w:val="00242D8D"/>
    <w:rsid w:val="002430C1"/>
    <w:rsid w:val="0024348B"/>
    <w:rsid w:val="00245EBE"/>
    <w:rsid w:val="00245FCA"/>
    <w:rsid w:val="00246454"/>
    <w:rsid w:val="00246C32"/>
    <w:rsid w:val="00247161"/>
    <w:rsid w:val="002473C1"/>
    <w:rsid w:val="00250049"/>
    <w:rsid w:val="0025062F"/>
    <w:rsid w:val="00250BEF"/>
    <w:rsid w:val="00250DEF"/>
    <w:rsid w:val="00251101"/>
    <w:rsid w:val="00251DA4"/>
    <w:rsid w:val="0025251A"/>
    <w:rsid w:val="00252E7E"/>
    <w:rsid w:val="00252E8B"/>
    <w:rsid w:val="002535EB"/>
    <w:rsid w:val="00253DE1"/>
    <w:rsid w:val="0025414A"/>
    <w:rsid w:val="00254D2C"/>
    <w:rsid w:val="00254F00"/>
    <w:rsid w:val="00256355"/>
    <w:rsid w:val="002568D4"/>
    <w:rsid w:val="00256A97"/>
    <w:rsid w:val="00256D14"/>
    <w:rsid w:val="00256EB2"/>
    <w:rsid w:val="002576A8"/>
    <w:rsid w:val="00260094"/>
    <w:rsid w:val="00260377"/>
    <w:rsid w:val="00260BAE"/>
    <w:rsid w:val="002610C7"/>
    <w:rsid w:val="00261413"/>
    <w:rsid w:val="00261486"/>
    <w:rsid w:val="00261F8D"/>
    <w:rsid w:val="00261F92"/>
    <w:rsid w:val="0026265D"/>
    <w:rsid w:val="002628BC"/>
    <w:rsid w:val="00264C35"/>
    <w:rsid w:val="00265095"/>
    <w:rsid w:val="00265324"/>
    <w:rsid w:val="00266417"/>
    <w:rsid w:val="00266422"/>
    <w:rsid w:val="00266F97"/>
    <w:rsid w:val="0026752B"/>
    <w:rsid w:val="00267EDE"/>
    <w:rsid w:val="00267FA4"/>
    <w:rsid w:val="00270150"/>
    <w:rsid w:val="0027139A"/>
    <w:rsid w:val="002715AA"/>
    <w:rsid w:val="002719BE"/>
    <w:rsid w:val="00272AAD"/>
    <w:rsid w:val="00272BEC"/>
    <w:rsid w:val="0027338F"/>
    <w:rsid w:val="00273828"/>
    <w:rsid w:val="00273D73"/>
    <w:rsid w:val="002744C1"/>
    <w:rsid w:val="002745E0"/>
    <w:rsid w:val="0027487E"/>
    <w:rsid w:val="00275042"/>
    <w:rsid w:val="002750CD"/>
    <w:rsid w:val="002754E2"/>
    <w:rsid w:val="002758BD"/>
    <w:rsid w:val="00275ACD"/>
    <w:rsid w:val="00276395"/>
    <w:rsid w:val="002768DE"/>
    <w:rsid w:val="00276A22"/>
    <w:rsid w:val="0028063B"/>
    <w:rsid w:val="00280F23"/>
    <w:rsid w:val="00281AAA"/>
    <w:rsid w:val="00281C77"/>
    <w:rsid w:val="00281D6D"/>
    <w:rsid w:val="00281DBF"/>
    <w:rsid w:val="002822FE"/>
    <w:rsid w:val="00282F3A"/>
    <w:rsid w:val="0028305C"/>
    <w:rsid w:val="002837CA"/>
    <w:rsid w:val="002839AC"/>
    <w:rsid w:val="00283EB0"/>
    <w:rsid w:val="0028412C"/>
    <w:rsid w:val="00285A7A"/>
    <w:rsid w:val="00286F07"/>
    <w:rsid w:val="002901AE"/>
    <w:rsid w:val="00290565"/>
    <w:rsid w:val="00290621"/>
    <w:rsid w:val="00291949"/>
    <w:rsid w:val="0029233C"/>
    <w:rsid w:val="002925FD"/>
    <w:rsid w:val="002931A7"/>
    <w:rsid w:val="0029334B"/>
    <w:rsid w:val="00294631"/>
    <w:rsid w:val="00294961"/>
    <w:rsid w:val="002952B1"/>
    <w:rsid w:val="00295861"/>
    <w:rsid w:val="002961D5"/>
    <w:rsid w:val="00296A9B"/>
    <w:rsid w:val="00296F43"/>
    <w:rsid w:val="0029763B"/>
    <w:rsid w:val="00297B7C"/>
    <w:rsid w:val="002A0320"/>
    <w:rsid w:val="002A20E9"/>
    <w:rsid w:val="002A2811"/>
    <w:rsid w:val="002A297F"/>
    <w:rsid w:val="002A2B21"/>
    <w:rsid w:val="002A2EF8"/>
    <w:rsid w:val="002A2FD9"/>
    <w:rsid w:val="002A3F5C"/>
    <w:rsid w:val="002A4656"/>
    <w:rsid w:val="002A52CE"/>
    <w:rsid w:val="002A5A06"/>
    <w:rsid w:val="002A7848"/>
    <w:rsid w:val="002A7900"/>
    <w:rsid w:val="002B0490"/>
    <w:rsid w:val="002B0856"/>
    <w:rsid w:val="002B08E4"/>
    <w:rsid w:val="002B0911"/>
    <w:rsid w:val="002B0926"/>
    <w:rsid w:val="002B0947"/>
    <w:rsid w:val="002B1369"/>
    <w:rsid w:val="002B1836"/>
    <w:rsid w:val="002B1D7F"/>
    <w:rsid w:val="002B24EF"/>
    <w:rsid w:val="002B2571"/>
    <w:rsid w:val="002B302A"/>
    <w:rsid w:val="002B363E"/>
    <w:rsid w:val="002B3DED"/>
    <w:rsid w:val="002B4523"/>
    <w:rsid w:val="002B4A15"/>
    <w:rsid w:val="002B4C91"/>
    <w:rsid w:val="002B54B7"/>
    <w:rsid w:val="002B5E58"/>
    <w:rsid w:val="002B64E5"/>
    <w:rsid w:val="002B70C0"/>
    <w:rsid w:val="002B729A"/>
    <w:rsid w:val="002B76FE"/>
    <w:rsid w:val="002B7FE9"/>
    <w:rsid w:val="002C0113"/>
    <w:rsid w:val="002C04FC"/>
    <w:rsid w:val="002C0AE5"/>
    <w:rsid w:val="002C0D15"/>
    <w:rsid w:val="002C2436"/>
    <w:rsid w:val="002C27F1"/>
    <w:rsid w:val="002C2A9C"/>
    <w:rsid w:val="002C2FFF"/>
    <w:rsid w:val="002C31B5"/>
    <w:rsid w:val="002C35E5"/>
    <w:rsid w:val="002C3B5D"/>
    <w:rsid w:val="002C4AE8"/>
    <w:rsid w:val="002C5991"/>
    <w:rsid w:val="002C5CEC"/>
    <w:rsid w:val="002C6038"/>
    <w:rsid w:val="002C6049"/>
    <w:rsid w:val="002C6DE2"/>
    <w:rsid w:val="002D06E6"/>
    <w:rsid w:val="002D0848"/>
    <w:rsid w:val="002D0B51"/>
    <w:rsid w:val="002D0C38"/>
    <w:rsid w:val="002D0E75"/>
    <w:rsid w:val="002D1698"/>
    <w:rsid w:val="002D2292"/>
    <w:rsid w:val="002D294E"/>
    <w:rsid w:val="002D2B59"/>
    <w:rsid w:val="002D4E49"/>
    <w:rsid w:val="002D50A1"/>
    <w:rsid w:val="002D59A6"/>
    <w:rsid w:val="002E1386"/>
    <w:rsid w:val="002E1753"/>
    <w:rsid w:val="002E17DE"/>
    <w:rsid w:val="002E1B38"/>
    <w:rsid w:val="002E2109"/>
    <w:rsid w:val="002E4448"/>
    <w:rsid w:val="002E4973"/>
    <w:rsid w:val="002E4FFF"/>
    <w:rsid w:val="002E501D"/>
    <w:rsid w:val="002E586B"/>
    <w:rsid w:val="002E5BD0"/>
    <w:rsid w:val="002E5E29"/>
    <w:rsid w:val="002E6CF3"/>
    <w:rsid w:val="002F20F1"/>
    <w:rsid w:val="002F211B"/>
    <w:rsid w:val="002F23D1"/>
    <w:rsid w:val="002F43E3"/>
    <w:rsid w:val="002F471E"/>
    <w:rsid w:val="002F52F7"/>
    <w:rsid w:val="002F5A09"/>
    <w:rsid w:val="002F6EEF"/>
    <w:rsid w:val="002F6F71"/>
    <w:rsid w:val="002F7108"/>
    <w:rsid w:val="002F72DF"/>
    <w:rsid w:val="002F784C"/>
    <w:rsid w:val="002F7EFE"/>
    <w:rsid w:val="003003AA"/>
    <w:rsid w:val="00300927"/>
    <w:rsid w:val="00300A7C"/>
    <w:rsid w:val="0030173B"/>
    <w:rsid w:val="00302255"/>
    <w:rsid w:val="00302DBF"/>
    <w:rsid w:val="00302FEA"/>
    <w:rsid w:val="00303CEB"/>
    <w:rsid w:val="003042C7"/>
    <w:rsid w:val="003047A0"/>
    <w:rsid w:val="003047D8"/>
    <w:rsid w:val="00305403"/>
    <w:rsid w:val="00305766"/>
    <w:rsid w:val="00306082"/>
    <w:rsid w:val="00306104"/>
    <w:rsid w:val="003072D6"/>
    <w:rsid w:val="00307C05"/>
    <w:rsid w:val="00310253"/>
    <w:rsid w:val="00310EB3"/>
    <w:rsid w:val="0031113C"/>
    <w:rsid w:val="0031173C"/>
    <w:rsid w:val="003117C2"/>
    <w:rsid w:val="0031224A"/>
    <w:rsid w:val="003124AA"/>
    <w:rsid w:val="00312AC9"/>
    <w:rsid w:val="0031424E"/>
    <w:rsid w:val="003143FE"/>
    <w:rsid w:val="00314A44"/>
    <w:rsid w:val="003151AF"/>
    <w:rsid w:val="00315988"/>
    <w:rsid w:val="00316394"/>
    <w:rsid w:val="003169D7"/>
    <w:rsid w:val="003171FF"/>
    <w:rsid w:val="00320BE7"/>
    <w:rsid w:val="00320FFF"/>
    <w:rsid w:val="003214C7"/>
    <w:rsid w:val="00321949"/>
    <w:rsid w:val="00321A2D"/>
    <w:rsid w:val="00321BD3"/>
    <w:rsid w:val="00322050"/>
    <w:rsid w:val="00322A53"/>
    <w:rsid w:val="00323758"/>
    <w:rsid w:val="0032375D"/>
    <w:rsid w:val="00323FB7"/>
    <w:rsid w:val="003242F9"/>
    <w:rsid w:val="00325C00"/>
    <w:rsid w:val="003268D4"/>
    <w:rsid w:val="00326B5F"/>
    <w:rsid w:val="003277C6"/>
    <w:rsid w:val="003307BB"/>
    <w:rsid w:val="00330C0C"/>
    <w:rsid w:val="003319EC"/>
    <w:rsid w:val="00331B93"/>
    <w:rsid w:val="00332146"/>
    <w:rsid w:val="00332410"/>
    <w:rsid w:val="00332453"/>
    <w:rsid w:val="00332C3E"/>
    <w:rsid w:val="0033451C"/>
    <w:rsid w:val="0033475F"/>
    <w:rsid w:val="00334A43"/>
    <w:rsid w:val="00334EAC"/>
    <w:rsid w:val="00334EE0"/>
    <w:rsid w:val="00335B3B"/>
    <w:rsid w:val="00336088"/>
    <w:rsid w:val="00336257"/>
    <w:rsid w:val="00336825"/>
    <w:rsid w:val="00336929"/>
    <w:rsid w:val="00336E00"/>
    <w:rsid w:val="00340789"/>
    <w:rsid w:val="003410D7"/>
    <w:rsid w:val="0034120C"/>
    <w:rsid w:val="00341C32"/>
    <w:rsid w:val="00341D5F"/>
    <w:rsid w:val="003424C9"/>
    <w:rsid w:val="0034285F"/>
    <w:rsid w:val="0034487F"/>
    <w:rsid w:val="00344893"/>
    <w:rsid w:val="00344CD3"/>
    <w:rsid w:val="00344F76"/>
    <w:rsid w:val="003454F0"/>
    <w:rsid w:val="003462D9"/>
    <w:rsid w:val="00346437"/>
    <w:rsid w:val="003464AC"/>
    <w:rsid w:val="003467CB"/>
    <w:rsid w:val="00346B1A"/>
    <w:rsid w:val="00346C93"/>
    <w:rsid w:val="003473F5"/>
    <w:rsid w:val="00350416"/>
    <w:rsid w:val="0035120E"/>
    <w:rsid w:val="003526F8"/>
    <w:rsid w:val="0035270F"/>
    <w:rsid w:val="003529C6"/>
    <w:rsid w:val="00352D2C"/>
    <w:rsid w:val="00352D81"/>
    <w:rsid w:val="00353561"/>
    <w:rsid w:val="00353AEE"/>
    <w:rsid w:val="0035429F"/>
    <w:rsid w:val="00354597"/>
    <w:rsid w:val="00354A73"/>
    <w:rsid w:val="00354DDD"/>
    <w:rsid w:val="003550D3"/>
    <w:rsid w:val="0035603A"/>
    <w:rsid w:val="00356207"/>
    <w:rsid w:val="003565F4"/>
    <w:rsid w:val="00357A68"/>
    <w:rsid w:val="00357C71"/>
    <w:rsid w:val="0036180A"/>
    <w:rsid w:val="003619E2"/>
    <w:rsid w:val="00361DFD"/>
    <w:rsid w:val="003622C8"/>
    <w:rsid w:val="0036282A"/>
    <w:rsid w:val="00364600"/>
    <w:rsid w:val="00364C87"/>
    <w:rsid w:val="00364D27"/>
    <w:rsid w:val="00365605"/>
    <w:rsid w:val="00365607"/>
    <w:rsid w:val="00365642"/>
    <w:rsid w:val="00366198"/>
    <w:rsid w:val="00366211"/>
    <w:rsid w:val="00366558"/>
    <w:rsid w:val="003676CB"/>
    <w:rsid w:val="00370698"/>
    <w:rsid w:val="00370704"/>
    <w:rsid w:val="00370BA7"/>
    <w:rsid w:val="00370ED5"/>
    <w:rsid w:val="0037117D"/>
    <w:rsid w:val="00371543"/>
    <w:rsid w:val="003718BF"/>
    <w:rsid w:val="0037246F"/>
    <w:rsid w:val="0037271F"/>
    <w:rsid w:val="0037298A"/>
    <w:rsid w:val="00372B7F"/>
    <w:rsid w:val="00373E11"/>
    <w:rsid w:val="003745C8"/>
    <w:rsid w:val="00374687"/>
    <w:rsid w:val="003747E9"/>
    <w:rsid w:val="003748DA"/>
    <w:rsid w:val="00376256"/>
    <w:rsid w:val="00376B69"/>
    <w:rsid w:val="003770B8"/>
    <w:rsid w:val="003770DC"/>
    <w:rsid w:val="00377BF4"/>
    <w:rsid w:val="00377DC1"/>
    <w:rsid w:val="00380963"/>
    <w:rsid w:val="00380A5B"/>
    <w:rsid w:val="00380CCB"/>
    <w:rsid w:val="00381570"/>
    <w:rsid w:val="003815B7"/>
    <w:rsid w:val="003817AF"/>
    <w:rsid w:val="003819EE"/>
    <w:rsid w:val="00382055"/>
    <w:rsid w:val="0038470A"/>
    <w:rsid w:val="00384AFA"/>
    <w:rsid w:val="00384E3B"/>
    <w:rsid w:val="00384F37"/>
    <w:rsid w:val="00385124"/>
    <w:rsid w:val="003852C2"/>
    <w:rsid w:val="00385381"/>
    <w:rsid w:val="00387195"/>
    <w:rsid w:val="00387EF9"/>
    <w:rsid w:val="00390C0A"/>
    <w:rsid w:val="00391B9B"/>
    <w:rsid w:val="0039250E"/>
    <w:rsid w:val="00392649"/>
    <w:rsid w:val="00392971"/>
    <w:rsid w:val="00392AAC"/>
    <w:rsid w:val="0039320D"/>
    <w:rsid w:val="003932C1"/>
    <w:rsid w:val="0039338F"/>
    <w:rsid w:val="0039384D"/>
    <w:rsid w:val="00393FA9"/>
    <w:rsid w:val="003942FE"/>
    <w:rsid w:val="00395091"/>
    <w:rsid w:val="003953ED"/>
    <w:rsid w:val="003960E1"/>
    <w:rsid w:val="00396165"/>
    <w:rsid w:val="003966B8"/>
    <w:rsid w:val="0039704A"/>
    <w:rsid w:val="00397CA2"/>
    <w:rsid w:val="00397F63"/>
    <w:rsid w:val="003A1639"/>
    <w:rsid w:val="003A18B9"/>
    <w:rsid w:val="003A2105"/>
    <w:rsid w:val="003A2D47"/>
    <w:rsid w:val="003A603F"/>
    <w:rsid w:val="003A6C7D"/>
    <w:rsid w:val="003A773A"/>
    <w:rsid w:val="003A7919"/>
    <w:rsid w:val="003A7ECE"/>
    <w:rsid w:val="003B01D2"/>
    <w:rsid w:val="003B0201"/>
    <w:rsid w:val="003B05DE"/>
    <w:rsid w:val="003B0F0D"/>
    <w:rsid w:val="003B1120"/>
    <w:rsid w:val="003B14AF"/>
    <w:rsid w:val="003B1646"/>
    <w:rsid w:val="003B188A"/>
    <w:rsid w:val="003B1BB4"/>
    <w:rsid w:val="003B1EA8"/>
    <w:rsid w:val="003B1ED1"/>
    <w:rsid w:val="003B27C0"/>
    <w:rsid w:val="003B31B7"/>
    <w:rsid w:val="003B33F4"/>
    <w:rsid w:val="003B371D"/>
    <w:rsid w:val="003B3E07"/>
    <w:rsid w:val="003B46D1"/>
    <w:rsid w:val="003B4B10"/>
    <w:rsid w:val="003B5640"/>
    <w:rsid w:val="003B593D"/>
    <w:rsid w:val="003B5B23"/>
    <w:rsid w:val="003B5CB4"/>
    <w:rsid w:val="003B647C"/>
    <w:rsid w:val="003B6D3C"/>
    <w:rsid w:val="003B706A"/>
    <w:rsid w:val="003B729D"/>
    <w:rsid w:val="003B766C"/>
    <w:rsid w:val="003B79CF"/>
    <w:rsid w:val="003B7D2A"/>
    <w:rsid w:val="003C0EB8"/>
    <w:rsid w:val="003C11F9"/>
    <w:rsid w:val="003C164D"/>
    <w:rsid w:val="003C2776"/>
    <w:rsid w:val="003C2C3D"/>
    <w:rsid w:val="003C3812"/>
    <w:rsid w:val="003C412B"/>
    <w:rsid w:val="003C4520"/>
    <w:rsid w:val="003C6C2D"/>
    <w:rsid w:val="003C7126"/>
    <w:rsid w:val="003C74F3"/>
    <w:rsid w:val="003C75C3"/>
    <w:rsid w:val="003C7841"/>
    <w:rsid w:val="003D0473"/>
    <w:rsid w:val="003D1343"/>
    <w:rsid w:val="003D1D0E"/>
    <w:rsid w:val="003D1EB1"/>
    <w:rsid w:val="003D20D8"/>
    <w:rsid w:val="003D2799"/>
    <w:rsid w:val="003D2DCB"/>
    <w:rsid w:val="003D2F6D"/>
    <w:rsid w:val="003D316F"/>
    <w:rsid w:val="003D34E1"/>
    <w:rsid w:val="003D36ED"/>
    <w:rsid w:val="003D3839"/>
    <w:rsid w:val="003D420D"/>
    <w:rsid w:val="003D436C"/>
    <w:rsid w:val="003D45BA"/>
    <w:rsid w:val="003D4BB5"/>
    <w:rsid w:val="003D4E1C"/>
    <w:rsid w:val="003D5DBF"/>
    <w:rsid w:val="003D6042"/>
    <w:rsid w:val="003D6A19"/>
    <w:rsid w:val="003D786C"/>
    <w:rsid w:val="003D79A7"/>
    <w:rsid w:val="003D7C40"/>
    <w:rsid w:val="003E055A"/>
    <w:rsid w:val="003E09E1"/>
    <w:rsid w:val="003E102A"/>
    <w:rsid w:val="003E17DD"/>
    <w:rsid w:val="003E1D6D"/>
    <w:rsid w:val="003E1DEE"/>
    <w:rsid w:val="003E2200"/>
    <w:rsid w:val="003E2CEA"/>
    <w:rsid w:val="003E352F"/>
    <w:rsid w:val="003E3EF3"/>
    <w:rsid w:val="003E4210"/>
    <w:rsid w:val="003E569C"/>
    <w:rsid w:val="003E62C3"/>
    <w:rsid w:val="003E7AE6"/>
    <w:rsid w:val="003E7D37"/>
    <w:rsid w:val="003F0744"/>
    <w:rsid w:val="003F183D"/>
    <w:rsid w:val="003F1E46"/>
    <w:rsid w:val="003F2511"/>
    <w:rsid w:val="003F26C1"/>
    <w:rsid w:val="003F46A6"/>
    <w:rsid w:val="003F6CA9"/>
    <w:rsid w:val="003F6D39"/>
    <w:rsid w:val="003F6E71"/>
    <w:rsid w:val="003F7A2A"/>
    <w:rsid w:val="003F7EF4"/>
    <w:rsid w:val="00400A29"/>
    <w:rsid w:val="004032B3"/>
    <w:rsid w:val="00403CB2"/>
    <w:rsid w:val="004050CD"/>
    <w:rsid w:val="0040584F"/>
    <w:rsid w:val="00405A70"/>
    <w:rsid w:val="0040607E"/>
    <w:rsid w:val="00406556"/>
    <w:rsid w:val="00406B02"/>
    <w:rsid w:val="0040779D"/>
    <w:rsid w:val="004079CB"/>
    <w:rsid w:val="00407F3A"/>
    <w:rsid w:val="004105DA"/>
    <w:rsid w:val="00410A24"/>
    <w:rsid w:val="00411096"/>
    <w:rsid w:val="004133E3"/>
    <w:rsid w:val="00413EF3"/>
    <w:rsid w:val="00413F8E"/>
    <w:rsid w:val="004141EB"/>
    <w:rsid w:val="00414EA6"/>
    <w:rsid w:val="00414EB7"/>
    <w:rsid w:val="00415108"/>
    <w:rsid w:val="00415838"/>
    <w:rsid w:val="004168EF"/>
    <w:rsid w:val="0041716D"/>
    <w:rsid w:val="004179EC"/>
    <w:rsid w:val="00417A15"/>
    <w:rsid w:val="00417A64"/>
    <w:rsid w:val="00417F21"/>
    <w:rsid w:val="004207CA"/>
    <w:rsid w:val="004210D4"/>
    <w:rsid w:val="00422CFA"/>
    <w:rsid w:val="00423181"/>
    <w:rsid w:val="00423CB2"/>
    <w:rsid w:val="004251DB"/>
    <w:rsid w:val="0042543A"/>
    <w:rsid w:val="0042559F"/>
    <w:rsid w:val="00425A8B"/>
    <w:rsid w:val="004265F6"/>
    <w:rsid w:val="00426D70"/>
    <w:rsid w:val="0042782F"/>
    <w:rsid w:val="00430285"/>
    <w:rsid w:val="004305BB"/>
    <w:rsid w:val="00430A58"/>
    <w:rsid w:val="0043110F"/>
    <w:rsid w:val="00431624"/>
    <w:rsid w:val="00432002"/>
    <w:rsid w:val="00432344"/>
    <w:rsid w:val="00432CAE"/>
    <w:rsid w:val="00432ECA"/>
    <w:rsid w:val="00433163"/>
    <w:rsid w:val="00433468"/>
    <w:rsid w:val="0043373E"/>
    <w:rsid w:val="00433FED"/>
    <w:rsid w:val="00434462"/>
    <w:rsid w:val="0043491D"/>
    <w:rsid w:val="00434C8F"/>
    <w:rsid w:val="0043532F"/>
    <w:rsid w:val="0043550B"/>
    <w:rsid w:val="00435526"/>
    <w:rsid w:val="00435CE6"/>
    <w:rsid w:val="00436E91"/>
    <w:rsid w:val="00437DF3"/>
    <w:rsid w:val="00440D6A"/>
    <w:rsid w:val="00441E2C"/>
    <w:rsid w:val="004425D7"/>
    <w:rsid w:val="0044262A"/>
    <w:rsid w:val="00443259"/>
    <w:rsid w:val="004433BE"/>
    <w:rsid w:val="00443E0D"/>
    <w:rsid w:val="00444456"/>
    <w:rsid w:val="00444813"/>
    <w:rsid w:val="004468E9"/>
    <w:rsid w:val="00446AB8"/>
    <w:rsid w:val="00446C25"/>
    <w:rsid w:val="004475FC"/>
    <w:rsid w:val="00447896"/>
    <w:rsid w:val="0044792D"/>
    <w:rsid w:val="00447B6E"/>
    <w:rsid w:val="00447E22"/>
    <w:rsid w:val="00451417"/>
    <w:rsid w:val="00451D22"/>
    <w:rsid w:val="00452B21"/>
    <w:rsid w:val="00453361"/>
    <w:rsid w:val="0045376E"/>
    <w:rsid w:val="004537CE"/>
    <w:rsid w:val="00453938"/>
    <w:rsid w:val="00453992"/>
    <w:rsid w:val="00453F35"/>
    <w:rsid w:val="00454193"/>
    <w:rsid w:val="004546A7"/>
    <w:rsid w:val="004549E1"/>
    <w:rsid w:val="00455B7D"/>
    <w:rsid w:val="004561F6"/>
    <w:rsid w:val="004564D7"/>
    <w:rsid w:val="00456FAD"/>
    <w:rsid w:val="00457AE7"/>
    <w:rsid w:val="00457B12"/>
    <w:rsid w:val="00457C3E"/>
    <w:rsid w:val="00457E0D"/>
    <w:rsid w:val="00457F3E"/>
    <w:rsid w:val="00460AF1"/>
    <w:rsid w:val="00460B3F"/>
    <w:rsid w:val="00460D35"/>
    <w:rsid w:val="004635E6"/>
    <w:rsid w:val="00463659"/>
    <w:rsid w:val="00463890"/>
    <w:rsid w:val="00464172"/>
    <w:rsid w:val="00464602"/>
    <w:rsid w:val="00464B89"/>
    <w:rsid w:val="00465EA1"/>
    <w:rsid w:val="004660A1"/>
    <w:rsid w:val="004667C4"/>
    <w:rsid w:val="00466B22"/>
    <w:rsid w:val="00466BC1"/>
    <w:rsid w:val="00466ECA"/>
    <w:rsid w:val="00466ED7"/>
    <w:rsid w:val="00466ED9"/>
    <w:rsid w:val="0046771B"/>
    <w:rsid w:val="00467778"/>
    <w:rsid w:val="00467C32"/>
    <w:rsid w:val="0047037C"/>
    <w:rsid w:val="004705DB"/>
    <w:rsid w:val="004708F1"/>
    <w:rsid w:val="00471088"/>
    <w:rsid w:val="00471AB7"/>
    <w:rsid w:val="004721EF"/>
    <w:rsid w:val="00472615"/>
    <w:rsid w:val="004726EB"/>
    <w:rsid w:val="00472EAD"/>
    <w:rsid w:val="00473073"/>
    <w:rsid w:val="00473219"/>
    <w:rsid w:val="0047326C"/>
    <w:rsid w:val="00474625"/>
    <w:rsid w:val="00474FD1"/>
    <w:rsid w:val="004757DC"/>
    <w:rsid w:val="00476AA7"/>
    <w:rsid w:val="00476DEA"/>
    <w:rsid w:val="00477234"/>
    <w:rsid w:val="004775F0"/>
    <w:rsid w:val="00480948"/>
    <w:rsid w:val="00480959"/>
    <w:rsid w:val="00481DB9"/>
    <w:rsid w:val="00481E84"/>
    <w:rsid w:val="00482152"/>
    <w:rsid w:val="004822DE"/>
    <w:rsid w:val="00482683"/>
    <w:rsid w:val="00482998"/>
    <w:rsid w:val="00483141"/>
    <w:rsid w:val="004835A3"/>
    <w:rsid w:val="00484956"/>
    <w:rsid w:val="0048593A"/>
    <w:rsid w:val="00485EAD"/>
    <w:rsid w:val="00486A38"/>
    <w:rsid w:val="00486FD3"/>
    <w:rsid w:val="00490320"/>
    <w:rsid w:val="00490588"/>
    <w:rsid w:val="004921B6"/>
    <w:rsid w:val="00493093"/>
    <w:rsid w:val="0049331D"/>
    <w:rsid w:val="004936EC"/>
    <w:rsid w:val="00493DEA"/>
    <w:rsid w:val="00494384"/>
    <w:rsid w:val="00494FBA"/>
    <w:rsid w:val="00495061"/>
    <w:rsid w:val="004953DC"/>
    <w:rsid w:val="004958E0"/>
    <w:rsid w:val="00495ECD"/>
    <w:rsid w:val="004960AF"/>
    <w:rsid w:val="00496283"/>
    <w:rsid w:val="00496542"/>
    <w:rsid w:val="00497742"/>
    <w:rsid w:val="00497EA8"/>
    <w:rsid w:val="004A02B0"/>
    <w:rsid w:val="004A068D"/>
    <w:rsid w:val="004A09D5"/>
    <w:rsid w:val="004A0DFE"/>
    <w:rsid w:val="004A1B75"/>
    <w:rsid w:val="004A2DDA"/>
    <w:rsid w:val="004A32EB"/>
    <w:rsid w:val="004A334C"/>
    <w:rsid w:val="004A3368"/>
    <w:rsid w:val="004A3978"/>
    <w:rsid w:val="004A417B"/>
    <w:rsid w:val="004A51BA"/>
    <w:rsid w:val="004A60CE"/>
    <w:rsid w:val="004A6143"/>
    <w:rsid w:val="004A6421"/>
    <w:rsid w:val="004A7E7B"/>
    <w:rsid w:val="004B0823"/>
    <w:rsid w:val="004B0D51"/>
    <w:rsid w:val="004B1124"/>
    <w:rsid w:val="004B26DF"/>
    <w:rsid w:val="004B2969"/>
    <w:rsid w:val="004B2D92"/>
    <w:rsid w:val="004B321D"/>
    <w:rsid w:val="004B32E9"/>
    <w:rsid w:val="004B3C70"/>
    <w:rsid w:val="004B3CB3"/>
    <w:rsid w:val="004B4548"/>
    <w:rsid w:val="004B5175"/>
    <w:rsid w:val="004B54BE"/>
    <w:rsid w:val="004B5626"/>
    <w:rsid w:val="004B5735"/>
    <w:rsid w:val="004B7568"/>
    <w:rsid w:val="004B7A79"/>
    <w:rsid w:val="004C0314"/>
    <w:rsid w:val="004C040B"/>
    <w:rsid w:val="004C11C5"/>
    <w:rsid w:val="004C264B"/>
    <w:rsid w:val="004C273F"/>
    <w:rsid w:val="004C37DD"/>
    <w:rsid w:val="004C4746"/>
    <w:rsid w:val="004C4B90"/>
    <w:rsid w:val="004C51E8"/>
    <w:rsid w:val="004C5816"/>
    <w:rsid w:val="004C587C"/>
    <w:rsid w:val="004C62E9"/>
    <w:rsid w:val="004C76E9"/>
    <w:rsid w:val="004C7A21"/>
    <w:rsid w:val="004C7C41"/>
    <w:rsid w:val="004C7E92"/>
    <w:rsid w:val="004D030C"/>
    <w:rsid w:val="004D03CF"/>
    <w:rsid w:val="004D069C"/>
    <w:rsid w:val="004D0FFE"/>
    <w:rsid w:val="004D1459"/>
    <w:rsid w:val="004D15EB"/>
    <w:rsid w:val="004D171E"/>
    <w:rsid w:val="004D2135"/>
    <w:rsid w:val="004D2C2E"/>
    <w:rsid w:val="004D2E2A"/>
    <w:rsid w:val="004D3B4D"/>
    <w:rsid w:val="004D3F0D"/>
    <w:rsid w:val="004D4E3C"/>
    <w:rsid w:val="004D6389"/>
    <w:rsid w:val="004D7F8E"/>
    <w:rsid w:val="004E0005"/>
    <w:rsid w:val="004E0B79"/>
    <w:rsid w:val="004E1565"/>
    <w:rsid w:val="004E16B6"/>
    <w:rsid w:val="004E1B3D"/>
    <w:rsid w:val="004E2356"/>
    <w:rsid w:val="004E2674"/>
    <w:rsid w:val="004E2727"/>
    <w:rsid w:val="004E2B1D"/>
    <w:rsid w:val="004E2D2D"/>
    <w:rsid w:val="004E2FED"/>
    <w:rsid w:val="004E3466"/>
    <w:rsid w:val="004E3566"/>
    <w:rsid w:val="004E40B0"/>
    <w:rsid w:val="004E4538"/>
    <w:rsid w:val="004E4858"/>
    <w:rsid w:val="004E544A"/>
    <w:rsid w:val="004E57BB"/>
    <w:rsid w:val="004E5C92"/>
    <w:rsid w:val="004E64D0"/>
    <w:rsid w:val="004E70A5"/>
    <w:rsid w:val="004E769D"/>
    <w:rsid w:val="004F14A2"/>
    <w:rsid w:val="004F173E"/>
    <w:rsid w:val="004F1F6D"/>
    <w:rsid w:val="004F33ED"/>
    <w:rsid w:val="004F346B"/>
    <w:rsid w:val="004F35BC"/>
    <w:rsid w:val="004F4273"/>
    <w:rsid w:val="004F4FCF"/>
    <w:rsid w:val="004F5450"/>
    <w:rsid w:val="004F7427"/>
    <w:rsid w:val="004F79F3"/>
    <w:rsid w:val="00500147"/>
    <w:rsid w:val="00500F9E"/>
    <w:rsid w:val="00501010"/>
    <w:rsid w:val="00501065"/>
    <w:rsid w:val="005016C1"/>
    <w:rsid w:val="005018C7"/>
    <w:rsid w:val="00502240"/>
    <w:rsid w:val="00502B3E"/>
    <w:rsid w:val="00503A3F"/>
    <w:rsid w:val="005048A6"/>
    <w:rsid w:val="00505225"/>
    <w:rsid w:val="00505A7F"/>
    <w:rsid w:val="005068FC"/>
    <w:rsid w:val="00506916"/>
    <w:rsid w:val="00506C99"/>
    <w:rsid w:val="00507F73"/>
    <w:rsid w:val="005116D5"/>
    <w:rsid w:val="00511C93"/>
    <w:rsid w:val="00511D5E"/>
    <w:rsid w:val="0051247A"/>
    <w:rsid w:val="0051253D"/>
    <w:rsid w:val="00512913"/>
    <w:rsid w:val="00512E82"/>
    <w:rsid w:val="0051300E"/>
    <w:rsid w:val="00513053"/>
    <w:rsid w:val="005132AB"/>
    <w:rsid w:val="005137E3"/>
    <w:rsid w:val="00513F4F"/>
    <w:rsid w:val="0051432F"/>
    <w:rsid w:val="00514826"/>
    <w:rsid w:val="00515006"/>
    <w:rsid w:val="0051563A"/>
    <w:rsid w:val="00515DA1"/>
    <w:rsid w:val="005163D4"/>
    <w:rsid w:val="00516ACC"/>
    <w:rsid w:val="005170D6"/>
    <w:rsid w:val="005178E1"/>
    <w:rsid w:val="00521773"/>
    <w:rsid w:val="00522244"/>
    <w:rsid w:val="005223B2"/>
    <w:rsid w:val="00522C88"/>
    <w:rsid w:val="005233EF"/>
    <w:rsid w:val="00525B45"/>
    <w:rsid w:val="00525FA3"/>
    <w:rsid w:val="00525FBA"/>
    <w:rsid w:val="005260FB"/>
    <w:rsid w:val="00527485"/>
    <w:rsid w:val="005275F5"/>
    <w:rsid w:val="00527AC0"/>
    <w:rsid w:val="00527B3F"/>
    <w:rsid w:val="005300E0"/>
    <w:rsid w:val="005309B8"/>
    <w:rsid w:val="00530B8F"/>
    <w:rsid w:val="00530E3C"/>
    <w:rsid w:val="00531319"/>
    <w:rsid w:val="00532612"/>
    <w:rsid w:val="005332DC"/>
    <w:rsid w:val="00533A43"/>
    <w:rsid w:val="00535C9E"/>
    <w:rsid w:val="00536379"/>
    <w:rsid w:val="0053639F"/>
    <w:rsid w:val="00536896"/>
    <w:rsid w:val="005369FD"/>
    <w:rsid w:val="00536B4A"/>
    <w:rsid w:val="005371FA"/>
    <w:rsid w:val="00537350"/>
    <w:rsid w:val="005373E7"/>
    <w:rsid w:val="00537E50"/>
    <w:rsid w:val="00541071"/>
    <w:rsid w:val="00541230"/>
    <w:rsid w:val="00541642"/>
    <w:rsid w:val="005420E7"/>
    <w:rsid w:val="0054244B"/>
    <w:rsid w:val="00542557"/>
    <w:rsid w:val="0054282B"/>
    <w:rsid w:val="0054379C"/>
    <w:rsid w:val="00544600"/>
    <w:rsid w:val="005447CC"/>
    <w:rsid w:val="00545128"/>
    <w:rsid w:val="00545455"/>
    <w:rsid w:val="00545EF8"/>
    <w:rsid w:val="00545F03"/>
    <w:rsid w:val="00546104"/>
    <w:rsid w:val="00546806"/>
    <w:rsid w:val="00546BA1"/>
    <w:rsid w:val="005475A0"/>
    <w:rsid w:val="00552A01"/>
    <w:rsid w:val="00554D81"/>
    <w:rsid w:val="00554EDB"/>
    <w:rsid w:val="00555140"/>
    <w:rsid w:val="0055518A"/>
    <w:rsid w:val="005552D2"/>
    <w:rsid w:val="00555C6A"/>
    <w:rsid w:val="00556039"/>
    <w:rsid w:val="00556CA5"/>
    <w:rsid w:val="00560E8A"/>
    <w:rsid w:val="0056141C"/>
    <w:rsid w:val="005616F7"/>
    <w:rsid w:val="0056205C"/>
    <w:rsid w:val="00562876"/>
    <w:rsid w:val="00562B15"/>
    <w:rsid w:val="00563F17"/>
    <w:rsid w:val="00564036"/>
    <w:rsid w:val="00564092"/>
    <w:rsid w:val="00565441"/>
    <w:rsid w:val="0056611F"/>
    <w:rsid w:val="00566159"/>
    <w:rsid w:val="00566168"/>
    <w:rsid w:val="005679BF"/>
    <w:rsid w:val="00567B3C"/>
    <w:rsid w:val="00570FDC"/>
    <w:rsid w:val="00573D00"/>
    <w:rsid w:val="00573FAE"/>
    <w:rsid w:val="0057462D"/>
    <w:rsid w:val="005753F6"/>
    <w:rsid w:val="00575692"/>
    <w:rsid w:val="00575C4A"/>
    <w:rsid w:val="005765C3"/>
    <w:rsid w:val="00576B4B"/>
    <w:rsid w:val="00576D8B"/>
    <w:rsid w:val="00577372"/>
    <w:rsid w:val="00577663"/>
    <w:rsid w:val="00577773"/>
    <w:rsid w:val="00577D98"/>
    <w:rsid w:val="00580257"/>
    <w:rsid w:val="00580663"/>
    <w:rsid w:val="00580B76"/>
    <w:rsid w:val="0058103B"/>
    <w:rsid w:val="0058113F"/>
    <w:rsid w:val="00581165"/>
    <w:rsid w:val="005819F8"/>
    <w:rsid w:val="00581DE1"/>
    <w:rsid w:val="00584432"/>
    <w:rsid w:val="005851D9"/>
    <w:rsid w:val="00585E14"/>
    <w:rsid w:val="00586521"/>
    <w:rsid w:val="00587411"/>
    <w:rsid w:val="005877D1"/>
    <w:rsid w:val="00587C19"/>
    <w:rsid w:val="00590665"/>
    <w:rsid w:val="005909FA"/>
    <w:rsid w:val="005910DB"/>
    <w:rsid w:val="005918DF"/>
    <w:rsid w:val="00591C76"/>
    <w:rsid w:val="005920AB"/>
    <w:rsid w:val="00592139"/>
    <w:rsid w:val="00592CD2"/>
    <w:rsid w:val="00594890"/>
    <w:rsid w:val="00594B5A"/>
    <w:rsid w:val="005953A3"/>
    <w:rsid w:val="005955D3"/>
    <w:rsid w:val="00595CB4"/>
    <w:rsid w:val="00595DEE"/>
    <w:rsid w:val="00597462"/>
    <w:rsid w:val="005976D2"/>
    <w:rsid w:val="00597E19"/>
    <w:rsid w:val="005A00EF"/>
    <w:rsid w:val="005A0797"/>
    <w:rsid w:val="005A1B5A"/>
    <w:rsid w:val="005A1BD9"/>
    <w:rsid w:val="005A2848"/>
    <w:rsid w:val="005A3038"/>
    <w:rsid w:val="005A3114"/>
    <w:rsid w:val="005A3DDA"/>
    <w:rsid w:val="005A49F5"/>
    <w:rsid w:val="005A4EC3"/>
    <w:rsid w:val="005A5168"/>
    <w:rsid w:val="005A6463"/>
    <w:rsid w:val="005A6FDE"/>
    <w:rsid w:val="005A762F"/>
    <w:rsid w:val="005A797D"/>
    <w:rsid w:val="005A7A0B"/>
    <w:rsid w:val="005B018A"/>
    <w:rsid w:val="005B0FDE"/>
    <w:rsid w:val="005B1152"/>
    <w:rsid w:val="005B1B0E"/>
    <w:rsid w:val="005B1BC6"/>
    <w:rsid w:val="005B2313"/>
    <w:rsid w:val="005B2AAE"/>
    <w:rsid w:val="005B34D3"/>
    <w:rsid w:val="005B4724"/>
    <w:rsid w:val="005B5C37"/>
    <w:rsid w:val="005B79EE"/>
    <w:rsid w:val="005C0E43"/>
    <w:rsid w:val="005C1454"/>
    <w:rsid w:val="005C28EB"/>
    <w:rsid w:val="005C2EA5"/>
    <w:rsid w:val="005C3CB7"/>
    <w:rsid w:val="005C3ECE"/>
    <w:rsid w:val="005C5314"/>
    <w:rsid w:val="005C562F"/>
    <w:rsid w:val="005C5E22"/>
    <w:rsid w:val="005D0345"/>
    <w:rsid w:val="005D14FE"/>
    <w:rsid w:val="005D2697"/>
    <w:rsid w:val="005D27B1"/>
    <w:rsid w:val="005D2A7E"/>
    <w:rsid w:val="005D2AD5"/>
    <w:rsid w:val="005D2C52"/>
    <w:rsid w:val="005D2CBE"/>
    <w:rsid w:val="005D385A"/>
    <w:rsid w:val="005D3A34"/>
    <w:rsid w:val="005D3BEA"/>
    <w:rsid w:val="005D57AE"/>
    <w:rsid w:val="005D605F"/>
    <w:rsid w:val="005D655D"/>
    <w:rsid w:val="005D68DA"/>
    <w:rsid w:val="005E0567"/>
    <w:rsid w:val="005E0BDE"/>
    <w:rsid w:val="005E0C00"/>
    <w:rsid w:val="005E1497"/>
    <w:rsid w:val="005E20A7"/>
    <w:rsid w:val="005E265D"/>
    <w:rsid w:val="005E2A81"/>
    <w:rsid w:val="005E2ABE"/>
    <w:rsid w:val="005E2EAE"/>
    <w:rsid w:val="005E3169"/>
    <w:rsid w:val="005E3AE7"/>
    <w:rsid w:val="005E3CB1"/>
    <w:rsid w:val="005E42A4"/>
    <w:rsid w:val="005E42E2"/>
    <w:rsid w:val="005E48A2"/>
    <w:rsid w:val="005E59C3"/>
    <w:rsid w:val="005E5D7B"/>
    <w:rsid w:val="005E5DF6"/>
    <w:rsid w:val="005E649C"/>
    <w:rsid w:val="005E7730"/>
    <w:rsid w:val="005E7AF3"/>
    <w:rsid w:val="005F112C"/>
    <w:rsid w:val="005F1429"/>
    <w:rsid w:val="005F17EC"/>
    <w:rsid w:val="005F1C27"/>
    <w:rsid w:val="005F2316"/>
    <w:rsid w:val="005F24BE"/>
    <w:rsid w:val="005F2EFA"/>
    <w:rsid w:val="005F3994"/>
    <w:rsid w:val="005F4280"/>
    <w:rsid w:val="005F47B3"/>
    <w:rsid w:val="005F5508"/>
    <w:rsid w:val="005F6618"/>
    <w:rsid w:val="005F7287"/>
    <w:rsid w:val="005F79FF"/>
    <w:rsid w:val="005F7CC6"/>
    <w:rsid w:val="005F7D54"/>
    <w:rsid w:val="005F7EF2"/>
    <w:rsid w:val="006002E2"/>
    <w:rsid w:val="0060067D"/>
    <w:rsid w:val="00600BD3"/>
    <w:rsid w:val="00600C34"/>
    <w:rsid w:val="00600E50"/>
    <w:rsid w:val="00601927"/>
    <w:rsid w:val="00601EDD"/>
    <w:rsid w:val="00602184"/>
    <w:rsid w:val="006024B2"/>
    <w:rsid w:val="00602A47"/>
    <w:rsid w:val="00602C99"/>
    <w:rsid w:val="00602E9A"/>
    <w:rsid w:val="006035D7"/>
    <w:rsid w:val="006035E3"/>
    <w:rsid w:val="00603A70"/>
    <w:rsid w:val="00603CEB"/>
    <w:rsid w:val="0060443A"/>
    <w:rsid w:val="00604C24"/>
    <w:rsid w:val="00604CBE"/>
    <w:rsid w:val="00604D4B"/>
    <w:rsid w:val="00604DA6"/>
    <w:rsid w:val="006054D8"/>
    <w:rsid w:val="00605F16"/>
    <w:rsid w:val="00606A6B"/>
    <w:rsid w:val="00607DB6"/>
    <w:rsid w:val="00607EB8"/>
    <w:rsid w:val="00610406"/>
    <w:rsid w:val="00611147"/>
    <w:rsid w:val="006121C7"/>
    <w:rsid w:val="00613C28"/>
    <w:rsid w:val="00614099"/>
    <w:rsid w:val="00615BAE"/>
    <w:rsid w:val="006162CC"/>
    <w:rsid w:val="00616428"/>
    <w:rsid w:val="00616942"/>
    <w:rsid w:val="00616D85"/>
    <w:rsid w:val="00617B28"/>
    <w:rsid w:val="00620131"/>
    <w:rsid w:val="00620DED"/>
    <w:rsid w:val="006210A5"/>
    <w:rsid w:val="006213C2"/>
    <w:rsid w:val="00621D33"/>
    <w:rsid w:val="00621FD0"/>
    <w:rsid w:val="0062299E"/>
    <w:rsid w:val="00622E2A"/>
    <w:rsid w:val="006237D4"/>
    <w:rsid w:val="006241F8"/>
    <w:rsid w:val="00624D91"/>
    <w:rsid w:val="00626A69"/>
    <w:rsid w:val="00626DFE"/>
    <w:rsid w:val="00626F93"/>
    <w:rsid w:val="00627D37"/>
    <w:rsid w:val="0063009A"/>
    <w:rsid w:val="00630332"/>
    <w:rsid w:val="006307FE"/>
    <w:rsid w:val="00630B26"/>
    <w:rsid w:val="006314EB"/>
    <w:rsid w:val="006317F4"/>
    <w:rsid w:val="00631D28"/>
    <w:rsid w:val="006323D0"/>
    <w:rsid w:val="00633005"/>
    <w:rsid w:val="00633C32"/>
    <w:rsid w:val="006342B8"/>
    <w:rsid w:val="00634CE2"/>
    <w:rsid w:val="00635755"/>
    <w:rsid w:val="00635899"/>
    <w:rsid w:val="00636791"/>
    <w:rsid w:val="00636A87"/>
    <w:rsid w:val="00637703"/>
    <w:rsid w:val="00637BDD"/>
    <w:rsid w:val="00640550"/>
    <w:rsid w:val="00640583"/>
    <w:rsid w:val="00640BDE"/>
    <w:rsid w:val="00640E63"/>
    <w:rsid w:val="0064118F"/>
    <w:rsid w:val="00641727"/>
    <w:rsid w:val="00643EA3"/>
    <w:rsid w:val="006448ED"/>
    <w:rsid w:val="006453DC"/>
    <w:rsid w:val="0064657C"/>
    <w:rsid w:val="00646B6E"/>
    <w:rsid w:val="00646CC3"/>
    <w:rsid w:val="00647128"/>
    <w:rsid w:val="006473E4"/>
    <w:rsid w:val="00647B37"/>
    <w:rsid w:val="00650080"/>
    <w:rsid w:val="00650157"/>
    <w:rsid w:val="00650332"/>
    <w:rsid w:val="006505B0"/>
    <w:rsid w:val="00650692"/>
    <w:rsid w:val="006509B8"/>
    <w:rsid w:val="00650A9F"/>
    <w:rsid w:val="00651423"/>
    <w:rsid w:val="006514C9"/>
    <w:rsid w:val="006517DC"/>
    <w:rsid w:val="00651D33"/>
    <w:rsid w:val="0065233C"/>
    <w:rsid w:val="0065269C"/>
    <w:rsid w:val="00652827"/>
    <w:rsid w:val="00652AA9"/>
    <w:rsid w:val="00652AE3"/>
    <w:rsid w:val="006544AD"/>
    <w:rsid w:val="00656261"/>
    <w:rsid w:val="00656300"/>
    <w:rsid w:val="00656CFC"/>
    <w:rsid w:val="006608F1"/>
    <w:rsid w:val="00660C11"/>
    <w:rsid w:val="00660CFF"/>
    <w:rsid w:val="006612D7"/>
    <w:rsid w:val="00661B24"/>
    <w:rsid w:val="00661B26"/>
    <w:rsid w:val="00663315"/>
    <w:rsid w:val="00663D04"/>
    <w:rsid w:val="00664AC0"/>
    <w:rsid w:val="00664C5D"/>
    <w:rsid w:val="00664E4F"/>
    <w:rsid w:val="006655C4"/>
    <w:rsid w:val="00665810"/>
    <w:rsid w:val="00665E67"/>
    <w:rsid w:val="00666051"/>
    <w:rsid w:val="00666A12"/>
    <w:rsid w:val="00666AB5"/>
    <w:rsid w:val="006674D5"/>
    <w:rsid w:val="006676C0"/>
    <w:rsid w:val="006678E1"/>
    <w:rsid w:val="00670FE6"/>
    <w:rsid w:val="00671466"/>
    <w:rsid w:val="00671C4E"/>
    <w:rsid w:val="00672134"/>
    <w:rsid w:val="00672A50"/>
    <w:rsid w:val="00673315"/>
    <w:rsid w:val="006733E4"/>
    <w:rsid w:val="0067385E"/>
    <w:rsid w:val="00673977"/>
    <w:rsid w:val="00674198"/>
    <w:rsid w:val="00674390"/>
    <w:rsid w:val="006743B4"/>
    <w:rsid w:val="00674CD8"/>
    <w:rsid w:val="0067520D"/>
    <w:rsid w:val="00675299"/>
    <w:rsid w:val="006759A4"/>
    <w:rsid w:val="00676456"/>
    <w:rsid w:val="00676F5A"/>
    <w:rsid w:val="00680016"/>
    <w:rsid w:val="006806B9"/>
    <w:rsid w:val="00680766"/>
    <w:rsid w:val="0068145C"/>
    <w:rsid w:val="00681552"/>
    <w:rsid w:val="006817A4"/>
    <w:rsid w:val="00682890"/>
    <w:rsid w:val="00683288"/>
    <w:rsid w:val="006839BB"/>
    <w:rsid w:val="00685117"/>
    <w:rsid w:val="0068515E"/>
    <w:rsid w:val="0068519B"/>
    <w:rsid w:val="0068526A"/>
    <w:rsid w:val="006852F6"/>
    <w:rsid w:val="006858F5"/>
    <w:rsid w:val="0068599B"/>
    <w:rsid w:val="00685C89"/>
    <w:rsid w:val="00685D90"/>
    <w:rsid w:val="00686BCE"/>
    <w:rsid w:val="00687372"/>
    <w:rsid w:val="00687D59"/>
    <w:rsid w:val="00690157"/>
    <w:rsid w:val="006909D4"/>
    <w:rsid w:val="0069106A"/>
    <w:rsid w:val="006916C0"/>
    <w:rsid w:val="00692CD0"/>
    <w:rsid w:val="00693DC9"/>
    <w:rsid w:val="0069557B"/>
    <w:rsid w:val="00695991"/>
    <w:rsid w:val="00695B4A"/>
    <w:rsid w:val="00696374"/>
    <w:rsid w:val="0069650D"/>
    <w:rsid w:val="0069659B"/>
    <w:rsid w:val="00696635"/>
    <w:rsid w:val="0069718F"/>
    <w:rsid w:val="006977AB"/>
    <w:rsid w:val="006A0195"/>
    <w:rsid w:val="006A01CB"/>
    <w:rsid w:val="006A064A"/>
    <w:rsid w:val="006A0B4D"/>
    <w:rsid w:val="006A176E"/>
    <w:rsid w:val="006A17D5"/>
    <w:rsid w:val="006A2211"/>
    <w:rsid w:val="006A3049"/>
    <w:rsid w:val="006A3758"/>
    <w:rsid w:val="006A4131"/>
    <w:rsid w:val="006A4487"/>
    <w:rsid w:val="006A4BF9"/>
    <w:rsid w:val="006A55CC"/>
    <w:rsid w:val="006A5D19"/>
    <w:rsid w:val="006A6281"/>
    <w:rsid w:val="006A62E5"/>
    <w:rsid w:val="006A6497"/>
    <w:rsid w:val="006A6925"/>
    <w:rsid w:val="006A70C6"/>
    <w:rsid w:val="006A7CC7"/>
    <w:rsid w:val="006B03E2"/>
    <w:rsid w:val="006B1075"/>
    <w:rsid w:val="006B1BB8"/>
    <w:rsid w:val="006B26D8"/>
    <w:rsid w:val="006B2B74"/>
    <w:rsid w:val="006B2F40"/>
    <w:rsid w:val="006B30E5"/>
    <w:rsid w:val="006B3C07"/>
    <w:rsid w:val="006B3E32"/>
    <w:rsid w:val="006B3FEF"/>
    <w:rsid w:val="006B488A"/>
    <w:rsid w:val="006B4E07"/>
    <w:rsid w:val="006B5077"/>
    <w:rsid w:val="006B507C"/>
    <w:rsid w:val="006B6A2F"/>
    <w:rsid w:val="006B716C"/>
    <w:rsid w:val="006B73B5"/>
    <w:rsid w:val="006B7FEB"/>
    <w:rsid w:val="006C13CD"/>
    <w:rsid w:val="006C18A3"/>
    <w:rsid w:val="006C2759"/>
    <w:rsid w:val="006C293D"/>
    <w:rsid w:val="006C362D"/>
    <w:rsid w:val="006C50EC"/>
    <w:rsid w:val="006C53B9"/>
    <w:rsid w:val="006C681D"/>
    <w:rsid w:val="006C6FCD"/>
    <w:rsid w:val="006C77E4"/>
    <w:rsid w:val="006D0079"/>
    <w:rsid w:val="006D12DF"/>
    <w:rsid w:val="006D1A08"/>
    <w:rsid w:val="006D238F"/>
    <w:rsid w:val="006D2977"/>
    <w:rsid w:val="006D3076"/>
    <w:rsid w:val="006D3197"/>
    <w:rsid w:val="006D415B"/>
    <w:rsid w:val="006D4309"/>
    <w:rsid w:val="006D46B6"/>
    <w:rsid w:val="006D4806"/>
    <w:rsid w:val="006D4A27"/>
    <w:rsid w:val="006D5A66"/>
    <w:rsid w:val="006D5CF0"/>
    <w:rsid w:val="006D6743"/>
    <w:rsid w:val="006D7978"/>
    <w:rsid w:val="006E00CB"/>
    <w:rsid w:val="006E08FE"/>
    <w:rsid w:val="006E1174"/>
    <w:rsid w:val="006E1F6C"/>
    <w:rsid w:val="006E2267"/>
    <w:rsid w:val="006E2558"/>
    <w:rsid w:val="006E3048"/>
    <w:rsid w:val="006E31A7"/>
    <w:rsid w:val="006E3DC1"/>
    <w:rsid w:val="006E3F3B"/>
    <w:rsid w:val="006E4158"/>
    <w:rsid w:val="006E4CA8"/>
    <w:rsid w:val="006E4FFA"/>
    <w:rsid w:val="006E5168"/>
    <w:rsid w:val="006E5E54"/>
    <w:rsid w:val="006E6608"/>
    <w:rsid w:val="006E6CF8"/>
    <w:rsid w:val="006F043A"/>
    <w:rsid w:val="006F0953"/>
    <w:rsid w:val="006F09CF"/>
    <w:rsid w:val="006F0B5D"/>
    <w:rsid w:val="006F0C48"/>
    <w:rsid w:val="006F0F24"/>
    <w:rsid w:val="006F2364"/>
    <w:rsid w:val="006F2A05"/>
    <w:rsid w:val="006F2D72"/>
    <w:rsid w:val="006F3153"/>
    <w:rsid w:val="006F348D"/>
    <w:rsid w:val="006F34C0"/>
    <w:rsid w:val="006F3AE2"/>
    <w:rsid w:val="006F3F76"/>
    <w:rsid w:val="006F4375"/>
    <w:rsid w:val="006F5629"/>
    <w:rsid w:val="006F5B09"/>
    <w:rsid w:val="006F5CD1"/>
    <w:rsid w:val="006F5E1D"/>
    <w:rsid w:val="006F606F"/>
    <w:rsid w:val="006F630B"/>
    <w:rsid w:val="006F63E1"/>
    <w:rsid w:val="006F7EC0"/>
    <w:rsid w:val="00700318"/>
    <w:rsid w:val="007003D0"/>
    <w:rsid w:val="00700619"/>
    <w:rsid w:val="00700960"/>
    <w:rsid w:val="007029AE"/>
    <w:rsid w:val="00702DFD"/>
    <w:rsid w:val="007039FC"/>
    <w:rsid w:val="00703AD6"/>
    <w:rsid w:val="0070415C"/>
    <w:rsid w:val="0070460C"/>
    <w:rsid w:val="00704660"/>
    <w:rsid w:val="007056D5"/>
    <w:rsid w:val="00706384"/>
    <w:rsid w:val="00706410"/>
    <w:rsid w:val="00706CD8"/>
    <w:rsid w:val="0070747B"/>
    <w:rsid w:val="00707AB5"/>
    <w:rsid w:val="0071001D"/>
    <w:rsid w:val="00710272"/>
    <w:rsid w:val="00710A6B"/>
    <w:rsid w:val="007110E0"/>
    <w:rsid w:val="007116F8"/>
    <w:rsid w:val="00711E01"/>
    <w:rsid w:val="00711ED8"/>
    <w:rsid w:val="00714783"/>
    <w:rsid w:val="007152EB"/>
    <w:rsid w:val="00715FBF"/>
    <w:rsid w:val="007164E6"/>
    <w:rsid w:val="00716F50"/>
    <w:rsid w:val="0071749B"/>
    <w:rsid w:val="00717E16"/>
    <w:rsid w:val="0072042C"/>
    <w:rsid w:val="00720CF6"/>
    <w:rsid w:val="00720D64"/>
    <w:rsid w:val="00721095"/>
    <w:rsid w:val="00721273"/>
    <w:rsid w:val="00722A80"/>
    <w:rsid w:val="00722C85"/>
    <w:rsid w:val="007231E0"/>
    <w:rsid w:val="0072357F"/>
    <w:rsid w:val="007246F6"/>
    <w:rsid w:val="00725159"/>
    <w:rsid w:val="007251BB"/>
    <w:rsid w:val="0072534E"/>
    <w:rsid w:val="00725DF3"/>
    <w:rsid w:val="00726381"/>
    <w:rsid w:val="0072708C"/>
    <w:rsid w:val="007270C8"/>
    <w:rsid w:val="007272D2"/>
    <w:rsid w:val="00727CC3"/>
    <w:rsid w:val="007313B8"/>
    <w:rsid w:val="00732916"/>
    <w:rsid w:val="007346FE"/>
    <w:rsid w:val="00734F48"/>
    <w:rsid w:val="00735C80"/>
    <w:rsid w:val="007366AA"/>
    <w:rsid w:val="007366EE"/>
    <w:rsid w:val="00736738"/>
    <w:rsid w:val="0073698F"/>
    <w:rsid w:val="00736E2E"/>
    <w:rsid w:val="0074013E"/>
    <w:rsid w:val="007403C3"/>
    <w:rsid w:val="007404C3"/>
    <w:rsid w:val="00741AA5"/>
    <w:rsid w:val="00741E53"/>
    <w:rsid w:val="007424E0"/>
    <w:rsid w:val="007429F1"/>
    <w:rsid w:val="00743480"/>
    <w:rsid w:val="007441EB"/>
    <w:rsid w:val="00744221"/>
    <w:rsid w:val="00744D60"/>
    <w:rsid w:val="00745270"/>
    <w:rsid w:val="00745338"/>
    <w:rsid w:val="0074533A"/>
    <w:rsid w:val="007454D7"/>
    <w:rsid w:val="00745B9C"/>
    <w:rsid w:val="007460F6"/>
    <w:rsid w:val="00746A16"/>
    <w:rsid w:val="0074716B"/>
    <w:rsid w:val="00747227"/>
    <w:rsid w:val="0074746C"/>
    <w:rsid w:val="007501E7"/>
    <w:rsid w:val="0075037C"/>
    <w:rsid w:val="007503DF"/>
    <w:rsid w:val="00750CB7"/>
    <w:rsid w:val="00751991"/>
    <w:rsid w:val="007521D3"/>
    <w:rsid w:val="0075348F"/>
    <w:rsid w:val="007543C5"/>
    <w:rsid w:val="007546D5"/>
    <w:rsid w:val="00754B9E"/>
    <w:rsid w:val="00755F76"/>
    <w:rsid w:val="007572A9"/>
    <w:rsid w:val="00757C21"/>
    <w:rsid w:val="00757D19"/>
    <w:rsid w:val="00760015"/>
    <w:rsid w:val="0076003B"/>
    <w:rsid w:val="007603B5"/>
    <w:rsid w:val="00760E1F"/>
    <w:rsid w:val="00761153"/>
    <w:rsid w:val="007616DC"/>
    <w:rsid w:val="007620B5"/>
    <w:rsid w:val="007628C4"/>
    <w:rsid w:val="00763788"/>
    <w:rsid w:val="00763AD8"/>
    <w:rsid w:val="00764AD7"/>
    <w:rsid w:val="0076561D"/>
    <w:rsid w:val="007664C6"/>
    <w:rsid w:val="00766CCC"/>
    <w:rsid w:val="00766D79"/>
    <w:rsid w:val="00771575"/>
    <w:rsid w:val="007728DC"/>
    <w:rsid w:val="007737B9"/>
    <w:rsid w:val="00773A83"/>
    <w:rsid w:val="00774301"/>
    <w:rsid w:val="007747C6"/>
    <w:rsid w:val="00774945"/>
    <w:rsid w:val="0077544B"/>
    <w:rsid w:val="00775BDC"/>
    <w:rsid w:val="00776554"/>
    <w:rsid w:val="00776EFA"/>
    <w:rsid w:val="00777B31"/>
    <w:rsid w:val="00777CBC"/>
    <w:rsid w:val="0078030B"/>
    <w:rsid w:val="007809E3"/>
    <w:rsid w:val="00780D75"/>
    <w:rsid w:val="00780F9A"/>
    <w:rsid w:val="0078292C"/>
    <w:rsid w:val="00782964"/>
    <w:rsid w:val="00782B70"/>
    <w:rsid w:val="007833C5"/>
    <w:rsid w:val="007836C6"/>
    <w:rsid w:val="007840B6"/>
    <w:rsid w:val="007841D1"/>
    <w:rsid w:val="00784F7E"/>
    <w:rsid w:val="007856EB"/>
    <w:rsid w:val="0078587C"/>
    <w:rsid w:val="00785B1D"/>
    <w:rsid w:val="00785C1A"/>
    <w:rsid w:val="00785D73"/>
    <w:rsid w:val="00787455"/>
    <w:rsid w:val="00790121"/>
    <w:rsid w:val="007901AF"/>
    <w:rsid w:val="0079121A"/>
    <w:rsid w:val="00791989"/>
    <w:rsid w:val="007922DB"/>
    <w:rsid w:val="00792504"/>
    <w:rsid w:val="00792AC6"/>
    <w:rsid w:val="00792DF7"/>
    <w:rsid w:val="0079382E"/>
    <w:rsid w:val="007939A8"/>
    <w:rsid w:val="00793E1F"/>
    <w:rsid w:val="00793F4F"/>
    <w:rsid w:val="00793F92"/>
    <w:rsid w:val="00794881"/>
    <w:rsid w:val="00794D04"/>
    <w:rsid w:val="007959B6"/>
    <w:rsid w:val="00795F64"/>
    <w:rsid w:val="007961BB"/>
    <w:rsid w:val="00796E44"/>
    <w:rsid w:val="00796FC1"/>
    <w:rsid w:val="00797B8E"/>
    <w:rsid w:val="007A091B"/>
    <w:rsid w:val="007A1117"/>
    <w:rsid w:val="007A113F"/>
    <w:rsid w:val="007A141D"/>
    <w:rsid w:val="007A26E2"/>
    <w:rsid w:val="007A27E9"/>
    <w:rsid w:val="007A32C1"/>
    <w:rsid w:val="007A3B25"/>
    <w:rsid w:val="007A410D"/>
    <w:rsid w:val="007A410F"/>
    <w:rsid w:val="007A4EFE"/>
    <w:rsid w:val="007A6204"/>
    <w:rsid w:val="007A6652"/>
    <w:rsid w:val="007A6853"/>
    <w:rsid w:val="007A6A09"/>
    <w:rsid w:val="007A6BAB"/>
    <w:rsid w:val="007A73B8"/>
    <w:rsid w:val="007B014E"/>
    <w:rsid w:val="007B0193"/>
    <w:rsid w:val="007B1D04"/>
    <w:rsid w:val="007B2459"/>
    <w:rsid w:val="007B3153"/>
    <w:rsid w:val="007B32EF"/>
    <w:rsid w:val="007B36E6"/>
    <w:rsid w:val="007B38FC"/>
    <w:rsid w:val="007B3DA5"/>
    <w:rsid w:val="007B5390"/>
    <w:rsid w:val="007B5CE6"/>
    <w:rsid w:val="007B5F1C"/>
    <w:rsid w:val="007B66D3"/>
    <w:rsid w:val="007B7B59"/>
    <w:rsid w:val="007C00FE"/>
    <w:rsid w:val="007C09BC"/>
    <w:rsid w:val="007C0A20"/>
    <w:rsid w:val="007C1035"/>
    <w:rsid w:val="007C2201"/>
    <w:rsid w:val="007C22CE"/>
    <w:rsid w:val="007C34C3"/>
    <w:rsid w:val="007C4AB6"/>
    <w:rsid w:val="007C59B8"/>
    <w:rsid w:val="007C59F4"/>
    <w:rsid w:val="007C5E67"/>
    <w:rsid w:val="007C65BA"/>
    <w:rsid w:val="007C6CC2"/>
    <w:rsid w:val="007C6CF4"/>
    <w:rsid w:val="007C7243"/>
    <w:rsid w:val="007C7293"/>
    <w:rsid w:val="007C7A74"/>
    <w:rsid w:val="007D039F"/>
    <w:rsid w:val="007D0849"/>
    <w:rsid w:val="007D0DD9"/>
    <w:rsid w:val="007D11A6"/>
    <w:rsid w:val="007D131F"/>
    <w:rsid w:val="007D17C1"/>
    <w:rsid w:val="007D1C06"/>
    <w:rsid w:val="007D2745"/>
    <w:rsid w:val="007D2B61"/>
    <w:rsid w:val="007D2C49"/>
    <w:rsid w:val="007D2D6F"/>
    <w:rsid w:val="007D3473"/>
    <w:rsid w:val="007D37C3"/>
    <w:rsid w:val="007D4E64"/>
    <w:rsid w:val="007D5E91"/>
    <w:rsid w:val="007D7610"/>
    <w:rsid w:val="007E0495"/>
    <w:rsid w:val="007E06EF"/>
    <w:rsid w:val="007E0C42"/>
    <w:rsid w:val="007E0FCA"/>
    <w:rsid w:val="007E1361"/>
    <w:rsid w:val="007E1548"/>
    <w:rsid w:val="007E18B7"/>
    <w:rsid w:val="007E1A6D"/>
    <w:rsid w:val="007E285A"/>
    <w:rsid w:val="007E3258"/>
    <w:rsid w:val="007E34B6"/>
    <w:rsid w:val="007E3A2D"/>
    <w:rsid w:val="007E3BE8"/>
    <w:rsid w:val="007E431A"/>
    <w:rsid w:val="007E4A03"/>
    <w:rsid w:val="007E539B"/>
    <w:rsid w:val="007E578D"/>
    <w:rsid w:val="007E59ED"/>
    <w:rsid w:val="007E5C72"/>
    <w:rsid w:val="007E5EF5"/>
    <w:rsid w:val="007E6818"/>
    <w:rsid w:val="007E6902"/>
    <w:rsid w:val="007E6A82"/>
    <w:rsid w:val="007E6EE3"/>
    <w:rsid w:val="007E72E3"/>
    <w:rsid w:val="007F0441"/>
    <w:rsid w:val="007F111D"/>
    <w:rsid w:val="007F1211"/>
    <w:rsid w:val="007F124B"/>
    <w:rsid w:val="007F176E"/>
    <w:rsid w:val="007F17DB"/>
    <w:rsid w:val="007F1A16"/>
    <w:rsid w:val="007F2253"/>
    <w:rsid w:val="007F4564"/>
    <w:rsid w:val="007F4838"/>
    <w:rsid w:val="007F4854"/>
    <w:rsid w:val="007F5DC2"/>
    <w:rsid w:val="007F62E1"/>
    <w:rsid w:val="007F6E07"/>
    <w:rsid w:val="008007FA"/>
    <w:rsid w:val="00800DAB"/>
    <w:rsid w:val="00800E05"/>
    <w:rsid w:val="0080182F"/>
    <w:rsid w:val="00801B6D"/>
    <w:rsid w:val="0080228E"/>
    <w:rsid w:val="0080245C"/>
    <w:rsid w:val="008024EB"/>
    <w:rsid w:val="00803367"/>
    <w:rsid w:val="0080371C"/>
    <w:rsid w:val="008038B9"/>
    <w:rsid w:val="00803E8E"/>
    <w:rsid w:val="008048F7"/>
    <w:rsid w:val="008057FB"/>
    <w:rsid w:val="00805AD5"/>
    <w:rsid w:val="00805E76"/>
    <w:rsid w:val="00806010"/>
    <w:rsid w:val="0080645A"/>
    <w:rsid w:val="008065D0"/>
    <w:rsid w:val="00806B48"/>
    <w:rsid w:val="00807611"/>
    <w:rsid w:val="00811439"/>
    <w:rsid w:val="00812074"/>
    <w:rsid w:val="008122EE"/>
    <w:rsid w:val="00812A64"/>
    <w:rsid w:val="00813261"/>
    <w:rsid w:val="00813372"/>
    <w:rsid w:val="00813BD5"/>
    <w:rsid w:val="00813D58"/>
    <w:rsid w:val="008149FD"/>
    <w:rsid w:val="008150A0"/>
    <w:rsid w:val="0081534F"/>
    <w:rsid w:val="00815B11"/>
    <w:rsid w:val="00816646"/>
    <w:rsid w:val="00816EB0"/>
    <w:rsid w:val="00816FE9"/>
    <w:rsid w:val="00817C38"/>
    <w:rsid w:val="008200C2"/>
    <w:rsid w:val="008201E8"/>
    <w:rsid w:val="00820991"/>
    <w:rsid w:val="00820AE3"/>
    <w:rsid w:val="008212EC"/>
    <w:rsid w:val="00822A8D"/>
    <w:rsid w:val="00822ADB"/>
    <w:rsid w:val="00823D95"/>
    <w:rsid w:val="00823DFC"/>
    <w:rsid w:val="0082494F"/>
    <w:rsid w:val="00824952"/>
    <w:rsid w:val="008250D2"/>
    <w:rsid w:val="00825FA6"/>
    <w:rsid w:val="00826781"/>
    <w:rsid w:val="008271A0"/>
    <w:rsid w:val="008274D9"/>
    <w:rsid w:val="00827E53"/>
    <w:rsid w:val="008300B7"/>
    <w:rsid w:val="00830ABA"/>
    <w:rsid w:val="00830D05"/>
    <w:rsid w:val="00831267"/>
    <w:rsid w:val="00831532"/>
    <w:rsid w:val="00831D86"/>
    <w:rsid w:val="00831F96"/>
    <w:rsid w:val="0083218F"/>
    <w:rsid w:val="008334DE"/>
    <w:rsid w:val="008345D7"/>
    <w:rsid w:val="00834DCB"/>
    <w:rsid w:val="00835043"/>
    <w:rsid w:val="00835C7F"/>
    <w:rsid w:val="008371A9"/>
    <w:rsid w:val="008371C0"/>
    <w:rsid w:val="008406A6"/>
    <w:rsid w:val="00842194"/>
    <w:rsid w:val="00843014"/>
    <w:rsid w:val="00843975"/>
    <w:rsid w:val="00843F3E"/>
    <w:rsid w:val="0084430C"/>
    <w:rsid w:val="00844599"/>
    <w:rsid w:val="0084492E"/>
    <w:rsid w:val="008452F0"/>
    <w:rsid w:val="00845841"/>
    <w:rsid w:val="008467A7"/>
    <w:rsid w:val="00846A3E"/>
    <w:rsid w:val="00846F7D"/>
    <w:rsid w:val="0084726A"/>
    <w:rsid w:val="00847343"/>
    <w:rsid w:val="00847C1F"/>
    <w:rsid w:val="008507AD"/>
    <w:rsid w:val="0085166C"/>
    <w:rsid w:val="00851C84"/>
    <w:rsid w:val="00852079"/>
    <w:rsid w:val="0085220B"/>
    <w:rsid w:val="008527BA"/>
    <w:rsid w:val="00852A19"/>
    <w:rsid w:val="00852A3E"/>
    <w:rsid w:val="00852D4B"/>
    <w:rsid w:val="00853E6C"/>
    <w:rsid w:val="00854D53"/>
    <w:rsid w:val="00855299"/>
    <w:rsid w:val="00855808"/>
    <w:rsid w:val="008567A3"/>
    <w:rsid w:val="00856AB0"/>
    <w:rsid w:val="00856AB9"/>
    <w:rsid w:val="00856C0E"/>
    <w:rsid w:val="00857DC6"/>
    <w:rsid w:val="00857FDF"/>
    <w:rsid w:val="0086015D"/>
    <w:rsid w:val="008603D2"/>
    <w:rsid w:val="00861AA9"/>
    <w:rsid w:val="00861C6F"/>
    <w:rsid w:val="00862323"/>
    <w:rsid w:val="008628CB"/>
    <w:rsid w:val="00862A5F"/>
    <w:rsid w:val="008630A3"/>
    <w:rsid w:val="00863312"/>
    <w:rsid w:val="0086497B"/>
    <w:rsid w:val="00864B02"/>
    <w:rsid w:val="00866052"/>
    <w:rsid w:val="0086627E"/>
    <w:rsid w:val="008662CE"/>
    <w:rsid w:val="0086635B"/>
    <w:rsid w:val="00866509"/>
    <w:rsid w:val="00866C79"/>
    <w:rsid w:val="00866F0A"/>
    <w:rsid w:val="008670C7"/>
    <w:rsid w:val="00867C7F"/>
    <w:rsid w:val="00871060"/>
    <w:rsid w:val="008723B4"/>
    <w:rsid w:val="00873079"/>
    <w:rsid w:val="0087327C"/>
    <w:rsid w:val="008737E4"/>
    <w:rsid w:val="00873C91"/>
    <w:rsid w:val="0087441E"/>
    <w:rsid w:val="008748A2"/>
    <w:rsid w:val="00874D10"/>
    <w:rsid w:val="00875108"/>
    <w:rsid w:val="00875BF7"/>
    <w:rsid w:val="00875FC3"/>
    <w:rsid w:val="0087627E"/>
    <w:rsid w:val="008769A1"/>
    <w:rsid w:val="00876A0B"/>
    <w:rsid w:val="00876A54"/>
    <w:rsid w:val="00877238"/>
    <w:rsid w:val="00880F19"/>
    <w:rsid w:val="008816FE"/>
    <w:rsid w:val="00881DF0"/>
    <w:rsid w:val="00881EE1"/>
    <w:rsid w:val="00882209"/>
    <w:rsid w:val="00882CAC"/>
    <w:rsid w:val="00882CDC"/>
    <w:rsid w:val="008835DB"/>
    <w:rsid w:val="00883D39"/>
    <w:rsid w:val="00884066"/>
    <w:rsid w:val="008841B0"/>
    <w:rsid w:val="00885167"/>
    <w:rsid w:val="00885D4E"/>
    <w:rsid w:val="00886DA0"/>
    <w:rsid w:val="008872F9"/>
    <w:rsid w:val="008876D4"/>
    <w:rsid w:val="00887E1C"/>
    <w:rsid w:val="00891DCB"/>
    <w:rsid w:val="00892562"/>
    <w:rsid w:val="00892FFD"/>
    <w:rsid w:val="00893386"/>
    <w:rsid w:val="008939EE"/>
    <w:rsid w:val="00894154"/>
    <w:rsid w:val="008943F1"/>
    <w:rsid w:val="00894A6D"/>
    <w:rsid w:val="00895818"/>
    <w:rsid w:val="008962D9"/>
    <w:rsid w:val="008971AA"/>
    <w:rsid w:val="0089798F"/>
    <w:rsid w:val="00897BBE"/>
    <w:rsid w:val="008A03F7"/>
    <w:rsid w:val="008A1F31"/>
    <w:rsid w:val="008A32AC"/>
    <w:rsid w:val="008A3415"/>
    <w:rsid w:val="008A3E45"/>
    <w:rsid w:val="008A3F54"/>
    <w:rsid w:val="008A51B7"/>
    <w:rsid w:val="008A53D1"/>
    <w:rsid w:val="008A588F"/>
    <w:rsid w:val="008A704B"/>
    <w:rsid w:val="008A76A3"/>
    <w:rsid w:val="008A7AE8"/>
    <w:rsid w:val="008B042B"/>
    <w:rsid w:val="008B08B0"/>
    <w:rsid w:val="008B114E"/>
    <w:rsid w:val="008B1845"/>
    <w:rsid w:val="008B2FCA"/>
    <w:rsid w:val="008B3099"/>
    <w:rsid w:val="008B3816"/>
    <w:rsid w:val="008B45A9"/>
    <w:rsid w:val="008B45EB"/>
    <w:rsid w:val="008B4BBF"/>
    <w:rsid w:val="008B570E"/>
    <w:rsid w:val="008B6D55"/>
    <w:rsid w:val="008B70CF"/>
    <w:rsid w:val="008B7E11"/>
    <w:rsid w:val="008C0006"/>
    <w:rsid w:val="008C0BC8"/>
    <w:rsid w:val="008C1356"/>
    <w:rsid w:val="008C167C"/>
    <w:rsid w:val="008C29C3"/>
    <w:rsid w:val="008C2C9E"/>
    <w:rsid w:val="008C2E12"/>
    <w:rsid w:val="008C2EEB"/>
    <w:rsid w:val="008C330B"/>
    <w:rsid w:val="008C384F"/>
    <w:rsid w:val="008C39F4"/>
    <w:rsid w:val="008C3B77"/>
    <w:rsid w:val="008C5ACC"/>
    <w:rsid w:val="008C7061"/>
    <w:rsid w:val="008C7757"/>
    <w:rsid w:val="008C79EA"/>
    <w:rsid w:val="008D0537"/>
    <w:rsid w:val="008D0949"/>
    <w:rsid w:val="008D186B"/>
    <w:rsid w:val="008D1A7C"/>
    <w:rsid w:val="008D1AA0"/>
    <w:rsid w:val="008D2A7F"/>
    <w:rsid w:val="008D3BF8"/>
    <w:rsid w:val="008D47D1"/>
    <w:rsid w:val="008D494B"/>
    <w:rsid w:val="008D4F42"/>
    <w:rsid w:val="008D5A32"/>
    <w:rsid w:val="008D5FC3"/>
    <w:rsid w:val="008D6A39"/>
    <w:rsid w:val="008D6AA5"/>
    <w:rsid w:val="008D6E02"/>
    <w:rsid w:val="008D6E9A"/>
    <w:rsid w:val="008D7B6C"/>
    <w:rsid w:val="008D7C50"/>
    <w:rsid w:val="008E02EF"/>
    <w:rsid w:val="008E1B49"/>
    <w:rsid w:val="008E3A9A"/>
    <w:rsid w:val="008E429C"/>
    <w:rsid w:val="008E5333"/>
    <w:rsid w:val="008E588B"/>
    <w:rsid w:val="008E64C0"/>
    <w:rsid w:val="008E6777"/>
    <w:rsid w:val="008E70C9"/>
    <w:rsid w:val="008E751D"/>
    <w:rsid w:val="008F092F"/>
    <w:rsid w:val="008F153C"/>
    <w:rsid w:val="008F18B0"/>
    <w:rsid w:val="008F1BB9"/>
    <w:rsid w:val="008F1E41"/>
    <w:rsid w:val="008F1F71"/>
    <w:rsid w:val="008F2B49"/>
    <w:rsid w:val="008F304B"/>
    <w:rsid w:val="008F33A4"/>
    <w:rsid w:val="008F36D7"/>
    <w:rsid w:val="008F40C0"/>
    <w:rsid w:val="008F4B3E"/>
    <w:rsid w:val="008F626C"/>
    <w:rsid w:val="008F6506"/>
    <w:rsid w:val="008F671A"/>
    <w:rsid w:val="008F6A1D"/>
    <w:rsid w:val="008F6AB5"/>
    <w:rsid w:val="008F716C"/>
    <w:rsid w:val="008F7B31"/>
    <w:rsid w:val="0090093E"/>
    <w:rsid w:val="00902138"/>
    <w:rsid w:val="009022FA"/>
    <w:rsid w:val="0090243D"/>
    <w:rsid w:val="00902FE0"/>
    <w:rsid w:val="0090324D"/>
    <w:rsid w:val="009044E8"/>
    <w:rsid w:val="0090545B"/>
    <w:rsid w:val="009064EF"/>
    <w:rsid w:val="0090673D"/>
    <w:rsid w:val="00906D30"/>
    <w:rsid w:val="00907B1F"/>
    <w:rsid w:val="00907DCF"/>
    <w:rsid w:val="00907F44"/>
    <w:rsid w:val="0091085C"/>
    <w:rsid w:val="00912B7B"/>
    <w:rsid w:val="00912EDD"/>
    <w:rsid w:val="0091313A"/>
    <w:rsid w:val="0091460F"/>
    <w:rsid w:val="00914836"/>
    <w:rsid w:val="00914DA8"/>
    <w:rsid w:val="00914E3D"/>
    <w:rsid w:val="009150EF"/>
    <w:rsid w:val="00915CAF"/>
    <w:rsid w:val="00916796"/>
    <w:rsid w:val="0091732B"/>
    <w:rsid w:val="00920EEC"/>
    <w:rsid w:val="0092158D"/>
    <w:rsid w:val="00922193"/>
    <w:rsid w:val="009224F8"/>
    <w:rsid w:val="00922674"/>
    <w:rsid w:val="0092275E"/>
    <w:rsid w:val="00922D5B"/>
    <w:rsid w:val="009241F0"/>
    <w:rsid w:val="00924ED0"/>
    <w:rsid w:val="00925108"/>
    <w:rsid w:val="00925348"/>
    <w:rsid w:val="00925680"/>
    <w:rsid w:val="00925928"/>
    <w:rsid w:val="00926082"/>
    <w:rsid w:val="00926A8E"/>
    <w:rsid w:val="009271A7"/>
    <w:rsid w:val="0092769F"/>
    <w:rsid w:val="00927C04"/>
    <w:rsid w:val="009300DA"/>
    <w:rsid w:val="00930292"/>
    <w:rsid w:val="009305A6"/>
    <w:rsid w:val="00931296"/>
    <w:rsid w:val="00931704"/>
    <w:rsid w:val="00931E80"/>
    <w:rsid w:val="00932144"/>
    <w:rsid w:val="00932A4C"/>
    <w:rsid w:val="00932F13"/>
    <w:rsid w:val="009331DA"/>
    <w:rsid w:val="0093373B"/>
    <w:rsid w:val="00933AC6"/>
    <w:rsid w:val="00933D34"/>
    <w:rsid w:val="00934605"/>
    <w:rsid w:val="0093493A"/>
    <w:rsid w:val="009349D5"/>
    <w:rsid w:val="00934FA6"/>
    <w:rsid w:val="009354C2"/>
    <w:rsid w:val="009363C5"/>
    <w:rsid w:val="00937873"/>
    <w:rsid w:val="009378F7"/>
    <w:rsid w:val="00937916"/>
    <w:rsid w:val="00937F6B"/>
    <w:rsid w:val="00940853"/>
    <w:rsid w:val="00941A38"/>
    <w:rsid w:val="00942AF2"/>
    <w:rsid w:val="00942CEA"/>
    <w:rsid w:val="00942E6E"/>
    <w:rsid w:val="0094343C"/>
    <w:rsid w:val="00943D64"/>
    <w:rsid w:val="009444E3"/>
    <w:rsid w:val="00944AED"/>
    <w:rsid w:val="009455B3"/>
    <w:rsid w:val="00945FC2"/>
    <w:rsid w:val="009460C5"/>
    <w:rsid w:val="009461D4"/>
    <w:rsid w:val="0094663B"/>
    <w:rsid w:val="00946967"/>
    <w:rsid w:val="0094735E"/>
    <w:rsid w:val="00947A0A"/>
    <w:rsid w:val="009502D4"/>
    <w:rsid w:val="0095050D"/>
    <w:rsid w:val="009525FB"/>
    <w:rsid w:val="00952B47"/>
    <w:rsid w:val="00952BAE"/>
    <w:rsid w:val="00953C32"/>
    <w:rsid w:val="00954A02"/>
    <w:rsid w:val="0095599B"/>
    <w:rsid w:val="009559E5"/>
    <w:rsid w:val="00955A67"/>
    <w:rsid w:val="00955B65"/>
    <w:rsid w:val="00955D8C"/>
    <w:rsid w:val="009575D2"/>
    <w:rsid w:val="0095772D"/>
    <w:rsid w:val="00960125"/>
    <w:rsid w:val="00960527"/>
    <w:rsid w:val="0096065D"/>
    <w:rsid w:val="00960CD9"/>
    <w:rsid w:val="00961500"/>
    <w:rsid w:val="00961B48"/>
    <w:rsid w:val="00961BE2"/>
    <w:rsid w:val="00961F1B"/>
    <w:rsid w:val="0096275C"/>
    <w:rsid w:val="00962C15"/>
    <w:rsid w:val="00963294"/>
    <w:rsid w:val="00964018"/>
    <w:rsid w:val="009647CC"/>
    <w:rsid w:val="00964A51"/>
    <w:rsid w:val="00964DDB"/>
    <w:rsid w:val="00964EF0"/>
    <w:rsid w:val="00965464"/>
    <w:rsid w:val="009658ED"/>
    <w:rsid w:val="00966E14"/>
    <w:rsid w:val="009675B5"/>
    <w:rsid w:val="00967B34"/>
    <w:rsid w:val="00970185"/>
    <w:rsid w:val="009701FD"/>
    <w:rsid w:val="0097057A"/>
    <w:rsid w:val="0097074B"/>
    <w:rsid w:val="009708B1"/>
    <w:rsid w:val="00970981"/>
    <w:rsid w:val="00971C5A"/>
    <w:rsid w:val="009727FE"/>
    <w:rsid w:val="00972C2E"/>
    <w:rsid w:val="00974772"/>
    <w:rsid w:val="00974D9C"/>
    <w:rsid w:val="00975591"/>
    <w:rsid w:val="00975605"/>
    <w:rsid w:val="00975F12"/>
    <w:rsid w:val="009770AA"/>
    <w:rsid w:val="00977576"/>
    <w:rsid w:val="00977CFA"/>
    <w:rsid w:val="009801F9"/>
    <w:rsid w:val="00980479"/>
    <w:rsid w:val="009808F4"/>
    <w:rsid w:val="00981559"/>
    <w:rsid w:val="009815C2"/>
    <w:rsid w:val="00981641"/>
    <w:rsid w:val="00981643"/>
    <w:rsid w:val="00981689"/>
    <w:rsid w:val="00981EE5"/>
    <w:rsid w:val="00982083"/>
    <w:rsid w:val="00982D21"/>
    <w:rsid w:val="00983881"/>
    <w:rsid w:val="009847D5"/>
    <w:rsid w:val="00984F90"/>
    <w:rsid w:val="009852D8"/>
    <w:rsid w:val="0098550B"/>
    <w:rsid w:val="00986363"/>
    <w:rsid w:val="009868CD"/>
    <w:rsid w:val="009911D1"/>
    <w:rsid w:val="009912A9"/>
    <w:rsid w:val="0099187A"/>
    <w:rsid w:val="009919DC"/>
    <w:rsid w:val="00992376"/>
    <w:rsid w:val="0099271C"/>
    <w:rsid w:val="00992E47"/>
    <w:rsid w:val="009932BE"/>
    <w:rsid w:val="009934E2"/>
    <w:rsid w:val="009937D6"/>
    <w:rsid w:val="009940C3"/>
    <w:rsid w:val="00995222"/>
    <w:rsid w:val="0099591C"/>
    <w:rsid w:val="00995E6E"/>
    <w:rsid w:val="0099629F"/>
    <w:rsid w:val="009969B5"/>
    <w:rsid w:val="009A0B1D"/>
    <w:rsid w:val="009A1C43"/>
    <w:rsid w:val="009A1F98"/>
    <w:rsid w:val="009A2ED8"/>
    <w:rsid w:val="009A331E"/>
    <w:rsid w:val="009A3578"/>
    <w:rsid w:val="009A3FDF"/>
    <w:rsid w:val="009A435F"/>
    <w:rsid w:val="009A46D1"/>
    <w:rsid w:val="009A48D0"/>
    <w:rsid w:val="009A49A9"/>
    <w:rsid w:val="009A4B8B"/>
    <w:rsid w:val="009A5483"/>
    <w:rsid w:val="009A5E61"/>
    <w:rsid w:val="009A6A23"/>
    <w:rsid w:val="009A6AA9"/>
    <w:rsid w:val="009A6B35"/>
    <w:rsid w:val="009A7338"/>
    <w:rsid w:val="009A7B28"/>
    <w:rsid w:val="009A7D4F"/>
    <w:rsid w:val="009B081B"/>
    <w:rsid w:val="009B083F"/>
    <w:rsid w:val="009B16A9"/>
    <w:rsid w:val="009B18A3"/>
    <w:rsid w:val="009B23CC"/>
    <w:rsid w:val="009B240F"/>
    <w:rsid w:val="009B2636"/>
    <w:rsid w:val="009B27BB"/>
    <w:rsid w:val="009B27C7"/>
    <w:rsid w:val="009B2BE2"/>
    <w:rsid w:val="009B2C35"/>
    <w:rsid w:val="009B2DD0"/>
    <w:rsid w:val="009B47B7"/>
    <w:rsid w:val="009B54C2"/>
    <w:rsid w:val="009B6326"/>
    <w:rsid w:val="009B6987"/>
    <w:rsid w:val="009B74C3"/>
    <w:rsid w:val="009B76B2"/>
    <w:rsid w:val="009B7D99"/>
    <w:rsid w:val="009C01BB"/>
    <w:rsid w:val="009C0425"/>
    <w:rsid w:val="009C0933"/>
    <w:rsid w:val="009C0A55"/>
    <w:rsid w:val="009C0AA2"/>
    <w:rsid w:val="009C11B9"/>
    <w:rsid w:val="009C1640"/>
    <w:rsid w:val="009C188D"/>
    <w:rsid w:val="009C2033"/>
    <w:rsid w:val="009C22E1"/>
    <w:rsid w:val="009C2300"/>
    <w:rsid w:val="009C30C9"/>
    <w:rsid w:val="009C357D"/>
    <w:rsid w:val="009C3978"/>
    <w:rsid w:val="009C497B"/>
    <w:rsid w:val="009C50F4"/>
    <w:rsid w:val="009C55C7"/>
    <w:rsid w:val="009C6491"/>
    <w:rsid w:val="009C6874"/>
    <w:rsid w:val="009C6BCA"/>
    <w:rsid w:val="009D05CF"/>
    <w:rsid w:val="009D0C97"/>
    <w:rsid w:val="009D0F86"/>
    <w:rsid w:val="009D117C"/>
    <w:rsid w:val="009D15CA"/>
    <w:rsid w:val="009D1CAC"/>
    <w:rsid w:val="009D1F9B"/>
    <w:rsid w:val="009D3564"/>
    <w:rsid w:val="009D366C"/>
    <w:rsid w:val="009D3761"/>
    <w:rsid w:val="009D3FCF"/>
    <w:rsid w:val="009D537E"/>
    <w:rsid w:val="009D66F2"/>
    <w:rsid w:val="009D6CE7"/>
    <w:rsid w:val="009D6FC4"/>
    <w:rsid w:val="009D7103"/>
    <w:rsid w:val="009D7515"/>
    <w:rsid w:val="009D7851"/>
    <w:rsid w:val="009D7981"/>
    <w:rsid w:val="009D7E45"/>
    <w:rsid w:val="009E0059"/>
    <w:rsid w:val="009E039D"/>
    <w:rsid w:val="009E0C21"/>
    <w:rsid w:val="009E0C69"/>
    <w:rsid w:val="009E102C"/>
    <w:rsid w:val="009E19C1"/>
    <w:rsid w:val="009E2BD0"/>
    <w:rsid w:val="009E36C3"/>
    <w:rsid w:val="009E3CBA"/>
    <w:rsid w:val="009E4E58"/>
    <w:rsid w:val="009E56AA"/>
    <w:rsid w:val="009E5BD7"/>
    <w:rsid w:val="009E60B8"/>
    <w:rsid w:val="009E64AD"/>
    <w:rsid w:val="009E6783"/>
    <w:rsid w:val="009E7451"/>
    <w:rsid w:val="009E7F59"/>
    <w:rsid w:val="009F0058"/>
    <w:rsid w:val="009F02D7"/>
    <w:rsid w:val="009F0874"/>
    <w:rsid w:val="009F09E0"/>
    <w:rsid w:val="009F0E15"/>
    <w:rsid w:val="009F0E90"/>
    <w:rsid w:val="009F1886"/>
    <w:rsid w:val="009F1DED"/>
    <w:rsid w:val="009F20DE"/>
    <w:rsid w:val="009F3C76"/>
    <w:rsid w:val="009F4492"/>
    <w:rsid w:val="009F4657"/>
    <w:rsid w:val="009F541F"/>
    <w:rsid w:val="009F586E"/>
    <w:rsid w:val="009F5F90"/>
    <w:rsid w:val="009F69E4"/>
    <w:rsid w:val="009F712A"/>
    <w:rsid w:val="009F7ABA"/>
    <w:rsid w:val="00A007A0"/>
    <w:rsid w:val="00A01501"/>
    <w:rsid w:val="00A01DF4"/>
    <w:rsid w:val="00A02B73"/>
    <w:rsid w:val="00A03376"/>
    <w:rsid w:val="00A03A3D"/>
    <w:rsid w:val="00A04ADA"/>
    <w:rsid w:val="00A04E58"/>
    <w:rsid w:val="00A058AC"/>
    <w:rsid w:val="00A06371"/>
    <w:rsid w:val="00A0641F"/>
    <w:rsid w:val="00A07EF3"/>
    <w:rsid w:val="00A1054B"/>
    <w:rsid w:val="00A10E92"/>
    <w:rsid w:val="00A11657"/>
    <w:rsid w:val="00A11A4B"/>
    <w:rsid w:val="00A11D88"/>
    <w:rsid w:val="00A12421"/>
    <w:rsid w:val="00A125F9"/>
    <w:rsid w:val="00A12927"/>
    <w:rsid w:val="00A13AC3"/>
    <w:rsid w:val="00A13CD4"/>
    <w:rsid w:val="00A143A9"/>
    <w:rsid w:val="00A144C7"/>
    <w:rsid w:val="00A14AD4"/>
    <w:rsid w:val="00A14E0A"/>
    <w:rsid w:val="00A14ECC"/>
    <w:rsid w:val="00A150A6"/>
    <w:rsid w:val="00A15E3F"/>
    <w:rsid w:val="00A165A8"/>
    <w:rsid w:val="00A173B9"/>
    <w:rsid w:val="00A20E15"/>
    <w:rsid w:val="00A212AC"/>
    <w:rsid w:val="00A216E3"/>
    <w:rsid w:val="00A22A90"/>
    <w:rsid w:val="00A2365B"/>
    <w:rsid w:val="00A23943"/>
    <w:rsid w:val="00A23BD9"/>
    <w:rsid w:val="00A2429F"/>
    <w:rsid w:val="00A2437D"/>
    <w:rsid w:val="00A2449F"/>
    <w:rsid w:val="00A25571"/>
    <w:rsid w:val="00A25FE0"/>
    <w:rsid w:val="00A26087"/>
    <w:rsid w:val="00A2653E"/>
    <w:rsid w:val="00A26707"/>
    <w:rsid w:val="00A26B23"/>
    <w:rsid w:val="00A27881"/>
    <w:rsid w:val="00A3174B"/>
    <w:rsid w:val="00A31876"/>
    <w:rsid w:val="00A3266E"/>
    <w:rsid w:val="00A3278F"/>
    <w:rsid w:val="00A32A1E"/>
    <w:rsid w:val="00A333C9"/>
    <w:rsid w:val="00A34291"/>
    <w:rsid w:val="00A34792"/>
    <w:rsid w:val="00A34CA3"/>
    <w:rsid w:val="00A35424"/>
    <w:rsid w:val="00A3543F"/>
    <w:rsid w:val="00A358CD"/>
    <w:rsid w:val="00A35B0D"/>
    <w:rsid w:val="00A369AB"/>
    <w:rsid w:val="00A36F6D"/>
    <w:rsid w:val="00A3760B"/>
    <w:rsid w:val="00A40026"/>
    <w:rsid w:val="00A413FF"/>
    <w:rsid w:val="00A414CD"/>
    <w:rsid w:val="00A41780"/>
    <w:rsid w:val="00A42301"/>
    <w:rsid w:val="00A42AF5"/>
    <w:rsid w:val="00A431B0"/>
    <w:rsid w:val="00A4433C"/>
    <w:rsid w:val="00A45262"/>
    <w:rsid w:val="00A46824"/>
    <w:rsid w:val="00A468E9"/>
    <w:rsid w:val="00A478B1"/>
    <w:rsid w:val="00A47F5A"/>
    <w:rsid w:val="00A50624"/>
    <w:rsid w:val="00A515BD"/>
    <w:rsid w:val="00A51B3C"/>
    <w:rsid w:val="00A51D97"/>
    <w:rsid w:val="00A52360"/>
    <w:rsid w:val="00A52A72"/>
    <w:rsid w:val="00A52C52"/>
    <w:rsid w:val="00A530DF"/>
    <w:rsid w:val="00A53591"/>
    <w:rsid w:val="00A53F9B"/>
    <w:rsid w:val="00A54070"/>
    <w:rsid w:val="00A541D5"/>
    <w:rsid w:val="00A54ED7"/>
    <w:rsid w:val="00A55137"/>
    <w:rsid w:val="00A557DA"/>
    <w:rsid w:val="00A55B9C"/>
    <w:rsid w:val="00A55EF3"/>
    <w:rsid w:val="00A56497"/>
    <w:rsid w:val="00A5670A"/>
    <w:rsid w:val="00A56DD8"/>
    <w:rsid w:val="00A56F85"/>
    <w:rsid w:val="00A57BBA"/>
    <w:rsid w:val="00A60444"/>
    <w:rsid w:val="00A617C4"/>
    <w:rsid w:val="00A617E4"/>
    <w:rsid w:val="00A6241B"/>
    <w:rsid w:val="00A62525"/>
    <w:rsid w:val="00A62548"/>
    <w:rsid w:val="00A6258E"/>
    <w:rsid w:val="00A63775"/>
    <w:rsid w:val="00A63891"/>
    <w:rsid w:val="00A63BE8"/>
    <w:rsid w:val="00A63D5C"/>
    <w:rsid w:val="00A64521"/>
    <w:rsid w:val="00A6460E"/>
    <w:rsid w:val="00A65CF4"/>
    <w:rsid w:val="00A666F4"/>
    <w:rsid w:val="00A6724E"/>
    <w:rsid w:val="00A67492"/>
    <w:rsid w:val="00A6758C"/>
    <w:rsid w:val="00A67CD6"/>
    <w:rsid w:val="00A72063"/>
    <w:rsid w:val="00A7307A"/>
    <w:rsid w:val="00A73840"/>
    <w:rsid w:val="00A73A65"/>
    <w:rsid w:val="00A74EF7"/>
    <w:rsid w:val="00A7523E"/>
    <w:rsid w:val="00A758FD"/>
    <w:rsid w:val="00A7595A"/>
    <w:rsid w:val="00A76028"/>
    <w:rsid w:val="00A76F2B"/>
    <w:rsid w:val="00A77AAE"/>
    <w:rsid w:val="00A77E0A"/>
    <w:rsid w:val="00A81451"/>
    <w:rsid w:val="00A8152A"/>
    <w:rsid w:val="00A817B4"/>
    <w:rsid w:val="00A83A6E"/>
    <w:rsid w:val="00A84B9C"/>
    <w:rsid w:val="00A84EA5"/>
    <w:rsid w:val="00A85A0A"/>
    <w:rsid w:val="00A85B10"/>
    <w:rsid w:val="00A863BB"/>
    <w:rsid w:val="00A86F0F"/>
    <w:rsid w:val="00A874C0"/>
    <w:rsid w:val="00A87CAD"/>
    <w:rsid w:val="00A9118F"/>
    <w:rsid w:val="00A91BD9"/>
    <w:rsid w:val="00A928E0"/>
    <w:rsid w:val="00A93526"/>
    <w:rsid w:val="00A938B0"/>
    <w:rsid w:val="00A93B9A"/>
    <w:rsid w:val="00A93E90"/>
    <w:rsid w:val="00A93F6A"/>
    <w:rsid w:val="00A9547C"/>
    <w:rsid w:val="00A95501"/>
    <w:rsid w:val="00A95692"/>
    <w:rsid w:val="00A95902"/>
    <w:rsid w:val="00A95C03"/>
    <w:rsid w:val="00A96CD0"/>
    <w:rsid w:val="00A97131"/>
    <w:rsid w:val="00A9799C"/>
    <w:rsid w:val="00A97B11"/>
    <w:rsid w:val="00AA0061"/>
    <w:rsid w:val="00AA0128"/>
    <w:rsid w:val="00AA03F1"/>
    <w:rsid w:val="00AA0DD5"/>
    <w:rsid w:val="00AA15A2"/>
    <w:rsid w:val="00AA22F9"/>
    <w:rsid w:val="00AA257F"/>
    <w:rsid w:val="00AA2628"/>
    <w:rsid w:val="00AA2E70"/>
    <w:rsid w:val="00AA3F53"/>
    <w:rsid w:val="00AA440C"/>
    <w:rsid w:val="00AA4BE3"/>
    <w:rsid w:val="00AA4FB3"/>
    <w:rsid w:val="00AA532A"/>
    <w:rsid w:val="00AA5527"/>
    <w:rsid w:val="00AA5A7B"/>
    <w:rsid w:val="00AA5D1B"/>
    <w:rsid w:val="00AA5E46"/>
    <w:rsid w:val="00AA5E99"/>
    <w:rsid w:val="00AA687F"/>
    <w:rsid w:val="00AA7D78"/>
    <w:rsid w:val="00AA7F3A"/>
    <w:rsid w:val="00AB0123"/>
    <w:rsid w:val="00AB0182"/>
    <w:rsid w:val="00AB0E1F"/>
    <w:rsid w:val="00AB169A"/>
    <w:rsid w:val="00AB2282"/>
    <w:rsid w:val="00AB34F2"/>
    <w:rsid w:val="00AB39C4"/>
    <w:rsid w:val="00AB3E70"/>
    <w:rsid w:val="00AB4056"/>
    <w:rsid w:val="00AB427D"/>
    <w:rsid w:val="00AB449A"/>
    <w:rsid w:val="00AB46B9"/>
    <w:rsid w:val="00AB62BB"/>
    <w:rsid w:val="00AB6628"/>
    <w:rsid w:val="00AB6C44"/>
    <w:rsid w:val="00AB70B0"/>
    <w:rsid w:val="00AB73AE"/>
    <w:rsid w:val="00AC0490"/>
    <w:rsid w:val="00AC125B"/>
    <w:rsid w:val="00AC1294"/>
    <w:rsid w:val="00AC1548"/>
    <w:rsid w:val="00AC1A62"/>
    <w:rsid w:val="00AC1B6E"/>
    <w:rsid w:val="00AC202F"/>
    <w:rsid w:val="00AC2260"/>
    <w:rsid w:val="00AC23D9"/>
    <w:rsid w:val="00AC2B50"/>
    <w:rsid w:val="00AC37CB"/>
    <w:rsid w:val="00AC404F"/>
    <w:rsid w:val="00AC4241"/>
    <w:rsid w:val="00AC4665"/>
    <w:rsid w:val="00AC4714"/>
    <w:rsid w:val="00AC54FA"/>
    <w:rsid w:val="00AC5977"/>
    <w:rsid w:val="00AC5CEA"/>
    <w:rsid w:val="00AC5E20"/>
    <w:rsid w:val="00AC5F35"/>
    <w:rsid w:val="00AC6DE4"/>
    <w:rsid w:val="00AC702C"/>
    <w:rsid w:val="00AC7285"/>
    <w:rsid w:val="00AC741C"/>
    <w:rsid w:val="00AC7BF2"/>
    <w:rsid w:val="00AC7C57"/>
    <w:rsid w:val="00AD04BE"/>
    <w:rsid w:val="00AD0856"/>
    <w:rsid w:val="00AD0B88"/>
    <w:rsid w:val="00AD0F79"/>
    <w:rsid w:val="00AD1117"/>
    <w:rsid w:val="00AD13F6"/>
    <w:rsid w:val="00AD1778"/>
    <w:rsid w:val="00AD1CC4"/>
    <w:rsid w:val="00AD321B"/>
    <w:rsid w:val="00AD3354"/>
    <w:rsid w:val="00AD389D"/>
    <w:rsid w:val="00AD396F"/>
    <w:rsid w:val="00AD3DA2"/>
    <w:rsid w:val="00AD4492"/>
    <w:rsid w:val="00AD46A3"/>
    <w:rsid w:val="00AD481F"/>
    <w:rsid w:val="00AD503C"/>
    <w:rsid w:val="00AD5456"/>
    <w:rsid w:val="00AD5CF0"/>
    <w:rsid w:val="00AD64A6"/>
    <w:rsid w:val="00AD66A6"/>
    <w:rsid w:val="00AD72BA"/>
    <w:rsid w:val="00AD77AE"/>
    <w:rsid w:val="00AE0213"/>
    <w:rsid w:val="00AE0C79"/>
    <w:rsid w:val="00AE145B"/>
    <w:rsid w:val="00AE1993"/>
    <w:rsid w:val="00AE1BE7"/>
    <w:rsid w:val="00AE2386"/>
    <w:rsid w:val="00AE2570"/>
    <w:rsid w:val="00AE40CA"/>
    <w:rsid w:val="00AE41ED"/>
    <w:rsid w:val="00AE4902"/>
    <w:rsid w:val="00AE51E8"/>
    <w:rsid w:val="00AE57A6"/>
    <w:rsid w:val="00AE5C42"/>
    <w:rsid w:val="00AE5D8C"/>
    <w:rsid w:val="00AE6124"/>
    <w:rsid w:val="00AE6767"/>
    <w:rsid w:val="00AE6878"/>
    <w:rsid w:val="00AE6D50"/>
    <w:rsid w:val="00AE7731"/>
    <w:rsid w:val="00AE7958"/>
    <w:rsid w:val="00AE7BAA"/>
    <w:rsid w:val="00AE7C7E"/>
    <w:rsid w:val="00AE7FF4"/>
    <w:rsid w:val="00AF15A2"/>
    <w:rsid w:val="00AF15E8"/>
    <w:rsid w:val="00AF2024"/>
    <w:rsid w:val="00AF253B"/>
    <w:rsid w:val="00AF2AFF"/>
    <w:rsid w:val="00AF2D78"/>
    <w:rsid w:val="00AF4B94"/>
    <w:rsid w:val="00AF5051"/>
    <w:rsid w:val="00AF5437"/>
    <w:rsid w:val="00AF543F"/>
    <w:rsid w:val="00AF5B78"/>
    <w:rsid w:val="00AF5D34"/>
    <w:rsid w:val="00AF6265"/>
    <w:rsid w:val="00AF6B92"/>
    <w:rsid w:val="00AF77BF"/>
    <w:rsid w:val="00AF7833"/>
    <w:rsid w:val="00B00187"/>
    <w:rsid w:val="00B009D1"/>
    <w:rsid w:val="00B00A4F"/>
    <w:rsid w:val="00B00F9F"/>
    <w:rsid w:val="00B0197D"/>
    <w:rsid w:val="00B022B3"/>
    <w:rsid w:val="00B02A89"/>
    <w:rsid w:val="00B04764"/>
    <w:rsid w:val="00B047FA"/>
    <w:rsid w:val="00B04A30"/>
    <w:rsid w:val="00B04CEC"/>
    <w:rsid w:val="00B05193"/>
    <w:rsid w:val="00B05218"/>
    <w:rsid w:val="00B063C9"/>
    <w:rsid w:val="00B06A12"/>
    <w:rsid w:val="00B07421"/>
    <w:rsid w:val="00B07D5E"/>
    <w:rsid w:val="00B1090C"/>
    <w:rsid w:val="00B10A72"/>
    <w:rsid w:val="00B1133B"/>
    <w:rsid w:val="00B1152C"/>
    <w:rsid w:val="00B12488"/>
    <w:rsid w:val="00B124BD"/>
    <w:rsid w:val="00B12720"/>
    <w:rsid w:val="00B12C65"/>
    <w:rsid w:val="00B136DB"/>
    <w:rsid w:val="00B13B84"/>
    <w:rsid w:val="00B13DDF"/>
    <w:rsid w:val="00B14780"/>
    <w:rsid w:val="00B14E61"/>
    <w:rsid w:val="00B16123"/>
    <w:rsid w:val="00B16457"/>
    <w:rsid w:val="00B16A28"/>
    <w:rsid w:val="00B17647"/>
    <w:rsid w:val="00B20391"/>
    <w:rsid w:val="00B209CD"/>
    <w:rsid w:val="00B217BA"/>
    <w:rsid w:val="00B219D6"/>
    <w:rsid w:val="00B2227F"/>
    <w:rsid w:val="00B225CF"/>
    <w:rsid w:val="00B23017"/>
    <w:rsid w:val="00B23181"/>
    <w:rsid w:val="00B2353A"/>
    <w:rsid w:val="00B237E3"/>
    <w:rsid w:val="00B239C9"/>
    <w:rsid w:val="00B24582"/>
    <w:rsid w:val="00B24750"/>
    <w:rsid w:val="00B24D28"/>
    <w:rsid w:val="00B24DF0"/>
    <w:rsid w:val="00B24EF6"/>
    <w:rsid w:val="00B260D3"/>
    <w:rsid w:val="00B264C4"/>
    <w:rsid w:val="00B27093"/>
    <w:rsid w:val="00B30029"/>
    <w:rsid w:val="00B31A71"/>
    <w:rsid w:val="00B31B0A"/>
    <w:rsid w:val="00B32A82"/>
    <w:rsid w:val="00B33B02"/>
    <w:rsid w:val="00B34295"/>
    <w:rsid w:val="00B347C4"/>
    <w:rsid w:val="00B3537E"/>
    <w:rsid w:val="00B353F2"/>
    <w:rsid w:val="00B354B1"/>
    <w:rsid w:val="00B41226"/>
    <w:rsid w:val="00B414F8"/>
    <w:rsid w:val="00B41B66"/>
    <w:rsid w:val="00B41CF0"/>
    <w:rsid w:val="00B4210E"/>
    <w:rsid w:val="00B4339F"/>
    <w:rsid w:val="00B44F4C"/>
    <w:rsid w:val="00B456F7"/>
    <w:rsid w:val="00B47B08"/>
    <w:rsid w:val="00B50582"/>
    <w:rsid w:val="00B50E87"/>
    <w:rsid w:val="00B517AC"/>
    <w:rsid w:val="00B51AAB"/>
    <w:rsid w:val="00B5222F"/>
    <w:rsid w:val="00B524C4"/>
    <w:rsid w:val="00B52E25"/>
    <w:rsid w:val="00B530C7"/>
    <w:rsid w:val="00B53618"/>
    <w:rsid w:val="00B53A3B"/>
    <w:rsid w:val="00B55A52"/>
    <w:rsid w:val="00B5726D"/>
    <w:rsid w:val="00B57900"/>
    <w:rsid w:val="00B60ADB"/>
    <w:rsid w:val="00B6125F"/>
    <w:rsid w:val="00B61AB6"/>
    <w:rsid w:val="00B61B54"/>
    <w:rsid w:val="00B61CEE"/>
    <w:rsid w:val="00B61D50"/>
    <w:rsid w:val="00B625D5"/>
    <w:rsid w:val="00B62C5A"/>
    <w:rsid w:val="00B63100"/>
    <w:rsid w:val="00B638FD"/>
    <w:rsid w:val="00B64137"/>
    <w:rsid w:val="00B642BB"/>
    <w:rsid w:val="00B64858"/>
    <w:rsid w:val="00B656D9"/>
    <w:rsid w:val="00B658C4"/>
    <w:rsid w:val="00B65E02"/>
    <w:rsid w:val="00B664C0"/>
    <w:rsid w:val="00B6670A"/>
    <w:rsid w:val="00B67712"/>
    <w:rsid w:val="00B67E4D"/>
    <w:rsid w:val="00B67E81"/>
    <w:rsid w:val="00B67E8F"/>
    <w:rsid w:val="00B703F3"/>
    <w:rsid w:val="00B70E79"/>
    <w:rsid w:val="00B70F13"/>
    <w:rsid w:val="00B70FD4"/>
    <w:rsid w:val="00B723D3"/>
    <w:rsid w:val="00B73275"/>
    <w:rsid w:val="00B7328C"/>
    <w:rsid w:val="00B73458"/>
    <w:rsid w:val="00B739CB"/>
    <w:rsid w:val="00B73AD1"/>
    <w:rsid w:val="00B7512D"/>
    <w:rsid w:val="00B76057"/>
    <w:rsid w:val="00B768A9"/>
    <w:rsid w:val="00B76965"/>
    <w:rsid w:val="00B7739A"/>
    <w:rsid w:val="00B774B1"/>
    <w:rsid w:val="00B77621"/>
    <w:rsid w:val="00B77AA6"/>
    <w:rsid w:val="00B80078"/>
    <w:rsid w:val="00B815E5"/>
    <w:rsid w:val="00B8189B"/>
    <w:rsid w:val="00B81A51"/>
    <w:rsid w:val="00B825ED"/>
    <w:rsid w:val="00B8288D"/>
    <w:rsid w:val="00B83964"/>
    <w:rsid w:val="00B83FCF"/>
    <w:rsid w:val="00B84B7F"/>
    <w:rsid w:val="00B84F21"/>
    <w:rsid w:val="00B84FE7"/>
    <w:rsid w:val="00B8544D"/>
    <w:rsid w:val="00B85DF4"/>
    <w:rsid w:val="00B8645F"/>
    <w:rsid w:val="00B86921"/>
    <w:rsid w:val="00B879C1"/>
    <w:rsid w:val="00B90673"/>
    <w:rsid w:val="00B909BC"/>
    <w:rsid w:val="00B90B81"/>
    <w:rsid w:val="00B913DB"/>
    <w:rsid w:val="00B9305E"/>
    <w:rsid w:val="00B9309F"/>
    <w:rsid w:val="00B938B0"/>
    <w:rsid w:val="00B9392F"/>
    <w:rsid w:val="00B9396F"/>
    <w:rsid w:val="00B93AAB"/>
    <w:rsid w:val="00B93C71"/>
    <w:rsid w:val="00B93D64"/>
    <w:rsid w:val="00B93EB7"/>
    <w:rsid w:val="00B9443D"/>
    <w:rsid w:val="00B94698"/>
    <w:rsid w:val="00B94D81"/>
    <w:rsid w:val="00B95F4A"/>
    <w:rsid w:val="00B963A8"/>
    <w:rsid w:val="00B965BD"/>
    <w:rsid w:val="00B96807"/>
    <w:rsid w:val="00B97ABF"/>
    <w:rsid w:val="00BA129A"/>
    <w:rsid w:val="00BA1441"/>
    <w:rsid w:val="00BA1D6B"/>
    <w:rsid w:val="00BA216E"/>
    <w:rsid w:val="00BA3223"/>
    <w:rsid w:val="00BA36E5"/>
    <w:rsid w:val="00BA3A34"/>
    <w:rsid w:val="00BA3C2E"/>
    <w:rsid w:val="00BA3DD8"/>
    <w:rsid w:val="00BA404A"/>
    <w:rsid w:val="00BA4173"/>
    <w:rsid w:val="00BA4405"/>
    <w:rsid w:val="00BA49CB"/>
    <w:rsid w:val="00BA4D42"/>
    <w:rsid w:val="00BA4D7C"/>
    <w:rsid w:val="00BA5409"/>
    <w:rsid w:val="00BA69BF"/>
    <w:rsid w:val="00BA6DBD"/>
    <w:rsid w:val="00BB084E"/>
    <w:rsid w:val="00BB0D7A"/>
    <w:rsid w:val="00BB0F52"/>
    <w:rsid w:val="00BB1162"/>
    <w:rsid w:val="00BB142C"/>
    <w:rsid w:val="00BB1993"/>
    <w:rsid w:val="00BB271E"/>
    <w:rsid w:val="00BB2914"/>
    <w:rsid w:val="00BB2A2C"/>
    <w:rsid w:val="00BB362D"/>
    <w:rsid w:val="00BB3646"/>
    <w:rsid w:val="00BB3E12"/>
    <w:rsid w:val="00BB51B2"/>
    <w:rsid w:val="00BB54BA"/>
    <w:rsid w:val="00BB5555"/>
    <w:rsid w:val="00BB5681"/>
    <w:rsid w:val="00BB5691"/>
    <w:rsid w:val="00BB5AEA"/>
    <w:rsid w:val="00BB6135"/>
    <w:rsid w:val="00BB6556"/>
    <w:rsid w:val="00BB6F90"/>
    <w:rsid w:val="00BB734D"/>
    <w:rsid w:val="00BB758C"/>
    <w:rsid w:val="00BB75F4"/>
    <w:rsid w:val="00BB7B65"/>
    <w:rsid w:val="00BB7FB0"/>
    <w:rsid w:val="00BC0ADF"/>
    <w:rsid w:val="00BC0CD3"/>
    <w:rsid w:val="00BC0FB7"/>
    <w:rsid w:val="00BC1CC7"/>
    <w:rsid w:val="00BC1E3D"/>
    <w:rsid w:val="00BC27ED"/>
    <w:rsid w:val="00BC2966"/>
    <w:rsid w:val="00BC2B6C"/>
    <w:rsid w:val="00BC2CD8"/>
    <w:rsid w:val="00BC3DE7"/>
    <w:rsid w:val="00BC4B42"/>
    <w:rsid w:val="00BC57FE"/>
    <w:rsid w:val="00BC6AA5"/>
    <w:rsid w:val="00BC7FEF"/>
    <w:rsid w:val="00BD0047"/>
    <w:rsid w:val="00BD00EB"/>
    <w:rsid w:val="00BD0E8F"/>
    <w:rsid w:val="00BD19D5"/>
    <w:rsid w:val="00BD244B"/>
    <w:rsid w:val="00BD3198"/>
    <w:rsid w:val="00BD3814"/>
    <w:rsid w:val="00BD3BED"/>
    <w:rsid w:val="00BD3E87"/>
    <w:rsid w:val="00BD430B"/>
    <w:rsid w:val="00BD4B1D"/>
    <w:rsid w:val="00BD4D2E"/>
    <w:rsid w:val="00BD5984"/>
    <w:rsid w:val="00BD5DFF"/>
    <w:rsid w:val="00BD60AF"/>
    <w:rsid w:val="00BD6D39"/>
    <w:rsid w:val="00BD7D3F"/>
    <w:rsid w:val="00BD7D97"/>
    <w:rsid w:val="00BE0155"/>
    <w:rsid w:val="00BE02D4"/>
    <w:rsid w:val="00BE07BB"/>
    <w:rsid w:val="00BE0B11"/>
    <w:rsid w:val="00BE182E"/>
    <w:rsid w:val="00BE1CE5"/>
    <w:rsid w:val="00BE1EC6"/>
    <w:rsid w:val="00BE2248"/>
    <w:rsid w:val="00BE24B2"/>
    <w:rsid w:val="00BE3A37"/>
    <w:rsid w:val="00BE3DDB"/>
    <w:rsid w:val="00BE46C9"/>
    <w:rsid w:val="00BE59F2"/>
    <w:rsid w:val="00BE61E2"/>
    <w:rsid w:val="00BE65B0"/>
    <w:rsid w:val="00BE688E"/>
    <w:rsid w:val="00BE702F"/>
    <w:rsid w:val="00BE776D"/>
    <w:rsid w:val="00BF0224"/>
    <w:rsid w:val="00BF027C"/>
    <w:rsid w:val="00BF1D76"/>
    <w:rsid w:val="00BF224A"/>
    <w:rsid w:val="00BF2458"/>
    <w:rsid w:val="00BF3291"/>
    <w:rsid w:val="00BF38B1"/>
    <w:rsid w:val="00BF3ACE"/>
    <w:rsid w:val="00BF469D"/>
    <w:rsid w:val="00BF4BC6"/>
    <w:rsid w:val="00BF542A"/>
    <w:rsid w:val="00BF5827"/>
    <w:rsid w:val="00BF5E9A"/>
    <w:rsid w:val="00BF5EFD"/>
    <w:rsid w:val="00BF6AD9"/>
    <w:rsid w:val="00C000B5"/>
    <w:rsid w:val="00C001BB"/>
    <w:rsid w:val="00C00377"/>
    <w:rsid w:val="00C0194E"/>
    <w:rsid w:val="00C027B3"/>
    <w:rsid w:val="00C02F76"/>
    <w:rsid w:val="00C03127"/>
    <w:rsid w:val="00C041B2"/>
    <w:rsid w:val="00C04ADE"/>
    <w:rsid w:val="00C04E47"/>
    <w:rsid w:val="00C04F73"/>
    <w:rsid w:val="00C052C1"/>
    <w:rsid w:val="00C053A8"/>
    <w:rsid w:val="00C055D7"/>
    <w:rsid w:val="00C0668B"/>
    <w:rsid w:val="00C10B6C"/>
    <w:rsid w:val="00C1133F"/>
    <w:rsid w:val="00C12C66"/>
    <w:rsid w:val="00C12DC0"/>
    <w:rsid w:val="00C12F36"/>
    <w:rsid w:val="00C12F9F"/>
    <w:rsid w:val="00C13022"/>
    <w:rsid w:val="00C1367F"/>
    <w:rsid w:val="00C14512"/>
    <w:rsid w:val="00C148D8"/>
    <w:rsid w:val="00C14BD3"/>
    <w:rsid w:val="00C1501A"/>
    <w:rsid w:val="00C15ABA"/>
    <w:rsid w:val="00C15C54"/>
    <w:rsid w:val="00C15DC5"/>
    <w:rsid w:val="00C163AF"/>
    <w:rsid w:val="00C16E4F"/>
    <w:rsid w:val="00C1763E"/>
    <w:rsid w:val="00C17C16"/>
    <w:rsid w:val="00C20154"/>
    <w:rsid w:val="00C20570"/>
    <w:rsid w:val="00C21723"/>
    <w:rsid w:val="00C21D20"/>
    <w:rsid w:val="00C23041"/>
    <w:rsid w:val="00C233F3"/>
    <w:rsid w:val="00C23F1E"/>
    <w:rsid w:val="00C246BF"/>
    <w:rsid w:val="00C24954"/>
    <w:rsid w:val="00C24E7C"/>
    <w:rsid w:val="00C2535E"/>
    <w:rsid w:val="00C2551D"/>
    <w:rsid w:val="00C25BD5"/>
    <w:rsid w:val="00C25E8B"/>
    <w:rsid w:val="00C25FCF"/>
    <w:rsid w:val="00C25FE8"/>
    <w:rsid w:val="00C26092"/>
    <w:rsid w:val="00C261AF"/>
    <w:rsid w:val="00C27423"/>
    <w:rsid w:val="00C27FC0"/>
    <w:rsid w:val="00C31011"/>
    <w:rsid w:val="00C3104B"/>
    <w:rsid w:val="00C318DC"/>
    <w:rsid w:val="00C322EC"/>
    <w:rsid w:val="00C325EC"/>
    <w:rsid w:val="00C327E4"/>
    <w:rsid w:val="00C33F77"/>
    <w:rsid w:val="00C3475A"/>
    <w:rsid w:val="00C3484D"/>
    <w:rsid w:val="00C34EBF"/>
    <w:rsid w:val="00C34F78"/>
    <w:rsid w:val="00C36269"/>
    <w:rsid w:val="00C36D1F"/>
    <w:rsid w:val="00C37DF7"/>
    <w:rsid w:val="00C40032"/>
    <w:rsid w:val="00C40346"/>
    <w:rsid w:val="00C4063B"/>
    <w:rsid w:val="00C40746"/>
    <w:rsid w:val="00C413BE"/>
    <w:rsid w:val="00C42004"/>
    <w:rsid w:val="00C434C7"/>
    <w:rsid w:val="00C43FAC"/>
    <w:rsid w:val="00C448BA"/>
    <w:rsid w:val="00C44F9C"/>
    <w:rsid w:val="00C45119"/>
    <w:rsid w:val="00C45946"/>
    <w:rsid w:val="00C46635"/>
    <w:rsid w:val="00C468DE"/>
    <w:rsid w:val="00C4725F"/>
    <w:rsid w:val="00C5059C"/>
    <w:rsid w:val="00C50813"/>
    <w:rsid w:val="00C50B45"/>
    <w:rsid w:val="00C50BF9"/>
    <w:rsid w:val="00C512AF"/>
    <w:rsid w:val="00C51872"/>
    <w:rsid w:val="00C51B0B"/>
    <w:rsid w:val="00C51EE2"/>
    <w:rsid w:val="00C52F1F"/>
    <w:rsid w:val="00C536A1"/>
    <w:rsid w:val="00C536E2"/>
    <w:rsid w:val="00C53C46"/>
    <w:rsid w:val="00C54268"/>
    <w:rsid w:val="00C543B5"/>
    <w:rsid w:val="00C54664"/>
    <w:rsid w:val="00C54893"/>
    <w:rsid w:val="00C54E84"/>
    <w:rsid w:val="00C54F15"/>
    <w:rsid w:val="00C5530E"/>
    <w:rsid w:val="00C5728D"/>
    <w:rsid w:val="00C578C2"/>
    <w:rsid w:val="00C57A99"/>
    <w:rsid w:val="00C60183"/>
    <w:rsid w:val="00C610C6"/>
    <w:rsid w:val="00C6125E"/>
    <w:rsid w:val="00C61FC5"/>
    <w:rsid w:val="00C622FC"/>
    <w:rsid w:val="00C62D85"/>
    <w:rsid w:val="00C64973"/>
    <w:rsid w:val="00C64A0D"/>
    <w:rsid w:val="00C6536C"/>
    <w:rsid w:val="00C65E0E"/>
    <w:rsid w:val="00C6624D"/>
    <w:rsid w:val="00C6636D"/>
    <w:rsid w:val="00C668CB"/>
    <w:rsid w:val="00C66DFB"/>
    <w:rsid w:val="00C67183"/>
    <w:rsid w:val="00C67364"/>
    <w:rsid w:val="00C67792"/>
    <w:rsid w:val="00C67A22"/>
    <w:rsid w:val="00C67EE4"/>
    <w:rsid w:val="00C70765"/>
    <w:rsid w:val="00C713AF"/>
    <w:rsid w:val="00C714C2"/>
    <w:rsid w:val="00C71F24"/>
    <w:rsid w:val="00C7209C"/>
    <w:rsid w:val="00C73BF8"/>
    <w:rsid w:val="00C73DD6"/>
    <w:rsid w:val="00C75297"/>
    <w:rsid w:val="00C756E2"/>
    <w:rsid w:val="00C759F0"/>
    <w:rsid w:val="00C76221"/>
    <w:rsid w:val="00C76B02"/>
    <w:rsid w:val="00C7702C"/>
    <w:rsid w:val="00C77589"/>
    <w:rsid w:val="00C7767C"/>
    <w:rsid w:val="00C77F90"/>
    <w:rsid w:val="00C77FF3"/>
    <w:rsid w:val="00C80171"/>
    <w:rsid w:val="00C802C0"/>
    <w:rsid w:val="00C803AE"/>
    <w:rsid w:val="00C829C0"/>
    <w:rsid w:val="00C83071"/>
    <w:rsid w:val="00C83410"/>
    <w:rsid w:val="00C83482"/>
    <w:rsid w:val="00C83883"/>
    <w:rsid w:val="00C8390D"/>
    <w:rsid w:val="00C839DB"/>
    <w:rsid w:val="00C84744"/>
    <w:rsid w:val="00C84BF0"/>
    <w:rsid w:val="00C84EA2"/>
    <w:rsid w:val="00C854B8"/>
    <w:rsid w:val="00C85777"/>
    <w:rsid w:val="00C85AC0"/>
    <w:rsid w:val="00C85DC4"/>
    <w:rsid w:val="00C862F2"/>
    <w:rsid w:val="00C8666B"/>
    <w:rsid w:val="00C867EB"/>
    <w:rsid w:val="00C90897"/>
    <w:rsid w:val="00C9143F"/>
    <w:rsid w:val="00C915AE"/>
    <w:rsid w:val="00C91C16"/>
    <w:rsid w:val="00C921DD"/>
    <w:rsid w:val="00C9253F"/>
    <w:rsid w:val="00C929A6"/>
    <w:rsid w:val="00C92E0A"/>
    <w:rsid w:val="00C93D70"/>
    <w:rsid w:val="00C94180"/>
    <w:rsid w:val="00C95A6A"/>
    <w:rsid w:val="00C95D9A"/>
    <w:rsid w:val="00C96533"/>
    <w:rsid w:val="00C96B87"/>
    <w:rsid w:val="00C96BDB"/>
    <w:rsid w:val="00C96E59"/>
    <w:rsid w:val="00C9790E"/>
    <w:rsid w:val="00C97DFE"/>
    <w:rsid w:val="00CA02DE"/>
    <w:rsid w:val="00CA0AB2"/>
    <w:rsid w:val="00CA0F77"/>
    <w:rsid w:val="00CA1339"/>
    <w:rsid w:val="00CA1916"/>
    <w:rsid w:val="00CA1E6B"/>
    <w:rsid w:val="00CA250F"/>
    <w:rsid w:val="00CA310D"/>
    <w:rsid w:val="00CA327C"/>
    <w:rsid w:val="00CA46C1"/>
    <w:rsid w:val="00CA4F45"/>
    <w:rsid w:val="00CA593C"/>
    <w:rsid w:val="00CA6B9D"/>
    <w:rsid w:val="00CA7180"/>
    <w:rsid w:val="00CA761B"/>
    <w:rsid w:val="00CA778C"/>
    <w:rsid w:val="00CB04E7"/>
    <w:rsid w:val="00CB16C0"/>
    <w:rsid w:val="00CB1E6A"/>
    <w:rsid w:val="00CB2508"/>
    <w:rsid w:val="00CB2D9E"/>
    <w:rsid w:val="00CB44C7"/>
    <w:rsid w:val="00CB46A7"/>
    <w:rsid w:val="00CB497D"/>
    <w:rsid w:val="00CB4D8A"/>
    <w:rsid w:val="00CB508E"/>
    <w:rsid w:val="00CB524A"/>
    <w:rsid w:val="00CB52AE"/>
    <w:rsid w:val="00CB5721"/>
    <w:rsid w:val="00CB6752"/>
    <w:rsid w:val="00CB6D10"/>
    <w:rsid w:val="00CB7464"/>
    <w:rsid w:val="00CB7B17"/>
    <w:rsid w:val="00CB7B20"/>
    <w:rsid w:val="00CC0150"/>
    <w:rsid w:val="00CC0DE6"/>
    <w:rsid w:val="00CC0F40"/>
    <w:rsid w:val="00CC1C66"/>
    <w:rsid w:val="00CC1DE1"/>
    <w:rsid w:val="00CC2242"/>
    <w:rsid w:val="00CC28A9"/>
    <w:rsid w:val="00CC305E"/>
    <w:rsid w:val="00CC35F5"/>
    <w:rsid w:val="00CC3847"/>
    <w:rsid w:val="00CC40AF"/>
    <w:rsid w:val="00CC4B13"/>
    <w:rsid w:val="00CC5B37"/>
    <w:rsid w:val="00CC5EB1"/>
    <w:rsid w:val="00CC629A"/>
    <w:rsid w:val="00CC69E4"/>
    <w:rsid w:val="00CC757E"/>
    <w:rsid w:val="00CD046E"/>
    <w:rsid w:val="00CD1CDE"/>
    <w:rsid w:val="00CD2728"/>
    <w:rsid w:val="00CD27D4"/>
    <w:rsid w:val="00CD2F4B"/>
    <w:rsid w:val="00CD3DE3"/>
    <w:rsid w:val="00CD4677"/>
    <w:rsid w:val="00CD58F0"/>
    <w:rsid w:val="00CD6388"/>
    <w:rsid w:val="00CD63BD"/>
    <w:rsid w:val="00CD6E11"/>
    <w:rsid w:val="00CD7D13"/>
    <w:rsid w:val="00CE1346"/>
    <w:rsid w:val="00CE1BD0"/>
    <w:rsid w:val="00CE1DDA"/>
    <w:rsid w:val="00CE3941"/>
    <w:rsid w:val="00CE3B85"/>
    <w:rsid w:val="00CE3F97"/>
    <w:rsid w:val="00CE4827"/>
    <w:rsid w:val="00CE4B07"/>
    <w:rsid w:val="00CE4EFF"/>
    <w:rsid w:val="00CE6209"/>
    <w:rsid w:val="00CE662D"/>
    <w:rsid w:val="00CE6F4F"/>
    <w:rsid w:val="00CE7194"/>
    <w:rsid w:val="00CE72CA"/>
    <w:rsid w:val="00CE7F7E"/>
    <w:rsid w:val="00CF1505"/>
    <w:rsid w:val="00CF208D"/>
    <w:rsid w:val="00CF2DE3"/>
    <w:rsid w:val="00CF2EEF"/>
    <w:rsid w:val="00CF300A"/>
    <w:rsid w:val="00CF30DF"/>
    <w:rsid w:val="00CF3265"/>
    <w:rsid w:val="00CF33E2"/>
    <w:rsid w:val="00CF3DDA"/>
    <w:rsid w:val="00CF4F75"/>
    <w:rsid w:val="00CF4FBE"/>
    <w:rsid w:val="00CF563D"/>
    <w:rsid w:val="00CF5991"/>
    <w:rsid w:val="00CF663A"/>
    <w:rsid w:val="00CF6BC7"/>
    <w:rsid w:val="00CF7446"/>
    <w:rsid w:val="00CF7532"/>
    <w:rsid w:val="00CF77E1"/>
    <w:rsid w:val="00CF782B"/>
    <w:rsid w:val="00CF7AA7"/>
    <w:rsid w:val="00D00D93"/>
    <w:rsid w:val="00D0101D"/>
    <w:rsid w:val="00D029D1"/>
    <w:rsid w:val="00D029DC"/>
    <w:rsid w:val="00D02AAD"/>
    <w:rsid w:val="00D02BA8"/>
    <w:rsid w:val="00D03076"/>
    <w:rsid w:val="00D03143"/>
    <w:rsid w:val="00D03C42"/>
    <w:rsid w:val="00D0408B"/>
    <w:rsid w:val="00D05BC3"/>
    <w:rsid w:val="00D05EFD"/>
    <w:rsid w:val="00D06776"/>
    <w:rsid w:val="00D07363"/>
    <w:rsid w:val="00D10937"/>
    <w:rsid w:val="00D10A29"/>
    <w:rsid w:val="00D1106C"/>
    <w:rsid w:val="00D110FB"/>
    <w:rsid w:val="00D1160F"/>
    <w:rsid w:val="00D129D6"/>
    <w:rsid w:val="00D12BD4"/>
    <w:rsid w:val="00D137FB"/>
    <w:rsid w:val="00D14976"/>
    <w:rsid w:val="00D15E71"/>
    <w:rsid w:val="00D1622C"/>
    <w:rsid w:val="00D164DA"/>
    <w:rsid w:val="00D164F4"/>
    <w:rsid w:val="00D16C63"/>
    <w:rsid w:val="00D16D62"/>
    <w:rsid w:val="00D1781F"/>
    <w:rsid w:val="00D17D19"/>
    <w:rsid w:val="00D207EC"/>
    <w:rsid w:val="00D216BF"/>
    <w:rsid w:val="00D2306C"/>
    <w:rsid w:val="00D23566"/>
    <w:rsid w:val="00D23773"/>
    <w:rsid w:val="00D23821"/>
    <w:rsid w:val="00D25855"/>
    <w:rsid w:val="00D304E2"/>
    <w:rsid w:val="00D304EC"/>
    <w:rsid w:val="00D30ABD"/>
    <w:rsid w:val="00D31191"/>
    <w:rsid w:val="00D31821"/>
    <w:rsid w:val="00D31C56"/>
    <w:rsid w:val="00D32224"/>
    <w:rsid w:val="00D32E66"/>
    <w:rsid w:val="00D33528"/>
    <w:rsid w:val="00D3373A"/>
    <w:rsid w:val="00D340BD"/>
    <w:rsid w:val="00D34698"/>
    <w:rsid w:val="00D346F7"/>
    <w:rsid w:val="00D34927"/>
    <w:rsid w:val="00D349EB"/>
    <w:rsid w:val="00D34D24"/>
    <w:rsid w:val="00D34F11"/>
    <w:rsid w:val="00D3580A"/>
    <w:rsid w:val="00D35907"/>
    <w:rsid w:val="00D35D69"/>
    <w:rsid w:val="00D35D7C"/>
    <w:rsid w:val="00D36580"/>
    <w:rsid w:val="00D36F4F"/>
    <w:rsid w:val="00D377CC"/>
    <w:rsid w:val="00D37B99"/>
    <w:rsid w:val="00D4074A"/>
    <w:rsid w:val="00D413EB"/>
    <w:rsid w:val="00D42095"/>
    <w:rsid w:val="00D42265"/>
    <w:rsid w:val="00D42564"/>
    <w:rsid w:val="00D4286B"/>
    <w:rsid w:val="00D42B9D"/>
    <w:rsid w:val="00D42D09"/>
    <w:rsid w:val="00D4312E"/>
    <w:rsid w:val="00D4361B"/>
    <w:rsid w:val="00D44119"/>
    <w:rsid w:val="00D44EE3"/>
    <w:rsid w:val="00D44F3F"/>
    <w:rsid w:val="00D450A1"/>
    <w:rsid w:val="00D451FC"/>
    <w:rsid w:val="00D4523C"/>
    <w:rsid w:val="00D45484"/>
    <w:rsid w:val="00D458C9"/>
    <w:rsid w:val="00D45F3E"/>
    <w:rsid w:val="00D467FF"/>
    <w:rsid w:val="00D477DA"/>
    <w:rsid w:val="00D50295"/>
    <w:rsid w:val="00D505D2"/>
    <w:rsid w:val="00D507E3"/>
    <w:rsid w:val="00D50E53"/>
    <w:rsid w:val="00D5133D"/>
    <w:rsid w:val="00D51865"/>
    <w:rsid w:val="00D531A6"/>
    <w:rsid w:val="00D53596"/>
    <w:rsid w:val="00D5369F"/>
    <w:rsid w:val="00D53A9C"/>
    <w:rsid w:val="00D53E9E"/>
    <w:rsid w:val="00D543B3"/>
    <w:rsid w:val="00D549BA"/>
    <w:rsid w:val="00D54E8D"/>
    <w:rsid w:val="00D558AF"/>
    <w:rsid w:val="00D5620B"/>
    <w:rsid w:val="00D5648A"/>
    <w:rsid w:val="00D571D0"/>
    <w:rsid w:val="00D577DF"/>
    <w:rsid w:val="00D57BDD"/>
    <w:rsid w:val="00D57C50"/>
    <w:rsid w:val="00D6019B"/>
    <w:rsid w:val="00D609DA"/>
    <w:rsid w:val="00D60AA3"/>
    <w:rsid w:val="00D60C7D"/>
    <w:rsid w:val="00D613CA"/>
    <w:rsid w:val="00D61514"/>
    <w:rsid w:val="00D61A1A"/>
    <w:rsid w:val="00D61A7A"/>
    <w:rsid w:val="00D61A90"/>
    <w:rsid w:val="00D61A97"/>
    <w:rsid w:val="00D63176"/>
    <w:rsid w:val="00D63878"/>
    <w:rsid w:val="00D63D9D"/>
    <w:rsid w:val="00D64570"/>
    <w:rsid w:val="00D64B99"/>
    <w:rsid w:val="00D64BFF"/>
    <w:rsid w:val="00D65339"/>
    <w:rsid w:val="00D660F8"/>
    <w:rsid w:val="00D663BD"/>
    <w:rsid w:val="00D6679B"/>
    <w:rsid w:val="00D6679D"/>
    <w:rsid w:val="00D66A43"/>
    <w:rsid w:val="00D66EB0"/>
    <w:rsid w:val="00D672BF"/>
    <w:rsid w:val="00D672EA"/>
    <w:rsid w:val="00D6753D"/>
    <w:rsid w:val="00D67577"/>
    <w:rsid w:val="00D67DCC"/>
    <w:rsid w:val="00D67EE9"/>
    <w:rsid w:val="00D703A9"/>
    <w:rsid w:val="00D70445"/>
    <w:rsid w:val="00D70638"/>
    <w:rsid w:val="00D710DF"/>
    <w:rsid w:val="00D71AC4"/>
    <w:rsid w:val="00D72719"/>
    <w:rsid w:val="00D727B4"/>
    <w:rsid w:val="00D72E35"/>
    <w:rsid w:val="00D7342F"/>
    <w:rsid w:val="00D735CB"/>
    <w:rsid w:val="00D73BA3"/>
    <w:rsid w:val="00D746CF"/>
    <w:rsid w:val="00D75303"/>
    <w:rsid w:val="00D75E33"/>
    <w:rsid w:val="00D76468"/>
    <w:rsid w:val="00D76BEA"/>
    <w:rsid w:val="00D77D36"/>
    <w:rsid w:val="00D805DF"/>
    <w:rsid w:val="00D806EE"/>
    <w:rsid w:val="00D814FF"/>
    <w:rsid w:val="00D81893"/>
    <w:rsid w:val="00D82F5C"/>
    <w:rsid w:val="00D833A9"/>
    <w:rsid w:val="00D84444"/>
    <w:rsid w:val="00D84455"/>
    <w:rsid w:val="00D84DAD"/>
    <w:rsid w:val="00D850AD"/>
    <w:rsid w:val="00D85574"/>
    <w:rsid w:val="00D85818"/>
    <w:rsid w:val="00D85B3B"/>
    <w:rsid w:val="00D86708"/>
    <w:rsid w:val="00D874B9"/>
    <w:rsid w:val="00D8756C"/>
    <w:rsid w:val="00D879D4"/>
    <w:rsid w:val="00D90DFD"/>
    <w:rsid w:val="00D920A9"/>
    <w:rsid w:val="00D92C6B"/>
    <w:rsid w:val="00D92DBD"/>
    <w:rsid w:val="00D93901"/>
    <w:rsid w:val="00D93988"/>
    <w:rsid w:val="00D940A7"/>
    <w:rsid w:val="00D954BD"/>
    <w:rsid w:val="00D95CCE"/>
    <w:rsid w:val="00D96030"/>
    <w:rsid w:val="00D96301"/>
    <w:rsid w:val="00D96B54"/>
    <w:rsid w:val="00D96F21"/>
    <w:rsid w:val="00D97804"/>
    <w:rsid w:val="00D97C07"/>
    <w:rsid w:val="00D97F74"/>
    <w:rsid w:val="00DA038C"/>
    <w:rsid w:val="00DA08E3"/>
    <w:rsid w:val="00DA0B49"/>
    <w:rsid w:val="00DA1067"/>
    <w:rsid w:val="00DA15A1"/>
    <w:rsid w:val="00DA3DCC"/>
    <w:rsid w:val="00DA4003"/>
    <w:rsid w:val="00DA40DF"/>
    <w:rsid w:val="00DA469D"/>
    <w:rsid w:val="00DA4A2B"/>
    <w:rsid w:val="00DA5399"/>
    <w:rsid w:val="00DA5D12"/>
    <w:rsid w:val="00DA5D1E"/>
    <w:rsid w:val="00DB10BC"/>
    <w:rsid w:val="00DB14D4"/>
    <w:rsid w:val="00DB28AD"/>
    <w:rsid w:val="00DB30A7"/>
    <w:rsid w:val="00DB3876"/>
    <w:rsid w:val="00DB3ABC"/>
    <w:rsid w:val="00DB4098"/>
    <w:rsid w:val="00DB42AF"/>
    <w:rsid w:val="00DB433E"/>
    <w:rsid w:val="00DB441E"/>
    <w:rsid w:val="00DB596D"/>
    <w:rsid w:val="00DB5EAE"/>
    <w:rsid w:val="00DC04F0"/>
    <w:rsid w:val="00DC06FE"/>
    <w:rsid w:val="00DC0807"/>
    <w:rsid w:val="00DC0AB7"/>
    <w:rsid w:val="00DC0BFB"/>
    <w:rsid w:val="00DC1CBA"/>
    <w:rsid w:val="00DC1D6A"/>
    <w:rsid w:val="00DC294E"/>
    <w:rsid w:val="00DC36EE"/>
    <w:rsid w:val="00DC3A6C"/>
    <w:rsid w:val="00DC4C23"/>
    <w:rsid w:val="00DC5798"/>
    <w:rsid w:val="00DC5EE0"/>
    <w:rsid w:val="00DC6666"/>
    <w:rsid w:val="00DC712B"/>
    <w:rsid w:val="00DC7317"/>
    <w:rsid w:val="00DC74F9"/>
    <w:rsid w:val="00DC7646"/>
    <w:rsid w:val="00DC79DE"/>
    <w:rsid w:val="00DC7C8A"/>
    <w:rsid w:val="00DC7E5E"/>
    <w:rsid w:val="00DD06F9"/>
    <w:rsid w:val="00DD139A"/>
    <w:rsid w:val="00DD2C87"/>
    <w:rsid w:val="00DD2E3B"/>
    <w:rsid w:val="00DD2E49"/>
    <w:rsid w:val="00DD5971"/>
    <w:rsid w:val="00DD5B46"/>
    <w:rsid w:val="00DD6BEF"/>
    <w:rsid w:val="00DD703E"/>
    <w:rsid w:val="00DD72A6"/>
    <w:rsid w:val="00DD7933"/>
    <w:rsid w:val="00DD7BFA"/>
    <w:rsid w:val="00DD7CF9"/>
    <w:rsid w:val="00DE03AB"/>
    <w:rsid w:val="00DE079C"/>
    <w:rsid w:val="00DE0ECD"/>
    <w:rsid w:val="00DE1186"/>
    <w:rsid w:val="00DE1738"/>
    <w:rsid w:val="00DE1B35"/>
    <w:rsid w:val="00DE2246"/>
    <w:rsid w:val="00DE23B6"/>
    <w:rsid w:val="00DE3510"/>
    <w:rsid w:val="00DE35C8"/>
    <w:rsid w:val="00DE377B"/>
    <w:rsid w:val="00DE37A3"/>
    <w:rsid w:val="00DE3951"/>
    <w:rsid w:val="00DE3BA4"/>
    <w:rsid w:val="00DE3EEE"/>
    <w:rsid w:val="00DE49C1"/>
    <w:rsid w:val="00DE5631"/>
    <w:rsid w:val="00DE597C"/>
    <w:rsid w:val="00DE5D07"/>
    <w:rsid w:val="00DE61AF"/>
    <w:rsid w:val="00DE622D"/>
    <w:rsid w:val="00DE6252"/>
    <w:rsid w:val="00DE6DB5"/>
    <w:rsid w:val="00DE70B2"/>
    <w:rsid w:val="00DE7145"/>
    <w:rsid w:val="00DE7201"/>
    <w:rsid w:val="00DE76D8"/>
    <w:rsid w:val="00DE7DEC"/>
    <w:rsid w:val="00DF03FC"/>
    <w:rsid w:val="00DF0492"/>
    <w:rsid w:val="00DF0DC3"/>
    <w:rsid w:val="00DF21C4"/>
    <w:rsid w:val="00DF2B91"/>
    <w:rsid w:val="00DF3024"/>
    <w:rsid w:val="00DF3127"/>
    <w:rsid w:val="00DF320F"/>
    <w:rsid w:val="00DF3BDA"/>
    <w:rsid w:val="00DF428F"/>
    <w:rsid w:val="00DF446B"/>
    <w:rsid w:val="00DF61B8"/>
    <w:rsid w:val="00DF66AD"/>
    <w:rsid w:val="00DF6AD1"/>
    <w:rsid w:val="00DF6AE7"/>
    <w:rsid w:val="00DF728E"/>
    <w:rsid w:val="00DF7BF8"/>
    <w:rsid w:val="00DF7E1E"/>
    <w:rsid w:val="00E000C9"/>
    <w:rsid w:val="00E012FB"/>
    <w:rsid w:val="00E02F3A"/>
    <w:rsid w:val="00E03155"/>
    <w:rsid w:val="00E03C43"/>
    <w:rsid w:val="00E04323"/>
    <w:rsid w:val="00E04517"/>
    <w:rsid w:val="00E0478D"/>
    <w:rsid w:val="00E04AA0"/>
    <w:rsid w:val="00E04C75"/>
    <w:rsid w:val="00E050A3"/>
    <w:rsid w:val="00E05727"/>
    <w:rsid w:val="00E06B01"/>
    <w:rsid w:val="00E0701B"/>
    <w:rsid w:val="00E07D0E"/>
    <w:rsid w:val="00E1016A"/>
    <w:rsid w:val="00E103FB"/>
    <w:rsid w:val="00E10482"/>
    <w:rsid w:val="00E108D1"/>
    <w:rsid w:val="00E10FB4"/>
    <w:rsid w:val="00E11429"/>
    <w:rsid w:val="00E136B0"/>
    <w:rsid w:val="00E13A6D"/>
    <w:rsid w:val="00E14F08"/>
    <w:rsid w:val="00E14FA4"/>
    <w:rsid w:val="00E15BEC"/>
    <w:rsid w:val="00E1626E"/>
    <w:rsid w:val="00E1644C"/>
    <w:rsid w:val="00E17549"/>
    <w:rsid w:val="00E17616"/>
    <w:rsid w:val="00E17AD3"/>
    <w:rsid w:val="00E2082D"/>
    <w:rsid w:val="00E20D14"/>
    <w:rsid w:val="00E20E59"/>
    <w:rsid w:val="00E21B18"/>
    <w:rsid w:val="00E21CEC"/>
    <w:rsid w:val="00E2235C"/>
    <w:rsid w:val="00E22B0B"/>
    <w:rsid w:val="00E22EF9"/>
    <w:rsid w:val="00E238EB"/>
    <w:rsid w:val="00E2452A"/>
    <w:rsid w:val="00E24E38"/>
    <w:rsid w:val="00E251F0"/>
    <w:rsid w:val="00E25242"/>
    <w:rsid w:val="00E25397"/>
    <w:rsid w:val="00E254C0"/>
    <w:rsid w:val="00E2589B"/>
    <w:rsid w:val="00E2605D"/>
    <w:rsid w:val="00E26333"/>
    <w:rsid w:val="00E26DDA"/>
    <w:rsid w:val="00E26E40"/>
    <w:rsid w:val="00E278A8"/>
    <w:rsid w:val="00E30396"/>
    <w:rsid w:val="00E30701"/>
    <w:rsid w:val="00E30904"/>
    <w:rsid w:val="00E31068"/>
    <w:rsid w:val="00E31144"/>
    <w:rsid w:val="00E3183C"/>
    <w:rsid w:val="00E31E11"/>
    <w:rsid w:val="00E32172"/>
    <w:rsid w:val="00E325B5"/>
    <w:rsid w:val="00E32D7A"/>
    <w:rsid w:val="00E33409"/>
    <w:rsid w:val="00E33519"/>
    <w:rsid w:val="00E33DC2"/>
    <w:rsid w:val="00E33FF2"/>
    <w:rsid w:val="00E3553B"/>
    <w:rsid w:val="00E35710"/>
    <w:rsid w:val="00E360D5"/>
    <w:rsid w:val="00E40069"/>
    <w:rsid w:val="00E405DA"/>
    <w:rsid w:val="00E414CC"/>
    <w:rsid w:val="00E42142"/>
    <w:rsid w:val="00E42849"/>
    <w:rsid w:val="00E429F9"/>
    <w:rsid w:val="00E43268"/>
    <w:rsid w:val="00E433AA"/>
    <w:rsid w:val="00E435AD"/>
    <w:rsid w:val="00E438E9"/>
    <w:rsid w:val="00E4393E"/>
    <w:rsid w:val="00E43CC9"/>
    <w:rsid w:val="00E4419A"/>
    <w:rsid w:val="00E44743"/>
    <w:rsid w:val="00E45366"/>
    <w:rsid w:val="00E4564C"/>
    <w:rsid w:val="00E45979"/>
    <w:rsid w:val="00E45CB5"/>
    <w:rsid w:val="00E47C47"/>
    <w:rsid w:val="00E47EA4"/>
    <w:rsid w:val="00E50218"/>
    <w:rsid w:val="00E50C48"/>
    <w:rsid w:val="00E50EED"/>
    <w:rsid w:val="00E5118B"/>
    <w:rsid w:val="00E5154A"/>
    <w:rsid w:val="00E51749"/>
    <w:rsid w:val="00E518F1"/>
    <w:rsid w:val="00E51B20"/>
    <w:rsid w:val="00E51CB9"/>
    <w:rsid w:val="00E51D76"/>
    <w:rsid w:val="00E524BC"/>
    <w:rsid w:val="00E541A8"/>
    <w:rsid w:val="00E543F9"/>
    <w:rsid w:val="00E54428"/>
    <w:rsid w:val="00E5481A"/>
    <w:rsid w:val="00E54B1B"/>
    <w:rsid w:val="00E550B0"/>
    <w:rsid w:val="00E5513E"/>
    <w:rsid w:val="00E561DC"/>
    <w:rsid w:val="00E56367"/>
    <w:rsid w:val="00E56D13"/>
    <w:rsid w:val="00E57E71"/>
    <w:rsid w:val="00E6133F"/>
    <w:rsid w:val="00E61410"/>
    <w:rsid w:val="00E6153B"/>
    <w:rsid w:val="00E61808"/>
    <w:rsid w:val="00E62815"/>
    <w:rsid w:val="00E63377"/>
    <w:rsid w:val="00E6363B"/>
    <w:rsid w:val="00E636AC"/>
    <w:rsid w:val="00E6374F"/>
    <w:rsid w:val="00E63FEC"/>
    <w:rsid w:val="00E6406A"/>
    <w:rsid w:val="00E6435F"/>
    <w:rsid w:val="00E646A6"/>
    <w:rsid w:val="00E64CBD"/>
    <w:rsid w:val="00E6525C"/>
    <w:rsid w:val="00E65950"/>
    <w:rsid w:val="00E6674B"/>
    <w:rsid w:val="00E668CD"/>
    <w:rsid w:val="00E66B43"/>
    <w:rsid w:val="00E66B78"/>
    <w:rsid w:val="00E66DEB"/>
    <w:rsid w:val="00E6758B"/>
    <w:rsid w:val="00E70BD6"/>
    <w:rsid w:val="00E70D8C"/>
    <w:rsid w:val="00E71100"/>
    <w:rsid w:val="00E72166"/>
    <w:rsid w:val="00E7435B"/>
    <w:rsid w:val="00E746E0"/>
    <w:rsid w:val="00E74A07"/>
    <w:rsid w:val="00E75103"/>
    <w:rsid w:val="00E7548B"/>
    <w:rsid w:val="00E75A22"/>
    <w:rsid w:val="00E76578"/>
    <w:rsid w:val="00E76591"/>
    <w:rsid w:val="00E76641"/>
    <w:rsid w:val="00E76989"/>
    <w:rsid w:val="00E77B11"/>
    <w:rsid w:val="00E77F70"/>
    <w:rsid w:val="00E8017E"/>
    <w:rsid w:val="00E8155D"/>
    <w:rsid w:val="00E81B5C"/>
    <w:rsid w:val="00E821EF"/>
    <w:rsid w:val="00E82430"/>
    <w:rsid w:val="00E825FC"/>
    <w:rsid w:val="00E82ACC"/>
    <w:rsid w:val="00E83486"/>
    <w:rsid w:val="00E8361B"/>
    <w:rsid w:val="00E84360"/>
    <w:rsid w:val="00E84AEC"/>
    <w:rsid w:val="00E84BE3"/>
    <w:rsid w:val="00E84D6C"/>
    <w:rsid w:val="00E86B55"/>
    <w:rsid w:val="00E86C9D"/>
    <w:rsid w:val="00E86E36"/>
    <w:rsid w:val="00E878A2"/>
    <w:rsid w:val="00E87CA3"/>
    <w:rsid w:val="00E906F8"/>
    <w:rsid w:val="00E90DC5"/>
    <w:rsid w:val="00E90DC8"/>
    <w:rsid w:val="00E9181F"/>
    <w:rsid w:val="00E91F99"/>
    <w:rsid w:val="00E92ACE"/>
    <w:rsid w:val="00E92D82"/>
    <w:rsid w:val="00E936F3"/>
    <w:rsid w:val="00E9390C"/>
    <w:rsid w:val="00E9390D"/>
    <w:rsid w:val="00E9393F"/>
    <w:rsid w:val="00E94B56"/>
    <w:rsid w:val="00E9547E"/>
    <w:rsid w:val="00E95B58"/>
    <w:rsid w:val="00E975BF"/>
    <w:rsid w:val="00EA08D3"/>
    <w:rsid w:val="00EA0BC7"/>
    <w:rsid w:val="00EA0F8D"/>
    <w:rsid w:val="00EA1507"/>
    <w:rsid w:val="00EA1987"/>
    <w:rsid w:val="00EA2304"/>
    <w:rsid w:val="00EA27F2"/>
    <w:rsid w:val="00EA2BFA"/>
    <w:rsid w:val="00EA2F99"/>
    <w:rsid w:val="00EA307B"/>
    <w:rsid w:val="00EA3838"/>
    <w:rsid w:val="00EA4DCD"/>
    <w:rsid w:val="00EA53B2"/>
    <w:rsid w:val="00EA5805"/>
    <w:rsid w:val="00EA5E42"/>
    <w:rsid w:val="00EA60E5"/>
    <w:rsid w:val="00EA62EA"/>
    <w:rsid w:val="00EA6F33"/>
    <w:rsid w:val="00EA7777"/>
    <w:rsid w:val="00EB07B8"/>
    <w:rsid w:val="00EB0EDC"/>
    <w:rsid w:val="00EB1A05"/>
    <w:rsid w:val="00EB1F6B"/>
    <w:rsid w:val="00EB256C"/>
    <w:rsid w:val="00EB295A"/>
    <w:rsid w:val="00EB2A70"/>
    <w:rsid w:val="00EB2F86"/>
    <w:rsid w:val="00EB31FA"/>
    <w:rsid w:val="00EB3314"/>
    <w:rsid w:val="00EB525F"/>
    <w:rsid w:val="00EB54C1"/>
    <w:rsid w:val="00EB551E"/>
    <w:rsid w:val="00EB584F"/>
    <w:rsid w:val="00EB6841"/>
    <w:rsid w:val="00EB6A40"/>
    <w:rsid w:val="00EB6B25"/>
    <w:rsid w:val="00EB7EC3"/>
    <w:rsid w:val="00EC1A08"/>
    <w:rsid w:val="00EC2976"/>
    <w:rsid w:val="00EC2F31"/>
    <w:rsid w:val="00EC31A7"/>
    <w:rsid w:val="00EC33C9"/>
    <w:rsid w:val="00EC4083"/>
    <w:rsid w:val="00EC588F"/>
    <w:rsid w:val="00EC5BDC"/>
    <w:rsid w:val="00EC5FC8"/>
    <w:rsid w:val="00EC61FE"/>
    <w:rsid w:val="00EC6DFB"/>
    <w:rsid w:val="00EC786E"/>
    <w:rsid w:val="00EC79E9"/>
    <w:rsid w:val="00ED0D6E"/>
    <w:rsid w:val="00ED18C7"/>
    <w:rsid w:val="00ED1E63"/>
    <w:rsid w:val="00ED1EE5"/>
    <w:rsid w:val="00ED1F14"/>
    <w:rsid w:val="00ED23BD"/>
    <w:rsid w:val="00ED2494"/>
    <w:rsid w:val="00ED35B7"/>
    <w:rsid w:val="00ED37C8"/>
    <w:rsid w:val="00ED37D7"/>
    <w:rsid w:val="00ED3C7C"/>
    <w:rsid w:val="00ED4373"/>
    <w:rsid w:val="00ED5567"/>
    <w:rsid w:val="00ED5B5B"/>
    <w:rsid w:val="00ED5EE2"/>
    <w:rsid w:val="00ED6165"/>
    <w:rsid w:val="00ED6798"/>
    <w:rsid w:val="00ED7013"/>
    <w:rsid w:val="00ED771A"/>
    <w:rsid w:val="00EE034F"/>
    <w:rsid w:val="00EE19AF"/>
    <w:rsid w:val="00EE1D33"/>
    <w:rsid w:val="00EE217A"/>
    <w:rsid w:val="00EE2236"/>
    <w:rsid w:val="00EE25DD"/>
    <w:rsid w:val="00EE2928"/>
    <w:rsid w:val="00EE2C78"/>
    <w:rsid w:val="00EE3EB2"/>
    <w:rsid w:val="00EE4064"/>
    <w:rsid w:val="00EE424E"/>
    <w:rsid w:val="00EE4A38"/>
    <w:rsid w:val="00EE4CB2"/>
    <w:rsid w:val="00EE5745"/>
    <w:rsid w:val="00EE6537"/>
    <w:rsid w:val="00EE70E4"/>
    <w:rsid w:val="00EE74E2"/>
    <w:rsid w:val="00EF0084"/>
    <w:rsid w:val="00EF015D"/>
    <w:rsid w:val="00EF0BE3"/>
    <w:rsid w:val="00EF0C24"/>
    <w:rsid w:val="00EF19D1"/>
    <w:rsid w:val="00EF2196"/>
    <w:rsid w:val="00EF2298"/>
    <w:rsid w:val="00EF24DA"/>
    <w:rsid w:val="00EF2C59"/>
    <w:rsid w:val="00EF2C9D"/>
    <w:rsid w:val="00EF39A4"/>
    <w:rsid w:val="00EF3FA1"/>
    <w:rsid w:val="00EF5A25"/>
    <w:rsid w:val="00EF6A56"/>
    <w:rsid w:val="00EF6D73"/>
    <w:rsid w:val="00EF747F"/>
    <w:rsid w:val="00EF79FB"/>
    <w:rsid w:val="00EF7D54"/>
    <w:rsid w:val="00F00260"/>
    <w:rsid w:val="00F00806"/>
    <w:rsid w:val="00F00A02"/>
    <w:rsid w:val="00F00E2A"/>
    <w:rsid w:val="00F01091"/>
    <w:rsid w:val="00F017F5"/>
    <w:rsid w:val="00F01B9B"/>
    <w:rsid w:val="00F02167"/>
    <w:rsid w:val="00F037E1"/>
    <w:rsid w:val="00F040D4"/>
    <w:rsid w:val="00F04B1D"/>
    <w:rsid w:val="00F05154"/>
    <w:rsid w:val="00F05680"/>
    <w:rsid w:val="00F05A21"/>
    <w:rsid w:val="00F0630D"/>
    <w:rsid w:val="00F064C9"/>
    <w:rsid w:val="00F068B1"/>
    <w:rsid w:val="00F06D9A"/>
    <w:rsid w:val="00F07ADC"/>
    <w:rsid w:val="00F07CA1"/>
    <w:rsid w:val="00F07E2A"/>
    <w:rsid w:val="00F10816"/>
    <w:rsid w:val="00F10FD3"/>
    <w:rsid w:val="00F116A8"/>
    <w:rsid w:val="00F1182D"/>
    <w:rsid w:val="00F1340F"/>
    <w:rsid w:val="00F138AC"/>
    <w:rsid w:val="00F1465F"/>
    <w:rsid w:val="00F14EF9"/>
    <w:rsid w:val="00F151D7"/>
    <w:rsid w:val="00F1620A"/>
    <w:rsid w:val="00F16D4D"/>
    <w:rsid w:val="00F16D91"/>
    <w:rsid w:val="00F16E40"/>
    <w:rsid w:val="00F17324"/>
    <w:rsid w:val="00F17421"/>
    <w:rsid w:val="00F17C08"/>
    <w:rsid w:val="00F17DED"/>
    <w:rsid w:val="00F2027C"/>
    <w:rsid w:val="00F20311"/>
    <w:rsid w:val="00F2156B"/>
    <w:rsid w:val="00F21609"/>
    <w:rsid w:val="00F21D9B"/>
    <w:rsid w:val="00F2293F"/>
    <w:rsid w:val="00F229E9"/>
    <w:rsid w:val="00F22CCA"/>
    <w:rsid w:val="00F22FEC"/>
    <w:rsid w:val="00F2424E"/>
    <w:rsid w:val="00F24D59"/>
    <w:rsid w:val="00F259D4"/>
    <w:rsid w:val="00F26508"/>
    <w:rsid w:val="00F26C75"/>
    <w:rsid w:val="00F277B4"/>
    <w:rsid w:val="00F27D13"/>
    <w:rsid w:val="00F27F6C"/>
    <w:rsid w:val="00F31156"/>
    <w:rsid w:val="00F31A7A"/>
    <w:rsid w:val="00F32CB5"/>
    <w:rsid w:val="00F32FEF"/>
    <w:rsid w:val="00F335B9"/>
    <w:rsid w:val="00F33AB5"/>
    <w:rsid w:val="00F33E7B"/>
    <w:rsid w:val="00F34852"/>
    <w:rsid w:val="00F35021"/>
    <w:rsid w:val="00F3520F"/>
    <w:rsid w:val="00F35215"/>
    <w:rsid w:val="00F358EB"/>
    <w:rsid w:val="00F40F9B"/>
    <w:rsid w:val="00F41306"/>
    <w:rsid w:val="00F41527"/>
    <w:rsid w:val="00F41A21"/>
    <w:rsid w:val="00F4217F"/>
    <w:rsid w:val="00F42B51"/>
    <w:rsid w:val="00F43242"/>
    <w:rsid w:val="00F43F8E"/>
    <w:rsid w:val="00F43FBE"/>
    <w:rsid w:val="00F441D8"/>
    <w:rsid w:val="00F44687"/>
    <w:rsid w:val="00F447CD"/>
    <w:rsid w:val="00F45132"/>
    <w:rsid w:val="00F45D3E"/>
    <w:rsid w:val="00F46324"/>
    <w:rsid w:val="00F46544"/>
    <w:rsid w:val="00F4692D"/>
    <w:rsid w:val="00F46A38"/>
    <w:rsid w:val="00F47A84"/>
    <w:rsid w:val="00F47AF0"/>
    <w:rsid w:val="00F47E55"/>
    <w:rsid w:val="00F47FF2"/>
    <w:rsid w:val="00F502B5"/>
    <w:rsid w:val="00F503EA"/>
    <w:rsid w:val="00F50FAB"/>
    <w:rsid w:val="00F51B5B"/>
    <w:rsid w:val="00F51D25"/>
    <w:rsid w:val="00F52AFC"/>
    <w:rsid w:val="00F548E5"/>
    <w:rsid w:val="00F5626D"/>
    <w:rsid w:val="00F56665"/>
    <w:rsid w:val="00F56AF6"/>
    <w:rsid w:val="00F56F33"/>
    <w:rsid w:val="00F571C4"/>
    <w:rsid w:val="00F579E7"/>
    <w:rsid w:val="00F60450"/>
    <w:rsid w:val="00F610DB"/>
    <w:rsid w:val="00F6118C"/>
    <w:rsid w:val="00F6131C"/>
    <w:rsid w:val="00F614DF"/>
    <w:rsid w:val="00F616DA"/>
    <w:rsid w:val="00F62B98"/>
    <w:rsid w:val="00F65007"/>
    <w:rsid w:val="00F65629"/>
    <w:rsid w:val="00F65731"/>
    <w:rsid w:val="00F65777"/>
    <w:rsid w:val="00F65905"/>
    <w:rsid w:val="00F65ADC"/>
    <w:rsid w:val="00F6670B"/>
    <w:rsid w:val="00F67E94"/>
    <w:rsid w:val="00F67F7E"/>
    <w:rsid w:val="00F70861"/>
    <w:rsid w:val="00F70C27"/>
    <w:rsid w:val="00F70FF5"/>
    <w:rsid w:val="00F71328"/>
    <w:rsid w:val="00F71901"/>
    <w:rsid w:val="00F73172"/>
    <w:rsid w:val="00F73766"/>
    <w:rsid w:val="00F74253"/>
    <w:rsid w:val="00F74376"/>
    <w:rsid w:val="00F745EB"/>
    <w:rsid w:val="00F74881"/>
    <w:rsid w:val="00F74BB4"/>
    <w:rsid w:val="00F75646"/>
    <w:rsid w:val="00F75B99"/>
    <w:rsid w:val="00F75F4B"/>
    <w:rsid w:val="00F760DA"/>
    <w:rsid w:val="00F772AE"/>
    <w:rsid w:val="00F777EB"/>
    <w:rsid w:val="00F8070B"/>
    <w:rsid w:val="00F80CA3"/>
    <w:rsid w:val="00F81FEB"/>
    <w:rsid w:val="00F824B3"/>
    <w:rsid w:val="00F82CB4"/>
    <w:rsid w:val="00F82D20"/>
    <w:rsid w:val="00F8313B"/>
    <w:rsid w:val="00F831E7"/>
    <w:rsid w:val="00F84524"/>
    <w:rsid w:val="00F84979"/>
    <w:rsid w:val="00F84BFC"/>
    <w:rsid w:val="00F84EBA"/>
    <w:rsid w:val="00F86F1D"/>
    <w:rsid w:val="00F900E8"/>
    <w:rsid w:val="00F91508"/>
    <w:rsid w:val="00F9242B"/>
    <w:rsid w:val="00F9352E"/>
    <w:rsid w:val="00F94014"/>
    <w:rsid w:val="00F94C0C"/>
    <w:rsid w:val="00F9506B"/>
    <w:rsid w:val="00F951D4"/>
    <w:rsid w:val="00F957EF"/>
    <w:rsid w:val="00F95B4B"/>
    <w:rsid w:val="00F97B13"/>
    <w:rsid w:val="00FA01F9"/>
    <w:rsid w:val="00FA0A1A"/>
    <w:rsid w:val="00FA0DC6"/>
    <w:rsid w:val="00FA191A"/>
    <w:rsid w:val="00FA2BDC"/>
    <w:rsid w:val="00FA3983"/>
    <w:rsid w:val="00FA409C"/>
    <w:rsid w:val="00FA443B"/>
    <w:rsid w:val="00FA58CF"/>
    <w:rsid w:val="00FA5DE0"/>
    <w:rsid w:val="00FA6373"/>
    <w:rsid w:val="00FA6DAB"/>
    <w:rsid w:val="00FA73DF"/>
    <w:rsid w:val="00FB0234"/>
    <w:rsid w:val="00FB1145"/>
    <w:rsid w:val="00FB20F0"/>
    <w:rsid w:val="00FB34D0"/>
    <w:rsid w:val="00FB43EF"/>
    <w:rsid w:val="00FB4BFC"/>
    <w:rsid w:val="00FB59FB"/>
    <w:rsid w:val="00FB5E80"/>
    <w:rsid w:val="00FB676F"/>
    <w:rsid w:val="00FB6CA1"/>
    <w:rsid w:val="00FB6E4B"/>
    <w:rsid w:val="00FB7173"/>
    <w:rsid w:val="00FB7499"/>
    <w:rsid w:val="00FB7749"/>
    <w:rsid w:val="00FB7B73"/>
    <w:rsid w:val="00FC04CD"/>
    <w:rsid w:val="00FC1468"/>
    <w:rsid w:val="00FC1725"/>
    <w:rsid w:val="00FC17CA"/>
    <w:rsid w:val="00FC1A2E"/>
    <w:rsid w:val="00FC2729"/>
    <w:rsid w:val="00FC27E1"/>
    <w:rsid w:val="00FC28BD"/>
    <w:rsid w:val="00FC2BB1"/>
    <w:rsid w:val="00FC3618"/>
    <w:rsid w:val="00FC36A4"/>
    <w:rsid w:val="00FC3831"/>
    <w:rsid w:val="00FC3ABF"/>
    <w:rsid w:val="00FC5158"/>
    <w:rsid w:val="00FC5169"/>
    <w:rsid w:val="00FC5ACA"/>
    <w:rsid w:val="00FC654C"/>
    <w:rsid w:val="00FC6DBD"/>
    <w:rsid w:val="00FC796D"/>
    <w:rsid w:val="00FD012A"/>
    <w:rsid w:val="00FD0214"/>
    <w:rsid w:val="00FD0622"/>
    <w:rsid w:val="00FD0AFC"/>
    <w:rsid w:val="00FD17BB"/>
    <w:rsid w:val="00FD1979"/>
    <w:rsid w:val="00FD22D6"/>
    <w:rsid w:val="00FD29A5"/>
    <w:rsid w:val="00FD6A60"/>
    <w:rsid w:val="00FD6DA5"/>
    <w:rsid w:val="00FD7540"/>
    <w:rsid w:val="00FE133D"/>
    <w:rsid w:val="00FE1477"/>
    <w:rsid w:val="00FE1B0B"/>
    <w:rsid w:val="00FE2161"/>
    <w:rsid w:val="00FE223E"/>
    <w:rsid w:val="00FE260E"/>
    <w:rsid w:val="00FE26AB"/>
    <w:rsid w:val="00FE2E57"/>
    <w:rsid w:val="00FE3247"/>
    <w:rsid w:val="00FE3309"/>
    <w:rsid w:val="00FE486A"/>
    <w:rsid w:val="00FE5238"/>
    <w:rsid w:val="00FE5366"/>
    <w:rsid w:val="00FE57A3"/>
    <w:rsid w:val="00FE5D87"/>
    <w:rsid w:val="00FE687F"/>
    <w:rsid w:val="00FE715C"/>
    <w:rsid w:val="00FE7381"/>
    <w:rsid w:val="00FE7B28"/>
    <w:rsid w:val="00FE7C1E"/>
    <w:rsid w:val="00FF0BAD"/>
    <w:rsid w:val="00FF312D"/>
    <w:rsid w:val="00FF316C"/>
    <w:rsid w:val="00FF4587"/>
    <w:rsid w:val="00FF466F"/>
    <w:rsid w:val="00FF49CB"/>
    <w:rsid w:val="00FF4CEC"/>
    <w:rsid w:val="00FF580B"/>
    <w:rsid w:val="00FF5C32"/>
    <w:rsid w:val="00FF5C77"/>
    <w:rsid w:val="4C743557"/>
    <w:rsid w:val="526E200D"/>
    <w:rsid w:val="6B954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dashstyle="dash"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0" w:semiHidden="0" w:name="Body Text 2"/>
    <w:lsdException w:uiPriority="99" w:name="Body Text 3"/>
    <w:lsdException w:qFormat="1"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9"/>
    <w:pPr>
      <w:keepNext/>
      <w:keepLines/>
      <w:spacing w:line="360" w:lineRule="auto"/>
      <w:outlineLvl w:val="0"/>
    </w:pPr>
    <w:rPr>
      <w:b/>
      <w:bCs/>
      <w:kern w:val="44"/>
      <w:sz w:val="30"/>
      <w:szCs w:val="44"/>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Theme="minorHAnsi" w:hAnsiTheme="minorHAnsi" w:cstheme="minorBidi"/>
    </w:rPr>
  </w:style>
  <w:style w:type="paragraph" w:styleId="4">
    <w:name w:val="caption"/>
    <w:basedOn w:val="1"/>
    <w:next w:val="1"/>
    <w:link w:val="41"/>
    <w:qFormat/>
    <w:uiPriority w:val="0"/>
    <w:pPr>
      <w:adjustRightInd w:val="0"/>
      <w:snapToGrid w:val="0"/>
      <w:spacing w:line="360" w:lineRule="auto"/>
      <w:jc w:val="left"/>
    </w:pPr>
    <w:rPr>
      <w:rFonts w:ascii="Times New Roman" w:hAnsi="Times New Roman" w:eastAsia="黑体"/>
      <w:kern w:val="0"/>
      <w:sz w:val="24"/>
      <w:szCs w:val="20"/>
    </w:rPr>
  </w:style>
  <w:style w:type="paragraph" w:styleId="5">
    <w:name w:val="Document Map"/>
    <w:basedOn w:val="1"/>
    <w:link w:val="40"/>
    <w:unhideWhenUsed/>
    <w:uiPriority w:val="99"/>
    <w:rPr>
      <w:rFonts w:ascii="宋体"/>
      <w:sz w:val="18"/>
      <w:szCs w:val="18"/>
    </w:rPr>
  </w:style>
  <w:style w:type="paragraph" w:styleId="6">
    <w:name w:val="annotation text"/>
    <w:basedOn w:val="1"/>
    <w:link w:val="42"/>
    <w:qFormat/>
    <w:uiPriority w:val="0"/>
    <w:pPr>
      <w:jc w:val="left"/>
    </w:pPr>
    <w:rPr>
      <w:rFonts w:ascii="Times New Roman" w:hAnsi="Times New Roman" w:eastAsia="华文仿宋"/>
      <w:sz w:val="32"/>
      <w:szCs w:val="24"/>
    </w:rPr>
  </w:style>
  <w:style w:type="paragraph" w:styleId="7">
    <w:name w:val="Body Text"/>
    <w:basedOn w:val="1"/>
    <w:link w:val="38"/>
    <w:unhideWhenUsed/>
    <w:qFormat/>
    <w:uiPriority w:val="99"/>
    <w:pPr>
      <w:spacing w:after="120"/>
    </w:pPr>
    <w:rPr>
      <w:kern w:val="0"/>
      <w:sz w:val="20"/>
      <w:szCs w:val="20"/>
    </w:rPr>
  </w:style>
  <w:style w:type="paragraph" w:styleId="8">
    <w:name w:val="Body Text Indent"/>
    <w:basedOn w:val="1"/>
    <w:link w:val="34"/>
    <w:unhideWhenUsed/>
    <w:qFormat/>
    <w:uiPriority w:val="99"/>
    <w:pPr>
      <w:spacing w:after="120"/>
      <w:ind w:left="420" w:leftChars="200"/>
    </w:p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Plain Text"/>
    <w:basedOn w:val="1"/>
    <w:link w:val="44"/>
    <w:qFormat/>
    <w:uiPriority w:val="0"/>
    <w:rPr>
      <w:rFonts w:ascii="宋体" w:hAnsi="Courier New"/>
      <w:szCs w:val="21"/>
    </w:rPr>
  </w:style>
  <w:style w:type="paragraph" w:styleId="11">
    <w:name w:val="Body Text Indent 2"/>
    <w:basedOn w:val="1"/>
    <w:link w:val="85"/>
    <w:semiHidden/>
    <w:unhideWhenUsed/>
    <w:qFormat/>
    <w:uiPriority w:val="99"/>
    <w:pPr>
      <w:spacing w:after="120" w:line="480" w:lineRule="auto"/>
      <w:ind w:left="420" w:leftChars="200"/>
    </w:pPr>
  </w:style>
  <w:style w:type="paragraph" w:styleId="12">
    <w:name w:val="Balloon Text"/>
    <w:basedOn w:val="1"/>
    <w:link w:val="49"/>
    <w:unhideWhenUsed/>
    <w:qFormat/>
    <w:uiPriority w:val="99"/>
    <w:rPr>
      <w:sz w:val="18"/>
      <w:szCs w:val="18"/>
    </w:rPr>
  </w:style>
  <w:style w:type="paragraph" w:styleId="13">
    <w:name w:val="footer"/>
    <w:basedOn w:val="1"/>
    <w:link w:val="37"/>
    <w:unhideWhenUsed/>
    <w:qFormat/>
    <w:uiPriority w:val="99"/>
    <w:pPr>
      <w:tabs>
        <w:tab w:val="center" w:pos="4153"/>
        <w:tab w:val="right" w:pos="8306"/>
      </w:tabs>
      <w:snapToGrid w:val="0"/>
      <w:spacing w:line="240" w:lineRule="atLeast"/>
      <w:jc w:val="center"/>
    </w:pPr>
    <w:rPr>
      <w:rFonts w:ascii="Times New Roman" w:hAnsi="Times New Roman"/>
      <w:szCs w:val="21"/>
    </w:rPr>
  </w:style>
  <w:style w:type="paragraph" w:styleId="14">
    <w:name w:val="header"/>
    <w:basedOn w:val="1"/>
    <w:link w:val="47"/>
    <w:unhideWhenUsed/>
    <w:qFormat/>
    <w:uiPriority w:val="99"/>
    <w:pPr>
      <w:pBdr>
        <w:bottom w:val="single" w:color="auto" w:sz="6" w:space="1"/>
      </w:pBdr>
      <w:tabs>
        <w:tab w:val="center" w:pos="4153"/>
        <w:tab w:val="right" w:pos="8306"/>
      </w:tabs>
      <w:snapToGrid w:val="0"/>
      <w:spacing w:line="240" w:lineRule="atLeast"/>
      <w:jc w:val="center"/>
    </w:pPr>
    <w:rPr>
      <w:kern w:val="0"/>
      <w:sz w:val="18"/>
      <w:szCs w:val="18"/>
    </w:rPr>
  </w:style>
  <w:style w:type="paragraph" w:styleId="15">
    <w:name w:val="toc 1"/>
    <w:basedOn w:val="1"/>
    <w:next w:val="1"/>
    <w:unhideWhenUsed/>
    <w:qFormat/>
    <w:uiPriority w:val="39"/>
    <w:pPr>
      <w:tabs>
        <w:tab w:val="right" w:leader="dot" w:pos="9060"/>
      </w:tabs>
      <w:spacing w:beforeLines="50" w:afterLines="100" w:line="360" w:lineRule="auto"/>
      <w:jc w:val="center"/>
    </w:pPr>
    <w:rPr>
      <w:rFonts w:ascii="Times New Roman" w:hAnsi="宋体"/>
      <w:b/>
      <w:sz w:val="44"/>
      <w:szCs w:val="44"/>
    </w:rPr>
  </w:style>
  <w:style w:type="paragraph" w:styleId="16">
    <w:name w:val="toc 2"/>
    <w:basedOn w:val="1"/>
    <w:next w:val="1"/>
    <w:unhideWhenUsed/>
    <w:qFormat/>
    <w:uiPriority w:val="39"/>
    <w:pPr>
      <w:ind w:left="420" w:leftChars="200"/>
    </w:pPr>
  </w:style>
  <w:style w:type="paragraph" w:styleId="17">
    <w:name w:val="Body Text 2"/>
    <w:basedOn w:val="1"/>
    <w:link w:val="54"/>
    <w:unhideWhenUsed/>
    <w:uiPriority w:val="0"/>
    <w:pPr>
      <w:spacing w:after="120" w:line="480" w:lineRule="auto"/>
    </w:pPr>
  </w:style>
  <w:style w:type="paragraph" w:styleId="18">
    <w:name w:val="HTML Preformatted"/>
    <w:basedOn w:val="1"/>
    <w:link w:val="32"/>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9">
    <w:name w:val="Normal (Web)"/>
    <w:basedOn w:val="1"/>
    <w:qFormat/>
    <w:uiPriority w:val="99"/>
    <w:rPr>
      <w:rFonts w:asciiTheme="minorHAnsi" w:hAnsiTheme="minorHAnsi" w:eastAsiaTheme="minorEastAsia" w:cstheme="minorBidi"/>
      <w:sz w:val="24"/>
    </w:rPr>
  </w:style>
  <w:style w:type="paragraph" w:styleId="20">
    <w:name w:val="Title"/>
    <w:basedOn w:val="1"/>
    <w:next w:val="21"/>
    <w:link w:val="77"/>
    <w:qFormat/>
    <w:uiPriority w:val="10"/>
    <w:pPr>
      <w:adjustRightInd w:val="0"/>
      <w:snapToGrid w:val="0"/>
      <w:spacing w:beforeLines="50" w:line="360" w:lineRule="auto"/>
      <w:jc w:val="center"/>
    </w:pPr>
    <w:rPr>
      <w:rFonts w:ascii="Times New Roman" w:hAnsi="Times New Roman"/>
      <w:b/>
      <w:bCs/>
      <w:kern w:val="0"/>
      <w:sz w:val="32"/>
      <w:szCs w:val="32"/>
    </w:rPr>
  </w:style>
  <w:style w:type="paragraph" w:styleId="21">
    <w:name w:val="Body Text First Indent"/>
    <w:basedOn w:val="7"/>
    <w:link w:val="74"/>
    <w:semiHidden/>
    <w:unhideWhenUsed/>
    <w:uiPriority w:val="99"/>
    <w:pPr>
      <w:ind w:firstLine="420" w:firstLineChars="100"/>
    </w:pPr>
    <w:rPr>
      <w:kern w:val="2"/>
      <w:sz w:val="21"/>
      <w:szCs w:val="22"/>
    </w:rPr>
  </w:style>
  <w:style w:type="paragraph" w:styleId="22">
    <w:name w:val="annotation subject"/>
    <w:basedOn w:val="6"/>
    <w:next w:val="6"/>
    <w:link w:val="48"/>
    <w:unhideWhenUsed/>
    <w:uiPriority w:val="99"/>
    <w:rPr>
      <w:b/>
      <w:bCs/>
      <w:sz w:val="21"/>
      <w:szCs w:val="22"/>
    </w:rPr>
  </w:style>
  <w:style w:type="paragraph" w:styleId="23">
    <w:name w:val="Body Text First Indent 2"/>
    <w:basedOn w:val="8"/>
    <w:link w:val="69"/>
    <w:unhideWhenUsed/>
    <w:qFormat/>
    <w:uiPriority w:val="99"/>
    <w:pPr>
      <w:ind w:firstLine="420" w:firstLineChars="200"/>
    </w:pPr>
  </w:style>
  <w:style w:type="table" w:styleId="25">
    <w:name w:val="Table Grid"/>
    <w:basedOn w:val="2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Hyperlink"/>
    <w:unhideWhenUsed/>
    <w:qFormat/>
    <w:uiPriority w:val="0"/>
    <w:rPr>
      <w:color w:val="0000FF"/>
      <w:u w:val="single"/>
    </w:rPr>
  </w:style>
  <w:style w:type="character" w:styleId="28">
    <w:name w:val="annotation reference"/>
    <w:qFormat/>
    <w:uiPriority w:val="0"/>
    <w:rPr>
      <w:sz w:val="21"/>
      <w:szCs w:val="21"/>
    </w:rPr>
  </w:style>
  <w:style w:type="character" w:customStyle="1" w:styleId="29">
    <w:name w:val="f11"/>
    <w:uiPriority w:val="0"/>
    <w:rPr>
      <w:sz w:val="18"/>
      <w:szCs w:val="18"/>
    </w:rPr>
  </w:style>
  <w:style w:type="character" w:customStyle="1" w:styleId="30">
    <w:name w:val="正文首行缩进 2 + Times New Roman Char"/>
    <w:link w:val="31"/>
    <w:uiPriority w:val="0"/>
    <w:rPr>
      <w:rFonts w:ascii="Times New Roman" w:hAnsi="Times New Roman"/>
      <w:sz w:val="24"/>
      <w:szCs w:val="24"/>
    </w:rPr>
  </w:style>
  <w:style w:type="paragraph" w:customStyle="1" w:styleId="31">
    <w:name w:val="正文首行缩进 2 + Times New Roman"/>
    <w:basedOn w:val="1"/>
    <w:link w:val="30"/>
    <w:qFormat/>
    <w:uiPriority w:val="0"/>
    <w:pPr>
      <w:tabs>
        <w:tab w:val="left" w:pos="0"/>
        <w:tab w:val="left" w:pos="870"/>
        <w:tab w:val="left" w:pos="3150"/>
      </w:tabs>
      <w:overflowPunct w:val="0"/>
      <w:spacing w:line="360" w:lineRule="auto"/>
      <w:ind w:firstLine="480" w:firstLineChars="200"/>
    </w:pPr>
    <w:rPr>
      <w:rFonts w:ascii="Times New Roman" w:hAnsi="Times New Roman"/>
      <w:kern w:val="0"/>
      <w:sz w:val="24"/>
      <w:szCs w:val="24"/>
    </w:rPr>
  </w:style>
  <w:style w:type="character" w:customStyle="1" w:styleId="32">
    <w:name w:val="HTML 预设格式 字符"/>
    <w:link w:val="18"/>
    <w:uiPriority w:val="99"/>
    <w:rPr>
      <w:rFonts w:ascii="宋体" w:hAnsi="宋体" w:cs="宋体"/>
      <w:sz w:val="24"/>
      <w:szCs w:val="24"/>
    </w:rPr>
  </w:style>
  <w:style w:type="character" w:customStyle="1" w:styleId="33">
    <w:name w:val="标题 1 字符"/>
    <w:link w:val="2"/>
    <w:qFormat/>
    <w:uiPriority w:val="0"/>
    <w:rPr>
      <w:b/>
      <w:bCs/>
      <w:kern w:val="44"/>
      <w:sz w:val="30"/>
      <w:szCs w:val="44"/>
    </w:rPr>
  </w:style>
  <w:style w:type="character" w:customStyle="1" w:styleId="34">
    <w:name w:val="正文文本缩进 字符"/>
    <w:link w:val="8"/>
    <w:semiHidden/>
    <w:uiPriority w:val="99"/>
    <w:rPr>
      <w:kern w:val="2"/>
      <w:sz w:val="21"/>
      <w:szCs w:val="22"/>
    </w:rPr>
  </w:style>
  <w:style w:type="character" w:customStyle="1" w:styleId="35">
    <w:name w:val="表文字 Char"/>
    <w:link w:val="36"/>
    <w:uiPriority w:val="0"/>
    <w:rPr>
      <w:rFonts w:ascii="宋体" w:hAnsi="Times New Roman"/>
      <w:color w:val="000000"/>
    </w:rPr>
  </w:style>
  <w:style w:type="paragraph" w:customStyle="1" w:styleId="36">
    <w:name w:val="表文字"/>
    <w:basedOn w:val="1"/>
    <w:link w:val="35"/>
    <w:qFormat/>
    <w:uiPriority w:val="0"/>
    <w:pPr>
      <w:overflowPunct w:val="0"/>
      <w:autoSpaceDE w:val="0"/>
      <w:autoSpaceDN w:val="0"/>
      <w:adjustRightInd w:val="0"/>
      <w:spacing w:line="240" w:lineRule="atLeast"/>
      <w:jc w:val="center"/>
      <w:textAlignment w:val="baseline"/>
    </w:pPr>
    <w:rPr>
      <w:rFonts w:ascii="宋体" w:hAnsi="Times New Roman"/>
      <w:color w:val="000000"/>
      <w:kern w:val="0"/>
      <w:sz w:val="20"/>
      <w:szCs w:val="20"/>
    </w:rPr>
  </w:style>
  <w:style w:type="character" w:customStyle="1" w:styleId="37">
    <w:name w:val="页脚 字符"/>
    <w:link w:val="13"/>
    <w:uiPriority w:val="99"/>
    <w:rPr>
      <w:rFonts w:ascii="Times New Roman" w:hAnsi="Times New Roman"/>
      <w:kern w:val="2"/>
      <w:sz w:val="21"/>
      <w:szCs w:val="21"/>
    </w:rPr>
  </w:style>
  <w:style w:type="character" w:customStyle="1" w:styleId="38">
    <w:name w:val="正文文本 字符"/>
    <w:link w:val="7"/>
    <w:qFormat/>
    <w:uiPriority w:val="99"/>
  </w:style>
  <w:style w:type="character" w:customStyle="1" w:styleId="39">
    <w:name w:val="apple-converted-space"/>
    <w:basedOn w:val="26"/>
    <w:uiPriority w:val="0"/>
  </w:style>
  <w:style w:type="character" w:customStyle="1" w:styleId="40">
    <w:name w:val="文档结构图 字符"/>
    <w:link w:val="5"/>
    <w:semiHidden/>
    <w:uiPriority w:val="99"/>
    <w:rPr>
      <w:rFonts w:ascii="宋体"/>
      <w:kern w:val="2"/>
      <w:sz w:val="18"/>
      <w:szCs w:val="18"/>
    </w:rPr>
  </w:style>
  <w:style w:type="character" w:customStyle="1" w:styleId="41">
    <w:name w:val="题注 字符"/>
    <w:link w:val="4"/>
    <w:qFormat/>
    <w:uiPriority w:val="0"/>
    <w:rPr>
      <w:rFonts w:ascii="Times New Roman" w:hAnsi="Times New Roman" w:eastAsia="黑体"/>
      <w:sz w:val="24"/>
    </w:rPr>
  </w:style>
  <w:style w:type="character" w:customStyle="1" w:styleId="42">
    <w:name w:val="批注文字 字符"/>
    <w:link w:val="6"/>
    <w:qFormat/>
    <w:uiPriority w:val="0"/>
    <w:rPr>
      <w:rFonts w:ascii="Times New Roman" w:hAnsi="Times New Roman" w:eastAsia="华文仿宋"/>
      <w:kern w:val="2"/>
      <w:sz w:val="32"/>
      <w:szCs w:val="24"/>
    </w:rPr>
  </w:style>
  <w:style w:type="character" w:customStyle="1" w:styleId="43">
    <w:name w:val="正文文本 Char1"/>
    <w:semiHidden/>
    <w:qFormat/>
    <w:uiPriority w:val="99"/>
    <w:rPr>
      <w:rFonts w:ascii="Calibri" w:hAnsi="Calibri" w:eastAsia="宋体" w:cs="Times New Roman"/>
    </w:rPr>
  </w:style>
  <w:style w:type="character" w:customStyle="1" w:styleId="44">
    <w:name w:val="纯文本 字符"/>
    <w:link w:val="10"/>
    <w:qFormat/>
    <w:uiPriority w:val="0"/>
    <w:rPr>
      <w:rFonts w:ascii="宋体" w:hAnsi="Courier New" w:cs="仿宋_GB2312"/>
      <w:kern w:val="2"/>
      <w:sz w:val="21"/>
      <w:szCs w:val="21"/>
    </w:rPr>
  </w:style>
  <w:style w:type="character" w:customStyle="1" w:styleId="45">
    <w:name w:val="正文文字 Char"/>
    <w:link w:val="46"/>
    <w:uiPriority w:val="0"/>
    <w:rPr>
      <w:rFonts w:ascii="Times New Roman" w:hAnsi="Times New Roman"/>
      <w:kern w:val="2"/>
      <w:sz w:val="24"/>
    </w:rPr>
  </w:style>
  <w:style w:type="paragraph" w:customStyle="1" w:styleId="46">
    <w:name w:val="正文文字"/>
    <w:basedOn w:val="1"/>
    <w:link w:val="45"/>
    <w:uiPriority w:val="0"/>
    <w:pPr>
      <w:spacing w:line="360" w:lineRule="auto"/>
      <w:ind w:firstLine="200" w:firstLineChars="200"/>
    </w:pPr>
    <w:rPr>
      <w:rFonts w:ascii="Times New Roman" w:hAnsi="Times New Roman"/>
      <w:sz w:val="24"/>
      <w:szCs w:val="20"/>
    </w:rPr>
  </w:style>
  <w:style w:type="character" w:customStyle="1" w:styleId="47">
    <w:name w:val="页眉 字符"/>
    <w:link w:val="14"/>
    <w:uiPriority w:val="99"/>
    <w:rPr>
      <w:sz w:val="18"/>
      <w:szCs w:val="18"/>
    </w:rPr>
  </w:style>
  <w:style w:type="character" w:customStyle="1" w:styleId="48">
    <w:name w:val="批注主题 字符"/>
    <w:link w:val="22"/>
    <w:semiHidden/>
    <w:uiPriority w:val="99"/>
    <w:rPr>
      <w:rFonts w:ascii="Times New Roman" w:hAnsi="Times New Roman" w:eastAsia="华文仿宋"/>
      <w:b/>
      <w:bCs/>
      <w:kern w:val="2"/>
      <w:sz w:val="21"/>
      <w:szCs w:val="22"/>
    </w:rPr>
  </w:style>
  <w:style w:type="character" w:customStyle="1" w:styleId="49">
    <w:name w:val="批注框文本 字符"/>
    <w:link w:val="12"/>
    <w:semiHidden/>
    <w:uiPriority w:val="99"/>
    <w:rPr>
      <w:kern w:val="2"/>
      <w:sz w:val="18"/>
      <w:szCs w:val="18"/>
    </w:rPr>
  </w:style>
  <w:style w:type="character" w:customStyle="1" w:styleId="50">
    <w:name w:val="表格内容 Char"/>
    <w:link w:val="51"/>
    <w:uiPriority w:val="0"/>
    <w:rPr>
      <w:rFonts w:ascii="Times New Roman" w:hAnsi="Times New Roman"/>
    </w:rPr>
  </w:style>
  <w:style w:type="paragraph" w:customStyle="1" w:styleId="51">
    <w:name w:val="表格内容"/>
    <w:basedOn w:val="1"/>
    <w:link w:val="50"/>
    <w:qFormat/>
    <w:uiPriority w:val="99"/>
    <w:pPr>
      <w:widowControl/>
      <w:jc w:val="center"/>
    </w:pPr>
    <w:rPr>
      <w:rFonts w:ascii="Times New Roman" w:hAnsi="Times New Roman"/>
      <w:kern w:val="0"/>
      <w:sz w:val="20"/>
      <w:szCs w:val="20"/>
    </w:rPr>
  </w:style>
  <w:style w:type="character" w:customStyle="1" w:styleId="52">
    <w:name w:val="纯文本 Char1"/>
    <w:semiHidden/>
    <w:qFormat/>
    <w:uiPriority w:val="99"/>
    <w:rPr>
      <w:rFonts w:ascii="宋体" w:hAnsi="Courier New" w:cs="Courier New"/>
      <w:kern w:val="2"/>
      <w:sz w:val="21"/>
      <w:szCs w:val="21"/>
    </w:rPr>
  </w:style>
  <w:style w:type="character" w:customStyle="1" w:styleId="53">
    <w:name w:val="正文文本 2 Char1"/>
    <w:semiHidden/>
    <w:uiPriority w:val="0"/>
    <w:rPr>
      <w:kern w:val="2"/>
      <w:sz w:val="21"/>
      <w:szCs w:val="22"/>
    </w:rPr>
  </w:style>
  <w:style w:type="character" w:customStyle="1" w:styleId="54">
    <w:name w:val="正文文本 2 字符"/>
    <w:link w:val="17"/>
    <w:uiPriority w:val="0"/>
    <w:rPr>
      <w:kern w:val="2"/>
      <w:sz w:val="21"/>
      <w:szCs w:val="22"/>
    </w:rPr>
  </w:style>
  <w:style w:type="paragraph" w:customStyle="1" w:styleId="55">
    <w:name w:val="报告书表格"/>
    <w:basedOn w:val="1"/>
    <w:uiPriority w:val="0"/>
    <w:pPr>
      <w:adjustRightInd w:val="0"/>
      <w:spacing w:before="60" w:after="60" w:line="240" w:lineRule="atLeast"/>
      <w:jc w:val="center"/>
      <w:textAlignment w:val="baseline"/>
    </w:pPr>
    <w:rPr>
      <w:rFonts w:ascii="Times New Roman" w:hAnsi="Times New Roman"/>
      <w:kern w:val="0"/>
      <w:szCs w:val="21"/>
    </w:rPr>
  </w:style>
  <w:style w:type="paragraph" w:customStyle="1" w:styleId="56">
    <w:name w:val="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
    <w:name w:val="纯文本1"/>
    <w:basedOn w:val="1"/>
    <w:uiPriority w:val="0"/>
    <w:pPr>
      <w:widowControl/>
      <w:spacing w:line="360" w:lineRule="auto"/>
      <w:ind w:firstLine="200" w:firstLineChars="200"/>
    </w:pPr>
    <w:rPr>
      <w:rFonts w:ascii="宋体" w:hAnsi="Courier New"/>
      <w:szCs w:val="20"/>
    </w:rPr>
  </w:style>
  <w:style w:type="paragraph" w:customStyle="1" w:styleId="58">
    <w:name w:val="表头字体宋"/>
    <w:basedOn w:val="1"/>
    <w:qFormat/>
    <w:uiPriority w:val="0"/>
    <w:pPr>
      <w:spacing w:line="500" w:lineRule="exact"/>
      <w:jc w:val="center"/>
    </w:pPr>
    <w:rPr>
      <w:rFonts w:ascii="宋体" w:hAnsi="宋体" w:cs="宋体"/>
      <w:b/>
      <w:bCs/>
      <w:sz w:val="24"/>
      <w:szCs w:val="20"/>
    </w:rPr>
  </w:style>
  <w:style w:type="paragraph" w:styleId="59">
    <w:name w:val="List Paragraph"/>
    <w:basedOn w:val="1"/>
    <w:qFormat/>
    <w:uiPriority w:val="99"/>
    <w:pPr>
      <w:ind w:firstLine="420" w:firstLineChars="200"/>
    </w:pPr>
    <w:rPr>
      <w:rFonts w:ascii="Times New Roman" w:hAnsi="Times New Roman"/>
      <w:szCs w:val="24"/>
    </w:rPr>
  </w:style>
  <w:style w:type="paragraph" w:customStyle="1" w:styleId="60">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61">
    <w:name w:val="样式2"/>
    <w:basedOn w:val="1"/>
    <w:uiPriority w:val="0"/>
    <w:pPr>
      <w:adjustRightInd w:val="0"/>
      <w:spacing w:line="288" w:lineRule="auto"/>
      <w:ind w:left="170"/>
      <w:jc w:val="left"/>
    </w:pPr>
    <w:rPr>
      <w:rFonts w:ascii="Times New Roman" w:hAnsi="Times New Roman"/>
      <w:b/>
      <w:kern w:val="0"/>
      <w:sz w:val="24"/>
      <w:szCs w:val="20"/>
    </w:rPr>
  </w:style>
  <w:style w:type="paragraph" w:customStyle="1" w:styleId="62">
    <w:name w:val="样式 首行缩进:  1 厘米 行距: 固定值 25 磅"/>
    <w:basedOn w:val="1"/>
    <w:uiPriority w:val="0"/>
    <w:pPr>
      <w:adjustRightInd w:val="0"/>
      <w:spacing w:line="360" w:lineRule="auto"/>
      <w:ind w:firstLine="200" w:firstLineChars="200"/>
      <w:jc w:val="left"/>
      <w:textAlignment w:val="baseline"/>
    </w:pPr>
    <w:rPr>
      <w:rFonts w:ascii="宋体" w:hAnsi="Times New Roman" w:cs="宋体"/>
      <w:snapToGrid w:val="0"/>
      <w:kern w:val="24"/>
      <w:sz w:val="24"/>
      <w:szCs w:val="24"/>
    </w:rPr>
  </w:style>
  <w:style w:type="paragraph" w:customStyle="1" w:styleId="63">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64">
    <w:name w:val="正文01"/>
    <w:basedOn w:val="1"/>
    <w:uiPriority w:val="0"/>
    <w:pPr>
      <w:spacing w:line="360" w:lineRule="auto"/>
      <w:ind w:firstLine="482"/>
    </w:pPr>
    <w:rPr>
      <w:rFonts w:ascii="Times New Roman" w:hAnsi="Times New Roman"/>
      <w:sz w:val="24"/>
      <w:szCs w:val="20"/>
    </w:rPr>
  </w:style>
  <w:style w:type="paragraph" w:customStyle="1" w:styleId="65">
    <w:name w:val="中文报告书样式"/>
    <w:basedOn w:val="1"/>
    <w:uiPriority w:val="0"/>
    <w:pPr>
      <w:adjustRightInd w:val="0"/>
      <w:spacing w:line="480" w:lineRule="atLeast"/>
      <w:ind w:firstLine="482"/>
      <w:textAlignment w:val="baseline"/>
    </w:pPr>
    <w:rPr>
      <w:rFonts w:ascii="Times New Roman" w:hAnsi="Times New Roman"/>
      <w:kern w:val="24"/>
      <w:sz w:val="24"/>
      <w:szCs w:val="20"/>
    </w:rPr>
  </w:style>
  <w:style w:type="paragraph" w:customStyle="1" w:styleId="66">
    <w:name w:val="列出段落1"/>
    <w:basedOn w:val="1"/>
    <w:qFormat/>
    <w:uiPriority w:val="34"/>
    <w:pPr>
      <w:ind w:firstLine="420" w:firstLineChars="200"/>
    </w:pPr>
  </w:style>
  <w:style w:type="paragraph" w:customStyle="1" w:styleId="67">
    <w:name w:val="标题 41"/>
    <w:basedOn w:val="1"/>
    <w:uiPriority w:val="0"/>
    <w:pPr>
      <w:autoSpaceDE w:val="0"/>
      <w:autoSpaceDN w:val="0"/>
      <w:adjustRightInd w:val="0"/>
      <w:spacing w:before="26"/>
      <w:ind w:left="326"/>
      <w:jc w:val="left"/>
      <w:outlineLvl w:val="3"/>
    </w:pPr>
    <w:rPr>
      <w:rFonts w:ascii="宋体" w:hAnsi="Times New Roman" w:cs="宋体"/>
      <w:b/>
      <w:bCs/>
      <w:kern w:val="0"/>
      <w:sz w:val="24"/>
      <w:szCs w:val="24"/>
    </w:rPr>
  </w:style>
  <w:style w:type="paragraph" w:customStyle="1" w:styleId="68">
    <w:name w:val="报告正文-连续目录"/>
    <w:basedOn w:val="1"/>
    <w:qFormat/>
    <w:uiPriority w:val="0"/>
    <w:pPr>
      <w:snapToGrid w:val="0"/>
      <w:spacing w:line="440" w:lineRule="exact"/>
      <w:ind w:firstLine="200" w:firstLineChars="200"/>
    </w:pPr>
    <w:rPr>
      <w:rFonts w:ascii="Arial" w:hAnsi="Arial"/>
      <w:kern w:val="0"/>
      <w:sz w:val="24"/>
      <w:szCs w:val="24"/>
    </w:rPr>
  </w:style>
  <w:style w:type="character" w:customStyle="1" w:styleId="69">
    <w:name w:val="正文首行缩进 2 字符"/>
    <w:basedOn w:val="34"/>
    <w:link w:val="23"/>
    <w:qFormat/>
    <w:uiPriority w:val="99"/>
    <w:rPr>
      <w:kern w:val="2"/>
      <w:sz w:val="21"/>
      <w:szCs w:val="22"/>
    </w:rPr>
  </w:style>
  <w:style w:type="paragraph" w:customStyle="1" w:styleId="70">
    <w:name w:val="表格内格式"/>
    <w:basedOn w:val="1"/>
    <w:next w:val="1"/>
    <w:qFormat/>
    <w:uiPriority w:val="0"/>
    <w:pPr>
      <w:widowControl/>
      <w:spacing w:line="360" w:lineRule="exact"/>
      <w:jc w:val="center"/>
    </w:pPr>
    <w:rPr>
      <w:rFonts w:ascii="Times New Roman" w:hAnsi="Times New Roman"/>
      <w:kern w:val="0"/>
      <w:szCs w:val="20"/>
    </w:rPr>
  </w:style>
  <w:style w:type="character" w:customStyle="1" w:styleId="71">
    <w:name w:val="表格文字 Char"/>
    <w:link w:val="72"/>
    <w:qFormat/>
    <w:locked/>
    <w:uiPriority w:val="0"/>
  </w:style>
  <w:style w:type="paragraph" w:customStyle="1" w:styleId="72">
    <w:name w:val="表格文字"/>
    <w:basedOn w:val="21"/>
    <w:link w:val="71"/>
    <w:qFormat/>
    <w:uiPriority w:val="0"/>
    <w:pPr>
      <w:adjustRightInd w:val="0"/>
      <w:snapToGrid w:val="0"/>
      <w:spacing w:beforeLines="50" w:after="0" w:line="360" w:lineRule="auto"/>
      <w:ind w:firstLine="200" w:firstLineChars="200"/>
      <w:jc w:val="center"/>
    </w:pPr>
    <w:rPr>
      <w:kern w:val="0"/>
      <w:sz w:val="20"/>
      <w:szCs w:val="20"/>
    </w:rPr>
  </w:style>
  <w:style w:type="character" w:customStyle="1" w:styleId="73">
    <w:name w:val="表文字 Char1"/>
    <w:locked/>
    <w:uiPriority w:val="0"/>
    <w:rPr>
      <w:sz w:val="24"/>
      <w:szCs w:val="21"/>
    </w:rPr>
  </w:style>
  <w:style w:type="character" w:customStyle="1" w:styleId="74">
    <w:name w:val="正文首行缩进 字符"/>
    <w:basedOn w:val="38"/>
    <w:link w:val="21"/>
    <w:semiHidden/>
    <w:qFormat/>
    <w:uiPriority w:val="99"/>
    <w:rPr>
      <w:kern w:val="2"/>
      <w:sz w:val="21"/>
      <w:szCs w:val="22"/>
    </w:rPr>
  </w:style>
  <w:style w:type="paragraph" w:customStyle="1" w:styleId="75">
    <w:name w:val="表格"/>
    <w:basedOn w:val="1"/>
    <w:qFormat/>
    <w:uiPriority w:val="0"/>
    <w:pPr>
      <w:adjustRightInd w:val="0"/>
      <w:spacing w:before="40" w:after="40"/>
    </w:pPr>
    <w:rPr>
      <w:rFonts w:ascii="昆仑仿宋" w:hAnsi="Times New Roman" w:eastAsia="昆仑仿宋"/>
      <w:kern w:val="0"/>
      <w:sz w:val="24"/>
      <w:szCs w:val="24"/>
    </w:rPr>
  </w:style>
  <w:style w:type="character" w:customStyle="1" w:styleId="76">
    <w:name w:val="样式 宋体 三号 红色"/>
    <w:semiHidden/>
    <w:qFormat/>
    <w:uiPriority w:val="0"/>
    <w:rPr>
      <w:rFonts w:hint="eastAsia" w:ascii="宋体" w:hAnsi="宋体" w:eastAsia="宋体"/>
      <w:color w:val="FF0000"/>
      <w:kern w:val="2"/>
      <w:sz w:val="24"/>
      <w:szCs w:val="21"/>
      <w:lang w:val="en-US" w:eastAsia="zh-CN" w:bidi="ar-SA"/>
    </w:rPr>
  </w:style>
  <w:style w:type="character" w:customStyle="1" w:styleId="77">
    <w:name w:val="标题 字符1"/>
    <w:link w:val="20"/>
    <w:qFormat/>
    <w:locked/>
    <w:uiPriority w:val="10"/>
    <w:rPr>
      <w:rFonts w:ascii="Times New Roman" w:hAnsi="Times New Roman"/>
      <w:b/>
      <w:bCs/>
      <w:sz w:val="32"/>
      <w:szCs w:val="32"/>
    </w:rPr>
  </w:style>
  <w:style w:type="character" w:customStyle="1" w:styleId="78">
    <w:name w:val="标题 字符"/>
    <w:basedOn w:val="26"/>
    <w:uiPriority w:val="10"/>
    <w:rPr>
      <w:rFonts w:asciiTheme="majorHAnsi" w:hAnsiTheme="majorHAnsi" w:eastAsiaTheme="majorEastAsia" w:cstheme="majorBidi"/>
      <w:b/>
      <w:bCs/>
      <w:kern w:val="2"/>
      <w:sz w:val="32"/>
      <w:szCs w:val="32"/>
    </w:rPr>
  </w:style>
  <w:style w:type="character" w:customStyle="1" w:styleId="79">
    <w:name w:val="不明显参考1"/>
    <w:qFormat/>
    <w:uiPriority w:val="0"/>
    <w:rPr>
      <w:smallCaps/>
      <w:color w:val="C0504D"/>
      <w:u w:val="single"/>
    </w:rPr>
  </w:style>
  <w:style w:type="character" w:styleId="80">
    <w:name w:val="Placeholder Text"/>
    <w:basedOn w:val="26"/>
    <w:unhideWhenUsed/>
    <w:qFormat/>
    <w:uiPriority w:val="99"/>
    <w:rPr>
      <w:color w:val="808080"/>
    </w:rPr>
  </w:style>
  <w:style w:type="character" w:customStyle="1" w:styleId="81">
    <w:name w:val="表格文字啊啊啊啊 Char"/>
    <w:link w:val="82"/>
    <w:qFormat/>
    <w:locked/>
    <w:uiPriority w:val="0"/>
    <w:rPr>
      <w:rFonts w:ascii="Verdana" w:hAnsi="宋体" w:eastAsia="仿宋_GB2312"/>
      <w:kern w:val="2"/>
      <w:sz w:val="21"/>
      <w:szCs w:val="21"/>
      <w:lang w:eastAsia="en-US"/>
    </w:rPr>
  </w:style>
  <w:style w:type="paragraph" w:customStyle="1" w:styleId="82">
    <w:name w:val="表格文字啊啊啊啊"/>
    <w:basedOn w:val="1"/>
    <w:link w:val="81"/>
    <w:qFormat/>
    <w:uiPriority w:val="0"/>
    <w:rPr>
      <w:rFonts w:ascii="Verdana" w:hAnsi="宋体" w:eastAsia="仿宋_GB2312"/>
      <w:szCs w:val="21"/>
      <w:lang w:eastAsia="en-US"/>
    </w:rPr>
  </w:style>
  <w:style w:type="paragraph" w:customStyle="1" w:styleId="83">
    <w:name w:val="Default"/>
    <w:unhideWhenUsed/>
    <w:qFormat/>
    <w:uiPriority w:val="0"/>
    <w:pPr>
      <w:widowControl w:val="0"/>
      <w:autoSpaceDE w:val="0"/>
      <w:autoSpaceDN w:val="0"/>
      <w:adjustRightInd w:val="0"/>
    </w:pPr>
    <w:rPr>
      <w:rFonts w:hint="eastAsia" w:ascii="Times New Roman" w:hAnsi="Times New Roman" w:eastAsia="Times New Roman" w:cs="Times New Roman"/>
      <w:color w:val="000000"/>
      <w:sz w:val="24"/>
      <w:szCs w:val="22"/>
      <w:lang w:val="en-US" w:eastAsia="zh-CN" w:bidi="ar-SA"/>
    </w:rPr>
  </w:style>
  <w:style w:type="paragraph" w:customStyle="1" w:styleId="84">
    <w:name w:val="表标题"/>
    <w:basedOn w:val="1"/>
    <w:qFormat/>
    <w:uiPriority w:val="0"/>
    <w:pPr>
      <w:snapToGrid w:val="0"/>
      <w:spacing w:line="360" w:lineRule="auto"/>
      <w:ind w:firstLine="562" w:firstLineChars="200"/>
      <w:jc w:val="center"/>
    </w:pPr>
    <w:rPr>
      <w:rFonts w:hint="eastAsia" w:ascii="黑体" w:hAnsi="Times New Roman" w:eastAsia="黑体"/>
      <w:sz w:val="24"/>
      <w:szCs w:val="20"/>
    </w:rPr>
  </w:style>
  <w:style w:type="character" w:customStyle="1" w:styleId="85">
    <w:name w:val="正文文本缩进 2 字符"/>
    <w:basedOn w:val="26"/>
    <w:link w:val="11"/>
    <w:semiHidden/>
    <w:uiPriority w:val="99"/>
    <w:rPr>
      <w:kern w:val="2"/>
      <w:sz w:val="21"/>
      <w:szCs w:val="22"/>
    </w:rPr>
  </w:style>
  <w:style w:type="character" w:customStyle="1" w:styleId="86">
    <w:name w:val="正文啊 Char"/>
    <w:link w:val="87"/>
    <w:qFormat/>
    <w:locked/>
    <w:uiPriority w:val="0"/>
    <w:rPr>
      <w:kern w:val="2"/>
      <w:sz w:val="24"/>
      <w:szCs w:val="21"/>
    </w:rPr>
  </w:style>
  <w:style w:type="paragraph" w:customStyle="1" w:styleId="87">
    <w:name w:val="正文啊"/>
    <w:basedOn w:val="1"/>
    <w:link w:val="86"/>
    <w:qFormat/>
    <w:uiPriority w:val="0"/>
    <w:pPr>
      <w:spacing w:line="360" w:lineRule="auto"/>
      <w:ind w:firstLine="480" w:firstLineChars="200"/>
    </w:pPr>
    <w:rPr>
      <w:sz w:val="24"/>
      <w:szCs w:val="21"/>
    </w:rPr>
  </w:style>
  <w:style w:type="character" w:customStyle="1" w:styleId="88">
    <w:name w:val="fontstyle31"/>
    <w:basedOn w:val="26"/>
    <w:qFormat/>
    <w:uiPriority w:val="0"/>
    <w:rPr>
      <w:color w:val="000000"/>
      <w:sz w:val="24"/>
      <w:szCs w:val="24"/>
    </w:rPr>
  </w:style>
  <w:style w:type="character" w:customStyle="1" w:styleId="89">
    <w:name w:val="fontstyle61"/>
    <w:basedOn w:val="26"/>
    <w:qFormat/>
    <w:uiPriority w:val="0"/>
    <w:rPr>
      <w:rFonts w:ascii="TimesNewRoman" w:hAnsi="TimesNewRoman" w:eastAsia="TimesNewRoman" w:cs="TimesNewRoman"/>
      <w:color w:val="000000"/>
      <w:sz w:val="24"/>
      <w:szCs w:val="24"/>
    </w:rPr>
  </w:style>
  <w:style w:type="paragraph" w:customStyle="1" w:styleId="90">
    <w:name w:val="表格文字   5号"/>
    <w:basedOn w:val="1"/>
    <w:qFormat/>
    <w:uiPriority w:val="0"/>
    <w:pPr>
      <w:widowControl/>
      <w:jc w:val="center"/>
    </w:pPr>
    <w:rPr>
      <w:rFonts w:ascii="Times New Roman" w:hAnsi="Times New Roman"/>
      <w:color w:val="000000"/>
      <w:szCs w:val="24"/>
    </w:rPr>
  </w:style>
  <w:style w:type="character" w:customStyle="1" w:styleId="91">
    <w:name w:val="font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microsoft.com/office/2006/relationships/keyMapCustomizations" Target="customizations.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oleObject" Target="embeddings/oleObject2.bin"/><Relationship Id="rId17" Type="http://schemas.openxmlformats.org/officeDocument/2006/relationships/image" Target="media/image6.emf"/><Relationship Id="rId16" Type="http://schemas.openxmlformats.org/officeDocument/2006/relationships/image" Target="media/image5.wmf"/><Relationship Id="rId15" Type="http://schemas.openxmlformats.org/officeDocument/2006/relationships/image" Target="media/image4.emf"/><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E5A75-7751-4EB8-9EBB-BB676243032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101</Pages>
  <Words>11937</Words>
  <Characters>68042</Characters>
  <Lines>567</Lines>
  <Paragraphs>159</Paragraphs>
  <TotalTime>1392</TotalTime>
  <ScaleCrop>false</ScaleCrop>
  <LinksUpToDate>false</LinksUpToDate>
  <CharactersWithSpaces>79820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2020-11-04T09:04:00Z</dcterms:created>
  <dc:creator>AutoBVT</dc:creator>
  <cp:lastModifiedBy>新华图文</cp:lastModifiedBy>
  <cp:lastPrinted>2020-10-14T08:15:00Z</cp:lastPrinted>
  <dcterms:modified xsi:type="dcterms:W3CDTF">2021-01-08T02:18:21Z</dcterms:modified>
  <cp:revision>319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