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60" w:lineRule="exact"/>
        <w:jc w:val="center"/>
        <w:rPr>
          <w:rFonts w:ascii="宋体" w:hAnsi="宋体"/>
          <w:bCs/>
          <w:sz w:val="32"/>
          <w:szCs w:val="32"/>
        </w:rPr>
      </w:pPr>
    </w:p>
    <w:p>
      <w:pPr>
        <w:pStyle w:val="2"/>
        <w:spacing w:line="560" w:lineRule="exact"/>
        <w:jc w:val="center"/>
        <w:rPr>
          <w:rFonts w:ascii="仿宋_GB2312" w:eastAsia="仿宋_GB2312"/>
          <w:spacing w:val="-20"/>
        </w:rPr>
      </w:pPr>
    </w:p>
    <w:p>
      <w:pPr>
        <w:pStyle w:val="2"/>
        <w:spacing w:line="560" w:lineRule="exact"/>
        <w:jc w:val="center"/>
        <w:rPr>
          <w:rFonts w:ascii="仿宋_GB2312" w:eastAsia="仿宋_GB2312"/>
          <w:spacing w:val="-20"/>
        </w:rPr>
      </w:pPr>
    </w:p>
    <w:p>
      <w:pPr>
        <w:pStyle w:val="2"/>
        <w:spacing w:line="560" w:lineRule="exact"/>
        <w:ind w:firstLine="4680" w:firstLineChars="1800"/>
        <w:rPr>
          <w:rFonts w:asciiTheme="minorEastAsia" w:hAnsiTheme="minorEastAsia" w:eastAsiaTheme="minorEastAsia"/>
          <w:spacing w:val="-20"/>
          <w:sz w:val="30"/>
          <w:szCs w:val="30"/>
        </w:rPr>
      </w:pPr>
      <w:bookmarkStart w:id="1" w:name="_GoBack"/>
      <w:bookmarkEnd w:id="1"/>
      <w:r>
        <w:rPr>
          <w:rFonts w:hint="eastAsia" w:asciiTheme="minorEastAsia" w:hAnsiTheme="minorEastAsia" w:eastAsiaTheme="minorEastAsia"/>
          <w:spacing w:val="-20"/>
          <w:sz w:val="30"/>
          <w:szCs w:val="30"/>
        </w:rPr>
        <w:t>益环</w:t>
      </w:r>
      <w:r>
        <w:rPr>
          <w:rFonts w:hint="eastAsia" w:asciiTheme="minorEastAsia" w:hAnsiTheme="minorEastAsia" w:eastAsiaTheme="minorEastAsia"/>
          <w:spacing w:val="-20"/>
          <w:sz w:val="30"/>
          <w:szCs w:val="30"/>
          <w:lang w:eastAsia="zh-CN"/>
        </w:rPr>
        <w:t>评</w:t>
      </w:r>
      <w:r>
        <w:rPr>
          <w:rFonts w:hint="eastAsia" w:asciiTheme="minorEastAsia" w:hAnsiTheme="minorEastAsia" w:eastAsiaTheme="minorEastAsia"/>
          <w:spacing w:val="-20"/>
          <w:sz w:val="30"/>
          <w:szCs w:val="30"/>
        </w:rPr>
        <w:t>(书)</w:t>
      </w:r>
      <w:r>
        <w:rPr>
          <w:rFonts w:hint="eastAsia" w:asciiTheme="minorEastAsia" w:hAnsiTheme="minorEastAsia" w:eastAsiaTheme="minorEastAsia"/>
          <w:spacing w:val="-20"/>
          <w:sz w:val="32"/>
          <w:szCs w:val="32"/>
        </w:rPr>
        <w:t>〔2021〕2</w:t>
      </w:r>
      <w:r>
        <w:rPr>
          <w:rFonts w:hint="eastAsia" w:asciiTheme="minorEastAsia" w:hAnsiTheme="minorEastAsia" w:eastAsiaTheme="minorEastAsia"/>
          <w:spacing w:val="-20"/>
          <w:sz w:val="30"/>
          <w:szCs w:val="30"/>
        </w:rPr>
        <w:t>号</w:t>
      </w:r>
    </w:p>
    <w:p>
      <w:pPr>
        <w:tabs>
          <w:tab w:val="left" w:pos="1021"/>
        </w:tabs>
        <w:spacing w:after="0" w:line="70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益阳市生态环境局</w:t>
      </w:r>
    </w:p>
    <w:p>
      <w:pPr>
        <w:tabs>
          <w:tab w:val="left" w:pos="1021"/>
        </w:tabs>
        <w:spacing w:after="0" w:line="70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关于湖南鑫海股份有限公司</w:t>
      </w:r>
    </w:p>
    <w:p>
      <w:pPr>
        <w:tabs>
          <w:tab w:val="left" w:pos="1021"/>
        </w:tabs>
        <w:spacing w:after="0" w:line="70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海洋工程与军民两用多元聚烯烃绳网研发及产业化建设项目环境影响报告书的批复</w:t>
      </w:r>
    </w:p>
    <w:p>
      <w:pPr>
        <w:spacing w:after="0" w:line="520" w:lineRule="exact"/>
        <w:jc w:val="both"/>
        <w:rPr>
          <w:rFonts w:ascii="仿宋" w:hAnsi="仿宋" w:eastAsia="仿宋" w:cs="Times New Roman"/>
          <w:sz w:val="32"/>
          <w:szCs w:val="32"/>
        </w:rPr>
      </w:pPr>
    </w:p>
    <w:p>
      <w:pPr>
        <w:spacing w:after="0" w:line="520" w:lineRule="exact"/>
        <w:jc w:val="both"/>
        <w:rPr>
          <w:rFonts w:ascii="仿宋" w:hAnsi="仿宋" w:eastAsia="仿宋" w:cs="Times New Roman"/>
          <w:sz w:val="32"/>
          <w:szCs w:val="32"/>
        </w:rPr>
      </w:pPr>
      <w:r>
        <w:rPr>
          <w:rFonts w:ascii="仿宋" w:hAnsi="仿宋" w:eastAsia="仿宋" w:cs="Times New Roman"/>
          <w:sz w:val="32"/>
          <w:szCs w:val="32"/>
        </w:rPr>
        <w:t>湖南鑫海股份有限公司</w:t>
      </w:r>
      <w:r>
        <w:rPr>
          <w:rFonts w:hint="eastAsia" w:ascii="仿宋" w:hAnsi="仿宋" w:eastAsia="仿宋" w:cs="Times New Roman"/>
          <w:sz w:val="32"/>
          <w:szCs w:val="32"/>
        </w:rPr>
        <w:t>：</w:t>
      </w:r>
    </w:p>
    <w:p>
      <w:pPr>
        <w:pStyle w:val="2"/>
        <w:spacing w:after="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你公司呈报的《关于请求对&lt;湖南鑫海股份有限公司海洋工程与军民两用多元聚烯烃绳网研发及产业化建设项目环境影响报告书&gt;进行审批的报告》、益阳市生态环境局沅江分局的预审意见及相关材料收悉。经审查、研究，批复如下：</w:t>
      </w:r>
    </w:p>
    <w:p>
      <w:pPr>
        <w:pStyle w:val="2"/>
        <w:spacing w:after="0" w:line="520" w:lineRule="exact"/>
        <w:ind w:firstLine="640"/>
        <w:jc w:val="both"/>
        <w:rPr>
          <w:rFonts w:ascii="仿宋" w:hAnsi="仿宋" w:eastAsia="仿宋" w:cs="Times New Roman"/>
          <w:sz w:val="32"/>
          <w:szCs w:val="32"/>
        </w:rPr>
      </w:pPr>
      <w:r>
        <w:rPr>
          <w:rFonts w:ascii="仿宋" w:hAnsi="仿宋" w:eastAsia="仿宋" w:cs="Times New Roman"/>
          <w:sz w:val="32"/>
          <w:szCs w:val="32"/>
        </w:rPr>
        <w:t>一</w:t>
      </w:r>
      <w:r>
        <w:rPr>
          <w:rFonts w:hint="eastAsia" w:ascii="仿宋" w:hAnsi="仿宋" w:eastAsia="仿宋" w:cs="Times New Roman"/>
          <w:sz w:val="32"/>
          <w:szCs w:val="32"/>
        </w:rPr>
        <w:t>、</w:t>
      </w:r>
      <w:r>
        <w:rPr>
          <w:rFonts w:ascii="仿宋" w:hAnsi="仿宋" w:eastAsia="仿宋" w:cs="Times New Roman"/>
          <w:sz w:val="32"/>
          <w:szCs w:val="32"/>
        </w:rPr>
        <w:t>湖南鑫海股份有限公司</w:t>
      </w:r>
      <w:r>
        <w:rPr>
          <w:rFonts w:hint="eastAsia" w:ascii="仿宋" w:hAnsi="仿宋" w:eastAsia="仿宋" w:cs="Times New Roman"/>
          <w:sz w:val="32"/>
          <w:szCs w:val="32"/>
        </w:rPr>
        <w:t>位于沅江市经济技术开发区鑫海路，原名湖南鑫海网业有限公司，成立于1977年，2016年1月更名。2014年4月，《湖南鑫海网业有限公司高强高韧节能网具建设项目环境影响报告表》经我局环评审批同意建设（益环审(表)〔2014〕15号）；2018年4月，《</w:t>
      </w:r>
      <w:r>
        <w:rPr>
          <w:rFonts w:hint="eastAsia" w:ascii="仿宋" w:hAnsi="仿宋" w:eastAsia="仿宋"/>
          <w:sz w:val="32"/>
          <w:szCs w:val="32"/>
        </w:rPr>
        <w:t>湖南鑫海股份有限公司高性能绳网生产线改扩建</w:t>
      </w:r>
      <w:r>
        <w:rPr>
          <w:rFonts w:hint="eastAsia" w:ascii="仿宋" w:hAnsi="仿宋" w:eastAsia="仿宋"/>
          <w:spacing w:val="8"/>
          <w:sz w:val="32"/>
          <w:szCs w:val="32"/>
        </w:rPr>
        <w:t>项目</w:t>
      </w:r>
      <w:r>
        <w:rPr>
          <w:rFonts w:hint="eastAsia" w:ascii="仿宋" w:hAnsi="仿宋" w:eastAsia="仿宋"/>
          <w:sz w:val="32"/>
          <w:szCs w:val="32"/>
        </w:rPr>
        <w:t>环境影响报告书</w:t>
      </w:r>
      <w:r>
        <w:rPr>
          <w:rFonts w:hint="eastAsia" w:ascii="仿宋" w:hAnsi="仿宋" w:eastAsia="仿宋" w:cs="Times New Roman"/>
          <w:sz w:val="32"/>
          <w:szCs w:val="32"/>
        </w:rPr>
        <w:t>》经我局环评审批同意建设（益环审(书)〔2018〕10号）；形成了年产超高强度高性能节能网具3760吨、塑料颗粒1000吨、高</w:t>
      </w:r>
      <w:r>
        <w:rPr>
          <w:rFonts w:hint="eastAsia" w:ascii="仿宋" w:hAnsi="仿宋" w:eastAsia="仿宋"/>
          <w:sz w:val="32"/>
          <w:szCs w:val="32"/>
        </w:rPr>
        <w:t>性能绳网300吨的生产能力。公司拟</w:t>
      </w:r>
      <w:r>
        <w:rPr>
          <w:rFonts w:hint="eastAsia" w:ascii="仿宋" w:hAnsi="仿宋" w:eastAsia="仿宋" w:cs="Times New Roman"/>
          <w:sz w:val="32"/>
          <w:szCs w:val="32"/>
        </w:rPr>
        <w:t>投资</w:t>
      </w:r>
      <w:r>
        <w:rPr>
          <w:rFonts w:ascii="仿宋" w:hAnsi="仿宋" w:eastAsia="仿宋" w:cs="Times New Roman"/>
          <w:sz w:val="32"/>
          <w:szCs w:val="32"/>
        </w:rPr>
        <w:t>21800</w:t>
      </w:r>
      <w:r>
        <w:rPr>
          <w:rFonts w:hint="eastAsia" w:ascii="仿宋" w:hAnsi="仿宋" w:eastAsia="仿宋" w:cs="Times New Roman"/>
          <w:sz w:val="32"/>
          <w:szCs w:val="32"/>
        </w:rPr>
        <w:t>万元，实施技改搬迁，在湖南沅江高新技术产业园</w:t>
      </w:r>
      <w:bookmarkStart w:id="0" w:name="_Hlk60668844"/>
      <w:r>
        <w:rPr>
          <w:rFonts w:hint="eastAsia" w:ascii="仿宋" w:hAnsi="仿宋" w:eastAsia="仿宋" w:cs="Times New Roman"/>
          <w:sz w:val="32"/>
          <w:szCs w:val="32"/>
        </w:rPr>
        <w:t>区桔城大道</w:t>
      </w:r>
      <w:bookmarkEnd w:id="0"/>
      <w:r>
        <w:rPr>
          <w:rFonts w:hint="eastAsia" w:ascii="仿宋" w:hAnsi="仿宋" w:eastAsia="仿宋" w:cs="Times New Roman"/>
          <w:sz w:val="32"/>
          <w:szCs w:val="32"/>
        </w:rPr>
        <w:t>西侧建设海洋工程与军民两用多元聚烯烃绳网研发及产业化建设项目。工程总占地面积</w:t>
      </w:r>
      <w:r>
        <w:rPr>
          <w:rFonts w:ascii="仿宋" w:hAnsi="仿宋" w:eastAsia="仿宋" w:cs="Times New Roman"/>
          <w:sz w:val="32"/>
          <w:szCs w:val="32"/>
        </w:rPr>
        <w:t>31717.1</w:t>
      </w:r>
      <w:r>
        <w:rPr>
          <w:rFonts w:hint="eastAsia" w:ascii="仿宋" w:hAnsi="仿宋" w:eastAsia="仿宋" w:cs="Times New Roman"/>
          <w:sz w:val="32"/>
          <w:szCs w:val="32"/>
        </w:rPr>
        <w:t>m</w:t>
      </w:r>
      <w:r>
        <w:rPr>
          <w:rFonts w:hint="eastAsia" w:ascii="仿宋" w:hAnsi="仿宋" w:eastAsia="仿宋" w:cs="Times New Roman"/>
          <w:sz w:val="32"/>
          <w:szCs w:val="32"/>
          <w:vertAlign w:val="superscript"/>
        </w:rPr>
        <w:t>2</w:t>
      </w:r>
      <w:r>
        <w:rPr>
          <w:rFonts w:hint="eastAsia" w:ascii="仿宋" w:hAnsi="仿宋" w:eastAsia="仿宋" w:cs="Times New Roman"/>
          <w:sz w:val="32"/>
          <w:szCs w:val="32"/>
        </w:rPr>
        <w:t>，主要建设内容包括生产车间（布局三条生产线，1条高性能多元聚烯烃特种绳网生产线、1条含染色工序的尼龙和涤纶渔网生产线、1条聚乙烯绳、网生产线）、试制车间、科研检测楼、仓库、综合办公楼、员工宿舍、食堂及门卫室、锅炉房、配电房、给排水等公用辅助工程。项目建成后，年产高性能多元聚烯烃特种绳网3000吨、染色尼龙和涤纶高性能渔网300吨、聚乙烯绳、网3760吨。</w:t>
      </w:r>
    </w:p>
    <w:p>
      <w:pPr>
        <w:pStyle w:val="2"/>
        <w:spacing w:after="0" w:line="520" w:lineRule="exact"/>
        <w:ind w:firstLine="640"/>
        <w:jc w:val="both"/>
        <w:rPr>
          <w:rFonts w:ascii="仿宋" w:hAnsi="仿宋" w:eastAsia="仿宋" w:cs="Times New Roman"/>
          <w:sz w:val="32"/>
          <w:szCs w:val="32"/>
        </w:rPr>
      </w:pPr>
      <w:r>
        <w:rPr>
          <w:rFonts w:hint="eastAsia" w:ascii="仿宋" w:hAnsi="仿宋" w:eastAsia="仿宋" w:cs="Times New Roman"/>
          <w:sz w:val="32"/>
          <w:szCs w:val="32"/>
        </w:rPr>
        <w:t>项目建设符合湖南沅江高新技术产业园区“三线一单”管控要求，用地取得了沅江市自然资源局颁发的不动产权证。根据山东睿福环境科技有限责任公司</w:t>
      </w:r>
      <w:r>
        <w:rPr>
          <w:rFonts w:hint="eastAsia" w:ascii="仿宋" w:hAnsi="仿宋" w:eastAsia="仿宋" w:cs="Times New Roman"/>
          <w:spacing w:val="8"/>
          <w:sz w:val="32"/>
          <w:szCs w:val="32"/>
        </w:rPr>
        <w:t>编制的环评报告书的分析结论和</w:t>
      </w:r>
      <w:r>
        <w:rPr>
          <w:rFonts w:hint="eastAsia" w:ascii="仿宋" w:hAnsi="仿宋" w:eastAsia="仿宋"/>
          <w:kern w:val="2"/>
          <w:sz w:val="32"/>
          <w:szCs w:val="32"/>
        </w:rPr>
        <w:t>益阳市生态环境局沅江分局</w:t>
      </w:r>
      <w:r>
        <w:rPr>
          <w:rFonts w:hint="eastAsia" w:ascii="仿宋" w:hAnsi="仿宋" w:eastAsia="仿宋" w:cs="Times New Roman"/>
          <w:spacing w:val="8"/>
          <w:sz w:val="32"/>
          <w:szCs w:val="32"/>
        </w:rPr>
        <w:t>的预审意见，</w:t>
      </w:r>
      <w:r>
        <w:rPr>
          <w:rFonts w:hint="eastAsia" w:ascii="仿宋" w:hAnsi="仿宋" w:eastAsia="仿宋"/>
          <w:sz w:val="32"/>
          <w:szCs w:val="32"/>
        </w:rPr>
        <w:t>在建设单位认真落实报告书和本批复提出的各项生态环境保护措施，确保各项污染物稳定达标排放的前提下，我局同意</w:t>
      </w:r>
      <w:r>
        <w:rPr>
          <w:rFonts w:hint="eastAsia" w:ascii="仿宋" w:hAnsi="仿宋" w:eastAsia="仿宋" w:cs="Times New Roman"/>
          <w:sz w:val="32"/>
          <w:szCs w:val="32"/>
        </w:rPr>
        <w:t>湖南鑫海股份有限公司海洋工程与军民两用多元聚烯烃绳网研发及产业化建设项目</w:t>
      </w:r>
      <w:r>
        <w:rPr>
          <w:rFonts w:hint="eastAsia" w:ascii="仿宋" w:hAnsi="仿宋" w:eastAsia="仿宋"/>
          <w:kern w:val="2"/>
          <w:sz w:val="32"/>
          <w:szCs w:val="32"/>
        </w:rPr>
        <w:t>的选址并建设。</w:t>
      </w:r>
    </w:p>
    <w:p>
      <w:pPr>
        <w:pStyle w:val="2"/>
        <w:spacing w:after="0" w:line="520" w:lineRule="exact"/>
        <w:ind w:firstLine="640"/>
        <w:jc w:val="both"/>
        <w:rPr>
          <w:rFonts w:ascii="仿宋" w:hAnsi="仿宋" w:eastAsia="仿宋" w:cs="Times New Roman"/>
          <w:sz w:val="32"/>
          <w:szCs w:val="32"/>
        </w:rPr>
      </w:pPr>
      <w:r>
        <w:rPr>
          <w:rFonts w:hint="eastAsia" w:ascii="仿宋" w:hAnsi="仿宋" w:eastAsia="仿宋" w:cs="Times New Roman"/>
          <w:spacing w:val="8"/>
          <w:sz w:val="32"/>
          <w:szCs w:val="32"/>
        </w:rPr>
        <w:t>二、</w:t>
      </w:r>
      <w:r>
        <w:rPr>
          <w:rFonts w:hint="eastAsia" w:ascii="仿宋" w:hAnsi="仿宋" w:eastAsia="仿宋" w:cs="Times New Roman"/>
          <w:kern w:val="2"/>
          <w:sz w:val="32"/>
          <w:szCs w:val="32"/>
        </w:rPr>
        <w:t>你公司在工程设计、建设和运营管理中，必须切</w:t>
      </w:r>
      <w:r>
        <w:rPr>
          <w:rFonts w:hint="eastAsia" w:ascii="仿宋" w:hAnsi="仿宋" w:eastAsia="仿宋" w:cs="Times New Roman"/>
          <w:sz w:val="32"/>
          <w:szCs w:val="32"/>
        </w:rPr>
        <w:t>实落实环评提出的各项污染防治和风险防范措施要求，着重做好以下工作：</w:t>
      </w:r>
    </w:p>
    <w:p>
      <w:pPr>
        <w:pStyle w:val="3"/>
        <w:spacing w:after="0" w:line="540" w:lineRule="exact"/>
        <w:ind w:left="0" w:leftChars="0" w:firstLine="640" w:firstLineChars="200"/>
        <w:jc w:val="both"/>
        <w:rPr>
          <w:rFonts w:ascii="仿宋" w:hAnsi="仿宋" w:eastAsia="仿宋" w:cs="Times New Roman"/>
          <w:spacing w:val="8"/>
          <w:sz w:val="32"/>
          <w:szCs w:val="32"/>
        </w:rPr>
      </w:pPr>
      <w:r>
        <w:rPr>
          <w:rFonts w:hint="eastAsia" w:ascii="仿宋" w:hAnsi="仿宋" w:eastAsia="仿宋" w:cs="Times New Roman"/>
          <w:sz w:val="32"/>
          <w:szCs w:val="32"/>
        </w:rPr>
        <w:t>（一）</w:t>
      </w:r>
      <w:r>
        <w:rPr>
          <w:rFonts w:hint="eastAsia" w:ascii="仿宋" w:hAnsi="仿宋" w:eastAsia="仿宋"/>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pPr>
        <w:pStyle w:val="2"/>
        <w:spacing w:after="0" w:line="520" w:lineRule="exact"/>
        <w:ind w:firstLine="640"/>
        <w:jc w:val="both"/>
        <w:rPr>
          <w:rFonts w:ascii="仿宋" w:hAnsi="仿宋" w:eastAsia="仿宋" w:cs="Times New Roman"/>
          <w:sz w:val="32"/>
          <w:szCs w:val="32"/>
        </w:rPr>
      </w:pPr>
      <w:r>
        <w:rPr>
          <w:rFonts w:hint="eastAsia" w:ascii="仿宋" w:hAnsi="仿宋" w:eastAsia="仿宋" w:cs="Times New Roman"/>
          <w:spacing w:val="8"/>
          <w:sz w:val="32"/>
          <w:szCs w:val="32"/>
        </w:rPr>
        <w:t>（二）</w:t>
      </w:r>
      <w:r>
        <w:rPr>
          <w:rFonts w:hint="eastAsia" w:ascii="仿宋" w:hAnsi="仿宋" w:eastAsia="仿宋"/>
          <w:kern w:val="2"/>
          <w:sz w:val="32"/>
          <w:szCs w:val="32"/>
        </w:rPr>
        <w:t>加强施工期的环境管理。严格</w:t>
      </w:r>
      <w:r>
        <w:rPr>
          <w:rFonts w:hint="eastAsia" w:ascii="仿宋" w:hAnsi="仿宋" w:eastAsia="仿宋"/>
          <w:sz w:val="32"/>
          <w:szCs w:val="32"/>
        </w:rPr>
        <w:t>落实《</w:t>
      </w:r>
      <w:r>
        <w:rPr>
          <w:rFonts w:ascii="仿宋" w:hAnsi="仿宋" w:eastAsia="仿宋"/>
          <w:bCs/>
          <w:sz w:val="32"/>
          <w:szCs w:val="32"/>
        </w:rPr>
        <w:t>益阳市扬尘污染防治条例》的要求，</w:t>
      </w:r>
      <w:r>
        <w:rPr>
          <w:rFonts w:hint="eastAsia" w:ascii="仿宋" w:hAnsi="仿宋" w:eastAsia="仿宋"/>
          <w:sz w:val="32"/>
          <w:szCs w:val="32"/>
        </w:rPr>
        <w:t>防止扬尘污染环境；</w:t>
      </w:r>
      <w:r>
        <w:rPr>
          <w:rFonts w:hint="eastAsia" w:ascii="仿宋" w:hAnsi="仿宋" w:eastAsia="仿宋"/>
          <w:kern w:val="2"/>
          <w:sz w:val="32"/>
          <w:szCs w:val="32"/>
        </w:rPr>
        <w:t>妥善处置建筑弃渣和施工垃圾，施工废水必须集中进行处理达标后</w:t>
      </w:r>
      <w:r>
        <w:rPr>
          <w:rFonts w:hint="eastAsia" w:ascii="仿宋" w:hAnsi="仿宋" w:eastAsia="仿宋" w:cs="Times New Roman"/>
          <w:sz w:val="32"/>
          <w:szCs w:val="32"/>
        </w:rPr>
        <w:t>排入园区污水管网</w:t>
      </w:r>
      <w:r>
        <w:rPr>
          <w:rFonts w:hint="eastAsia" w:ascii="仿宋" w:hAnsi="仿宋" w:eastAsia="仿宋"/>
          <w:kern w:val="2"/>
          <w:sz w:val="32"/>
          <w:szCs w:val="32"/>
        </w:rPr>
        <w:t>；选用低噪声施工设备，合理安排工期，控制夜间作业时段，防止施工噪声扰民。</w:t>
      </w:r>
    </w:p>
    <w:p>
      <w:pPr>
        <w:pStyle w:val="2"/>
        <w:spacing w:after="0" w:line="520" w:lineRule="exact"/>
        <w:ind w:firstLine="640"/>
        <w:jc w:val="both"/>
        <w:rPr>
          <w:rFonts w:ascii="仿宋" w:hAnsi="仿宋" w:eastAsia="仿宋" w:cs="Times New Roman"/>
          <w:spacing w:val="8"/>
          <w:sz w:val="32"/>
          <w:szCs w:val="32"/>
        </w:rPr>
      </w:pPr>
      <w:r>
        <w:rPr>
          <w:rFonts w:hint="eastAsia" w:ascii="仿宋" w:hAnsi="仿宋" w:eastAsia="仿宋" w:cs="Times New Roman"/>
          <w:sz w:val="32"/>
          <w:szCs w:val="32"/>
        </w:rPr>
        <w:t>（三）落实大气污染防治措施。项目煮丝拉丝和染色定型等工序产生的有机废气须采取“集气罩收集+UV光解+活性炭吸附装置”措施处理，满足《合成树脂工业污染物排放标准》（GB31572-2015）中表4中大气污染物排放限值要求后，分别通过15m高排气筒排放；项目供热配置一台4t/h和一台2t/h生物质锅炉，锅炉烟气采取布袋除尘装置处理，须</w:t>
      </w:r>
      <w:r>
        <w:rPr>
          <w:rFonts w:ascii="仿宋" w:hAnsi="仿宋" w:eastAsia="仿宋" w:cs="Times New Roman"/>
          <w:sz w:val="32"/>
          <w:szCs w:val="32"/>
        </w:rPr>
        <w:t>满足</w:t>
      </w:r>
      <w:r>
        <w:rPr>
          <w:rFonts w:hint="eastAsia" w:ascii="仿宋" w:hAnsi="仿宋" w:eastAsia="仿宋" w:cs="Times New Roman"/>
          <w:sz w:val="32"/>
          <w:szCs w:val="32"/>
        </w:rPr>
        <w:t>《锅炉大气污染物排放标准》（GB13271-2014）表3大气污染物特别排放限值中燃煤锅炉标准</w:t>
      </w:r>
      <w:r>
        <w:rPr>
          <w:rFonts w:ascii="仿宋" w:hAnsi="仿宋" w:eastAsia="仿宋" w:cs="Times New Roman"/>
          <w:sz w:val="32"/>
          <w:szCs w:val="32"/>
        </w:rPr>
        <w:t>要求</w:t>
      </w:r>
      <w:r>
        <w:rPr>
          <w:rFonts w:hint="eastAsia" w:ascii="仿宋" w:hAnsi="仿宋" w:eastAsia="仿宋" w:cs="Times New Roman"/>
          <w:sz w:val="32"/>
          <w:szCs w:val="32"/>
        </w:rPr>
        <w:t>，</w:t>
      </w:r>
      <w:r>
        <w:rPr>
          <w:rFonts w:ascii="仿宋" w:hAnsi="仿宋" w:eastAsia="仿宋" w:cs="Times New Roman"/>
          <w:sz w:val="32"/>
          <w:szCs w:val="32"/>
        </w:rPr>
        <w:t>再通过一根</w:t>
      </w:r>
      <w:r>
        <w:rPr>
          <w:rFonts w:hint="eastAsia" w:ascii="仿宋" w:hAnsi="仿宋" w:eastAsia="仿宋" w:cs="Times New Roman"/>
          <w:sz w:val="32"/>
          <w:szCs w:val="32"/>
        </w:rPr>
        <w:t>35米高烟囱排放；项目食堂需采用清</w:t>
      </w:r>
      <w:r>
        <w:rPr>
          <w:rFonts w:hint="eastAsia" w:ascii="仿宋" w:hAnsi="仿宋" w:eastAsia="仿宋" w:cs="Times New Roman"/>
          <w:spacing w:val="8"/>
          <w:sz w:val="32"/>
          <w:szCs w:val="32"/>
        </w:rPr>
        <w:t>洁能源，食堂油烟须采取净化装置处理达到《饮食业油烟排放标准》（GB18483-2001）要求，通过排气筒引至屋顶排放。  </w:t>
      </w:r>
    </w:p>
    <w:p>
      <w:pPr>
        <w:pStyle w:val="2"/>
        <w:spacing w:after="0" w:line="520" w:lineRule="exact"/>
        <w:ind w:firstLine="640"/>
        <w:jc w:val="both"/>
        <w:rPr>
          <w:rFonts w:ascii="仿宋" w:hAnsi="仿宋" w:eastAsia="仿宋" w:cs="Times New Roman"/>
          <w:sz w:val="32"/>
          <w:szCs w:val="32"/>
        </w:rPr>
      </w:pPr>
      <w:r>
        <w:rPr>
          <w:rFonts w:hint="eastAsia" w:ascii="仿宋" w:hAnsi="仿宋" w:eastAsia="仿宋" w:cs="Times New Roman"/>
          <w:spacing w:val="8"/>
          <w:sz w:val="32"/>
          <w:szCs w:val="32"/>
        </w:rPr>
        <w:t>（四）落实水污染防治措施。按照“清污分流、雨污分流”的原则建设厂区排水系统。项目染整漂洗废水须按照《纺织染整工业废水治理工程技术规范》（HJ471-2020）的要求建设污水处理系统，外排废水须满足《纺织染整工业水污染物排放标准》（GB4287-2012）及其</w:t>
      </w:r>
      <w:r>
        <w:rPr>
          <w:rFonts w:ascii="仿宋" w:hAnsi="仿宋" w:eastAsia="仿宋" w:cs="Times New Roman"/>
          <w:spacing w:val="8"/>
          <w:sz w:val="32"/>
          <w:szCs w:val="32"/>
        </w:rPr>
        <w:t>修改单（环境保护部公告 2015年第19号</w:t>
      </w:r>
      <w:r>
        <w:rPr>
          <w:rFonts w:hint="eastAsia" w:ascii="仿宋" w:hAnsi="仿宋" w:eastAsia="仿宋" w:cs="Times New Roman"/>
          <w:spacing w:val="8"/>
          <w:sz w:val="32"/>
          <w:szCs w:val="32"/>
        </w:rPr>
        <w:t>、</w:t>
      </w:r>
      <w:r>
        <w:rPr>
          <w:rFonts w:ascii="仿宋" w:hAnsi="仿宋" w:eastAsia="仿宋" w:cs="Times New Roman"/>
          <w:spacing w:val="8"/>
          <w:sz w:val="32"/>
          <w:szCs w:val="32"/>
        </w:rPr>
        <w:t>第</w:t>
      </w:r>
      <w:r>
        <w:rPr>
          <w:rFonts w:hint="eastAsia" w:ascii="仿宋" w:hAnsi="仿宋" w:eastAsia="仿宋" w:cs="Times New Roman"/>
          <w:spacing w:val="8"/>
          <w:sz w:val="32"/>
          <w:szCs w:val="32"/>
        </w:rPr>
        <w:t>41</w:t>
      </w:r>
      <w:r>
        <w:rPr>
          <w:rFonts w:ascii="仿宋" w:hAnsi="仿宋" w:eastAsia="仿宋" w:cs="Times New Roman"/>
          <w:spacing w:val="8"/>
          <w:sz w:val="32"/>
          <w:szCs w:val="32"/>
        </w:rPr>
        <w:t>号）要求</w:t>
      </w:r>
      <w:r>
        <w:rPr>
          <w:rFonts w:hint="eastAsia" w:ascii="仿宋" w:hAnsi="仿宋" w:eastAsia="仿宋" w:cs="Times New Roman"/>
          <w:spacing w:val="8"/>
          <w:sz w:val="32"/>
          <w:szCs w:val="32"/>
        </w:rPr>
        <w:t>，再</w:t>
      </w:r>
      <w:r>
        <w:rPr>
          <w:rFonts w:hint="eastAsia" w:ascii="仿宋" w:hAnsi="仿宋" w:eastAsia="仿宋"/>
          <w:sz w:val="32"/>
          <w:szCs w:val="32"/>
        </w:rPr>
        <w:t>排入园区污水管网进入沅江市第二污水处理厂深度处理；</w:t>
      </w:r>
      <w:r>
        <w:rPr>
          <w:rFonts w:hint="eastAsia" w:ascii="仿宋" w:hAnsi="仿宋" w:eastAsia="仿宋" w:cs="Times New Roman"/>
          <w:sz w:val="32"/>
          <w:szCs w:val="32"/>
        </w:rPr>
        <w:t>涤纶尼纶网片清洗废水经沉淀后循环使用；拉丝冷却水经冷却后循环使用；生活污水经隔油池、化粪池处理，满足《污水综合排放标准》（GB8978-1996）表4中三级标准，</w:t>
      </w:r>
      <w:r>
        <w:rPr>
          <w:rFonts w:hint="eastAsia" w:ascii="仿宋" w:hAnsi="仿宋" w:eastAsia="仿宋"/>
          <w:sz w:val="32"/>
          <w:szCs w:val="32"/>
        </w:rPr>
        <w:t>排入园区污水管网进入沅江市第二污水处理厂深度处理</w:t>
      </w:r>
      <w:r>
        <w:rPr>
          <w:rFonts w:hint="eastAsia" w:ascii="仿宋" w:hAnsi="仿宋" w:eastAsia="仿宋" w:cs="Times New Roman"/>
          <w:sz w:val="32"/>
          <w:szCs w:val="32"/>
        </w:rPr>
        <w:t>。</w:t>
      </w:r>
    </w:p>
    <w:p>
      <w:pPr>
        <w:pStyle w:val="2"/>
        <w:spacing w:after="0" w:line="520" w:lineRule="exact"/>
        <w:ind w:firstLine="640"/>
        <w:jc w:val="both"/>
        <w:rPr>
          <w:rFonts w:ascii="仿宋" w:hAnsi="仿宋" w:eastAsia="仿宋" w:cs="Times New Roman"/>
          <w:sz w:val="32"/>
          <w:szCs w:val="32"/>
        </w:rPr>
      </w:pPr>
      <w:r>
        <w:rPr>
          <w:rFonts w:hint="eastAsia" w:ascii="仿宋" w:hAnsi="仿宋" w:eastAsia="仿宋" w:cs="Times New Roman"/>
          <w:sz w:val="32"/>
          <w:szCs w:val="32"/>
        </w:rPr>
        <w:t>（五）落实噪声污染防治措施。合理优化平面布局，选用低噪声设备，对高噪声设备采取隔声、消音、吸声、减振和建设绿化带等降噪措施，确保厂界</w:t>
      </w:r>
      <w:r>
        <w:rPr>
          <w:rFonts w:ascii="仿宋" w:hAnsi="仿宋" w:eastAsia="仿宋" w:cs="Times New Roman"/>
          <w:sz w:val="32"/>
          <w:szCs w:val="32"/>
        </w:rPr>
        <w:t>四周噪声</w:t>
      </w:r>
      <w:r>
        <w:rPr>
          <w:rFonts w:hint="eastAsia" w:ascii="仿宋" w:hAnsi="仿宋" w:eastAsia="仿宋" w:cs="Times New Roman"/>
          <w:sz w:val="32"/>
          <w:szCs w:val="32"/>
        </w:rPr>
        <w:t>满足</w:t>
      </w:r>
      <w:r>
        <w:rPr>
          <w:rFonts w:ascii="仿宋" w:hAnsi="仿宋" w:eastAsia="仿宋" w:cs="Times New Roman"/>
          <w:sz w:val="32"/>
          <w:szCs w:val="32"/>
        </w:rPr>
        <w:t>《工业企业厂界环境噪声排放标准》（GB12348-2008）3类标准限值的要求。</w:t>
      </w:r>
    </w:p>
    <w:p>
      <w:pPr>
        <w:spacing w:after="0" w:line="560" w:lineRule="exact"/>
        <w:ind w:left="110" w:leftChars="50" w:firstLine="640" w:firstLineChars="200"/>
        <w:jc w:val="both"/>
        <w:rPr>
          <w:rFonts w:ascii="仿宋" w:hAnsi="仿宋" w:eastAsia="仿宋" w:cs="Times New Roman"/>
          <w:kern w:val="2"/>
          <w:sz w:val="32"/>
          <w:szCs w:val="32"/>
        </w:rPr>
      </w:pPr>
      <w:r>
        <w:rPr>
          <w:rFonts w:hint="eastAsia" w:ascii="仿宋" w:hAnsi="仿宋" w:eastAsia="仿宋" w:cs="Times New Roman"/>
          <w:sz w:val="32"/>
          <w:szCs w:val="32"/>
        </w:rPr>
        <w:t>（六）</w:t>
      </w:r>
      <w:r>
        <w:rPr>
          <w:rFonts w:hint="eastAsia" w:ascii="仿宋" w:hAnsi="仿宋" w:eastAsia="仿宋" w:cs="Times New Roman"/>
          <w:kern w:val="2"/>
          <w:sz w:val="32"/>
          <w:szCs w:val="32"/>
        </w:rPr>
        <w:t>落实固体废物处置措施。项目须</w:t>
      </w:r>
      <w:r>
        <w:rPr>
          <w:rFonts w:ascii="仿宋" w:hAnsi="仿宋" w:eastAsia="仿宋"/>
          <w:sz w:val="32"/>
          <w:szCs w:val="32"/>
        </w:rPr>
        <w:t>按照</w:t>
      </w:r>
      <w:r>
        <w:rPr>
          <w:rFonts w:hint="eastAsia" w:ascii="仿宋" w:hAnsi="仿宋" w:eastAsia="仿宋" w:cs="Times New Roman"/>
          <w:kern w:val="2"/>
          <w:sz w:val="32"/>
          <w:szCs w:val="32"/>
        </w:rPr>
        <w:t>《危险废物贮存污染控制标准》(GB18597-2001)及其修改单要求设置危废暂存库，废活性炭、废紫外灯管、废水处理站污泥、染料包装桶等危险废物须</w:t>
      </w:r>
      <w:r>
        <w:rPr>
          <w:rFonts w:hint="eastAsia" w:ascii="仿宋" w:hAnsi="仿宋" w:eastAsia="仿宋"/>
          <w:sz w:val="32"/>
          <w:szCs w:val="32"/>
        </w:rPr>
        <w:t>委托有危废处置资质的单位安全处置；其他</w:t>
      </w:r>
      <w:r>
        <w:rPr>
          <w:rFonts w:hint="eastAsia" w:ascii="仿宋" w:hAnsi="仿宋" w:eastAsia="仿宋" w:cs="Times New Roman"/>
          <w:kern w:val="2"/>
          <w:sz w:val="32"/>
          <w:szCs w:val="32"/>
        </w:rPr>
        <w:t>废料、废包装袋等一般固体废物外售综合利用；锅炉灰渣、布袋收尘渣和生活垃圾等交由</w:t>
      </w:r>
      <w:r>
        <w:rPr>
          <w:rFonts w:hint="eastAsia" w:ascii="仿宋" w:hAnsi="仿宋" w:eastAsia="仿宋"/>
          <w:sz w:val="32"/>
          <w:szCs w:val="32"/>
        </w:rPr>
        <w:t>当地环卫部门处理</w:t>
      </w:r>
      <w:r>
        <w:rPr>
          <w:rFonts w:hint="eastAsia" w:ascii="仿宋" w:hAnsi="仿宋" w:eastAsia="仿宋" w:cs="Times New Roman"/>
          <w:kern w:val="2"/>
          <w:sz w:val="32"/>
          <w:szCs w:val="32"/>
        </w:rPr>
        <w:t>。</w:t>
      </w:r>
    </w:p>
    <w:p>
      <w:pPr>
        <w:pStyle w:val="2"/>
        <w:spacing w:after="0" w:line="520" w:lineRule="exact"/>
        <w:ind w:firstLine="640"/>
        <w:jc w:val="both"/>
        <w:rPr>
          <w:rFonts w:ascii="仿宋" w:hAnsi="仿宋" w:eastAsia="仿宋" w:cs="Times New Roman"/>
          <w:sz w:val="32"/>
          <w:szCs w:val="32"/>
        </w:rPr>
      </w:pPr>
      <w:r>
        <w:rPr>
          <w:rFonts w:hint="eastAsia" w:ascii="仿宋" w:hAnsi="仿宋" w:eastAsia="仿宋" w:cs="Times New Roman"/>
          <w:sz w:val="32"/>
          <w:szCs w:val="32"/>
        </w:rPr>
        <w:t>（七）落实环境监测计划。按照《排污许可证申请与核发技术规范 纺织印染工业》（HJ861-2017）、《排污许可证申请与核发技术规范 橡胶和塑料制品工业》（HJ1122-2020）和《排污许可证申请与核发技术规范 锅炉》（HJ953-2018）</w:t>
      </w:r>
      <w:r>
        <w:rPr>
          <w:rFonts w:ascii="仿宋" w:hAnsi="仿宋" w:eastAsia="仿宋" w:cs="Times New Roman"/>
          <w:sz w:val="32"/>
          <w:szCs w:val="32"/>
        </w:rPr>
        <w:t>的要求</w:t>
      </w:r>
      <w:r>
        <w:rPr>
          <w:rFonts w:hint="eastAsia" w:ascii="仿宋" w:hAnsi="仿宋" w:eastAsia="仿宋" w:cs="Times New Roman"/>
          <w:sz w:val="32"/>
          <w:szCs w:val="32"/>
        </w:rPr>
        <w:t>，</w:t>
      </w:r>
      <w:r>
        <w:rPr>
          <w:rFonts w:ascii="仿宋" w:hAnsi="仿宋" w:eastAsia="仿宋" w:cs="Times New Roman"/>
          <w:sz w:val="32"/>
          <w:szCs w:val="32"/>
        </w:rPr>
        <w:t>制定自行监测方案并严格执行</w:t>
      </w:r>
      <w:r>
        <w:rPr>
          <w:rFonts w:hint="eastAsia" w:ascii="仿宋" w:hAnsi="仿宋" w:eastAsia="仿宋" w:cs="Times New Roman"/>
          <w:sz w:val="32"/>
          <w:szCs w:val="32"/>
        </w:rPr>
        <w:t>。</w:t>
      </w:r>
    </w:p>
    <w:p>
      <w:pPr>
        <w:pStyle w:val="2"/>
        <w:spacing w:after="0" w:line="520" w:lineRule="exact"/>
        <w:ind w:firstLine="480" w:firstLineChars="150"/>
        <w:jc w:val="both"/>
        <w:rPr>
          <w:rFonts w:ascii="仿宋" w:hAnsi="仿宋" w:eastAsia="仿宋" w:cs="Times New Roman"/>
          <w:sz w:val="32"/>
          <w:szCs w:val="32"/>
        </w:rPr>
      </w:pPr>
      <w:r>
        <w:rPr>
          <w:rFonts w:hint="eastAsia" w:ascii="仿宋" w:hAnsi="仿宋" w:eastAsia="仿宋" w:cs="Times New Roman"/>
          <w:sz w:val="32"/>
          <w:szCs w:val="32"/>
        </w:rPr>
        <w:t>（八）</w:t>
      </w:r>
      <w:r>
        <w:rPr>
          <w:rFonts w:hint="eastAsia" w:ascii="仿宋" w:hAnsi="仿宋" w:eastAsia="仿宋"/>
          <w:sz w:val="32"/>
          <w:szCs w:val="32"/>
        </w:rPr>
        <w:t>本项目污染物总量控制指标为：SO</w:t>
      </w:r>
      <w:r>
        <w:rPr>
          <w:rFonts w:hint="eastAsia" w:ascii="仿宋" w:hAnsi="仿宋" w:eastAsia="仿宋"/>
          <w:sz w:val="32"/>
          <w:szCs w:val="32"/>
          <w:vertAlign w:val="subscript"/>
        </w:rPr>
        <w:t>2</w:t>
      </w:r>
      <w:r>
        <w:rPr>
          <w:rFonts w:hint="eastAsia" w:ascii="仿宋" w:hAnsi="仿宋" w:eastAsia="仿宋"/>
          <w:sz w:val="32"/>
          <w:szCs w:val="32"/>
        </w:rPr>
        <w:t>≤</w:t>
      </w:r>
      <w:r>
        <w:rPr>
          <w:rFonts w:ascii="仿宋" w:hAnsi="仿宋" w:eastAsia="仿宋"/>
          <w:sz w:val="32"/>
          <w:szCs w:val="32"/>
        </w:rPr>
        <w:t>1.53</w:t>
      </w:r>
      <w:r>
        <w:rPr>
          <w:rFonts w:hint="eastAsia" w:ascii="仿宋" w:hAnsi="仿宋" w:eastAsia="仿宋"/>
          <w:sz w:val="32"/>
          <w:szCs w:val="32"/>
        </w:rPr>
        <w:t>t/a，NO</w:t>
      </w:r>
      <w:r>
        <w:rPr>
          <w:rFonts w:hint="eastAsia" w:ascii="仿宋" w:hAnsi="仿宋" w:eastAsia="仿宋"/>
          <w:sz w:val="32"/>
          <w:szCs w:val="32"/>
          <w:vertAlign w:val="subscript"/>
        </w:rPr>
        <w:t>X</w:t>
      </w:r>
      <w:r>
        <w:rPr>
          <w:rFonts w:hint="eastAsia" w:ascii="仿宋" w:hAnsi="仿宋" w:eastAsia="仿宋"/>
          <w:sz w:val="32"/>
          <w:szCs w:val="32"/>
        </w:rPr>
        <w:t>≤</w:t>
      </w:r>
      <w:r>
        <w:rPr>
          <w:rFonts w:ascii="仿宋" w:hAnsi="仿宋" w:eastAsia="仿宋"/>
          <w:sz w:val="32"/>
          <w:szCs w:val="32"/>
        </w:rPr>
        <w:t>1.53</w:t>
      </w:r>
      <w:r>
        <w:rPr>
          <w:rFonts w:hint="eastAsia" w:ascii="仿宋" w:hAnsi="仿宋" w:eastAsia="仿宋"/>
          <w:sz w:val="32"/>
          <w:szCs w:val="32"/>
        </w:rPr>
        <w:t>t/a，V</w:t>
      </w:r>
      <w:r>
        <w:rPr>
          <w:rFonts w:ascii="仿宋" w:hAnsi="仿宋" w:eastAsia="仿宋"/>
          <w:sz w:val="32"/>
          <w:szCs w:val="32"/>
        </w:rPr>
        <w:t>OCs</w:t>
      </w:r>
      <w:r>
        <w:rPr>
          <w:rFonts w:hint="eastAsia" w:ascii="仿宋" w:hAnsi="仿宋" w:eastAsia="仿宋"/>
          <w:sz w:val="32"/>
          <w:szCs w:val="32"/>
        </w:rPr>
        <w:t>≤</w:t>
      </w:r>
      <w:r>
        <w:rPr>
          <w:rFonts w:ascii="仿宋" w:hAnsi="仿宋" w:eastAsia="仿宋"/>
          <w:sz w:val="32"/>
          <w:szCs w:val="32"/>
        </w:rPr>
        <w:t>3.64</w:t>
      </w:r>
      <w:r>
        <w:rPr>
          <w:rFonts w:hint="eastAsia" w:ascii="仿宋" w:hAnsi="仿宋" w:eastAsia="仿宋"/>
          <w:sz w:val="32"/>
          <w:szCs w:val="32"/>
        </w:rPr>
        <w:t>t/a，C</w:t>
      </w:r>
      <w:r>
        <w:rPr>
          <w:rFonts w:ascii="仿宋" w:hAnsi="仿宋" w:eastAsia="仿宋"/>
          <w:sz w:val="32"/>
          <w:szCs w:val="32"/>
        </w:rPr>
        <w:t>OD</w:t>
      </w:r>
      <w:r>
        <w:rPr>
          <w:rFonts w:hint="eastAsia" w:ascii="仿宋" w:hAnsi="仿宋" w:eastAsia="仿宋"/>
          <w:sz w:val="32"/>
          <w:szCs w:val="32"/>
        </w:rPr>
        <w:t>≤</w:t>
      </w:r>
      <w:r>
        <w:rPr>
          <w:rFonts w:ascii="仿宋" w:hAnsi="仿宋" w:eastAsia="仿宋"/>
          <w:sz w:val="32"/>
          <w:szCs w:val="32"/>
        </w:rPr>
        <w:t>0.03</w:t>
      </w:r>
      <w:r>
        <w:rPr>
          <w:rFonts w:hint="eastAsia" w:ascii="仿宋" w:hAnsi="仿宋" w:eastAsia="仿宋"/>
          <w:sz w:val="32"/>
          <w:szCs w:val="32"/>
        </w:rPr>
        <w:t>t/a，</w:t>
      </w:r>
      <w:r>
        <w:rPr>
          <w:rFonts w:ascii="仿宋" w:hAnsi="仿宋" w:eastAsia="仿宋"/>
          <w:sz w:val="32"/>
          <w:szCs w:val="32"/>
        </w:rPr>
        <w:t>NH</w:t>
      </w:r>
      <w:r>
        <w:rPr>
          <w:rFonts w:ascii="仿宋" w:hAnsi="仿宋" w:eastAsia="仿宋"/>
          <w:sz w:val="32"/>
          <w:szCs w:val="32"/>
          <w:vertAlign w:val="subscript"/>
        </w:rPr>
        <w:t>3</w:t>
      </w:r>
      <w:r>
        <w:rPr>
          <w:rFonts w:ascii="仿宋" w:hAnsi="仿宋" w:eastAsia="仿宋"/>
          <w:sz w:val="32"/>
          <w:szCs w:val="32"/>
        </w:rPr>
        <w:t>-N</w:t>
      </w:r>
      <w:r>
        <w:rPr>
          <w:rFonts w:hint="eastAsia" w:ascii="仿宋" w:hAnsi="仿宋" w:eastAsia="仿宋"/>
          <w:sz w:val="32"/>
          <w:szCs w:val="32"/>
        </w:rPr>
        <w:t>≤</w:t>
      </w:r>
      <w:r>
        <w:rPr>
          <w:rFonts w:ascii="仿宋" w:hAnsi="仿宋" w:eastAsia="仿宋"/>
          <w:sz w:val="32"/>
          <w:szCs w:val="32"/>
        </w:rPr>
        <w:t>0.01</w:t>
      </w:r>
      <w:r>
        <w:rPr>
          <w:rFonts w:hint="eastAsia" w:ascii="仿宋" w:hAnsi="仿宋" w:eastAsia="仿宋"/>
          <w:sz w:val="32"/>
          <w:szCs w:val="32"/>
        </w:rPr>
        <w:t>t/a，指标纳入益阳市生态环境局沅江分局总量控制管理。</w:t>
      </w:r>
    </w:p>
    <w:p>
      <w:pPr>
        <w:spacing w:after="0" w:line="560" w:lineRule="exact"/>
        <w:ind w:firstLine="672" w:firstLineChars="200"/>
        <w:jc w:val="both"/>
        <w:rPr>
          <w:rFonts w:ascii="仿宋" w:hAnsi="仿宋" w:eastAsia="仿宋"/>
          <w:spacing w:val="8"/>
          <w:sz w:val="32"/>
          <w:szCs w:val="32"/>
          <w:lang w:val="en-GB"/>
        </w:rPr>
      </w:pPr>
      <w:r>
        <w:rPr>
          <w:rFonts w:hint="eastAsia" w:ascii="仿宋" w:hAnsi="仿宋" w:eastAsia="仿宋"/>
          <w:spacing w:val="8"/>
          <w:sz w:val="32"/>
          <w:szCs w:val="32"/>
          <w:lang w:val="en-GB"/>
        </w:rPr>
        <w:t>三、本项目建成后，原厂区生产设施设备予以拆除，仅保留办公和人工修补网片工序，淘汰利用废料造粒的生产线。搬迁遗留的危险废物等须严格按原环评批复的要求妥善处置，防止污染事故的发生。</w:t>
      </w:r>
    </w:p>
    <w:p>
      <w:pPr>
        <w:spacing w:after="0" w:line="560" w:lineRule="exact"/>
        <w:ind w:firstLine="672" w:firstLineChars="200"/>
        <w:jc w:val="both"/>
        <w:rPr>
          <w:rFonts w:ascii="仿宋" w:hAnsi="仿宋" w:eastAsia="仿宋"/>
          <w:sz w:val="32"/>
          <w:szCs w:val="32"/>
        </w:rPr>
      </w:pPr>
      <w:r>
        <w:rPr>
          <w:rFonts w:hint="eastAsia" w:ascii="仿宋" w:hAnsi="仿宋" w:eastAsia="仿宋"/>
          <w:spacing w:val="8"/>
          <w:sz w:val="32"/>
          <w:szCs w:val="32"/>
          <w:lang w:val="en-GB"/>
        </w:rPr>
        <w:t>四、项目建成投入生产运营前，</w:t>
      </w:r>
      <w:r>
        <w:rPr>
          <w:rFonts w:hint="eastAsia" w:ascii="仿宋" w:hAnsi="仿宋" w:eastAsia="仿宋"/>
          <w:sz w:val="32"/>
          <w:szCs w:val="32"/>
        </w:rPr>
        <w:t>须按照《固定污染源排污许可分类管理名录》和《排污许可管理办法（试行）》（环保部令第48号）的要求，及时办理排污许可相关手续。同时，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《建设项目环境保护管理条例》</w:t>
      </w:r>
      <w:r>
        <w:rPr>
          <w:rFonts w:hint="eastAsia" w:ascii="仿宋" w:hAnsi="仿宋" w:eastAsia="仿宋"/>
          <w:sz w:val="32"/>
          <w:szCs w:val="32"/>
          <w:lang w:val="en-GB"/>
        </w:rPr>
        <w:t>的有关规定，及时办理项目竣工环保验收手续，</w:t>
      </w:r>
      <w:r>
        <w:rPr>
          <w:rFonts w:hint="eastAsia" w:ascii="仿宋" w:hAnsi="仿宋" w:eastAsia="仿宋"/>
          <w:bCs/>
          <w:sz w:val="32"/>
          <w:szCs w:val="32"/>
        </w:rPr>
        <w:t>益阳市生态环境局沅江分局</w:t>
      </w:r>
      <w:r>
        <w:rPr>
          <w:rFonts w:hint="eastAsia" w:ascii="仿宋" w:hAnsi="仿宋" w:eastAsia="仿宋"/>
          <w:sz w:val="32"/>
          <w:szCs w:val="32"/>
        </w:rPr>
        <w:t>负责项目的日常环境管理。</w:t>
      </w:r>
    </w:p>
    <w:p>
      <w:pPr>
        <w:spacing w:after="0" w:line="560" w:lineRule="exact"/>
        <w:ind w:firstLine="640" w:firstLineChars="200"/>
        <w:jc w:val="both"/>
        <w:rPr>
          <w:rFonts w:ascii="仿宋" w:hAnsi="仿宋" w:eastAsia="仿宋"/>
          <w:sz w:val="32"/>
          <w:szCs w:val="32"/>
          <w:lang w:val="en-GB"/>
        </w:rPr>
      </w:pPr>
      <w:r>
        <w:rPr>
          <w:rFonts w:hint="eastAsia" w:ascii="仿宋" w:hAnsi="仿宋" w:eastAsia="仿宋"/>
          <w:sz w:val="32"/>
          <w:szCs w:val="32"/>
        </w:rPr>
        <w:t>五、你公司须</w:t>
      </w:r>
      <w:r>
        <w:rPr>
          <w:rFonts w:hint="eastAsia" w:ascii="仿宋" w:hAnsi="仿宋" w:eastAsia="仿宋"/>
          <w:sz w:val="32"/>
          <w:szCs w:val="32"/>
          <w:lang w:val="en-GB"/>
        </w:rPr>
        <w:t>在收到本批复后15个工作日内，将本批复及项目环评报告书送</w:t>
      </w:r>
      <w:r>
        <w:rPr>
          <w:rFonts w:hint="eastAsia" w:ascii="仿宋" w:hAnsi="仿宋" w:eastAsia="仿宋"/>
          <w:bCs/>
          <w:sz w:val="32"/>
          <w:szCs w:val="32"/>
        </w:rPr>
        <w:t>益阳市生态环境局沅江分局</w:t>
      </w:r>
      <w:r>
        <w:rPr>
          <w:rFonts w:hint="eastAsia" w:ascii="仿宋" w:hAnsi="仿宋" w:eastAsia="仿宋"/>
          <w:sz w:val="32"/>
          <w:szCs w:val="32"/>
          <w:lang w:val="en-GB"/>
        </w:rPr>
        <w:t>。</w:t>
      </w:r>
    </w:p>
    <w:p>
      <w:pPr>
        <w:spacing w:after="0" w:line="520" w:lineRule="exact"/>
        <w:ind w:left="180" w:firstLine="320" w:firstLineChars="100"/>
        <w:rPr>
          <w:rFonts w:ascii="仿宋" w:hAnsi="仿宋" w:eastAsia="仿宋"/>
          <w:sz w:val="32"/>
          <w:szCs w:val="32"/>
        </w:rPr>
      </w:pPr>
    </w:p>
    <w:p>
      <w:pPr>
        <w:spacing w:after="0" w:line="520" w:lineRule="exact"/>
        <w:ind w:left="180" w:firstLine="320" w:firstLineChars="100"/>
        <w:rPr>
          <w:rFonts w:ascii="仿宋" w:hAnsi="仿宋" w:eastAsia="仿宋"/>
          <w:sz w:val="32"/>
          <w:szCs w:val="32"/>
        </w:rPr>
      </w:pPr>
    </w:p>
    <w:p>
      <w:pPr>
        <w:spacing w:after="0" w:line="520" w:lineRule="exact"/>
        <w:ind w:firstLine="5760" w:firstLineChars="1800"/>
        <w:rPr>
          <w:rFonts w:ascii="仿宋" w:hAnsi="仿宋" w:eastAsia="仿宋"/>
          <w:sz w:val="32"/>
          <w:szCs w:val="32"/>
        </w:rPr>
      </w:pPr>
    </w:p>
    <w:p>
      <w:pPr>
        <w:spacing w:after="0" w:line="520" w:lineRule="exact"/>
        <w:ind w:firstLine="5600" w:firstLineChars="1750"/>
        <w:rPr>
          <w:rFonts w:ascii="仿宋" w:hAnsi="仿宋" w:eastAsia="仿宋"/>
          <w:sz w:val="32"/>
          <w:szCs w:val="32"/>
        </w:rPr>
      </w:pPr>
    </w:p>
    <w:p>
      <w:pPr>
        <w:spacing w:after="0" w:line="520" w:lineRule="exact"/>
        <w:ind w:firstLine="5600" w:firstLineChars="1750"/>
        <w:rPr>
          <w:rFonts w:ascii="仿宋" w:hAnsi="仿宋" w:eastAsia="仿宋"/>
          <w:sz w:val="32"/>
          <w:szCs w:val="32"/>
        </w:rPr>
      </w:pPr>
      <w:r>
        <w:rPr>
          <w:rFonts w:ascii="仿宋" w:hAnsi="仿宋" w:eastAsia="仿宋"/>
          <w:sz w:val="32"/>
          <w:szCs w:val="32"/>
        </w:rPr>
        <w:t>益阳市生态环境局</w:t>
      </w:r>
    </w:p>
    <w:p>
      <w:pPr>
        <w:spacing w:after="0" w:line="520" w:lineRule="exact"/>
        <w:ind w:firstLine="5600" w:firstLineChars="1750"/>
        <w:rPr>
          <w:rFonts w:ascii="仿宋" w:hAnsi="仿宋" w:eastAsia="仿宋"/>
          <w:sz w:val="32"/>
          <w:szCs w:val="32"/>
        </w:rPr>
      </w:pPr>
      <w:r>
        <w:rPr>
          <w:rFonts w:hint="eastAsia" w:ascii="仿宋" w:hAnsi="仿宋" w:eastAsia="仿宋"/>
          <w:sz w:val="32"/>
          <w:szCs w:val="32"/>
        </w:rPr>
        <w:t>2021年1月8日</w:t>
      </w:r>
    </w:p>
    <w:p>
      <w:pPr>
        <w:pStyle w:val="2"/>
        <w:spacing w:after="0" w:line="520" w:lineRule="exact"/>
        <w:ind w:firstLine="5280" w:firstLineChars="1650"/>
        <w:jc w:val="both"/>
        <w:rPr>
          <w:rFonts w:ascii="仿宋" w:hAnsi="仿宋" w:eastAsia="仿宋" w:cs="Times New Roman"/>
          <w:color w:val="FF0000"/>
          <w:sz w:val="32"/>
          <w:szCs w:val="32"/>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3FFC"/>
    <w:rsid w:val="00024D6E"/>
    <w:rsid w:val="0003432C"/>
    <w:rsid w:val="0004798F"/>
    <w:rsid w:val="000560FB"/>
    <w:rsid w:val="00063B06"/>
    <w:rsid w:val="00086242"/>
    <w:rsid w:val="000D6E88"/>
    <w:rsid w:val="000F7265"/>
    <w:rsid w:val="00100D96"/>
    <w:rsid w:val="00112D45"/>
    <w:rsid w:val="00132F95"/>
    <w:rsid w:val="0014301F"/>
    <w:rsid w:val="001A4799"/>
    <w:rsid w:val="001A603D"/>
    <w:rsid w:val="001C30B0"/>
    <w:rsid w:val="001C48DF"/>
    <w:rsid w:val="001D3DCA"/>
    <w:rsid w:val="001D508A"/>
    <w:rsid w:val="001E2EBB"/>
    <w:rsid w:val="002126C6"/>
    <w:rsid w:val="0021313A"/>
    <w:rsid w:val="0022331C"/>
    <w:rsid w:val="0025272B"/>
    <w:rsid w:val="0025357A"/>
    <w:rsid w:val="0026642A"/>
    <w:rsid w:val="0027541B"/>
    <w:rsid w:val="00283B3C"/>
    <w:rsid w:val="002C0E29"/>
    <w:rsid w:val="002C2418"/>
    <w:rsid w:val="002D217A"/>
    <w:rsid w:val="002D2373"/>
    <w:rsid w:val="002F1648"/>
    <w:rsid w:val="00311D52"/>
    <w:rsid w:val="0031650D"/>
    <w:rsid w:val="00323B43"/>
    <w:rsid w:val="00324F5E"/>
    <w:rsid w:val="00340FE8"/>
    <w:rsid w:val="00346952"/>
    <w:rsid w:val="00385B8B"/>
    <w:rsid w:val="003D37D8"/>
    <w:rsid w:val="004248B9"/>
    <w:rsid w:val="00426133"/>
    <w:rsid w:val="004323FF"/>
    <w:rsid w:val="004358AB"/>
    <w:rsid w:val="00477BFF"/>
    <w:rsid w:val="00492D29"/>
    <w:rsid w:val="004A0415"/>
    <w:rsid w:val="004A12C2"/>
    <w:rsid w:val="004A24D7"/>
    <w:rsid w:val="004C4A92"/>
    <w:rsid w:val="004D6C26"/>
    <w:rsid w:val="0051155C"/>
    <w:rsid w:val="005177E9"/>
    <w:rsid w:val="00550540"/>
    <w:rsid w:val="005535EE"/>
    <w:rsid w:val="00590BD9"/>
    <w:rsid w:val="005913E4"/>
    <w:rsid w:val="005A7459"/>
    <w:rsid w:val="005B33A5"/>
    <w:rsid w:val="005B7433"/>
    <w:rsid w:val="005D64DA"/>
    <w:rsid w:val="00602E9C"/>
    <w:rsid w:val="00603B6B"/>
    <w:rsid w:val="00635D7B"/>
    <w:rsid w:val="00662241"/>
    <w:rsid w:val="00675B7C"/>
    <w:rsid w:val="006B2820"/>
    <w:rsid w:val="006C1CE6"/>
    <w:rsid w:val="006C1DAA"/>
    <w:rsid w:val="006C4F1A"/>
    <w:rsid w:val="006D3930"/>
    <w:rsid w:val="006F63BB"/>
    <w:rsid w:val="007008F9"/>
    <w:rsid w:val="00716D0B"/>
    <w:rsid w:val="00735430"/>
    <w:rsid w:val="00736F12"/>
    <w:rsid w:val="0074343F"/>
    <w:rsid w:val="00753F40"/>
    <w:rsid w:val="00756E1F"/>
    <w:rsid w:val="007902DB"/>
    <w:rsid w:val="007A472B"/>
    <w:rsid w:val="007B7698"/>
    <w:rsid w:val="007D5323"/>
    <w:rsid w:val="0082508D"/>
    <w:rsid w:val="00827DF5"/>
    <w:rsid w:val="008328E1"/>
    <w:rsid w:val="008468B1"/>
    <w:rsid w:val="0085135F"/>
    <w:rsid w:val="00866BF7"/>
    <w:rsid w:val="008B7726"/>
    <w:rsid w:val="008C71F5"/>
    <w:rsid w:val="00906F40"/>
    <w:rsid w:val="00924E3D"/>
    <w:rsid w:val="00937E0C"/>
    <w:rsid w:val="009462F6"/>
    <w:rsid w:val="009540B5"/>
    <w:rsid w:val="0097001E"/>
    <w:rsid w:val="009727B7"/>
    <w:rsid w:val="00973636"/>
    <w:rsid w:val="009D40AF"/>
    <w:rsid w:val="009E5A0C"/>
    <w:rsid w:val="00A10AA6"/>
    <w:rsid w:val="00A21BF7"/>
    <w:rsid w:val="00A60E10"/>
    <w:rsid w:val="00A744EA"/>
    <w:rsid w:val="00A80647"/>
    <w:rsid w:val="00A83C54"/>
    <w:rsid w:val="00A9247D"/>
    <w:rsid w:val="00A97FA4"/>
    <w:rsid w:val="00AA23EB"/>
    <w:rsid w:val="00AA43C9"/>
    <w:rsid w:val="00AA59D0"/>
    <w:rsid w:val="00AC536C"/>
    <w:rsid w:val="00AF36CB"/>
    <w:rsid w:val="00AF476E"/>
    <w:rsid w:val="00B06055"/>
    <w:rsid w:val="00B1066D"/>
    <w:rsid w:val="00B13A00"/>
    <w:rsid w:val="00B300F8"/>
    <w:rsid w:val="00B3335F"/>
    <w:rsid w:val="00B46817"/>
    <w:rsid w:val="00B61F06"/>
    <w:rsid w:val="00B80A68"/>
    <w:rsid w:val="00B907B5"/>
    <w:rsid w:val="00BB498B"/>
    <w:rsid w:val="00BC1736"/>
    <w:rsid w:val="00BD1D1A"/>
    <w:rsid w:val="00BD4BCF"/>
    <w:rsid w:val="00BE2411"/>
    <w:rsid w:val="00BE3663"/>
    <w:rsid w:val="00BE3832"/>
    <w:rsid w:val="00BF0725"/>
    <w:rsid w:val="00C21704"/>
    <w:rsid w:val="00C2284D"/>
    <w:rsid w:val="00C30F7A"/>
    <w:rsid w:val="00C3553A"/>
    <w:rsid w:val="00C467F4"/>
    <w:rsid w:val="00C6407B"/>
    <w:rsid w:val="00C667C9"/>
    <w:rsid w:val="00C75A68"/>
    <w:rsid w:val="00C85461"/>
    <w:rsid w:val="00CA55D4"/>
    <w:rsid w:val="00CB2980"/>
    <w:rsid w:val="00CB6A59"/>
    <w:rsid w:val="00CE5562"/>
    <w:rsid w:val="00CE59EC"/>
    <w:rsid w:val="00CF7FD3"/>
    <w:rsid w:val="00D06653"/>
    <w:rsid w:val="00D17A5B"/>
    <w:rsid w:val="00D24755"/>
    <w:rsid w:val="00D30715"/>
    <w:rsid w:val="00D31D50"/>
    <w:rsid w:val="00D57937"/>
    <w:rsid w:val="00D619E6"/>
    <w:rsid w:val="00DC02EF"/>
    <w:rsid w:val="00DD54A6"/>
    <w:rsid w:val="00DE4657"/>
    <w:rsid w:val="00E055E6"/>
    <w:rsid w:val="00E36BBE"/>
    <w:rsid w:val="00E4711F"/>
    <w:rsid w:val="00E71121"/>
    <w:rsid w:val="00E77FDA"/>
    <w:rsid w:val="00EB4BBE"/>
    <w:rsid w:val="00EF2FAF"/>
    <w:rsid w:val="00F723A4"/>
    <w:rsid w:val="00F9621C"/>
    <w:rsid w:val="00FC166B"/>
    <w:rsid w:val="00FC16DD"/>
    <w:rsid w:val="00FC40F8"/>
    <w:rsid w:val="00FD5F97"/>
    <w:rsid w:val="00FE05E9"/>
    <w:rsid w:val="00FE7037"/>
    <w:rsid w:val="00FF0546"/>
    <w:rsid w:val="48DB79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nhideWhenUsed/>
    <w:qFormat/>
    <w:uiPriority w:val="99"/>
    <w:pPr>
      <w:spacing w:after="120"/>
    </w:pPr>
  </w:style>
  <w:style w:type="paragraph" w:styleId="3">
    <w:name w:val="Body Text Indent"/>
    <w:basedOn w:val="1"/>
    <w:link w:val="14"/>
    <w:unhideWhenUsed/>
    <w:uiPriority w:val="99"/>
    <w:pPr>
      <w:spacing w:after="120"/>
      <w:ind w:left="420" w:leftChars="200"/>
    </w:pPr>
  </w:style>
  <w:style w:type="paragraph" w:styleId="4">
    <w:name w:val="footer"/>
    <w:basedOn w:val="1"/>
    <w:link w:val="12"/>
    <w:unhideWhenUsed/>
    <w:uiPriority w:val="99"/>
    <w:pPr>
      <w:tabs>
        <w:tab w:val="center" w:pos="4153"/>
        <w:tab w:val="right" w:pos="8306"/>
      </w:tabs>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6">
    <w:name w:val="toc 2"/>
    <w:basedOn w:val="1"/>
    <w:next w:val="1"/>
    <w:unhideWhenUsed/>
    <w:qFormat/>
    <w:uiPriority w:val="0"/>
    <w:pPr>
      <w:ind w:left="420" w:leftChars="200"/>
    </w:pPr>
  </w:style>
  <w:style w:type="paragraph" w:styleId="7">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paragraph" w:styleId="8">
    <w:name w:val="Body Text First Indent"/>
    <w:basedOn w:val="2"/>
    <w:link w:val="18"/>
    <w:semiHidden/>
    <w:unhideWhenUsed/>
    <w:uiPriority w:val="99"/>
    <w:pPr>
      <w:ind w:firstLine="420" w:firstLineChars="100"/>
    </w:pPr>
  </w:style>
  <w:style w:type="character" w:customStyle="1" w:styleId="11">
    <w:name w:val="页眉 Char"/>
    <w:basedOn w:val="10"/>
    <w:link w:val="5"/>
    <w:uiPriority w:val="99"/>
    <w:rPr>
      <w:rFonts w:ascii="Tahoma" w:hAnsi="Tahoma"/>
      <w:sz w:val="18"/>
      <w:szCs w:val="18"/>
    </w:rPr>
  </w:style>
  <w:style w:type="character" w:customStyle="1" w:styleId="12">
    <w:name w:val="页脚 Char"/>
    <w:basedOn w:val="10"/>
    <w:link w:val="4"/>
    <w:uiPriority w:val="99"/>
    <w:rPr>
      <w:rFonts w:ascii="Tahoma" w:hAnsi="Tahoma"/>
      <w:sz w:val="18"/>
      <w:szCs w:val="18"/>
    </w:rPr>
  </w:style>
  <w:style w:type="character" w:customStyle="1" w:styleId="13">
    <w:name w:val="正文文本 Char"/>
    <w:basedOn w:val="10"/>
    <w:link w:val="2"/>
    <w:qFormat/>
    <w:uiPriority w:val="99"/>
    <w:rPr>
      <w:rFonts w:ascii="Tahoma" w:hAnsi="Tahoma"/>
    </w:rPr>
  </w:style>
  <w:style w:type="character" w:customStyle="1" w:styleId="14">
    <w:name w:val="正文文本缩进 Char"/>
    <w:basedOn w:val="10"/>
    <w:link w:val="3"/>
    <w:uiPriority w:val="99"/>
    <w:rPr>
      <w:rFonts w:ascii="Tahoma" w:hAnsi="Tahoma"/>
    </w:rPr>
  </w:style>
  <w:style w:type="character" w:customStyle="1" w:styleId="15">
    <w:name w:val="表文字 Char"/>
    <w:link w:val="16"/>
    <w:qFormat/>
    <w:uiPriority w:val="0"/>
    <w:rPr>
      <w:rFonts w:ascii="Times New Roman" w:hAnsi="Times New Roman" w:eastAsia="宋体" w:cs="Times New Roman"/>
      <w:sz w:val="21"/>
      <w:szCs w:val="20"/>
    </w:rPr>
  </w:style>
  <w:style w:type="paragraph" w:customStyle="1" w:styleId="16">
    <w:name w:val="表文字"/>
    <w:basedOn w:val="1"/>
    <w:link w:val="15"/>
    <w:qFormat/>
    <w:uiPriority w:val="0"/>
    <w:pPr>
      <w:widowControl w:val="0"/>
      <w:overflowPunct w:val="0"/>
      <w:topLinePunct/>
      <w:spacing w:after="0"/>
      <w:jc w:val="center"/>
      <w:textAlignment w:val="baseline"/>
    </w:pPr>
    <w:rPr>
      <w:rFonts w:ascii="Times New Roman" w:hAnsi="Times New Roman" w:eastAsia="宋体" w:cs="Times New Roman"/>
      <w:sz w:val="21"/>
      <w:szCs w:val="20"/>
    </w:rPr>
  </w:style>
  <w:style w:type="paragraph" w:customStyle="1" w:styleId="17">
    <w:name w:val="正文（用）"/>
    <w:basedOn w:val="1"/>
    <w:qFormat/>
    <w:uiPriority w:val="0"/>
    <w:pPr>
      <w:widowControl w:val="0"/>
      <w:adjustRightInd/>
      <w:snapToGrid/>
      <w:spacing w:after="0" w:line="360" w:lineRule="auto"/>
      <w:ind w:firstLine="480" w:firstLineChars="200"/>
    </w:pPr>
    <w:rPr>
      <w:rFonts w:ascii="宋体" w:hAnsi="宋体" w:eastAsia="宋体" w:cs="宋体"/>
      <w:kern w:val="2"/>
      <w:sz w:val="24"/>
      <w:szCs w:val="20"/>
    </w:rPr>
  </w:style>
  <w:style w:type="character" w:customStyle="1" w:styleId="18">
    <w:name w:val="正文首行缩进 Char"/>
    <w:basedOn w:val="13"/>
    <w:link w:val="8"/>
    <w:semiHidden/>
    <w:qFormat/>
    <w:uiPriority w:val="99"/>
    <w:rPr>
      <w:rFonts w:ascii="Tahoma" w:hAnsi="Tahom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66ECB9-4B6D-45DC-8939-9513F63529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390</Words>
  <Characters>2227</Characters>
  <Lines>18</Lines>
  <Paragraphs>5</Paragraphs>
  <TotalTime>376</TotalTime>
  <ScaleCrop>false</ScaleCrop>
  <LinksUpToDate>false</LinksUpToDate>
  <CharactersWithSpaces>2612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2020-12-31T00:51:00Z</dcterms:created>
  <dc:creator>Administrator</dc:creator>
  <cp:lastModifiedBy>wghunan</cp:lastModifiedBy>
  <cp:lastPrinted>2021-01-06T01:18:00Z</cp:lastPrinted>
  <dcterms:modified xsi:type="dcterms:W3CDTF">2021-01-08T08:41:42Z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