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cs="Times New Roman"/>
          <w:b/>
          <w:color w:val="000000" w:themeColor="text1"/>
          <w:sz w:val="48"/>
          <w:szCs w:val="48"/>
        </w:rPr>
      </w:pPr>
    </w:p>
    <w:p>
      <w:pPr>
        <w:jc w:val="center"/>
        <w:rPr>
          <w:rFonts w:ascii="Times New Roman" w:hAnsi="Times New Roman" w:cs="Times New Roman"/>
          <w:b/>
          <w:color w:val="000000" w:themeColor="text1"/>
          <w:sz w:val="48"/>
          <w:szCs w:val="48"/>
        </w:rPr>
      </w:pPr>
    </w:p>
    <w:p>
      <w:pPr>
        <w:jc w:val="center"/>
        <w:rPr>
          <w:rFonts w:ascii="Times New Roman" w:hAnsi="Times New Roman" w:cs="Times New Roman"/>
          <w:b/>
          <w:color w:val="000000" w:themeColor="text1"/>
          <w:sz w:val="48"/>
          <w:szCs w:val="48"/>
        </w:rPr>
      </w:pPr>
    </w:p>
    <w:p>
      <w:pPr>
        <w:jc w:val="center"/>
        <w:rPr>
          <w:rFonts w:ascii="Times New Roman" w:hAnsi="Times New Roman" w:cs="Times New Roman"/>
          <w:b/>
          <w:color w:val="000000" w:themeColor="text1"/>
          <w:sz w:val="52"/>
          <w:szCs w:val="52"/>
        </w:rPr>
      </w:pPr>
      <w:r>
        <w:rPr>
          <w:rFonts w:ascii="Times New Roman" w:hAnsi="Times New Roman" w:cs="Times New Roman"/>
          <w:b/>
          <w:color w:val="000000" w:themeColor="text1"/>
          <w:sz w:val="52"/>
          <w:szCs w:val="52"/>
        </w:rPr>
        <w:t>益阳市润慷宝化工有限公司（原益阳市农药厂）污染场地土壤治理项目</w:t>
      </w:r>
    </w:p>
    <w:p>
      <w:pPr>
        <w:jc w:val="center"/>
        <w:rPr>
          <w:rFonts w:ascii="Times New Roman" w:hAnsi="Times New Roman" w:cs="Times New Roman"/>
          <w:b/>
          <w:color w:val="000000" w:themeColor="text1"/>
          <w:sz w:val="72"/>
          <w:szCs w:val="72"/>
        </w:rPr>
      </w:pPr>
    </w:p>
    <w:p>
      <w:pPr>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实</w:t>
      </w:r>
    </w:p>
    <w:p>
      <w:pPr>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施</w:t>
      </w:r>
    </w:p>
    <w:p>
      <w:pPr>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方</w:t>
      </w:r>
    </w:p>
    <w:p>
      <w:pPr>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案</w:t>
      </w:r>
    </w:p>
    <w:p>
      <w:pPr>
        <w:ind w:firstLine="482" w:firstLineChars="200"/>
        <w:jc w:val="center"/>
        <w:rPr>
          <w:rFonts w:ascii="Times New Roman" w:hAnsi="Times New Roman" w:cs="Times New Roman"/>
          <w:b/>
          <w:bCs/>
          <w:color w:val="000000" w:themeColor="text1"/>
        </w:rPr>
      </w:pPr>
    </w:p>
    <w:p>
      <w:pPr>
        <w:ind w:firstLine="482" w:firstLineChars="200"/>
        <w:jc w:val="center"/>
        <w:rPr>
          <w:rFonts w:ascii="Times New Roman" w:hAnsi="Times New Roman" w:cs="Times New Roman"/>
          <w:b/>
          <w:bCs/>
          <w:color w:val="000000" w:themeColor="text1"/>
        </w:rPr>
      </w:pPr>
    </w:p>
    <w:p>
      <w:pPr>
        <w:ind w:firstLine="723" w:firstLineChars="200"/>
        <w:jc w:val="center"/>
        <w:rPr>
          <w:rFonts w:ascii="Times New Roman" w:hAnsi="Times New Roman" w:cs="Times New Roman"/>
          <w:b/>
          <w:color w:val="000000" w:themeColor="text1"/>
          <w:sz w:val="36"/>
          <w:szCs w:val="36"/>
        </w:rPr>
      </w:pPr>
    </w:p>
    <w:p>
      <w:pPr>
        <w:ind w:firstLine="723" w:firstLineChars="200"/>
        <w:jc w:val="center"/>
        <w:rPr>
          <w:rFonts w:ascii="Times New Roman" w:hAnsi="Times New Roman" w:cs="Times New Roman"/>
          <w:b/>
          <w:color w:val="000000" w:themeColor="text1"/>
          <w:sz w:val="36"/>
          <w:szCs w:val="36"/>
        </w:rPr>
      </w:pPr>
    </w:p>
    <w:p>
      <w:pPr>
        <w:ind w:firstLine="723" w:firstLineChars="200"/>
        <w:jc w:val="center"/>
        <w:rPr>
          <w:rFonts w:ascii="Times New Roman" w:hAnsi="Times New Roman" w:cs="Times New Roman"/>
          <w:b/>
          <w:color w:val="000000" w:themeColor="text1"/>
          <w:sz w:val="36"/>
          <w:szCs w:val="36"/>
        </w:rPr>
      </w:pPr>
    </w:p>
    <w:p>
      <w:pPr>
        <w:ind w:firstLine="803" w:firstLineChars="250"/>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编制单位：湖南中能环保科技有限公司</w:t>
      </w:r>
    </w:p>
    <w:p>
      <w:pPr>
        <w:ind w:firstLine="803" w:firstLineChars="250"/>
        <w:rPr>
          <w:rFonts w:ascii="Times New Roman" w:hAnsi="Times New Roman" w:cs="Times New Roman"/>
          <w:color w:val="000000" w:themeColor="text1"/>
          <w:sz w:val="32"/>
          <w:szCs w:val="32"/>
        </w:rPr>
      </w:pPr>
      <w:r>
        <w:rPr>
          <w:rFonts w:ascii="Times New Roman" w:hAnsi="Times New Roman" w:cs="Times New Roman"/>
          <w:b/>
          <w:color w:val="000000" w:themeColor="text1"/>
          <w:sz w:val="32"/>
          <w:szCs w:val="32"/>
        </w:rPr>
        <w:t>编制时间：二O一七年五月</w:t>
      </w: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sectPr>
          <w:footerReference r:id="rId3" w:type="default"/>
          <w:pgSz w:w="11906" w:h="16838"/>
          <w:pgMar w:top="1440" w:right="1800" w:bottom="1440" w:left="1800" w:header="851" w:footer="992" w:gutter="0"/>
          <w:pgNumType w:fmt="decimal"/>
          <w:cols w:space="720" w:num="1"/>
          <w:docGrid w:type="lines" w:linePitch="312" w:charSpace="0"/>
        </w:sectPr>
      </w:pPr>
    </w:p>
    <w:p>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目录</w:t>
      </w:r>
    </w:p>
    <w:p>
      <w:pPr>
        <w:pStyle w:val="22"/>
        <w:tabs>
          <w:tab w:val="right" w:leader="dot" w:pos="8296"/>
        </w:tabs>
        <w:rPr>
          <w:szCs w:val="24"/>
        </w:rPr>
      </w:pPr>
      <w:r>
        <w:rPr>
          <w:rFonts w:ascii="Times New Roman" w:hAnsi="Times New Roman" w:cs="Times New Roman"/>
          <w:b/>
          <w:color w:val="000000" w:themeColor="text1"/>
          <w:szCs w:val="24"/>
        </w:rPr>
        <w:fldChar w:fldCharType="begin"/>
      </w:r>
      <w:r>
        <w:rPr>
          <w:rFonts w:ascii="Times New Roman" w:hAnsi="Times New Roman" w:cs="Times New Roman"/>
          <w:b/>
          <w:color w:val="000000" w:themeColor="text1"/>
          <w:szCs w:val="24"/>
        </w:rPr>
        <w:instrText xml:space="preserve">TOC \o "1-3" \h \u </w:instrText>
      </w:r>
      <w:r>
        <w:rPr>
          <w:rFonts w:ascii="Times New Roman" w:hAnsi="Times New Roman" w:cs="Times New Roman"/>
          <w:b/>
          <w:color w:val="000000" w:themeColor="text1"/>
          <w:szCs w:val="24"/>
        </w:rPr>
        <w:fldChar w:fldCharType="separate"/>
      </w:r>
      <w:r>
        <w:fldChar w:fldCharType="begin"/>
      </w:r>
      <w:r>
        <w:instrText xml:space="preserve"> HYPERLINK \l "_Toc482661565" </w:instrText>
      </w:r>
      <w:r>
        <w:fldChar w:fldCharType="separate"/>
      </w:r>
      <w:r>
        <w:rPr>
          <w:rStyle w:val="42"/>
          <w:rFonts w:ascii="Times New Roman" w:hAnsi="Times New Roman" w:cs="Times New Roman"/>
          <w:szCs w:val="24"/>
        </w:rPr>
        <w:t>1</w:t>
      </w:r>
      <w:r>
        <w:rPr>
          <w:rStyle w:val="42"/>
          <w:rFonts w:hint="eastAsia" w:ascii="Times New Roman" w:hAnsi="Times New Roman" w:cs="Times New Roman"/>
          <w:szCs w:val="24"/>
        </w:rPr>
        <w:t>项目概况</w:t>
      </w:r>
      <w:r>
        <w:rPr>
          <w:szCs w:val="24"/>
        </w:rPr>
        <w:tab/>
      </w:r>
      <w:r>
        <w:rPr>
          <w:szCs w:val="24"/>
        </w:rPr>
        <w:fldChar w:fldCharType="begin"/>
      </w:r>
      <w:r>
        <w:rPr>
          <w:szCs w:val="24"/>
        </w:rPr>
        <w:instrText xml:space="preserve"> PAGEREF _Toc482661565 \h </w:instrText>
      </w:r>
      <w:r>
        <w:rPr>
          <w:szCs w:val="24"/>
        </w:rPr>
        <w:fldChar w:fldCharType="separate"/>
      </w:r>
      <w:r>
        <w:rPr>
          <w:szCs w:val="24"/>
        </w:rPr>
        <w:t>1</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"_Toc482661566" </w:instrText>
      </w:r>
      <w:r>
        <w:fldChar w:fldCharType="separate"/>
      </w:r>
      <w:r>
        <w:rPr>
          <w:rStyle w:val="42"/>
          <w:rFonts w:ascii="Times New Roman" w:hAnsi="Times New Roman" w:cs="Times New Roman"/>
          <w:szCs w:val="24"/>
        </w:rPr>
        <w:t xml:space="preserve">1.1 </w:t>
      </w:r>
      <w:r>
        <w:rPr>
          <w:rStyle w:val="42"/>
          <w:rFonts w:hint="eastAsia" w:ascii="Times New Roman" w:hAnsi="Times New Roman" w:cs="Times New Roman"/>
          <w:szCs w:val="24"/>
        </w:rPr>
        <w:t>项目背景</w:t>
      </w:r>
      <w:r>
        <w:rPr>
          <w:szCs w:val="24"/>
        </w:rPr>
        <w:tab/>
      </w:r>
      <w:r>
        <w:rPr>
          <w:szCs w:val="24"/>
        </w:rPr>
        <w:fldChar w:fldCharType="begin"/>
      </w:r>
      <w:r>
        <w:rPr>
          <w:szCs w:val="24"/>
        </w:rPr>
        <w:instrText xml:space="preserve"> PAGEREF _Toc482661566 \h </w:instrText>
      </w:r>
      <w:r>
        <w:rPr>
          <w:szCs w:val="24"/>
        </w:rPr>
        <w:fldChar w:fldCharType="separate"/>
      </w:r>
      <w:r>
        <w:rPr>
          <w:szCs w:val="24"/>
        </w:rPr>
        <w:t>1</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"_Toc482661567" </w:instrText>
      </w:r>
      <w:r>
        <w:fldChar w:fldCharType="separate"/>
      </w:r>
      <w:r>
        <w:rPr>
          <w:rStyle w:val="42"/>
          <w:rFonts w:ascii="Times New Roman" w:hAnsi="Times New Roman" w:cs="Times New Roman"/>
          <w:szCs w:val="24"/>
        </w:rPr>
        <w:t xml:space="preserve">1.2 </w:t>
      </w:r>
      <w:r>
        <w:rPr>
          <w:rStyle w:val="42"/>
          <w:rFonts w:hint="eastAsia" w:ascii="Times New Roman" w:hAnsi="Times New Roman" w:cs="Times New Roman"/>
          <w:szCs w:val="24"/>
        </w:rPr>
        <w:t>项目必要性</w:t>
      </w:r>
      <w:r>
        <w:rPr>
          <w:szCs w:val="24"/>
        </w:rPr>
        <w:tab/>
      </w:r>
      <w:r>
        <w:rPr>
          <w:szCs w:val="24"/>
        </w:rPr>
        <w:fldChar w:fldCharType="begin"/>
      </w:r>
      <w:r>
        <w:rPr>
          <w:szCs w:val="24"/>
        </w:rPr>
        <w:instrText xml:space="preserve"> PAGEREF _Toc482661567 \h </w:instrText>
      </w:r>
      <w:r>
        <w:rPr>
          <w:szCs w:val="24"/>
        </w:rPr>
        <w:fldChar w:fldCharType="separate"/>
      </w:r>
      <w:r>
        <w:rPr>
          <w:szCs w:val="24"/>
        </w:rPr>
        <w:t>2</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"_Toc482661568" </w:instrText>
      </w:r>
      <w:r>
        <w:fldChar w:fldCharType="separate"/>
      </w:r>
      <w:r>
        <w:rPr>
          <w:rStyle w:val="42"/>
          <w:rFonts w:ascii="Times New Roman" w:hAnsi="Times New Roman" w:cs="Times New Roman"/>
          <w:szCs w:val="24"/>
        </w:rPr>
        <w:t xml:space="preserve">2  </w:t>
      </w:r>
      <w:r>
        <w:rPr>
          <w:rStyle w:val="42"/>
          <w:rFonts w:hint="eastAsia" w:ascii="Times New Roman" w:hAnsi="Times New Roman" w:cs="Times New Roman"/>
          <w:szCs w:val="24"/>
        </w:rPr>
        <w:t>编制依据</w:t>
      </w:r>
      <w:r>
        <w:rPr>
          <w:szCs w:val="24"/>
        </w:rPr>
        <w:tab/>
      </w:r>
      <w:r>
        <w:rPr>
          <w:szCs w:val="24"/>
        </w:rPr>
        <w:fldChar w:fldCharType="begin"/>
      </w:r>
      <w:r>
        <w:rPr>
          <w:szCs w:val="24"/>
        </w:rPr>
        <w:instrText xml:space="preserve"> PAGEREF _Toc482661568 \h </w:instrText>
      </w:r>
      <w:r>
        <w:rPr>
          <w:szCs w:val="24"/>
        </w:rPr>
        <w:fldChar w:fldCharType="separate"/>
      </w:r>
      <w:r>
        <w:rPr>
          <w:szCs w:val="24"/>
        </w:rPr>
        <w:t>4</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"_Toc482661569" </w:instrText>
      </w:r>
      <w:r>
        <w:fldChar w:fldCharType="separate"/>
      </w:r>
      <w:r>
        <w:rPr>
          <w:rStyle w:val="42"/>
          <w:rFonts w:ascii="Times New Roman" w:hAnsi="Times New Roman" w:cs="Times New Roman"/>
          <w:szCs w:val="24"/>
        </w:rPr>
        <w:t xml:space="preserve">2.1 </w:t>
      </w:r>
      <w:r>
        <w:rPr>
          <w:rStyle w:val="42"/>
          <w:rFonts w:hint="eastAsia" w:ascii="Times New Roman" w:hAnsi="Times New Roman" w:cs="Times New Roman"/>
          <w:szCs w:val="24"/>
        </w:rPr>
        <w:t>法律法规、相关政策</w:t>
      </w:r>
      <w:r>
        <w:rPr>
          <w:szCs w:val="24"/>
        </w:rPr>
        <w:tab/>
      </w:r>
      <w:r>
        <w:rPr>
          <w:szCs w:val="24"/>
        </w:rPr>
        <w:fldChar w:fldCharType="begin"/>
      </w:r>
      <w:r>
        <w:rPr>
          <w:szCs w:val="24"/>
        </w:rPr>
        <w:instrText xml:space="preserve"> PAGEREF _Toc482661569 \h </w:instrText>
      </w:r>
      <w:r>
        <w:rPr>
          <w:szCs w:val="24"/>
        </w:rPr>
        <w:fldChar w:fldCharType="separate"/>
      </w:r>
      <w:r>
        <w:rPr>
          <w:szCs w:val="24"/>
        </w:rPr>
        <w:t>4</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"_Toc482661570" </w:instrText>
      </w:r>
      <w:r>
        <w:fldChar w:fldCharType="separate"/>
      </w:r>
      <w:r>
        <w:rPr>
          <w:rStyle w:val="42"/>
          <w:rFonts w:ascii="Times New Roman" w:hAnsi="Times New Roman" w:cs="Times New Roman"/>
          <w:szCs w:val="24"/>
        </w:rPr>
        <w:t xml:space="preserve">2.2 </w:t>
      </w:r>
      <w:r>
        <w:rPr>
          <w:rStyle w:val="42"/>
          <w:rFonts w:hint="eastAsia" w:ascii="Times New Roman" w:hAnsi="Times New Roman" w:cs="Times New Roman"/>
          <w:szCs w:val="24"/>
        </w:rPr>
        <w:t>标准及规范文件</w:t>
      </w:r>
      <w:r>
        <w:rPr>
          <w:szCs w:val="24"/>
        </w:rPr>
        <w:tab/>
      </w:r>
      <w:r>
        <w:rPr>
          <w:szCs w:val="24"/>
        </w:rPr>
        <w:fldChar w:fldCharType="begin"/>
      </w:r>
      <w:r>
        <w:rPr>
          <w:szCs w:val="24"/>
        </w:rPr>
        <w:instrText xml:space="preserve"> PAGEREF _Toc482661570 \h </w:instrText>
      </w:r>
      <w:r>
        <w:rPr>
          <w:szCs w:val="24"/>
        </w:rPr>
        <w:fldChar w:fldCharType="separate"/>
      </w:r>
      <w:r>
        <w:rPr>
          <w:szCs w:val="24"/>
        </w:rPr>
        <w:t>5</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"_Toc482661571" </w:instrText>
      </w:r>
      <w:r>
        <w:fldChar w:fldCharType="separate"/>
      </w:r>
      <w:r>
        <w:rPr>
          <w:rStyle w:val="42"/>
          <w:rFonts w:ascii="Times New Roman" w:hAnsi="Times New Roman" w:cs="Times New Roman"/>
          <w:szCs w:val="24"/>
        </w:rPr>
        <w:t xml:space="preserve">2.3 </w:t>
      </w:r>
      <w:r>
        <w:rPr>
          <w:rStyle w:val="42"/>
          <w:rFonts w:hint="eastAsia" w:ascii="Times New Roman" w:hAnsi="Times New Roman" w:cs="Times New Roman"/>
          <w:szCs w:val="24"/>
        </w:rPr>
        <w:t>其他相关文件</w:t>
      </w:r>
      <w:r>
        <w:rPr>
          <w:szCs w:val="24"/>
        </w:rPr>
        <w:tab/>
      </w:r>
      <w:r>
        <w:rPr>
          <w:szCs w:val="24"/>
        </w:rPr>
        <w:fldChar w:fldCharType="begin"/>
      </w:r>
      <w:r>
        <w:rPr>
          <w:szCs w:val="24"/>
        </w:rPr>
        <w:instrText xml:space="preserve"> PAGEREF _Toc482661571 \h </w:instrText>
      </w:r>
      <w:r>
        <w:rPr>
          <w:szCs w:val="24"/>
        </w:rPr>
        <w:fldChar w:fldCharType="separate"/>
      </w:r>
      <w:r>
        <w:rPr>
          <w:szCs w:val="24"/>
        </w:rPr>
        <w:t>5</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"_Toc482661572" </w:instrText>
      </w:r>
      <w:r>
        <w:fldChar w:fldCharType="separate"/>
      </w:r>
      <w:r>
        <w:rPr>
          <w:rStyle w:val="42"/>
          <w:rFonts w:ascii="Times New Roman" w:hAnsi="Times New Roman" w:cs="Times New Roman"/>
          <w:szCs w:val="24"/>
        </w:rPr>
        <w:t xml:space="preserve">3  </w:t>
      </w:r>
      <w:r>
        <w:rPr>
          <w:rStyle w:val="42"/>
          <w:rFonts w:hint="eastAsia" w:ascii="Times New Roman" w:hAnsi="Times New Roman" w:cs="Times New Roman"/>
          <w:szCs w:val="24"/>
        </w:rPr>
        <w:t>污染调查结果分析</w:t>
      </w:r>
      <w:r>
        <w:rPr>
          <w:szCs w:val="24"/>
        </w:rPr>
        <w:tab/>
      </w:r>
      <w:r>
        <w:rPr>
          <w:szCs w:val="24"/>
        </w:rPr>
        <w:fldChar w:fldCharType="begin"/>
      </w:r>
      <w:r>
        <w:rPr>
          <w:szCs w:val="24"/>
        </w:rPr>
        <w:instrText xml:space="preserve"> PAGEREF _Toc482661572 \h </w:instrText>
      </w:r>
      <w:r>
        <w:rPr>
          <w:szCs w:val="24"/>
        </w:rPr>
        <w:fldChar w:fldCharType="separate"/>
      </w:r>
      <w:r>
        <w:rPr>
          <w:szCs w:val="24"/>
        </w:rPr>
        <w:t>7</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"_Toc482661573" </w:instrText>
      </w:r>
      <w:r>
        <w:fldChar w:fldCharType="separate"/>
      </w:r>
      <w:r>
        <w:rPr>
          <w:rStyle w:val="42"/>
          <w:rFonts w:ascii="Times New Roman" w:hAnsi="Times New Roman" w:cs="Times New Roman"/>
          <w:szCs w:val="24"/>
        </w:rPr>
        <w:t>3.1</w:t>
      </w:r>
      <w:r>
        <w:rPr>
          <w:rStyle w:val="42"/>
          <w:rFonts w:hint="eastAsia" w:ascii="Times New Roman" w:hAnsi="Times New Roman" w:cs="Times New Roman"/>
          <w:szCs w:val="24"/>
        </w:rPr>
        <w:t>项目基本信息、现状描述</w:t>
      </w:r>
      <w:r>
        <w:rPr>
          <w:szCs w:val="24"/>
        </w:rPr>
        <w:tab/>
      </w:r>
      <w:r>
        <w:rPr>
          <w:szCs w:val="24"/>
        </w:rPr>
        <w:fldChar w:fldCharType="begin"/>
      </w:r>
      <w:r>
        <w:rPr>
          <w:szCs w:val="24"/>
        </w:rPr>
        <w:instrText xml:space="preserve"> PAGEREF _Toc482661573 \h </w:instrText>
      </w:r>
      <w:r>
        <w:rPr>
          <w:szCs w:val="24"/>
        </w:rPr>
        <w:fldChar w:fldCharType="separate"/>
      </w:r>
      <w:r>
        <w:rPr>
          <w:szCs w:val="24"/>
        </w:rPr>
        <w:t>7</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"_Toc482661574" </w:instrText>
      </w:r>
      <w:r>
        <w:fldChar w:fldCharType="separate"/>
      </w:r>
      <w:r>
        <w:rPr>
          <w:rStyle w:val="42"/>
          <w:rFonts w:ascii="Times New Roman" w:hAnsi="Times New Roman" w:cs="Times New Roman"/>
          <w:szCs w:val="24"/>
        </w:rPr>
        <w:t>3.2</w:t>
      </w:r>
      <w:r>
        <w:rPr>
          <w:rStyle w:val="42"/>
          <w:rFonts w:hint="eastAsia" w:ascii="Times New Roman" w:hAnsi="Times New Roman" w:cs="Times New Roman"/>
          <w:szCs w:val="24"/>
        </w:rPr>
        <w:t>土壤污染调查结果</w:t>
      </w:r>
      <w:r>
        <w:rPr>
          <w:szCs w:val="24"/>
        </w:rPr>
        <w:tab/>
      </w:r>
      <w:r>
        <w:rPr>
          <w:szCs w:val="24"/>
        </w:rPr>
        <w:fldChar w:fldCharType="begin"/>
      </w:r>
      <w:r>
        <w:rPr>
          <w:szCs w:val="24"/>
        </w:rPr>
        <w:instrText xml:space="preserve"> PAGEREF _Toc482661574 \h </w:instrText>
      </w:r>
      <w:r>
        <w:rPr>
          <w:szCs w:val="24"/>
        </w:rPr>
        <w:fldChar w:fldCharType="separate"/>
      </w:r>
      <w:r>
        <w:rPr>
          <w:szCs w:val="24"/>
        </w:rPr>
        <w:t>14</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"_Toc482661575" </w:instrText>
      </w:r>
      <w:r>
        <w:fldChar w:fldCharType="separate"/>
      </w:r>
      <w:r>
        <w:rPr>
          <w:rStyle w:val="42"/>
          <w:rFonts w:ascii="Times New Roman" w:hAnsi="Times New Roman" w:cs="Times New Roman"/>
          <w:szCs w:val="24"/>
        </w:rPr>
        <w:t>3.3</w:t>
      </w:r>
      <w:r>
        <w:rPr>
          <w:rStyle w:val="42"/>
          <w:rFonts w:hint="eastAsia" w:ascii="Times New Roman" w:hAnsi="Times New Roman" w:cs="Times New Roman"/>
          <w:szCs w:val="24"/>
          <w:lang w:val="zh-CN"/>
        </w:rPr>
        <w:t>土壤污染风险分析</w:t>
      </w:r>
      <w:r>
        <w:rPr>
          <w:szCs w:val="24"/>
        </w:rPr>
        <w:tab/>
      </w:r>
      <w:r>
        <w:rPr>
          <w:szCs w:val="24"/>
        </w:rPr>
        <w:fldChar w:fldCharType="begin"/>
      </w:r>
      <w:r>
        <w:rPr>
          <w:szCs w:val="24"/>
        </w:rPr>
        <w:instrText xml:space="preserve"> PAGEREF _Toc482661575 \h </w:instrText>
      </w:r>
      <w:r>
        <w:rPr>
          <w:szCs w:val="24"/>
        </w:rPr>
        <w:fldChar w:fldCharType="separate"/>
      </w:r>
      <w:r>
        <w:rPr>
          <w:szCs w:val="24"/>
        </w:rPr>
        <w:t>20</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"_Toc482661576" </w:instrText>
      </w:r>
      <w:r>
        <w:fldChar w:fldCharType="separate"/>
      </w:r>
      <w:r>
        <w:rPr>
          <w:rStyle w:val="42"/>
          <w:rFonts w:ascii="Times New Roman" w:hAnsi="Times New Roman" w:cs="Times New Roman"/>
          <w:szCs w:val="24"/>
        </w:rPr>
        <w:t>4</w:t>
      </w:r>
      <w:r>
        <w:rPr>
          <w:rStyle w:val="42"/>
          <w:rFonts w:hint="eastAsia" w:ascii="Times New Roman" w:hAnsi="Times New Roman" w:cs="Times New Roman"/>
          <w:szCs w:val="24"/>
        </w:rPr>
        <w:t>治理与修复范围和目标</w:t>
      </w:r>
      <w:r>
        <w:rPr>
          <w:szCs w:val="24"/>
        </w:rPr>
        <w:tab/>
      </w:r>
      <w:r>
        <w:rPr>
          <w:szCs w:val="24"/>
        </w:rPr>
        <w:fldChar w:fldCharType="begin"/>
      </w:r>
      <w:r>
        <w:rPr>
          <w:szCs w:val="24"/>
        </w:rPr>
        <w:instrText xml:space="preserve"> PAGEREF _Toc482661576 \h </w:instrText>
      </w:r>
      <w:r>
        <w:rPr>
          <w:szCs w:val="24"/>
        </w:rPr>
        <w:fldChar w:fldCharType="separate"/>
      </w:r>
      <w:r>
        <w:rPr>
          <w:szCs w:val="24"/>
        </w:rPr>
        <w:t>24</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"_Toc482661577" </w:instrText>
      </w:r>
      <w:r>
        <w:fldChar w:fldCharType="separate"/>
      </w:r>
      <w:r>
        <w:rPr>
          <w:rStyle w:val="42"/>
          <w:rFonts w:ascii="Times New Roman" w:hAnsi="Times New Roman" w:cs="Times New Roman"/>
          <w:szCs w:val="24"/>
        </w:rPr>
        <w:t xml:space="preserve">4.1 </w:t>
      </w:r>
      <w:r>
        <w:rPr>
          <w:rStyle w:val="42"/>
          <w:rFonts w:hint="eastAsia" w:ascii="Times New Roman" w:hAnsi="Times New Roman" w:cs="Times New Roman"/>
          <w:szCs w:val="24"/>
        </w:rPr>
        <w:t>治理与修复范围</w:t>
      </w:r>
      <w:r>
        <w:rPr>
          <w:szCs w:val="24"/>
        </w:rPr>
        <w:tab/>
      </w:r>
      <w:r>
        <w:rPr>
          <w:szCs w:val="24"/>
        </w:rPr>
        <w:fldChar w:fldCharType="begin"/>
      </w:r>
      <w:r>
        <w:rPr>
          <w:szCs w:val="24"/>
        </w:rPr>
        <w:instrText xml:space="preserve"> PAGEREF _Toc482661577 \h </w:instrText>
      </w:r>
      <w:r>
        <w:rPr>
          <w:szCs w:val="24"/>
        </w:rPr>
        <w:fldChar w:fldCharType="separate"/>
      </w:r>
      <w:r>
        <w:rPr>
          <w:szCs w:val="24"/>
        </w:rPr>
        <w:t>24</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"_Toc482661578" </w:instrText>
      </w:r>
      <w:r>
        <w:fldChar w:fldCharType="separate"/>
      </w:r>
      <w:r>
        <w:rPr>
          <w:rStyle w:val="42"/>
          <w:rFonts w:ascii="Times New Roman" w:hAnsi="Times New Roman" w:cs="Times New Roman"/>
          <w:szCs w:val="24"/>
        </w:rPr>
        <w:t>4.2</w:t>
      </w:r>
      <w:r>
        <w:rPr>
          <w:rStyle w:val="42"/>
          <w:rFonts w:hint="eastAsia" w:ascii="Times New Roman" w:hAnsi="Times New Roman" w:cs="Times New Roman"/>
          <w:szCs w:val="24"/>
        </w:rPr>
        <w:t>治理与修复目标</w:t>
      </w:r>
      <w:r>
        <w:rPr>
          <w:szCs w:val="24"/>
        </w:rPr>
        <w:tab/>
      </w:r>
      <w:r>
        <w:rPr>
          <w:szCs w:val="24"/>
        </w:rPr>
        <w:fldChar w:fldCharType="begin"/>
      </w:r>
      <w:r>
        <w:rPr>
          <w:szCs w:val="24"/>
        </w:rPr>
        <w:instrText xml:space="preserve"> PAGEREF _Toc482661578 \h </w:instrText>
      </w:r>
      <w:r>
        <w:rPr>
          <w:szCs w:val="24"/>
        </w:rPr>
        <w:fldChar w:fldCharType="separate"/>
      </w:r>
      <w:r>
        <w:rPr>
          <w:szCs w:val="24"/>
        </w:rPr>
        <w:t>24</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"_Toc482661579" </w:instrText>
      </w:r>
      <w:r>
        <w:fldChar w:fldCharType="separate"/>
      </w:r>
      <w:r>
        <w:rPr>
          <w:rStyle w:val="42"/>
          <w:rFonts w:ascii="Times New Roman" w:hAnsi="Times New Roman" w:cs="Times New Roman"/>
          <w:szCs w:val="24"/>
        </w:rPr>
        <w:t>5</w:t>
      </w:r>
      <w:r>
        <w:rPr>
          <w:rStyle w:val="42"/>
          <w:rFonts w:hint="eastAsia" w:ascii="Times New Roman" w:hAnsi="Times New Roman" w:cs="Times New Roman"/>
          <w:szCs w:val="24"/>
        </w:rPr>
        <w:t>治理与修复技术方案</w:t>
      </w:r>
      <w:r>
        <w:rPr>
          <w:szCs w:val="24"/>
        </w:rPr>
        <w:tab/>
      </w:r>
      <w:r>
        <w:rPr>
          <w:szCs w:val="24"/>
        </w:rPr>
        <w:fldChar w:fldCharType="begin"/>
      </w:r>
      <w:r>
        <w:rPr>
          <w:szCs w:val="24"/>
        </w:rPr>
        <w:instrText xml:space="preserve"> PAGEREF _Toc482661579 \h </w:instrText>
      </w:r>
      <w:r>
        <w:rPr>
          <w:szCs w:val="24"/>
        </w:rPr>
        <w:fldChar w:fldCharType="separate"/>
      </w:r>
      <w:r>
        <w:rPr>
          <w:szCs w:val="24"/>
        </w:rPr>
        <w:t>25</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"_Toc482661580" </w:instrText>
      </w:r>
      <w:r>
        <w:fldChar w:fldCharType="separate"/>
      </w:r>
      <w:r>
        <w:rPr>
          <w:rStyle w:val="42"/>
          <w:rFonts w:ascii="Times New Roman" w:hAnsi="Times New Roman" w:cs="Times New Roman"/>
          <w:szCs w:val="24"/>
        </w:rPr>
        <w:t>5.1</w:t>
      </w:r>
      <w:r>
        <w:rPr>
          <w:rStyle w:val="42"/>
          <w:rFonts w:hint="eastAsia" w:ascii="Times New Roman" w:hAnsi="Times New Roman" w:cs="Times New Roman"/>
          <w:szCs w:val="24"/>
        </w:rPr>
        <w:t>土壤污染治理与修复技术概述</w:t>
      </w:r>
      <w:r>
        <w:rPr>
          <w:szCs w:val="24"/>
        </w:rPr>
        <w:tab/>
      </w:r>
      <w:r>
        <w:rPr>
          <w:szCs w:val="24"/>
        </w:rPr>
        <w:fldChar w:fldCharType="begin"/>
      </w:r>
      <w:r>
        <w:rPr>
          <w:szCs w:val="24"/>
        </w:rPr>
        <w:instrText xml:space="preserve"> PAGEREF _Toc482661580 \h </w:instrText>
      </w:r>
      <w:r>
        <w:rPr>
          <w:szCs w:val="24"/>
        </w:rPr>
        <w:fldChar w:fldCharType="separate"/>
      </w:r>
      <w:r>
        <w:rPr>
          <w:szCs w:val="24"/>
        </w:rPr>
        <w:t>25</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"_Toc482661581" </w:instrText>
      </w:r>
      <w:r>
        <w:fldChar w:fldCharType="separate"/>
      </w:r>
      <w:r>
        <w:rPr>
          <w:rStyle w:val="42"/>
          <w:rFonts w:ascii="Times New Roman" w:hAnsi="Times New Roman" w:cs="Times New Roman"/>
          <w:szCs w:val="24"/>
        </w:rPr>
        <w:t>5.2</w:t>
      </w:r>
      <w:r>
        <w:rPr>
          <w:rStyle w:val="42"/>
          <w:rFonts w:hint="eastAsia" w:ascii="Times New Roman" w:hAnsi="Times New Roman" w:cs="Times New Roman"/>
          <w:szCs w:val="24"/>
        </w:rPr>
        <w:t>土壤污染治理与修复技术筛选</w:t>
      </w:r>
      <w:r>
        <w:rPr>
          <w:szCs w:val="24"/>
        </w:rPr>
        <w:tab/>
      </w:r>
      <w:r>
        <w:rPr>
          <w:szCs w:val="24"/>
        </w:rPr>
        <w:fldChar w:fldCharType="begin"/>
      </w:r>
      <w:r>
        <w:rPr>
          <w:szCs w:val="24"/>
        </w:rPr>
        <w:instrText xml:space="preserve"> PAGEREF _Toc482661581 \h </w:instrText>
      </w:r>
      <w:r>
        <w:rPr>
          <w:szCs w:val="24"/>
        </w:rPr>
        <w:fldChar w:fldCharType="separate"/>
      </w:r>
      <w:r>
        <w:rPr>
          <w:szCs w:val="24"/>
        </w:rPr>
        <w:t>25</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"_Toc482661582" </w:instrText>
      </w:r>
      <w:r>
        <w:fldChar w:fldCharType="separate"/>
      </w:r>
      <w:r>
        <w:rPr>
          <w:rStyle w:val="42"/>
          <w:rFonts w:ascii="Times New Roman" w:hAnsi="Times New Roman" w:cs="Times New Roman"/>
          <w:szCs w:val="24"/>
        </w:rPr>
        <w:t>5.3</w:t>
      </w:r>
      <w:r>
        <w:rPr>
          <w:rStyle w:val="42"/>
          <w:rFonts w:hint="eastAsia" w:ascii="Times New Roman" w:hAnsi="Times New Roman" w:cs="Times New Roman"/>
          <w:szCs w:val="24"/>
        </w:rPr>
        <w:t>土壤污染治理与修复技术方案比选</w:t>
      </w:r>
      <w:r>
        <w:rPr>
          <w:szCs w:val="24"/>
        </w:rPr>
        <w:tab/>
      </w:r>
      <w:r>
        <w:rPr>
          <w:szCs w:val="24"/>
        </w:rPr>
        <w:fldChar w:fldCharType="begin"/>
      </w:r>
      <w:r>
        <w:rPr>
          <w:szCs w:val="24"/>
        </w:rPr>
        <w:instrText xml:space="preserve"> PAGEREF _Toc482661582 \h </w:instrText>
      </w:r>
      <w:r>
        <w:rPr>
          <w:szCs w:val="24"/>
        </w:rPr>
        <w:fldChar w:fldCharType="separate"/>
      </w:r>
      <w:r>
        <w:rPr>
          <w:szCs w:val="24"/>
        </w:rPr>
        <w:t>28</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"_Toc482661583" </w:instrText>
      </w:r>
      <w:r>
        <w:fldChar w:fldCharType="separate"/>
      </w:r>
      <w:r>
        <w:rPr>
          <w:rStyle w:val="42"/>
          <w:rFonts w:ascii="Times New Roman" w:hAnsi="Times New Roman" w:cs="Times New Roman"/>
          <w:szCs w:val="24"/>
        </w:rPr>
        <w:t xml:space="preserve">6 </w:t>
      </w:r>
      <w:r>
        <w:rPr>
          <w:rStyle w:val="42"/>
          <w:rFonts w:hint="eastAsia" w:ascii="Times New Roman" w:hAnsi="Times New Roman" w:cs="Times New Roman"/>
          <w:szCs w:val="24"/>
        </w:rPr>
        <w:t>治理与修复工程方案</w:t>
      </w:r>
      <w:r>
        <w:rPr>
          <w:szCs w:val="24"/>
        </w:rPr>
        <w:tab/>
      </w:r>
      <w:r>
        <w:rPr>
          <w:szCs w:val="24"/>
        </w:rPr>
        <w:fldChar w:fldCharType="begin"/>
      </w:r>
      <w:r>
        <w:rPr>
          <w:szCs w:val="24"/>
        </w:rPr>
        <w:instrText xml:space="preserve"> PAGEREF _Toc482661583 \h </w:instrText>
      </w:r>
      <w:r>
        <w:rPr>
          <w:szCs w:val="24"/>
        </w:rPr>
        <w:fldChar w:fldCharType="separate"/>
      </w:r>
      <w:r>
        <w:rPr>
          <w:szCs w:val="24"/>
        </w:rPr>
        <w:t>31</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"_Toc482661584" </w:instrText>
      </w:r>
      <w:r>
        <w:fldChar w:fldCharType="separate"/>
      </w:r>
      <w:r>
        <w:rPr>
          <w:rStyle w:val="42"/>
          <w:rFonts w:ascii="Times New Roman" w:hAnsi="Times New Roman" w:cs="Times New Roman"/>
          <w:szCs w:val="24"/>
        </w:rPr>
        <w:t>6.1</w:t>
      </w:r>
      <w:r>
        <w:rPr>
          <w:rStyle w:val="42"/>
          <w:rFonts w:hint="eastAsia" w:ascii="Times New Roman" w:hAnsi="Times New Roman" w:cs="Times New Roman"/>
          <w:szCs w:val="24"/>
        </w:rPr>
        <w:t>工艺设计</w:t>
      </w:r>
      <w:r>
        <w:rPr>
          <w:szCs w:val="24"/>
        </w:rPr>
        <w:tab/>
      </w:r>
      <w:r>
        <w:rPr>
          <w:szCs w:val="24"/>
        </w:rPr>
        <w:fldChar w:fldCharType="begin"/>
      </w:r>
      <w:r>
        <w:rPr>
          <w:szCs w:val="24"/>
        </w:rPr>
        <w:instrText xml:space="preserve"> PAGEREF _Toc482661584 \h </w:instrText>
      </w:r>
      <w:r>
        <w:rPr>
          <w:szCs w:val="24"/>
        </w:rPr>
        <w:fldChar w:fldCharType="separate"/>
      </w:r>
      <w:r>
        <w:rPr>
          <w:szCs w:val="24"/>
        </w:rPr>
        <w:t>31</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"_Toc482661585" </w:instrText>
      </w:r>
      <w:r>
        <w:fldChar w:fldCharType="separate"/>
      </w:r>
      <w:r>
        <w:rPr>
          <w:rStyle w:val="42"/>
          <w:rFonts w:ascii="Times New Roman" w:hAnsi="Times New Roman" w:cs="Times New Roman"/>
          <w:szCs w:val="24"/>
        </w:rPr>
        <w:t>6.2</w:t>
      </w:r>
      <w:r>
        <w:rPr>
          <w:rStyle w:val="42"/>
          <w:rFonts w:hint="eastAsia" w:ascii="Times New Roman" w:hAnsi="Times New Roman" w:cs="Times New Roman"/>
          <w:szCs w:val="24"/>
        </w:rPr>
        <w:t>主体工程方案</w:t>
      </w:r>
      <w:r>
        <w:rPr>
          <w:szCs w:val="24"/>
        </w:rPr>
        <w:tab/>
      </w:r>
      <w:r>
        <w:rPr>
          <w:szCs w:val="24"/>
        </w:rPr>
        <w:fldChar w:fldCharType="begin"/>
      </w:r>
      <w:r>
        <w:rPr>
          <w:szCs w:val="24"/>
        </w:rPr>
        <w:instrText xml:space="preserve"> PAGEREF _Toc482661585 \h </w:instrText>
      </w:r>
      <w:r>
        <w:rPr>
          <w:szCs w:val="24"/>
        </w:rPr>
        <w:fldChar w:fldCharType="separate"/>
      </w:r>
      <w:r>
        <w:rPr>
          <w:szCs w:val="24"/>
        </w:rPr>
        <w:t>31</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"_Toc482661586" </w:instrText>
      </w:r>
      <w:r>
        <w:fldChar w:fldCharType="separate"/>
      </w:r>
      <w:r>
        <w:rPr>
          <w:rStyle w:val="42"/>
          <w:rFonts w:ascii="Times New Roman" w:hAnsi="Times New Roman" w:cs="Times New Roman"/>
          <w:szCs w:val="24"/>
        </w:rPr>
        <w:t>6.3</w:t>
      </w:r>
      <w:r>
        <w:rPr>
          <w:rStyle w:val="42"/>
          <w:rFonts w:hint="eastAsia" w:ascii="Times New Roman" w:hAnsi="Times New Roman" w:cs="Times New Roman"/>
          <w:szCs w:val="24"/>
        </w:rPr>
        <w:t>配套工程</w:t>
      </w:r>
      <w:r>
        <w:rPr>
          <w:szCs w:val="24"/>
        </w:rPr>
        <w:tab/>
      </w:r>
      <w:r>
        <w:rPr>
          <w:szCs w:val="24"/>
        </w:rPr>
        <w:fldChar w:fldCharType="begin"/>
      </w:r>
      <w:r>
        <w:rPr>
          <w:szCs w:val="24"/>
        </w:rPr>
        <w:instrText xml:space="preserve"> PAGEREF _Toc482661586 \h </w:instrText>
      </w:r>
      <w:r>
        <w:rPr>
          <w:szCs w:val="24"/>
        </w:rPr>
        <w:fldChar w:fldCharType="separate"/>
      </w:r>
      <w:r>
        <w:rPr>
          <w:szCs w:val="24"/>
        </w:rPr>
        <w:t>35</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"_Toc482661587" </w:instrText>
      </w:r>
      <w:r>
        <w:fldChar w:fldCharType="separate"/>
      </w:r>
      <w:r>
        <w:rPr>
          <w:rStyle w:val="42"/>
          <w:rFonts w:ascii="Times New Roman" w:hAnsi="Times New Roman" w:cs="Times New Roman"/>
          <w:szCs w:val="24"/>
        </w:rPr>
        <w:t>6.4</w:t>
      </w:r>
      <w:r>
        <w:rPr>
          <w:rStyle w:val="42"/>
          <w:rFonts w:hint="eastAsia" w:ascii="Times New Roman" w:hAnsi="Times New Roman" w:cs="Times New Roman"/>
          <w:szCs w:val="24"/>
        </w:rPr>
        <w:t>主要设备</w:t>
      </w:r>
      <w:r>
        <w:rPr>
          <w:szCs w:val="24"/>
        </w:rPr>
        <w:tab/>
      </w:r>
      <w:r>
        <w:rPr>
          <w:szCs w:val="24"/>
        </w:rPr>
        <w:fldChar w:fldCharType="begin"/>
      </w:r>
      <w:r>
        <w:rPr>
          <w:szCs w:val="24"/>
        </w:rPr>
        <w:instrText xml:space="preserve"> PAGEREF _Toc482661587 \h </w:instrText>
      </w:r>
      <w:r>
        <w:rPr>
          <w:szCs w:val="24"/>
        </w:rPr>
        <w:fldChar w:fldCharType="separate"/>
      </w:r>
      <w:r>
        <w:rPr>
          <w:szCs w:val="24"/>
        </w:rPr>
        <w:t>35</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"_Toc482661588" </w:instrText>
      </w:r>
      <w:r>
        <w:fldChar w:fldCharType="separate"/>
      </w:r>
      <w:r>
        <w:rPr>
          <w:rStyle w:val="42"/>
          <w:rFonts w:ascii="Times New Roman" w:hAnsi="Times New Roman" w:cs="Times New Roman"/>
          <w:szCs w:val="24"/>
        </w:rPr>
        <w:t>6.5</w:t>
      </w:r>
      <w:r>
        <w:rPr>
          <w:rStyle w:val="42"/>
          <w:rFonts w:hint="eastAsia" w:ascii="Times New Roman" w:hAnsi="Times New Roman" w:cs="Times New Roman"/>
          <w:szCs w:val="24"/>
        </w:rPr>
        <w:t>环境监测计划</w:t>
      </w:r>
      <w:r>
        <w:rPr>
          <w:szCs w:val="24"/>
        </w:rPr>
        <w:tab/>
      </w:r>
      <w:r>
        <w:rPr>
          <w:szCs w:val="24"/>
        </w:rPr>
        <w:fldChar w:fldCharType="begin"/>
      </w:r>
      <w:r>
        <w:rPr>
          <w:szCs w:val="24"/>
        </w:rPr>
        <w:instrText xml:space="preserve"> PAGEREF _Toc482661588 \h </w:instrText>
      </w:r>
      <w:r>
        <w:rPr>
          <w:szCs w:val="24"/>
        </w:rPr>
        <w:fldChar w:fldCharType="separate"/>
      </w:r>
      <w:r>
        <w:rPr>
          <w:szCs w:val="24"/>
        </w:rPr>
        <w:t>37</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"_Toc482661589" </w:instrText>
      </w:r>
      <w:r>
        <w:fldChar w:fldCharType="separate"/>
      </w:r>
      <w:r>
        <w:rPr>
          <w:rStyle w:val="42"/>
          <w:rFonts w:ascii="Times New Roman" w:hAnsi="Times New Roman" w:cs="Times New Roman"/>
          <w:szCs w:val="24"/>
        </w:rPr>
        <w:t>7</w:t>
      </w:r>
      <w:r>
        <w:rPr>
          <w:rStyle w:val="42"/>
          <w:rFonts w:hint="eastAsia" w:ascii="Times New Roman" w:hAnsi="Times New Roman" w:cs="Times New Roman"/>
          <w:kern w:val="0"/>
          <w:szCs w:val="24"/>
        </w:rPr>
        <w:t>项目管理与组织实施</w:t>
      </w:r>
      <w:r>
        <w:rPr>
          <w:szCs w:val="24"/>
        </w:rPr>
        <w:tab/>
      </w:r>
      <w:r>
        <w:rPr>
          <w:szCs w:val="24"/>
        </w:rPr>
        <w:fldChar w:fldCharType="begin"/>
      </w:r>
      <w:r>
        <w:rPr>
          <w:szCs w:val="24"/>
        </w:rPr>
        <w:instrText xml:space="preserve"> PAGEREF _Toc482661589 \h </w:instrText>
      </w:r>
      <w:r>
        <w:rPr>
          <w:szCs w:val="24"/>
        </w:rPr>
        <w:fldChar w:fldCharType="separate"/>
      </w:r>
      <w:r>
        <w:rPr>
          <w:szCs w:val="24"/>
        </w:rPr>
        <w:t>40</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"_Toc482661590" </w:instrText>
      </w:r>
      <w:r>
        <w:fldChar w:fldCharType="separate"/>
      </w:r>
      <w:r>
        <w:rPr>
          <w:rStyle w:val="42"/>
          <w:rFonts w:ascii="Times New Roman" w:hAnsi="Times New Roman" w:cs="Times New Roman"/>
          <w:szCs w:val="24"/>
        </w:rPr>
        <w:t>7.1</w:t>
      </w:r>
      <w:r>
        <w:rPr>
          <w:rStyle w:val="42"/>
          <w:rFonts w:hint="eastAsia" w:ascii="Times New Roman" w:hAnsi="Times New Roman" w:cs="Times New Roman"/>
          <w:szCs w:val="24"/>
        </w:rPr>
        <w:t>项目管理、组织机构与职责</w:t>
      </w:r>
      <w:r>
        <w:rPr>
          <w:szCs w:val="24"/>
        </w:rPr>
        <w:tab/>
      </w:r>
      <w:r>
        <w:rPr>
          <w:szCs w:val="24"/>
        </w:rPr>
        <w:fldChar w:fldCharType="begin"/>
      </w:r>
      <w:r>
        <w:rPr>
          <w:szCs w:val="24"/>
        </w:rPr>
        <w:instrText xml:space="preserve"> PAGEREF _Toc482661590 \h </w:instrText>
      </w:r>
      <w:r>
        <w:rPr>
          <w:szCs w:val="24"/>
        </w:rPr>
        <w:fldChar w:fldCharType="separate"/>
      </w:r>
      <w:r>
        <w:rPr>
          <w:szCs w:val="24"/>
        </w:rPr>
        <w:t>40</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"_Toc482661591" </w:instrText>
      </w:r>
      <w:r>
        <w:fldChar w:fldCharType="separate"/>
      </w:r>
      <w:r>
        <w:rPr>
          <w:rStyle w:val="42"/>
          <w:rFonts w:ascii="Times New Roman" w:hAnsi="Times New Roman" w:cs="Times New Roman"/>
          <w:szCs w:val="24"/>
        </w:rPr>
        <w:t xml:space="preserve">7.2 </w:t>
      </w:r>
      <w:r>
        <w:rPr>
          <w:rStyle w:val="42"/>
          <w:rFonts w:hint="eastAsia" w:ascii="Times New Roman" w:hAnsi="Times New Roman" w:cs="Times New Roman"/>
          <w:szCs w:val="24"/>
        </w:rPr>
        <w:t>组织实施与进度安排</w:t>
      </w:r>
      <w:r>
        <w:rPr>
          <w:szCs w:val="24"/>
        </w:rPr>
        <w:tab/>
      </w:r>
      <w:r>
        <w:rPr>
          <w:szCs w:val="24"/>
        </w:rPr>
        <w:fldChar w:fldCharType="begin"/>
      </w:r>
      <w:r>
        <w:rPr>
          <w:szCs w:val="24"/>
        </w:rPr>
        <w:instrText xml:space="preserve"> PAGEREF _Toc482661591 \h </w:instrText>
      </w:r>
      <w:r>
        <w:rPr>
          <w:szCs w:val="24"/>
        </w:rPr>
        <w:fldChar w:fldCharType="separate"/>
      </w:r>
      <w:r>
        <w:rPr>
          <w:szCs w:val="24"/>
        </w:rPr>
        <w:t>41</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"_Toc482661592" </w:instrText>
      </w:r>
      <w:r>
        <w:fldChar w:fldCharType="separate"/>
      </w:r>
      <w:r>
        <w:rPr>
          <w:rStyle w:val="42"/>
          <w:rFonts w:ascii="Times New Roman" w:hAnsi="Times New Roman" w:cs="Times New Roman"/>
          <w:szCs w:val="24"/>
        </w:rPr>
        <w:t xml:space="preserve">7.3 </w:t>
      </w:r>
      <w:r>
        <w:rPr>
          <w:rStyle w:val="42"/>
          <w:rFonts w:hint="eastAsia" w:ascii="Times New Roman" w:hAnsi="Times New Roman" w:cs="Times New Roman"/>
          <w:szCs w:val="24"/>
        </w:rPr>
        <w:t>项目招标</w:t>
      </w:r>
      <w:r>
        <w:rPr>
          <w:szCs w:val="24"/>
        </w:rPr>
        <w:tab/>
      </w:r>
      <w:r>
        <w:rPr>
          <w:szCs w:val="24"/>
        </w:rPr>
        <w:fldChar w:fldCharType="begin"/>
      </w:r>
      <w:r>
        <w:rPr>
          <w:szCs w:val="24"/>
        </w:rPr>
        <w:instrText xml:space="preserve"> PAGEREF _Toc482661592 \h </w:instrText>
      </w:r>
      <w:r>
        <w:rPr>
          <w:szCs w:val="24"/>
        </w:rPr>
        <w:fldChar w:fldCharType="separate"/>
      </w:r>
      <w:r>
        <w:rPr>
          <w:szCs w:val="24"/>
        </w:rPr>
        <w:t>41</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"_Toc482661593" </w:instrText>
      </w:r>
      <w:r>
        <w:fldChar w:fldCharType="separate"/>
      </w:r>
      <w:r>
        <w:rPr>
          <w:rStyle w:val="42"/>
          <w:rFonts w:ascii="Times New Roman" w:hAnsi="Times New Roman" w:cs="Times New Roman"/>
          <w:szCs w:val="24"/>
        </w:rPr>
        <w:t xml:space="preserve">7.4 </w:t>
      </w:r>
      <w:r>
        <w:rPr>
          <w:rStyle w:val="42"/>
          <w:rFonts w:hint="eastAsia" w:ascii="Times New Roman" w:hAnsi="Times New Roman" w:cs="Times New Roman"/>
          <w:szCs w:val="24"/>
        </w:rPr>
        <w:t>项目监理</w:t>
      </w:r>
      <w:r>
        <w:rPr>
          <w:szCs w:val="24"/>
        </w:rPr>
        <w:tab/>
      </w:r>
      <w:r>
        <w:rPr>
          <w:szCs w:val="24"/>
        </w:rPr>
        <w:fldChar w:fldCharType="begin"/>
      </w:r>
      <w:r>
        <w:rPr>
          <w:szCs w:val="24"/>
        </w:rPr>
        <w:instrText xml:space="preserve"> PAGEREF _Toc482661593 \h </w:instrText>
      </w:r>
      <w:r>
        <w:rPr>
          <w:szCs w:val="24"/>
        </w:rPr>
        <w:fldChar w:fldCharType="separate"/>
      </w:r>
      <w:r>
        <w:rPr>
          <w:szCs w:val="24"/>
        </w:rPr>
        <w:t>46</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"_Toc482661594" </w:instrText>
      </w:r>
      <w:r>
        <w:fldChar w:fldCharType="separate"/>
      </w:r>
      <w:r>
        <w:rPr>
          <w:rStyle w:val="42"/>
          <w:rFonts w:ascii="Times New Roman" w:hAnsi="Times New Roman" w:cs="Times New Roman"/>
          <w:szCs w:val="24"/>
        </w:rPr>
        <w:t>8</w:t>
      </w:r>
      <w:r>
        <w:rPr>
          <w:rStyle w:val="42"/>
          <w:rFonts w:hint="eastAsia" w:ascii="Times New Roman" w:hAnsi="Times New Roman" w:cs="Times New Roman"/>
          <w:szCs w:val="24"/>
        </w:rPr>
        <w:t>经费估算与资金筹措</w:t>
      </w:r>
      <w:r>
        <w:rPr>
          <w:szCs w:val="24"/>
        </w:rPr>
        <w:tab/>
      </w:r>
      <w:r>
        <w:rPr>
          <w:szCs w:val="24"/>
        </w:rPr>
        <w:fldChar w:fldCharType="begin"/>
      </w:r>
      <w:r>
        <w:rPr>
          <w:szCs w:val="24"/>
        </w:rPr>
        <w:instrText xml:space="preserve"> PAGEREF _Toc482661594 \h </w:instrText>
      </w:r>
      <w:r>
        <w:rPr>
          <w:szCs w:val="24"/>
        </w:rPr>
        <w:fldChar w:fldCharType="separate"/>
      </w:r>
      <w:r>
        <w:rPr>
          <w:szCs w:val="24"/>
        </w:rPr>
        <w:t>48</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"_Toc482661595" </w:instrText>
      </w:r>
      <w:r>
        <w:fldChar w:fldCharType="separate"/>
      </w:r>
      <w:r>
        <w:rPr>
          <w:rStyle w:val="42"/>
          <w:rFonts w:ascii="Times New Roman" w:hAnsi="Times New Roman" w:cs="Times New Roman"/>
          <w:szCs w:val="24"/>
        </w:rPr>
        <w:t>8.1</w:t>
      </w:r>
      <w:r>
        <w:rPr>
          <w:rStyle w:val="42"/>
          <w:rFonts w:hint="eastAsia" w:ascii="Times New Roman" w:hAnsi="Times New Roman" w:cs="Times New Roman"/>
          <w:szCs w:val="24"/>
        </w:rPr>
        <w:t>经费估算</w:t>
      </w:r>
      <w:r>
        <w:rPr>
          <w:szCs w:val="24"/>
        </w:rPr>
        <w:tab/>
      </w:r>
      <w:r>
        <w:rPr>
          <w:szCs w:val="24"/>
        </w:rPr>
        <w:fldChar w:fldCharType="begin"/>
      </w:r>
      <w:r>
        <w:rPr>
          <w:szCs w:val="24"/>
        </w:rPr>
        <w:instrText xml:space="preserve"> PAGEREF _Toc482661595 \h </w:instrText>
      </w:r>
      <w:r>
        <w:rPr>
          <w:szCs w:val="24"/>
        </w:rPr>
        <w:fldChar w:fldCharType="separate"/>
      </w:r>
      <w:r>
        <w:rPr>
          <w:szCs w:val="24"/>
        </w:rPr>
        <w:t>48</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"_Toc482661596" </w:instrText>
      </w:r>
      <w:r>
        <w:fldChar w:fldCharType="separate"/>
      </w:r>
      <w:r>
        <w:rPr>
          <w:rStyle w:val="42"/>
          <w:rFonts w:ascii="Times New Roman" w:hAnsi="Times New Roman" w:cs="Times New Roman"/>
          <w:szCs w:val="24"/>
        </w:rPr>
        <w:t>8.2</w:t>
      </w:r>
      <w:r>
        <w:rPr>
          <w:rStyle w:val="42"/>
          <w:rFonts w:hint="eastAsia" w:ascii="Times New Roman" w:hAnsi="Times New Roman" w:cs="Times New Roman"/>
          <w:szCs w:val="24"/>
        </w:rPr>
        <w:t>资金筹措</w:t>
      </w:r>
      <w:r>
        <w:rPr>
          <w:szCs w:val="24"/>
        </w:rPr>
        <w:tab/>
      </w:r>
      <w:r>
        <w:rPr>
          <w:szCs w:val="24"/>
        </w:rPr>
        <w:fldChar w:fldCharType="begin"/>
      </w:r>
      <w:r>
        <w:rPr>
          <w:szCs w:val="24"/>
        </w:rPr>
        <w:instrText xml:space="preserve"> PAGEREF _Toc482661596 \h </w:instrText>
      </w:r>
      <w:r>
        <w:rPr>
          <w:szCs w:val="24"/>
        </w:rPr>
        <w:fldChar w:fldCharType="separate"/>
      </w:r>
      <w:r>
        <w:rPr>
          <w:szCs w:val="24"/>
        </w:rPr>
        <w:t>51</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"_Toc482661597" </w:instrText>
      </w:r>
      <w:r>
        <w:fldChar w:fldCharType="separate"/>
      </w:r>
      <w:r>
        <w:rPr>
          <w:rStyle w:val="42"/>
          <w:rFonts w:ascii="Times New Roman" w:hAnsi="Times New Roman" w:cs="Times New Roman"/>
          <w:szCs w:val="24"/>
        </w:rPr>
        <w:t xml:space="preserve">9  </w:t>
      </w:r>
      <w:r>
        <w:rPr>
          <w:rStyle w:val="42"/>
          <w:rFonts w:hint="eastAsia" w:ascii="Times New Roman" w:hAnsi="Times New Roman" w:cs="Times New Roman"/>
          <w:szCs w:val="24"/>
        </w:rPr>
        <w:t>效益分析</w:t>
      </w:r>
      <w:r>
        <w:rPr>
          <w:szCs w:val="24"/>
        </w:rPr>
        <w:tab/>
      </w:r>
      <w:r>
        <w:rPr>
          <w:szCs w:val="24"/>
        </w:rPr>
        <w:fldChar w:fldCharType="begin"/>
      </w:r>
      <w:r>
        <w:rPr>
          <w:szCs w:val="24"/>
        </w:rPr>
        <w:instrText xml:space="preserve"> PAGEREF _Toc482661597 \h </w:instrText>
      </w:r>
      <w:r>
        <w:rPr>
          <w:szCs w:val="24"/>
        </w:rPr>
        <w:fldChar w:fldCharType="separate"/>
      </w:r>
      <w:r>
        <w:rPr>
          <w:szCs w:val="24"/>
        </w:rPr>
        <w:t>52</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"_Toc482661598" </w:instrText>
      </w:r>
      <w:r>
        <w:fldChar w:fldCharType="separate"/>
      </w:r>
      <w:r>
        <w:rPr>
          <w:rStyle w:val="42"/>
          <w:rFonts w:ascii="Times New Roman" w:hAnsi="Times New Roman" w:cs="Times New Roman"/>
          <w:szCs w:val="24"/>
        </w:rPr>
        <w:t xml:space="preserve">9.1 </w:t>
      </w:r>
      <w:r>
        <w:rPr>
          <w:rStyle w:val="42"/>
          <w:rFonts w:hint="eastAsia" w:ascii="Times New Roman" w:hAnsi="Times New Roman" w:cs="Times New Roman"/>
          <w:szCs w:val="24"/>
        </w:rPr>
        <w:t>环境效益</w:t>
      </w:r>
      <w:r>
        <w:rPr>
          <w:szCs w:val="24"/>
        </w:rPr>
        <w:tab/>
      </w:r>
      <w:r>
        <w:rPr>
          <w:szCs w:val="24"/>
        </w:rPr>
        <w:fldChar w:fldCharType="begin"/>
      </w:r>
      <w:r>
        <w:rPr>
          <w:szCs w:val="24"/>
        </w:rPr>
        <w:instrText xml:space="preserve"> PAGEREF _Toc482661598 \h </w:instrText>
      </w:r>
      <w:r>
        <w:rPr>
          <w:szCs w:val="24"/>
        </w:rPr>
        <w:fldChar w:fldCharType="separate"/>
      </w:r>
      <w:r>
        <w:rPr>
          <w:szCs w:val="24"/>
        </w:rPr>
        <w:t>52</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"_Toc482661599" </w:instrText>
      </w:r>
      <w:r>
        <w:fldChar w:fldCharType="separate"/>
      </w:r>
      <w:r>
        <w:rPr>
          <w:rStyle w:val="42"/>
          <w:rFonts w:ascii="Times New Roman" w:hAnsi="Times New Roman" w:cs="Times New Roman"/>
          <w:szCs w:val="24"/>
        </w:rPr>
        <w:t xml:space="preserve">9.2 </w:t>
      </w:r>
      <w:r>
        <w:rPr>
          <w:rStyle w:val="42"/>
          <w:rFonts w:hint="eastAsia" w:ascii="Times New Roman" w:hAnsi="Times New Roman" w:cs="Times New Roman"/>
          <w:szCs w:val="24"/>
        </w:rPr>
        <w:t>社会效益</w:t>
      </w:r>
      <w:r>
        <w:rPr>
          <w:szCs w:val="24"/>
        </w:rPr>
        <w:tab/>
      </w:r>
      <w:r>
        <w:rPr>
          <w:szCs w:val="24"/>
        </w:rPr>
        <w:fldChar w:fldCharType="begin"/>
      </w:r>
      <w:r>
        <w:rPr>
          <w:szCs w:val="24"/>
        </w:rPr>
        <w:instrText xml:space="preserve"> PAGEREF _Toc482661599 \h </w:instrText>
      </w:r>
      <w:r>
        <w:rPr>
          <w:szCs w:val="24"/>
        </w:rPr>
        <w:fldChar w:fldCharType="separate"/>
      </w:r>
      <w:r>
        <w:rPr>
          <w:szCs w:val="24"/>
        </w:rPr>
        <w:t>52</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"_Toc482661600" </w:instrText>
      </w:r>
      <w:r>
        <w:fldChar w:fldCharType="separate"/>
      </w:r>
      <w:r>
        <w:rPr>
          <w:rStyle w:val="42"/>
          <w:rFonts w:ascii="Times New Roman" w:hAnsi="Times New Roman" w:cs="Times New Roman"/>
          <w:szCs w:val="24"/>
        </w:rPr>
        <w:t xml:space="preserve">9.3 </w:t>
      </w:r>
      <w:r>
        <w:rPr>
          <w:rStyle w:val="42"/>
          <w:rFonts w:hint="eastAsia" w:ascii="Times New Roman" w:hAnsi="Times New Roman" w:cs="Times New Roman"/>
          <w:szCs w:val="24"/>
        </w:rPr>
        <w:t>经济效益</w:t>
      </w:r>
      <w:r>
        <w:rPr>
          <w:szCs w:val="24"/>
        </w:rPr>
        <w:tab/>
      </w:r>
      <w:r>
        <w:rPr>
          <w:szCs w:val="24"/>
        </w:rPr>
        <w:fldChar w:fldCharType="begin"/>
      </w:r>
      <w:r>
        <w:rPr>
          <w:szCs w:val="24"/>
        </w:rPr>
        <w:instrText xml:space="preserve"> PAGEREF _Toc482661600 \h </w:instrText>
      </w:r>
      <w:r>
        <w:rPr>
          <w:szCs w:val="24"/>
        </w:rPr>
        <w:fldChar w:fldCharType="separate"/>
      </w:r>
      <w:r>
        <w:rPr>
          <w:szCs w:val="24"/>
        </w:rPr>
        <w:t>53</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"_Toc482661601" </w:instrText>
      </w:r>
      <w:r>
        <w:fldChar w:fldCharType="separate"/>
      </w:r>
      <w:r>
        <w:rPr>
          <w:rStyle w:val="42"/>
          <w:rFonts w:ascii="Times New Roman" w:hAnsi="Times New Roman" w:cs="Times New Roman"/>
          <w:szCs w:val="24"/>
        </w:rPr>
        <w:t>10</w:t>
      </w:r>
      <w:r>
        <w:rPr>
          <w:rStyle w:val="42"/>
          <w:rFonts w:hint="eastAsia" w:ascii="Times New Roman" w:hAnsi="Times New Roman" w:cs="Times New Roman"/>
          <w:szCs w:val="24"/>
        </w:rPr>
        <w:t>项目分险分析</w:t>
      </w:r>
      <w:r>
        <w:rPr>
          <w:szCs w:val="24"/>
        </w:rPr>
        <w:tab/>
      </w:r>
      <w:r>
        <w:rPr>
          <w:szCs w:val="24"/>
        </w:rPr>
        <w:fldChar w:fldCharType="begin"/>
      </w:r>
      <w:r>
        <w:rPr>
          <w:szCs w:val="24"/>
        </w:rPr>
        <w:instrText xml:space="preserve"> PAGEREF _Toc482661601 \h </w:instrText>
      </w:r>
      <w:r>
        <w:rPr>
          <w:szCs w:val="24"/>
        </w:rPr>
        <w:fldChar w:fldCharType="separate"/>
      </w:r>
      <w:r>
        <w:rPr>
          <w:szCs w:val="24"/>
        </w:rPr>
        <w:t>54</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"_Toc482661602" </w:instrText>
      </w:r>
      <w:r>
        <w:fldChar w:fldCharType="separate"/>
      </w:r>
      <w:r>
        <w:rPr>
          <w:rStyle w:val="42"/>
          <w:rFonts w:ascii="Times New Roman" w:hAnsi="Times New Roman" w:cs="Times New Roman"/>
          <w:szCs w:val="24"/>
        </w:rPr>
        <w:t xml:space="preserve">10.1 </w:t>
      </w:r>
      <w:r>
        <w:rPr>
          <w:rStyle w:val="42"/>
          <w:rFonts w:hint="eastAsia" w:ascii="Times New Roman" w:hAnsi="Times New Roman" w:cs="Times New Roman"/>
          <w:szCs w:val="24"/>
        </w:rPr>
        <w:t>政策风险</w:t>
      </w:r>
      <w:r>
        <w:rPr>
          <w:szCs w:val="24"/>
        </w:rPr>
        <w:tab/>
      </w:r>
      <w:r>
        <w:rPr>
          <w:szCs w:val="24"/>
        </w:rPr>
        <w:fldChar w:fldCharType="begin"/>
      </w:r>
      <w:r>
        <w:rPr>
          <w:szCs w:val="24"/>
        </w:rPr>
        <w:instrText xml:space="preserve"> PAGEREF _Toc482661602 \h </w:instrText>
      </w:r>
      <w:r>
        <w:rPr>
          <w:szCs w:val="24"/>
        </w:rPr>
        <w:fldChar w:fldCharType="separate"/>
      </w:r>
      <w:r>
        <w:rPr>
          <w:szCs w:val="24"/>
        </w:rPr>
        <w:t>54</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"_Toc482661603" </w:instrText>
      </w:r>
      <w:r>
        <w:fldChar w:fldCharType="separate"/>
      </w:r>
      <w:r>
        <w:rPr>
          <w:rStyle w:val="42"/>
          <w:rFonts w:ascii="Times New Roman" w:hAnsi="Times New Roman" w:cs="Times New Roman"/>
          <w:szCs w:val="24"/>
        </w:rPr>
        <w:t xml:space="preserve">10.2 </w:t>
      </w:r>
      <w:r>
        <w:rPr>
          <w:rStyle w:val="42"/>
          <w:rFonts w:hint="eastAsia" w:ascii="Times New Roman" w:hAnsi="Times New Roman" w:cs="Times New Roman"/>
          <w:szCs w:val="24"/>
        </w:rPr>
        <w:t>技术风险</w:t>
      </w:r>
      <w:r>
        <w:rPr>
          <w:szCs w:val="24"/>
        </w:rPr>
        <w:tab/>
      </w:r>
      <w:r>
        <w:rPr>
          <w:szCs w:val="24"/>
        </w:rPr>
        <w:fldChar w:fldCharType="begin"/>
      </w:r>
      <w:r>
        <w:rPr>
          <w:szCs w:val="24"/>
        </w:rPr>
        <w:instrText xml:space="preserve"> PAGEREF _Toc482661603 \h </w:instrText>
      </w:r>
      <w:r>
        <w:rPr>
          <w:szCs w:val="24"/>
        </w:rPr>
        <w:fldChar w:fldCharType="separate"/>
      </w:r>
      <w:r>
        <w:rPr>
          <w:szCs w:val="24"/>
        </w:rPr>
        <w:t>54</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"_Toc482661604" </w:instrText>
      </w:r>
      <w:r>
        <w:fldChar w:fldCharType="separate"/>
      </w:r>
      <w:r>
        <w:rPr>
          <w:rStyle w:val="42"/>
          <w:rFonts w:ascii="Times New Roman" w:hAnsi="Times New Roman" w:cs="Times New Roman"/>
          <w:szCs w:val="24"/>
        </w:rPr>
        <w:t xml:space="preserve">10.3 </w:t>
      </w:r>
      <w:r>
        <w:rPr>
          <w:rStyle w:val="42"/>
          <w:rFonts w:hint="eastAsia" w:ascii="Times New Roman" w:hAnsi="Times New Roman" w:cs="Times New Roman"/>
          <w:szCs w:val="24"/>
        </w:rPr>
        <w:t>资金风险</w:t>
      </w:r>
      <w:r>
        <w:rPr>
          <w:szCs w:val="24"/>
        </w:rPr>
        <w:tab/>
      </w:r>
      <w:r>
        <w:rPr>
          <w:szCs w:val="24"/>
        </w:rPr>
        <w:fldChar w:fldCharType="begin"/>
      </w:r>
      <w:r>
        <w:rPr>
          <w:szCs w:val="24"/>
        </w:rPr>
        <w:instrText xml:space="preserve"> PAGEREF _Toc482661604 \h </w:instrText>
      </w:r>
      <w:r>
        <w:rPr>
          <w:szCs w:val="24"/>
        </w:rPr>
        <w:fldChar w:fldCharType="separate"/>
      </w:r>
      <w:r>
        <w:rPr>
          <w:szCs w:val="24"/>
        </w:rPr>
        <w:t>55</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"_Toc482661605" </w:instrText>
      </w:r>
      <w:r>
        <w:fldChar w:fldCharType="separate"/>
      </w:r>
      <w:r>
        <w:rPr>
          <w:rStyle w:val="42"/>
          <w:rFonts w:ascii="Times New Roman" w:hAnsi="Times New Roman" w:cs="Times New Roman"/>
          <w:szCs w:val="24"/>
        </w:rPr>
        <w:t xml:space="preserve">10.4 </w:t>
      </w:r>
      <w:r>
        <w:rPr>
          <w:rStyle w:val="42"/>
          <w:rFonts w:hint="eastAsia" w:ascii="Times New Roman" w:hAnsi="Times New Roman" w:cs="Times New Roman"/>
          <w:szCs w:val="24"/>
        </w:rPr>
        <w:t>项目管理风险</w:t>
      </w:r>
      <w:r>
        <w:rPr>
          <w:szCs w:val="24"/>
        </w:rPr>
        <w:tab/>
      </w:r>
      <w:r>
        <w:rPr>
          <w:szCs w:val="24"/>
        </w:rPr>
        <w:fldChar w:fldCharType="begin"/>
      </w:r>
      <w:r>
        <w:rPr>
          <w:szCs w:val="24"/>
        </w:rPr>
        <w:instrText xml:space="preserve"> PAGEREF _Toc482661605 \h </w:instrText>
      </w:r>
      <w:r>
        <w:rPr>
          <w:szCs w:val="24"/>
        </w:rPr>
        <w:fldChar w:fldCharType="separate"/>
      </w:r>
      <w:r>
        <w:rPr>
          <w:szCs w:val="24"/>
        </w:rPr>
        <w:t>55</w:t>
      </w:r>
      <w:r>
        <w:rPr>
          <w:szCs w:val="24"/>
        </w:rPr>
        <w:fldChar w:fldCharType="end"/>
      </w:r>
      <w:r>
        <w:rPr>
          <w:szCs w:val="24"/>
        </w:rPr>
        <w:fldChar w:fldCharType="end"/>
      </w:r>
    </w:p>
    <w:p>
      <w:pPr>
        <w:pStyle w:val="22"/>
        <w:tabs>
          <w:tab w:val="right" w:leader="dot" w:pos="8296"/>
        </w:tabs>
        <w:rPr>
          <w:szCs w:val="24"/>
        </w:rPr>
      </w:pPr>
      <w:r>
        <w:fldChar w:fldCharType="begin"/>
      </w:r>
      <w:r>
        <w:instrText xml:space="preserve"> HYPERLINK \l "_Toc482661606" </w:instrText>
      </w:r>
      <w:r>
        <w:fldChar w:fldCharType="separate"/>
      </w:r>
      <w:r>
        <w:rPr>
          <w:rStyle w:val="42"/>
          <w:rFonts w:ascii="Times New Roman" w:hAnsi="Times New Roman" w:cs="Times New Roman"/>
          <w:szCs w:val="24"/>
        </w:rPr>
        <w:t>11</w:t>
      </w:r>
      <w:r>
        <w:rPr>
          <w:rStyle w:val="42"/>
          <w:rFonts w:hint="eastAsia" w:ascii="Times New Roman" w:hAnsi="Times New Roman" w:cs="Times New Roman"/>
          <w:szCs w:val="24"/>
        </w:rPr>
        <w:t>附件与附图</w:t>
      </w:r>
      <w:r>
        <w:rPr>
          <w:szCs w:val="24"/>
        </w:rPr>
        <w:tab/>
      </w:r>
      <w:r>
        <w:rPr>
          <w:szCs w:val="24"/>
        </w:rPr>
        <w:fldChar w:fldCharType="begin"/>
      </w:r>
      <w:r>
        <w:rPr>
          <w:szCs w:val="24"/>
        </w:rPr>
        <w:instrText xml:space="preserve"> PAGEREF _Toc482661606 \h </w:instrText>
      </w:r>
      <w:r>
        <w:rPr>
          <w:szCs w:val="24"/>
        </w:rPr>
        <w:fldChar w:fldCharType="separate"/>
      </w:r>
      <w:r>
        <w:rPr>
          <w:szCs w:val="24"/>
        </w:rPr>
        <w:t>56</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"_Toc482661607" </w:instrText>
      </w:r>
      <w:r>
        <w:fldChar w:fldCharType="separate"/>
      </w:r>
      <w:r>
        <w:rPr>
          <w:rStyle w:val="42"/>
          <w:rFonts w:ascii="Times New Roman" w:hAnsi="Times New Roman" w:cs="Times New Roman"/>
          <w:szCs w:val="24"/>
        </w:rPr>
        <w:t>11.1</w:t>
      </w:r>
      <w:r>
        <w:rPr>
          <w:rStyle w:val="42"/>
          <w:rFonts w:hint="eastAsia" w:ascii="Times New Roman" w:hAnsi="Times New Roman" w:cs="Times New Roman"/>
          <w:szCs w:val="24"/>
        </w:rPr>
        <w:t>附件</w:t>
      </w:r>
      <w:r>
        <w:rPr>
          <w:szCs w:val="24"/>
        </w:rPr>
        <w:tab/>
      </w:r>
      <w:r>
        <w:rPr>
          <w:szCs w:val="24"/>
        </w:rPr>
        <w:fldChar w:fldCharType="begin"/>
      </w:r>
      <w:r>
        <w:rPr>
          <w:szCs w:val="24"/>
        </w:rPr>
        <w:instrText xml:space="preserve"> PAGEREF _Toc482661607 \h </w:instrText>
      </w:r>
      <w:r>
        <w:rPr>
          <w:szCs w:val="24"/>
        </w:rPr>
        <w:fldChar w:fldCharType="separate"/>
      </w:r>
      <w:r>
        <w:rPr>
          <w:szCs w:val="24"/>
        </w:rPr>
        <w:t>56</w:t>
      </w:r>
      <w:r>
        <w:rPr>
          <w:szCs w:val="24"/>
        </w:rPr>
        <w:fldChar w:fldCharType="end"/>
      </w:r>
      <w:r>
        <w:rPr>
          <w:szCs w:val="24"/>
        </w:rPr>
        <w:fldChar w:fldCharType="end"/>
      </w:r>
    </w:p>
    <w:p>
      <w:pPr>
        <w:pStyle w:val="26"/>
        <w:tabs>
          <w:tab w:val="right" w:leader="dot" w:pos="8296"/>
        </w:tabs>
        <w:ind w:left="480"/>
        <w:rPr>
          <w:szCs w:val="24"/>
        </w:rPr>
      </w:pPr>
      <w:r>
        <w:fldChar w:fldCharType="begin"/>
      </w:r>
      <w:r>
        <w:instrText xml:space="preserve"> HYPERLINK \l "_Toc482661608" </w:instrText>
      </w:r>
      <w:r>
        <w:fldChar w:fldCharType="separate"/>
      </w:r>
      <w:r>
        <w:rPr>
          <w:rStyle w:val="42"/>
          <w:rFonts w:ascii="Times New Roman" w:hAnsi="Times New Roman" w:cs="Times New Roman"/>
          <w:szCs w:val="24"/>
        </w:rPr>
        <w:t>11.2</w:t>
      </w:r>
      <w:r>
        <w:rPr>
          <w:rStyle w:val="42"/>
          <w:rFonts w:hint="eastAsia" w:ascii="Times New Roman" w:hAnsi="Times New Roman" w:cs="Times New Roman"/>
          <w:szCs w:val="24"/>
        </w:rPr>
        <w:t>附图</w:t>
      </w:r>
      <w:r>
        <w:rPr>
          <w:szCs w:val="24"/>
        </w:rPr>
        <w:tab/>
      </w:r>
      <w:r>
        <w:rPr>
          <w:szCs w:val="24"/>
        </w:rPr>
        <w:fldChar w:fldCharType="begin"/>
      </w:r>
      <w:r>
        <w:rPr>
          <w:szCs w:val="24"/>
        </w:rPr>
        <w:instrText xml:space="preserve"> PAGEREF _Toc482661608 \h </w:instrText>
      </w:r>
      <w:r>
        <w:rPr>
          <w:szCs w:val="24"/>
        </w:rPr>
        <w:fldChar w:fldCharType="separate"/>
      </w:r>
      <w:r>
        <w:rPr>
          <w:szCs w:val="24"/>
        </w:rPr>
        <w:t>56</w:t>
      </w:r>
      <w:r>
        <w:rPr>
          <w:szCs w:val="24"/>
        </w:rPr>
        <w:fldChar w:fldCharType="end"/>
      </w:r>
      <w:r>
        <w:rPr>
          <w:szCs w:val="24"/>
        </w:rPr>
        <w:fldChar w:fldCharType="end"/>
      </w:r>
    </w:p>
    <w:p>
      <w:pPr>
        <w:jc w:val="center"/>
        <w:rPr>
          <w:rFonts w:ascii="Times New Roman" w:hAnsi="Times New Roman" w:cs="Times New Roman"/>
          <w:color w:val="000000" w:themeColor="text1"/>
          <w:szCs w:val="24"/>
        </w:rPr>
      </w:pPr>
      <w:r>
        <w:rPr>
          <w:rFonts w:ascii="Times New Roman" w:hAnsi="Times New Roman" w:cs="Times New Roman"/>
          <w:b/>
          <w:color w:val="000000" w:themeColor="text1"/>
          <w:szCs w:val="24"/>
        </w:rPr>
        <w:fldChar w:fldCharType="end"/>
      </w:r>
    </w:p>
    <w:p>
      <w:pPr>
        <w:jc w:val="center"/>
        <w:rPr>
          <w:rFonts w:ascii="Times New Roman" w:hAnsi="Times New Roman" w:cs="Times New Roman"/>
          <w:color w:val="000000" w:themeColor="text1"/>
          <w:szCs w:val="24"/>
        </w:rPr>
      </w:pPr>
    </w:p>
    <w:p>
      <w:pPr>
        <w:jc w:val="center"/>
        <w:rPr>
          <w:rFonts w:ascii="Times New Roman" w:hAnsi="Times New Roman" w:cs="Times New Roman"/>
          <w:color w:val="000000" w:themeColor="text1"/>
          <w:sz w:val="32"/>
          <w:szCs w:val="32"/>
        </w:rPr>
      </w:pPr>
    </w:p>
    <w:p>
      <w:pPr>
        <w:jc w:val="center"/>
        <w:rPr>
          <w:rFonts w:ascii="Times New Roman" w:hAnsi="Times New Roman" w:cs="Times New Roman"/>
          <w:color w:val="000000" w:themeColor="text1"/>
          <w:sz w:val="32"/>
          <w:szCs w:val="32"/>
        </w:rPr>
        <w:sectPr>
          <w:pgSz w:w="11906" w:h="16838"/>
          <w:pgMar w:top="1440" w:right="1800" w:bottom="1440" w:left="1800" w:header="851" w:footer="992" w:gutter="0"/>
          <w:pgNumType w:fmt="decimal"/>
          <w:cols w:space="720" w:num="1"/>
          <w:docGrid w:type="lines" w:linePitch="312" w:charSpace="0"/>
        </w:sectPr>
      </w:pPr>
    </w:p>
    <w:p>
      <w:pPr>
        <w:pStyle w:val="2"/>
        <w:rPr>
          <w:rFonts w:ascii="Times New Roman" w:hAnsi="Times New Roman" w:cs="Times New Roman" w:eastAsiaTheme="minorEastAsia"/>
        </w:rPr>
      </w:pPr>
      <w:bookmarkStart w:id="0" w:name="_Toc482661565"/>
      <w:r>
        <w:rPr>
          <w:rFonts w:ascii="Times New Roman" w:hAnsi="Times New Roman" w:cs="Times New Roman" w:eastAsiaTheme="minorEastAsia"/>
        </w:rPr>
        <w:t>1项目概况</w:t>
      </w:r>
      <w:bookmarkEnd w:id="0"/>
    </w:p>
    <w:p>
      <w:pPr>
        <w:pStyle w:val="3"/>
        <w:ind w:right="480"/>
        <w:rPr>
          <w:rFonts w:ascii="Times New Roman" w:hAnsi="Times New Roman" w:cs="Times New Roman" w:eastAsiaTheme="minorEastAsia"/>
          <w:color w:val="000000" w:themeColor="text1"/>
        </w:rPr>
      </w:pPr>
      <w:bookmarkStart w:id="1" w:name="_Toc482661566"/>
      <w:r>
        <w:rPr>
          <w:rFonts w:ascii="Times New Roman" w:hAnsi="Times New Roman" w:cs="Times New Roman" w:eastAsiaTheme="minorEastAsia"/>
          <w:color w:val="000000" w:themeColor="text1"/>
        </w:rPr>
        <w:t>1.1 项目背景</w:t>
      </w:r>
      <w:bookmarkEnd w:id="1"/>
    </w:p>
    <w:p>
      <w:pPr>
        <w:snapToGrid w:val="0"/>
        <w:ind w:firstLine="480" w:firstLineChars="200"/>
        <w:rPr>
          <w:rFonts w:ascii="Times New Roman" w:hAnsi="Times New Roman" w:cs="Times New Roman"/>
          <w:szCs w:val="24"/>
        </w:rPr>
      </w:pPr>
      <w:r>
        <w:rPr>
          <w:rFonts w:ascii="Times New Roman" w:hAnsi="Times New Roman" w:cs="Times New Roman"/>
          <w:szCs w:val="24"/>
        </w:rPr>
        <w:t>在城市地区，随着我国城市化进程的加快、产业结构调整以及“退二进三”旧城改造政策的实施，全国大部分大中城市都面临着大批工业企业的搬迁。这些搬迁企业遗留场地都存在着不同程度的污染，对场地周边居民以及场地后期再利用的人群、地下水及周边水体均会产生危害。搬迁后遗留场地中存在着为数众多的农药厂退役场地。由于历史的原因，我国农药厂有着生产历史长、转产合并次数多和生产工艺参差不齐等特点，这些特征预示着农药厂搬迁后的退役场地可能存在复杂的污染。对这类退役场地开展调查评估是地块进行流转再开发利用前必须开展的工作，目的在于查清地块污染情况和对人体健康的风险以及筛选确定要修复的目标污染物。</w:t>
      </w:r>
    </w:p>
    <w:p>
      <w:pPr>
        <w:snapToGrid w:val="0"/>
        <w:ind w:firstLine="480" w:firstLineChars="200"/>
        <w:rPr>
          <w:rFonts w:ascii="Times New Roman" w:hAnsi="Times New Roman" w:cs="Times New Roman"/>
          <w:szCs w:val="24"/>
        </w:rPr>
      </w:pPr>
      <w:r>
        <w:rPr>
          <w:rFonts w:ascii="Times New Roman" w:hAnsi="Times New Roman" w:cs="Times New Roman"/>
          <w:szCs w:val="24"/>
        </w:rPr>
        <w:t>为改善土壤环境质量，环保部2008年就加强土壤污染防治工作提出《关于加强土壤污染防治工作的意见》，并陆续出台了《污染场地土壤修复技术导则》、《场地环境调查技术导则》及《土壤污染防治行动计划》等技术准则与法规。湖南省省委、省政府高度重视土壤环境保护工作，2016年下达了《湖南省环境保护厅关于开展土壤污染源、污染地块调查的通知》（湘环函〔2016〕533号），并制定了《湖南省土壤污染源、污染地块调查工作方案》，对全省各市的土壤污染源、污染地块进行了调查统计。在此背景下，2017年1月，益阳市赫山区全面展开了全区土壤污染源、污染地块调查工作。调查结果显示，位于赫山区桃花仑社区三里桥街道的益阳润慷宝化工有限公司（原益阳市农药厂）搬迁后的废弃地块可能存在较大的污染。</w:t>
      </w:r>
    </w:p>
    <w:p>
      <w:pPr>
        <w:snapToGrid w:val="0"/>
        <w:ind w:firstLine="480" w:firstLineChars="200"/>
        <w:rPr>
          <w:rFonts w:ascii="Times New Roman" w:hAnsi="Times New Roman" w:cs="Times New Roman"/>
          <w:szCs w:val="24"/>
        </w:rPr>
      </w:pPr>
      <w:r>
        <w:rPr>
          <w:rFonts w:ascii="Times New Roman" w:hAnsi="Times New Roman" w:cs="Times New Roman"/>
          <w:szCs w:val="24"/>
        </w:rPr>
        <w:t>益阳润慷宝化工有限公司前身为益阳市农药厂（以下简称“农药厂”），曾是我省从事六六六加工制剂最早、生产规模较大的厂家之一。农药厂由原市化工厂转产而来，市化工厂始建于 1963 年，主要生产硫化钠等产品。1974年改为市农药厂，主要生产产品为六六六加工制剂和硫化钠。1983年以后，随着六六六的禁用，农药厂以杀虫双、杀虫单、氧化乐果为主打产品。2001年，农药厂改制为润慷宝化工有限公司，仍从事农药的生产。除杀虫双、杀虫单等传统产品外，此阶段公司新增三唑磷、杀虫脒、异丙威、扑虱灵乳油等产品。2009年，益阳润慷宝化工有限公司被江苏长青农化股份有限公司收购，之后随即迁至资阳区长青路。原厂区为被益阳市城市投资建设有限公司收购，计划用于附近棚户区改造开发。</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结合土壤污染调查结果，益阳市润慷宝（原农药厂）污染场地符合《国家环境保护“十三五”环境与健康工作规划》和《2017年度湖南省土壤污染防治项目储备库建设技术方案》内容要求，同时符合国家土壤污染治理的环保政策。在此背景下，益阳市赫山区政府委托我公司编写了《益阳市润慷宝（原农药厂）污染场地土壤治理项目实施方案》。</w:t>
      </w:r>
    </w:p>
    <w:p>
      <w:pPr>
        <w:pStyle w:val="3"/>
        <w:ind w:right="480"/>
        <w:rPr>
          <w:rFonts w:ascii="Times New Roman" w:hAnsi="Times New Roman" w:cs="Times New Roman" w:eastAsiaTheme="minorEastAsia"/>
          <w:color w:val="000000" w:themeColor="text1"/>
        </w:rPr>
      </w:pPr>
      <w:bookmarkStart w:id="2" w:name="_Toc482661567"/>
      <w:r>
        <w:rPr>
          <w:rFonts w:ascii="Times New Roman" w:hAnsi="Times New Roman" w:cs="Times New Roman" w:eastAsiaTheme="minorEastAsia"/>
          <w:color w:val="000000" w:themeColor="text1"/>
        </w:rPr>
        <w:t>1.2 项目必要性</w:t>
      </w:r>
      <w:bookmarkEnd w:id="2"/>
    </w:p>
    <w:p>
      <w:pPr>
        <w:rPr>
          <w:rFonts w:ascii="Times New Roman" w:hAnsi="Times New Roman" w:cs="Times New Roman"/>
        </w:rPr>
      </w:pPr>
      <w:r>
        <w:rPr>
          <w:rFonts w:ascii="Times New Roman" w:hAnsi="Times New Roman" w:cs="Times New Roman"/>
        </w:rPr>
        <w:t>1.2.1加强土壤污染防治、保护土壤质量安全的需求</w:t>
      </w:r>
    </w:p>
    <w:p>
      <w:pPr>
        <w:snapToGrid w:val="0"/>
        <w:ind w:firstLine="480" w:firstLineChars="200"/>
        <w:rPr>
          <w:rFonts w:ascii="Times New Roman" w:hAnsi="Times New Roman" w:cs="Times New Roman"/>
          <w:szCs w:val="24"/>
        </w:rPr>
      </w:pPr>
      <w:r>
        <w:rPr>
          <w:rFonts w:ascii="Times New Roman" w:hAnsi="Times New Roman" w:cs="Times New Roman"/>
          <w:color w:val="000000" w:themeColor="text1"/>
        </w:rPr>
        <w:t>土壤由矿物质、有机质、水、空气和生物组成，是陆地上具有肥力并能生长植物的疏松表层。土壤是人类赖以生存和发展的重要物质基础。土壤环境安全直接影响到食品安全，进而影响到人体健康。历史上的“痛痛病”、“水俣病”等环境公害事件均由土壤污染引起。</w:t>
      </w:r>
      <w:r>
        <w:rPr>
          <w:rFonts w:ascii="Times New Roman" w:hAnsi="Times New Roman" w:cs="Times New Roman"/>
          <w:szCs w:val="24"/>
        </w:rPr>
        <w:t>由于历史的原因，我国农药厂有着生产历史长、转产合并次数多和生产工艺参差不齐等特点，这些特征预示着农药厂搬迁后的退役场地可能存在复杂的污染。对这类退役场地开展调查评估是地块进行流转再开发利用前必须开展的工作，目的在于查清地块污染情况和对人体健康的风险以及筛选确定要修复的目标污染物。</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益阳市润慷宝（原农药厂）污染地块经废弃后，其生产车间、仓库等建筑物均已拆除，但地表土壤和一些废渣等未经处理，露天直接堆放于地表环境中，遗留物中存在大量的有机农药等有毒有害物质随降雨或地表径流进入周边水体，通过渗透等环境行为有毒有害物质进入土壤和地下水，造成环境污染。天气干燥时期，地表飞灰可能随风迁移到远处，造成大范围污染。为切实保护和改善土壤质量，从源头控制土壤污染风险，我国目前正大力开展土壤污染调查、土壤污染治理工作。因此益阳市润慷宝（原农药厂）污染地块治理项目是加强土壤污染防治，保护土壤质量安全的需求。</w:t>
      </w:r>
    </w:p>
    <w:p>
      <w:pPr>
        <w:rPr>
          <w:rFonts w:ascii="Times New Roman" w:hAnsi="Times New Roman" w:cs="Times New Roman"/>
        </w:rPr>
      </w:pPr>
      <w:r>
        <w:rPr>
          <w:rFonts w:ascii="Times New Roman" w:hAnsi="Times New Roman" w:cs="Times New Roman"/>
        </w:rPr>
        <w:t>1.2.2保护水资源、维护洞庭湖流域水环境平衡的需要</w:t>
      </w:r>
    </w:p>
    <w:p>
      <w:pPr>
        <w:pStyle w:val="18"/>
        <w:adjustRightInd w:val="0"/>
        <w:snapToGrid w:val="0"/>
        <w:spacing w:line="360" w:lineRule="auto"/>
        <w:ind w:left="0" w:leftChars="0" w:firstLine="708" w:firstLineChars="295"/>
        <w:rPr>
          <w:rFonts w:ascii="Times New Roman" w:hAnsi="Times New Roman" w:eastAsiaTheme="minorEastAsia"/>
          <w:sz w:val="24"/>
        </w:rPr>
      </w:pPr>
      <w:r>
        <w:rPr>
          <w:rFonts w:ascii="Times New Roman" w:hAnsi="Times New Roman" w:eastAsiaTheme="minorEastAsia"/>
          <w:sz w:val="24"/>
        </w:rPr>
        <w:t>资江，又名资水，为湖南省第三大河，在广西壮族自治区东北部和湖南省中部。有二源，南源夫夷水出广西壮族自治区资源县越城岭西麓桐木江，流经资源县城，于梅溪进入湖南新宁县境。西源（一般作为主源）郝水出湖南省步苗族自治县资源青界山西麓黄马界，流经武冈、新化、安化、桃江、资阳、赫山等县市，全长653公里，流域面积28201平方公里。至益阳分两支，北支出杨柳潭入南洞庭湖，南支在湘阴县临资口入湘江。资江流域自马迹塘至益阳市，河谷宽阔，水丰流缓。资水是湖南省水系的重要组成部分。益阳市润慷宝（原农药厂）污染地块北侧邻近资江，相距仅700余米，位于资水集雨区范围内，降水降雨后，污染地块积水易渗透至地下水。</w:t>
      </w:r>
    </w:p>
    <w:p>
      <w:pPr>
        <w:pStyle w:val="18"/>
        <w:adjustRightInd w:val="0"/>
        <w:snapToGrid w:val="0"/>
        <w:spacing w:line="360" w:lineRule="auto"/>
        <w:ind w:left="0" w:leftChars="0" w:firstLine="708" w:firstLineChars="295"/>
        <w:rPr>
          <w:rFonts w:ascii="Times New Roman" w:hAnsi="Times New Roman" w:eastAsiaTheme="minorEastAsia"/>
          <w:sz w:val="24"/>
        </w:rPr>
      </w:pPr>
      <w:r>
        <w:rPr>
          <w:rFonts w:ascii="Times New Roman" w:hAnsi="Times New Roman" w:eastAsiaTheme="minorEastAsia"/>
          <w:sz w:val="24"/>
        </w:rPr>
        <w:t>污染地块东面紧邻原兰溪哑河。根据调查，原兰溪河与其干流资江的汇流处即现污染场北侧位置，因1952年整修南洞庭堵口并流，该兰溪河成为一条哑河。由于几十年来受益阳城区每年几十万吨生活污水和工业废水影响，这里的水质长期为五类，部分河段为劣五类，严重影响居民生产生活及渔业生产，整条河流失去农田灌溉和渔业水体功能。1998年，益阳市资江三桥选址兰溪哑河东侧，从团洲巷处将兰溪哑河隔断，原哑河位置由人工填土予以填实。填实后的兰溪哑河地块用作当块苗圃用地，用于培育树苗及花卉苗。益阳市润慷宝（原农药厂）污染地块周边均用于</w:t>
      </w:r>
      <w:r>
        <w:rPr>
          <w:rFonts w:ascii="Times New Roman" w:hAnsi="Times New Roman" w:eastAsiaTheme="minorEastAsia"/>
          <w:sz w:val="24"/>
          <w:szCs w:val="24"/>
        </w:rPr>
        <w:t>二类居民用地。污染场地周边人口密集，</w:t>
      </w:r>
      <w:r>
        <w:rPr>
          <w:rFonts w:ascii="Times New Roman" w:hAnsi="Times New Roman" w:eastAsiaTheme="minorEastAsia"/>
          <w:sz w:val="24"/>
        </w:rPr>
        <w:t>用水范围大，对水质要求高。因此，本项目的实施对于防治当地水环境污染具有重要意义，同时也是维护洞庭湖流域水环境平衡的需求。</w:t>
      </w:r>
    </w:p>
    <w:p>
      <w:pPr>
        <w:rPr>
          <w:rFonts w:ascii="Times New Roman" w:hAnsi="Times New Roman" w:cs="Times New Roman"/>
        </w:rPr>
      </w:pPr>
      <w:r>
        <w:rPr>
          <w:rFonts w:ascii="Times New Roman" w:hAnsi="Times New Roman" w:cs="Times New Roman"/>
        </w:rPr>
        <w:t>1.2.3以人为本，维护社会安定的需求</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湖南省地处亚热带，属于亚热带季风温润气候，降水充沛且集中。随着降雨露天场地中的污染物迁移至土壤和水体环境中，引起土壤环境和水体环境污染，严重危害周边居民的身体健康。污染场地的治理事关当地人民群众的切身利益，当地政府也对此事件高度重视。</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因此，对益阳市润慷宝（原农药厂）污染地块采取治理措施是以人为本，维护社会稳定和谐的需要。</w:t>
      </w:r>
    </w:p>
    <w:p>
      <w:pPr>
        <w:ind w:firstLine="480" w:firstLineChars="200"/>
        <w:rPr>
          <w:rFonts w:ascii="Times New Roman" w:hAnsi="Times New Roman" w:cs="Times New Roman"/>
          <w:color w:val="000000" w:themeColor="text1"/>
        </w:rPr>
      </w:pPr>
    </w:p>
    <w:p>
      <w:pPr>
        <w:ind w:firstLine="480" w:firstLineChars="200"/>
        <w:rPr>
          <w:rFonts w:ascii="Times New Roman" w:hAnsi="Times New Roman" w:cs="Times New Roman"/>
          <w:color w:val="000000" w:themeColor="text1"/>
        </w:rPr>
      </w:pPr>
    </w:p>
    <w:p>
      <w:pPr>
        <w:ind w:firstLine="480" w:firstLineChars="200"/>
        <w:rPr>
          <w:rFonts w:ascii="Times New Roman" w:hAnsi="Times New Roman" w:cs="Times New Roman"/>
          <w:color w:val="000000" w:themeColor="text1"/>
        </w:rPr>
      </w:pPr>
    </w:p>
    <w:p>
      <w:pPr>
        <w:ind w:firstLine="480" w:firstLineChars="200"/>
        <w:rPr>
          <w:rFonts w:ascii="Times New Roman" w:hAnsi="Times New Roman" w:cs="Times New Roman"/>
          <w:color w:val="000000" w:themeColor="text1"/>
        </w:rPr>
      </w:pPr>
    </w:p>
    <w:p>
      <w:pPr>
        <w:ind w:firstLine="480" w:firstLineChars="200"/>
        <w:rPr>
          <w:rFonts w:ascii="Times New Roman" w:hAnsi="Times New Roman" w:cs="Times New Roman"/>
          <w:color w:val="000000" w:themeColor="text1"/>
        </w:rPr>
      </w:pPr>
    </w:p>
    <w:p>
      <w:pPr>
        <w:ind w:firstLine="480" w:firstLineChars="200"/>
        <w:rPr>
          <w:rFonts w:ascii="Times New Roman" w:hAnsi="Times New Roman" w:cs="Times New Roman"/>
          <w:color w:val="000000" w:themeColor="text1"/>
        </w:rPr>
      </w:pPr>
    </w:p>
    <w:p>
      <w:pPr>
        <w:pStyle w:val="2"/>
        <w:wordWrap w:val="0"/>
        <w:topLinePunct/>
        <w:adjustRightInd w:val="0"/>
        <w:snapToGrid w:val="0"/>
        <w:spacing w:before="156" w:beforeLines="50" w:after="156" w:afterLines="50" w:line="520" w:lineRule="exact"/>
        <w:rPr>
          <w:rFonts w:ascii="Times New Roman" w:hAnsi="Times New Roman" w:cs="Times New Roman" w:eastAsiaTheme="minorEastAsia"/>
          <w:color w:val="000000" w:themeColor="text1"/>
        </w:rPr>
      </w:pPr>
      <w:bookmarkStart w:id="3" w:name="_Toc482661568"/>
      <w:r>
        <w:rPr>
          <w:rFonts w:ascii="Times New Roman" w:hAnsi="Times New Roman" w:cs="Times New Roman" w:eastAsiaTheme="minorEastAsia"/>
          <w:color w:val="000000" w:themeColor="text1"/>
        </w:rPr>
        <w:t>2  编制依据</w:t>
      </w:r>
      <w:bookmarkEnd w:id="3"/>
    </w:p>
    <w:p>
      <w:pPr>
        <w:pStyle w:val="3"/>
        <w:ind w:right="480"/>
        <w:rPr>
          <w:rFonts w:ascii="Times New Roman" w:hAnsi="Times New Roman" w:cs="Times New Roman" w:eastAsiaTheme="minorEastAsia"/>
          <w:b w:val="0"/>
          <w:color w:val="000000" w:themeColor="text1"/>
        </w:rPr>
      </w:pPr>
      <w:bookmarkStart w:id="4" w:name="_Toc482661569"/>
      <w:r>
        <w:rPr>
          <w:rFonts w:ascii="Times New Roman" w:hAnsi="Times New Roman" w:cs="Times New Roman" w:eastAsiaTheme="minorEastAsia"/>
          <w:b w:val="0"/>
          <w:color w:val="000000" w:themeColor="text1"/>
        </w:rPr>
        <w:t>2.1 法律法规、相关政策</w:t>
      </w:r>
      <w:bookmarkEnd w:id="4"/>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《中华人民共和国环境保护法》（2015年1月1日）</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《中华人民共和国土地管理法》（2004年8月1日）</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rPr>
        <w:t>《中华人民共和国水污染防治法》（</w:t>
      </w:r>
      <w:r>
        <w:rPr>
          <w:rFonts w:ascii="Times New Roman" w:hAnsi="Times New Roman" w:cs="Times New Roman"/>
          <w:szCs w:val="24"/>
        </w:rPr>
        <w:t>2008年6月1日</w:t>
      </w:r>
      <w:r>
        <w:rPr>
          <w:rFonts w:ascii="Times New Roman" w:hAnsi="Times New Roman" w:cs="Times New Roman"/>
        </w:rPr>
        <w:t>）</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《中华人民共和国水土保持法实施条例》（2011年1月8日修正）</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《中华人民共和国固体废物污染环境防治法》（2005）</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rPr>
        <w:t>《</w:t>
      </w:r>
      <w:r>
        <w:rPr>
          <w:rFonts w:ascii="Times New Roman" w:hAnsi="Times New Roman" w:cs="Times New Roman"/>
          <w:szCs w:val="24"/>
        </w:rPr>
        <w:t>中华人民共和国</w:t>
      </w:r>
      <w:r>
        <w:rPr>
          <w:rFonts w:ascii="Times New Roman" w:hAnsi="Times New Roman" w:cs="Times New Roman"/>
        </w:rPr>
        <w:t>安全生产法》（2014年）</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rPr>
        <w:t>《全国生态</w:t>
      </w:r>
      <w:r>
        <w:rPr>
          <w:rFonts w:ascii="Times New Roman" w:hAnsi="Times New Roman" w:cs="Times New Roman"/>
          <w:szCs w:val="24"/>
        </w:rPr>
        <w:t>环境</w:t>
      </w:r>
      <w:r>
        <w:rPr>
          <w:rFonts w:ascii="Times New Roman" w:hAnsi="Times New Roman" w:cs="Times New Roman"/>
        </w:rPr>
        <w:t>保护纲要》（国发[2000]38号）</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rPr>
        <w:t>《湖南省</w:t>
      </w:r>
      <w:r>
        <w:rPr>
          <w:rFonts w:ascii="Times New Roman" w:hAnsi="Times New Roman" w:cs="Times New Roman"/>
          <w:szCs w:val="24"/>
        </w:rPr>
        <w:t>环境</w:t>
      </w:r>
      <w:r>
        <w:rPr>
          <w:rFonts w:ascii="Times New Roman" w:hAnsi="Times New Roman" w:cs="Times New Roman"/>
        </w:rPr>
        <w:t>保护条例》（2013年）</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《国家环境保护标准“十三五”发展规划》</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《湖南省环境保护“十三五”规划》（2015年）</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湖南省环境保护厅关于印发《湖南省“十三五”环境保护规划》的通知（湘环发[2016]25号）</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《国务院关于印发水污染防治行动计划的通知》（国发[2015]17号）</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《国务院关于印发土壤污染防治行动计划的通知》（国发〔2016〕31号）</w:t>
      </w:r>
    </w:p>
    <w:p>
      <w:pPr>
        <w:widowControl/>
        <w:numPr>
          <w:ilvl w:val="0"/>
          <w:numId w:val="1"/>
        </w:numPr>
        <w:ind w:firstLine="480" w:firstLineChars="200"/>
        <w:jc w:val="both"/>
        <w:rPr>
          <w:rFonts w:ascii="Times New Roman" w:hAnsi="Times New Roman" w:cs="Times New Roman"/>
          <w:kern w:val="0"/>
        </w:rPr>
      </w:pPr>
      <w:r>
        <w:rPr>
          <w:rFonts w:ascii="Times New Roman" w:hAnsi="Times New Roman" w:cs="Times New Roman"/>
          <w:szCs w:val="24"/>
        </w:rPr>
        <w:t>湖南省人民政府关于印发《湖南省贯彻落实〈水污染防治行动计划〉实施方案（2016-2020年）》的通知（湘政发[2015]53号）</w:t>
      </w:r>
    </w:p>
    <w:p>
      <w:pPr>
        <w:widowControl/>
        <w:numPr>
          <w:ilvl w:val="0"/>
          <w:numId w:val="1"/>
        </w:numPr>
        <w:ind w:firstLine="480" w:firstLineChars="200"/>
        <w:jc w:val="both"/>
        <w:rPr>
          <w:rFonts w:ascii="Times New Roman" w:hAnsi="Times New Roman" w:cs="Times New Roman"/>
        </w:rPr>
      </w:pPr>
      <w:r>
        <w:rPr>
          <w:rFonts w:ascii="Times New Roman" w:hAnsi="Times New Roman" w:cs="Times New Roman"/>
          <w:szCs w:val="24"/>
        </w:rPr>
        <w:t>《湖南省环境保护厅关于组织开展2017年度土壤污染防治项目储备库建设工作的通知》</w:t>
      </w:r>
    </w:p>
    <w:p>
      <w:pPr>
        <w:widowControl/>
        <w:numPr>
          <w:ilvl w:val="0"/>
          <w:numId w:val="1"/>
        </w:numPr>
        <w:ind w:firstLine="480" w:firstLineChars="200"/>
        <w:jc w:val="both"/>
        <w:rPr>
          <w:rFonts w:ascii="Times New Roman" w:hAnsi="Times New Roman" w:cs="Times New Roman"/>
          <w:color w:val="000000"/>
        </w:rPr>
      </w:pPr>
      <w:r>
        <w:rPr>
          <w:rFonts w:ascii="Times New Roman" w:hAnsi="Times New Roman" w:cs="Times New Roman"/>
        </w:rPr>
        <w:t>《湖南省</w:t>
      </w:r>
      <w:r>
        <w:rPr>
          <w:rFonts w:ascii="Times New Roman" w:hAnsi="Times New Roman" w:cs="Times New Roman"/>
          <w:szCs w:val="24"/>
        </w:rPr>
        <w:t>建设</w:t>
      </w:r>
      <w:r>
        <w:rPr>
          <w:rFonts w:ascii="Times New Roman" w:hAnsi="Times New Roman" w:cs="Times New Roman"/>
        </w:rPr>
        <w:t>项目环境管理规定》（湖南省人民政府第12号令）</w:t>
      </w:r>
    </w:p>
    <w:p>
      <w:pPr>
        <w:widowControl/>
        <w:numPr>
          <w:ilvl w:val="0"/>
          <w:numId w:val="1"/>
        </w:numPr>
        <w:ind w:firstLine="480" w:firstLineChars="200"/>
        <w:jc w:val="both"/>
        <w:rPr>
          <w:rFonts w:ascii="Times New Roman" w:hAnsi="Times New Roman" w:cs="Times New Roman"/>
          <w:color w:val="000000"/>
        </w:rPr>
      </w:pPr>
      <w:r>
        <w:rPr>
          <w:rFonts w:ascii="Times New Roman" w:hAnsi="Times New Roman" w:cs="Times New Roman"/>
          <w:color w:val="000000"/>
          <w:szCs w:val="24"/>
        </w:rPr>
        <w:t>《财政部、</w:t>
      </w:r>
      <w:r>
        <w:rPr>
          <w:rFonts w:ascii="Times New Roman" w:hAnsi="Times New Roman" w:cs="Times New Roman"/>
          <w:color w:val="000000"/>
        </w:rPr>
        <w:t>环境保护部</w:t>
      </w:r>
      <w:r>
        <w:rPr>
          <w:rFonts w:ascii="Times New Roman" w:hAnsi="Times New Roman" w:cs="Times New Roman"/>
          <w:color w:val="000000"/>
          <w:szCs w:val="24"/>
        </w:rPr>
        <w:t>关于印发&lt;土壤污染防治专项资金管理办法&gt;的通知》（财建[2016]601号）</w:t>
      </w:r>
    </w:p>
    <w:p>
      <w:pPr>
        <w:pStyle w:val="80"/>
        <w:numPr>
          <w:ilvl w:val="0"/>
          <w:numId w:val="1"/>
        </w:numPr>
        <w:adjustRightInd w:val="0"/>
        <w:snapToGrid w:val="0"/>
        <w:spacing w:line="360" w:lineRule="auto"/>
        <w:ind w:firstLineChars="0"/>
        <w:rPr>
          <w:rFonts w:ascii="Times New Roman" w:hAnsi="Times New Roman" w:eastAsiaTheme="minorEastAsia"/>
          <w:sz w:val="24"/>
          <w:szCs w:val="24"/>
        </w:rPr>
      </w:pPr>
      <w:r>
        <w:rPr>
          <w:rFonts w:ascii="Times New Roman" w:hAnsi="Times New Roman" w:eastAsiaTheme="minorEastAsia"/>
          <w:sz w:val="24"/>
          <w:szCs w:val="24"/>
        </w:rPr>
        <w:t>《国务院关于落实科学发展观加强环境保护的决定》（环办[2004]47号）；</w:t>
      </w:r>
    </w:p>
    <w:p>
      <w:pPr>
        <w:pStyle w:val="80"/>
        <w:numPr>
          <w:ilvl w:val="0"/>
          <w:numId w:val="1"/>
        </w:numPr>
        <w:adjustRightInd w:val="0"/>
        <w:snapToGrid w:val="0"/>
        <w:spacing w:line="360" w:lineRule="auto"/>
        <w:ind w:firstLineChars="0"/>
        <w:rPr>
          <w:rFonts w:ascii="Times New Roman" w:hAnsi="Times New Roman" w:eastAsiaTheme="minorEastAsia"/>
          <w:sz w:val="24"/>
          <w:szCs w:val="24"/>
        </w:rPr>
      </w:pPr>
      <w:r>
        <w:rPr>
          <w:rFonts w:ascii="Times New Roman" w:hAnsi="Times New Roman" w:eastAsiaTheme="minorEastAsia"/>
          <w:sz w:val="24"/>
          <w:szCs w:val="24"/>
        </w:rPr>
        <w:t>《关于保障工业企业场地再开发利用环境安全的通知》（环发[2012]40号）；</w:t>
      </w:r>
    </w:p>
    <w:p>
      <w:pPr>
        <w:pStyle w:val="80"/>
        <w:numPr>
          <w:ilvl w:val="0"/>
          <w:numId w:val="1"/>
        </w:numPr>
        <w:adjustRightInd w:val="0"/>
        <w:snapToGrid w:val="0"/>
        <w:spacing w:line="360" w:lineRule="auto"/>
        <w:ind w:firstLineChars="0"/>
        <w:rPr>
          <w:rFonts w:ascii="Times New Roman" w:hAnsi="Times New Roman" w:eastAsiaTheme="minorEastAsia"/>
          <w:sz w:val="24"/>
          <w:szCs w:val="24"/>
        </w:rPr>
      </w:pPr>
      <w:r>
        <w:rPr>
          <w:rFonts w:ascii="Times New Roman" w:hAnsi="Times New Roman" w:eastAsiaTheme="minorEastAsia"/>
          <w:sz w:val="24"/>
          <w:szCs w:val="24"/>
        </w:rPr>
        <w:t>《近期土壤环境保护和综合治理工作安排的通知》（国办发[2013]7号）；</w:t>
      </w:r>
    </w:p>
    <w:p>
      <w:pPr>
        <w:pStyle w:val="80"/>
        <w:numPr>
          <w:ilvl w:val="0"/>
          <w:numId w:val="1"/>
        </w:numPr>
        <w:adjustRightInd w:val="0"/>
        <w:snapToGrid w:val="0"/>
        <w:spacing w:line="360" w:lineRule="auto"/>
        <w:ind w:firstLineChars="0"/>
        <w:rPr>
          <w:rFonts w:ascii="Times New Roman" w:hAnsi="Times New Roman" w:eastAsiaTheme="minorEastAsia"/>
          <w:sz w:val="24"/>
          <w:szCs w:val="24"/>
        </w:rPr>
      </w:pPr>
      <w:r>
        <w:rPr>
          <w:rFonts w:ascii="Times New Roman" w:hAnsi="Times New Roman" w:eastAsiaTheme="minorEastAsia"/>
          <w:sz w:val="24"/>
          <w:szCs w:val="24"/>
        </w:rPr>
        <w:t>《关于加强工业企业关停、搬迁及原址场地再开发利用过程中污染防治工作的通知》（环发[2014]66号）；</w:t>
      </w:r>
    </w:p>
    <w:p>
      <w:pPr>
        <w:pStyle w:val="80"/>
        <w:numPr>
          <w:ilvl w:val="0"/>
          <w:numId w:val="1"/>
        </w:numPr>
        <w:adjustRightInd w:val="0"/>
        <w:snapToGrid w:val="0"/>
        <w:spacing w:line="360" w:lineRule="auto"/>
        <w:ind w:firstLineChars="0"/>
        <w:rPr>
          <w:rFonts w:ascii="Times New Roman" w:hAnsi="Times New Roman" w:eastAsiaTheme="minorEastAsia"/>
          <w:sz w:val="24"/>
          <w:szCs w:val="24"/>
        </w:rPr>
      </w:pPr>
      <w:r>
        <w:rPr>
          <w:rFonts w:ascii="Times New Roman" w:hAnsi="Times New Roman" w:eastAsiaTheme="minorEastAsia"/>
          <w:sz w:val="24"/>
          <w:szCs w:val="24"/>
        </w:rPr>
        <w:t>《湖南省环境保护厅关于组织开展2017年度土壤污染防治项目储备库建设工作的通知》（湘环办函〔2016〕161号）。</w:t>
      </w:r>
    </w:p>
    <w:p>
      <w:pPr>
        <w:pStyle w:val="3"/>
        <w:ind w:right="480"/>
        <w:rPr>
          <w:rFonts w:ascii="Times New Roman" w:hAnsi="Times New Roman" w:cs="Times New Roman" w:eastAsiaTheme="minorEastAsia"/>
          <w:b w:val="0"/>
          <w:color w:val="000000" w:themeColor="text1"/>
        </w:rPr>
      </w:pPr>
      <w:bookmarkStart w:id="5" w:name="_Toc482661570"/>
      <w:r>
        <w:rPr>
          <w:rFonts w:ascii="Times New Roman" w:hAnsi="Times New Roman" w:cs="Times New Roman" w:eastAsiaTheme="minorEastAsia"/>
          <w:b w:val="0"/>
          <w:color w:val="000000" w:themeColor="text1"/>
        </w:rPr>
        <w:t>2.2 标准及规范文件</w:t>
      </w:r>
      <w:bookmarkEnd w:id="5"/>
    </w:p>
    <w:p>
      <w:pPr>
        <w:widowControl/>
        <w:numPr>
          <w:ilvl w:val="0"/>
          <w:numId w:val="2"/>
        </w:numPr>
        <w:spacing w:line="440" w:lineRule="exact"/>
        <w:ind w:firstLine="480" w:firstLineChars="200"/>
        <w:jc w:val="both"/>
        <w:rPr>
          <w:rFonts w:ascii="Times New Roman" w:hAnsi="Times New Roman" w:cs="Times New Roman"/>
          <w:kern w:val="0"/>
        </w:rPr>
      </w:pPr>
      <w:r>
        <w:rPr>
          <w:rFonts w:ascii="Times New Roman" w:hAnsi="Times New Roman" w:cs="Times New Roman"/>
          <w:szCs w:val="24"/>
        </w:rPr>
        <w:t>《地表水环境质量标准》（GB3838-2002）</w:t>
      </w:r>
    </w:p>
    <w:p>
      <w:pPr>
        <w:widowControl/>
        <w:numPr>
          <w:ilvl w:val="0"/>
          <w:numId w:val="2"/>
        </w:numPr>
        <w:spacing w:line="440" w:lineRule="exact"/>
        <w:ind w:firstLine="480" w:firstLineChars="200"/>
        <w:jc w:val="both"/>
        <w:rPr>
          <w:rFonts w:ascii="Times New Roman" w:hAnsi="Times New Roman" w:cs="Times New Roman"/>
          <w:kern w:val="0"/>
        </w:rPr>
      </w:pPr>
      <w:r>
        <w:rPr>
          <w:rFonts w:ascii="Times New Roman" w:hAnsi="Times New Roman" w:cs="Times New Roman"/>
          <w:kern w:val="0"/>
          <w:szCs w:val="24"/>
        </w:rPr>
        <w:t>《土壤环境质量标准》（GB15618-1995）</w:t>
      </w:r>
    </w:p>
    <w:p>
      <w:pPr>
        <w:widowControl/>
        <w:numPr>
          <w:ilvl w:val="0"/>
          <w:numId w:val="2"/>
        </w:numPr>
        <w:spacing w:line="440" w:lineRule="exact"/>
        <w:ind w:firstLine="480" w:firstLineChars="200"/>
        <w:jc w:val="both"/>
        <w:rPr>
          <w:rFonts w:ascii="Times New Roman" w:hAnsi="Times New Roman" w:cs="Times New Roman"/>
          <w:kern w:val="0"/>
        </w:rPr>
      </w:pPr>
      <w:r>
        <w:rPr>
          <w:rFonts w:ascii="Times New Roman" w:hAnsi="Times New Roman" w:cs="Times New Roman"/>
          <w:kern w:val="0"/>
          <w:szCs w:val="24"/>
        </w:rPr>
        <w:t>《开发建设项目水土流失防治标准》GB/T50434-2008</w:t>
      </w:r>
    </w:p>
    <w:p>
      <w:pPr>
        <w:widowControl/>
        <w:numPr>
          <w:ilvl w:val="0"/>
          <w:numId w:val="2"/>
        </w:numPr>
        <w:spacing w:line="440" w:lineRule="exact"/>
        <w:ind w:firstLine="480" w:firstLineChars="200"/>
        <w:jc w:val="both"/>
        <w:rPr>
          <w:rFonts w:ascii="Times New Roman" w:hAnsi="Times New Roman" w:cs="Times New Roman"/>
          <w:kern w:val="0"/>
        </w:rPr>
      </w:pPr>
      <w:r>
        <w:rPr>
          <w:rFonts w:ascii="Times New Roman" w:hAnsi="Times New Roman" w:cs="Times New Roman"/>
          <w:kern w:val="0"/>
          <w:szCs w:val="24"/>
        </w:rPr>
        <w:t>《重金属污染场地土壤修复标准》(DB43/T 1125-2016)</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《一般工业固体废物贮存处置场污染控制标准》(GB18599-2001)</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《湖南省主要地表水系水环境功能区划》（DB43/023-2005）</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《地表水环境监测技术规范》（HJ/T166-2004）</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《土壤环境监测技术规范》（HJ/T166-2004）</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《国家危险废物名录》（2008年）</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《危险废物鉴别技术规范》（HJ/T298-2007）</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《危险废物鉴别标准通则》（GB5085.7-2007）</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《危险废物污染防治技术政策》（环发[2001]199号）</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《危险废物鉴别标准浸出毒性鉴别》（GB5085.3-2007）</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《危险废物贮存污染控制标准》（GB18597-2001）</w:t>
      </w:r>
    </w:p>
    <w:p>
      <w:pPr>
        <w:widowControl/>
        <w:numPr>
          <w:ilvl w:val="0"/>
          <w:numId w:val="2"/>
        </w:numPr>
        <w:spacing w:line="440" w:lineRule="exact"/>
        <w:ind w:firstLine="480" w:firstLineChars="200"/>
        <w:jc w:val="both"/>
        <w:rPr>
          <w:rFonts w:ascii="Times New Roman" w:hAnsi="Times New Roman" w:cs="Times New Roman"/>
        </w:rPr>
      </w:pPr>
      <w:r>
        <w:rPr>
          <w:rFonts w:ascii="Times New Roman" w:hAnsi="Times New Roman" w:cs="Times New Roman"/>
          <w:szCs w:val="24"/>
        </w:rPr>
        <w:t>《危险废物收集贮存运输技术规范》（HJ2025-2012）</w:t>
      </w:r>
    </w:p>
    <w:p>
      <w:pPr>
        <w:widowControl/>
        <w:numPr>
          <w:ilvl w:val="0"/>
          <w:numId w:val="2"/>
        </w:numPr>
        <w:spacing w:line="440" w:lineRule="exact"/>
        <w:ind w:firstLine="480" w:firstLineChars="200"/>
        <w:jc w:val="both"/>
        <w:rPr>
          <w:rFonts w:ascii="Times New Roman" w:hAnsi="Times New Roman" w:cs="Times New Roman"/>
          <w:kern w:val="0"/>
        </w:rPr>
      </w:pPr>
      <w:r>
        <w:rPr>
          <w:rFonts w:ascii="Times New Roman" w:hAnsi="Times New Roman" w:cs="Times New Roman"/>
          <w:szCs w:val="24"/>
        </w:rPr>
        <w:t>《场地环境调查技术导则》（HJ25.1-2014）</w:t>
      </w:r>
    </w:p>
    <w:p>
      <w:pPr>
        <w:widowControl/>
        <w:numPr>
          <w:ilvl w:val="0"/>
          <w:numId w:val="2"/>
        </w:numPr>
        <w:spacing w:line="440" w:lineRule="exact"/>
        <w:ind w:firstLine="480" w:firstLineChars="200"/>
        <w:jc w:val="both"/>
        <w:rPr>
          <w:rFonts w:ascii="Times New Roman" w:hAnsi="Times New Roman" w:cs="Times New Roman"/>
          <w:kern w:val="0"/>
        </w:rPr>
      </w:pPr>
      <w:r>
        <w:rPr>
          <w:rFonts w:ascii="Times New Roman" w:hAnsi="Times New Roman" w:cs="Times New Roman"/>
          <w:kern w:val="0"/>
          <w:szCs w:val="24"/>
        </w:rPr>
        <w:t>《场地环境监测技术导则》（HJ 25.2—2014）</w:t>
      </w:r>
    </w:p>
    <w:p>
      <w:pPr>
        <w:widowControl/>
        <w:numPr>
          <w:ilvl w:val="0"/>
          <w:numId w:val="2"/>
        </w:numPr>
        <w:ind w:firstLine="480" w:firstLineChars="200"/>
        <w:jc w:val="both"/>
        <w:rPr>
          <w:rFonts w:ascii="Times New Roman" w:hAnsi="Times New Roman" w:cs="Times New Roman"/>
          <w:kern w:val="0"/>
        </w:rPr>
      </w:pPr>
      <w:r>
        <w:rPr>
          <w:rFonts w:ascii="Times New Roman" w:hAnsi="Times New Roman" w:cs="Times New Roman"/>
          <w:kern w:val="0"/>
          <w:szCs w:val="24"/>
        </w:rPr>
        <w:t>《场地环境调查技术导则》（HJ 25.1—2014）</w:t>
      </w:r>
    </w:p>
    <w:p>
      <w:pPr>
        <w:widowControl/>
        <w:numPr>
          <w:ilvl w:val="0"/>
          <w:numId w:val="2"/>
        </w:numPr>
        <w:ind w:firstLine="480" w:firstLineChars="200"/>
        <w:jc w:val="both"/>
        <w:rPr>
          <w:rFonts w:ascii="Times New Roman" w:hAnsi="Times New Roman" w:cs="Times New Roman"/>
          <w:kern w:val="0"/>
        </w:rPr>
      </w:pPr>
      <w:r>
        <w:rPr>
          <w:rFonts w:ascii="Times New Roman" w:hAnsi="Times New Roman" w:cs="Times New Roman"/>
          <w:kern w:val="0"/>
          <w:szCs w:val="24"/>
        </w:rPr>
        <w:t>《污染场地土壤修复技术导则》（HJ 25.4—2014）</w:t>
      </w:r>
    </w:p>
    <w:p>
      <w:pPr>
        <w:widowControl/>
        <w:numPr>
          <w:ilvl w:val="0"/>
          <w:numId w:val="2"/>
        </w:numPr>
        <w:ind w:firstLine="480" w:firstLineChars="200"/>
        <w:jc w:val="both"/>
        <w:rPr>
          <w:rFonts w:ascii="Times New Roman" w:hAnsi="Times New Roman" w:cs="Times New Roman"/>
        </w:rPr>
      </w:pPr>
      <w:r>
        <w:rPr>
          <w:rFonts w:ascii="Times New Roman" w:hAnsi="Times New Roman" w:cs="Times New Roman"/>
          <w:kern w:val="0"/>
          <w:szCs w:val="24"/>
        </w:rPr>
        <w:t>《污染场地风险评估技术导则》(HJ 25.3—2014)</w:t>
      </w:r>
    </w:p>
    <w:p>
      <w:pPr>
        <w:widowControl/>
        <w:numPr>
          <w:ilvl w:val="0"/>
          <w:numId w:val="2"/>
        </w:numPr>
        <w:ind w:firstLine="480" w:firstLineChars="200"/>
        <w:jc w:val="both"/>
        <w:rPr>
          <w:rFonts w:ascii="Times New Roman" w:hAnsi="Times New Roman" w:cs="Times New Roman"/>
        </w:rPr>
      </w:pPr>
      <w:r>
        <w:rPr>
          <w:rFonts w:ascii="Times New Roman" w:hAnsi="Times New Roman" w:cs="Times New Roman"/>
          <w:kern w:val="0"/>
          <w:szCs w:val="24"/>
        </w:rPr>
        <w:t>《</w:t>
      </w:r>
      <w:r>
        <w:rPr>
          <w:rFonts w:hint="eastAsia" w:ascii="Times New Roman" w:hAnsi="Times New Roman" w:cs="Times New Roman"/>
          <w:kern w:val="0"/>
          <w:szCs w:val="24"/>
        </w:rPr>
        <w:t>场地土壤环境风险评价筛选值</w:t>
      </w:r>
      <w:r>
        <w:rPr>
          <w:rFonts w:ascii="Times New Roman" w:hAnsi="Times New Roman" w:cs="Times New Roman"/>
          <w:kern w:val="0"/>
          <w:szCs w:val="24"/>
        </w:rPr>
        <w:t>》(</w:t>
      </w:r>
      <w:r>
        <w:rPr>
          <w:rFonts w:hint="eastAsia" w:ascii="Times New Roman" w:hAnsi="Times New Roman" w:cs="Times New Roman"/>
          <w:kern w:val="0"/>
          <w:szCs w:val="24"/>
        </w:rPr>
        <w:t>DB11/T 811-2011</w:t>
      </w:r>
      <w:r>
        <w:rPr>
          <w:rFonts w:ascii="Times New Roman" w:hAnsi="Times New Roman" w:cs="Times New Roman"/>
          <w:kern w:val="0"/>
          <w:szCs w:val="24"/>
        </w:rPr>
        <w:t>)</w:t>
      </w:r>
    </w:p>
    <w:p>
      <w:pPr>
        <w:pStyle w:val="3"/>
        <w:ind w:right="480"/>
        <w:rPr>
          <w:rFonts w:ascii="Times New Roman" w:hAnsi="Times New Roman" w:cs="Times New Roman" w:eastAsiaTheme="minorEastAsia"/>
          <w:b w:val="0"/>
          <w:color w:val="000000" w:themeColor="text1"/>
        </w:rPr>
      </w:pPr>
      <w:bookmarkStart w:id="6" w:name="_Toc482661571"/>
      <w:r>
        <w:rPr>
          <w:rFonts w:ascii="Times New Roman" w:hAnsi="Times New Roman" w:cs="Times New Roman" w:eastAsiaTheme="minorEastAsia"/>
          <w:b w:val="0"/>
          <w:color w:val="000000" w:themeColor="text1"/>
        </w:rPr>
        <w:t>2.3 其他相关文件</w:t>
      </w:r>
      <w:bookmarkEnd w:id="6"/>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（1）《益阳市赫山区土壤污染源、污染地块调查报告》（2017年2月）</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（2）《湖南省环境保护厅关于组织开展2017年度土壤污染防治项目储备库建设工作的通知》</w:t>
      </w:r>
    </w:p>
    <w:p>
      <w:pPr>
        <w:pStyle w:val="18"/>
        <w:spacing w:after="0" w:line="360" w:lineRule="auto"/>
        <w:ind w:left="0" w:leftChars="0" w:firstLine="424" w:firstLineChars="177"/>
        <w:rPr>
          <w:rFonts w:ascii="Times New Roman" w:hAnsi="Times New Roman" w:eastAsiaTheme="minorEastAsia"/>
          <w:kern w:val="0"/>
          <w:sz w:val="24"/>
        </w:rPr>
      </w:pPr>
      <w:r>
        <w:rPr>
          <w:rFonts w:ascii="Times New Roman" w:hAnsi="Times New Roman" w:eastAsiaTheme="minorEastAsia"/>
          <w:kern w:val="0"/>
          <w:sz w:val="24"/>
        </w:rPr>
        <w:t>（3）</w:t>
      </w:r>
      <w:r>
        <w:rPr>
          <w:rFonts w:ascii="Times New Roman" w:hAnsi="Times New Roman" w:eastAsiaTheme="minorEastAsia"/>
          <w:sz w:val="24"/>
          <w:szCs w:val="24"/>
        </w:rPr>
        <w:t>《湖南省益阳市城区建设规划（2010-2020）》；</w:t>
      </w:r>
    </w:p>
    <w:p>
      <w:pPr>
        <w:pStyle w:val="18"/>
        <w:spacing w:after="0" w:line="360" w:lineRule="auto"/>
        <w:ind w:left="0" w:leftChars="0" w:firstLine="424" w:firstLineChars="177"/>
        <w:rPr>
          <w:rFonts w:ascii="Times New Roman" w:hAnsi="Times New Roman" w:eastAsiaTheme="minorEastAsia"/>
          <w:kern w:val="0"/>
          <w:sz w:val="24"/>
        </w:rPr>
      </w:pPr>
      <w:r>
        <w:rPr>
          <w:rFonts w:ascii="Times New Roman" w:hAnsi="Times New Roman" w:eastAsiaTheme="minorEastAsia"/>
          <w:kern w:val="0"/>
          <w:sz w:val="24"/>
        </w:rPr>
        <w:t>（4）</w:t>
      </w:r>
      <w:r>
        <w:rPr>
          <w:rFonts w:ascii="Times New Roman" w:hAnsi="Times New Roman" w:eastAsiaTheme="minorEastAsia"/>
          <w:sz w:val="24"/>
        </w:rPr>
        <w:t>《益阳市润慷宝化工有限公司搬迁环评报告书》</w:t>
      </w:r>
    </w:p>
    <w:p>
      <w:pPr>
        <w:ind w:firstLine="480" w:firstLineChars="200"/>
        <w:rPr>
          <w:rFonts w:ascii="Times New Roman" w:hAnsi="Times New Roman" w:cs="Times New Roman"/>
          <w:kern w:val="0"/>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ascii="Times New Roman" w:hAnsi="Times New Roman" w:cs="Times New Roman"/>
          <w:kern w:val="0"/>
        </w:rPr>
        <w:t>（5）</w:t>
      </w:r>
      <w:r>
        <w:rPr>
          <w:rFonts w:ascii="Times New Roman" w:hAnsi="Times New Roman" w:cs="Times New Roman"/>
        </w:rPr>
        <w:t>《益阳市润慷宝（原农药厂）污染场地调查报告》</w:t>
      </w:r>
    </w:p>
    <w:p>
      <w:pPr>
        <w:pStyle w:val="2"/>
        <w:wordWrap w:val="0"/>
        <w:topLinePunct/>
        <w:adjustRightInd w:val="0"/>
        <w:snapToGrid w:val="0"/>
        <w:spacing w:before="156" w:beforeLines="50" w:after="156" w:afterLines="50" w:line="520" w:lineRule="exact"/>
        <w:rPr>
          <w:rFonts w:ascii="Times New Roman" w:hAnsi="Times New Roman" w:cs="Times New Roman" w:eastAsiaTheme="minorEastAsia"/>
          <w:color w:val="000000" w:themeColor="text1"/>
        </w:rPr>
      </w:pPr>
      <w:bookmarkStart w:id="7" w:name="_Toc482661572"/>
      <w:r>
        <w:rPr>
          <w:rFonts w:ascii="Times New Roman" w:hAnsi="Times New Roman" w:cs="Times New Roman" w:eastAsiaTheme="minorEastAsia"/>
          <w:color w:val="000000" w:themeColor="text1"/>
        </w:rPr>
        <w:t>3  污染调查结果分析</w:t>
      </w:r>
      <w:bookmarkEnd w:id="7"/>
    </w:p>
    <w:p>
      <w:pPr>
        <w:pStyle w:val="3"/>
        <w:ind w:right="480"/>
        <w:rPr>
          <w:rFonts w:ascii="Times New Roman" w:hAnsi="Times New Roman" w:cs="Times New Roman" w:eastAsiaTheme="minorEastAsia"/>
          <w:b w:val="0"/>
          <w:color w:val="000000" w:themeColor="text1"/>
        </w:rPr>
      </w:pPr>
      <w:bookmarkStart w:id="8" w:name="_Toc482661573"/>
      <w:r>
        <w:rPr>
          <w:rFonts w:ascii="Times New Roman" w:hAnsi="Times New Roman" w:cs="Times New Roman" w:eastAsiaTheme="minorEastAsia"/>
          <w:b w:val="0"/>
          <w:color w:val="000000" w:themeColor="text1"/>
        </w:rPr>
        <w:t>3.1项目基本信息、现状描述</w:t>
      </w:r>
      <w:bookmarkEnd w:id="8"/>
    </w:p>
    <w:p>
      <w:pPr>
        <w:rPr>
          <w:rFonts w:ascii="Times New Roman" w:hAnsi="Times New Roman" w:cs="Times New Roman"/>
        </w:rPr>
      </w:pPr>
      <w:r>
        <w:rPr>
          <w:rFonts w:ascii="Times New Roman" w:hAnsi="Times New Roman" w:cs="Times New Roman"/>
        </w:rPr>
        <w:t>3.1.1项目基本信息</w:t>
      </w:r>
    </w:p>
    <w:p>
      <w:pPr>
        <w:ind w:firstLine="480" w:firstLineChars="200"/>
        <w:rPr>
          <w:rFonts w:ascii="Times New Roman" w:hAnsi="Times New Roman" w:cs="Times New Roman"/>
        </w:rPr>
      </w:pPr>
      <w:r>
        <w:rPr>
          <w:rFonts w:ascii="Times New Roman" w:hAnsi="Times New Roman" w:cs="Times New Roman"/>
        </w:rPr>
        <w:t>（1）项目名称</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益阳市润慷宝（原农药厂）污染场地土壤治理项目</w:t>
      </w:r>
    </w:p>
    <w:p>
      <w:pPr>
        <w:ind w:firstLine="480" w:firstLineChars="200"/>
        <w:rPr>
          <w:rFonts w:ascii="Times New Roman" w:hAnsi="Times New Roman" w:cs="Times New Roman"/>
        </w:rPr>
      </w:pPr>
      <w:r>
        <w:rPr>
          <w:rFonts w:ascii="Times New Roman" w:hAnsi="Times New Roman" w:cs="Times New Roman"/>
        </w:rPr>
        <w:t>（2）项目建设地点</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项目建设地点位于湖南省益阳市赫山区桃花仑街道，十洲路与龙洲北路交汇处的西北侧，中心坐标为</w:t>
      </w:r>
      <w:r>
        <w:rPr>
          <w:rFonts w:ascii="Times New Roman" w:hAnsi="Times New Roman" w:cs="Times New Roman"/>
          <w:szCs w:val="24"/>
        </w:rPr>
        <w:t>112°21′43.88″E</w:t>
      </w:r>
      <w:r>
        <w:rPr>
          <w:rFonts w:ascii="Times New Roman" w:hAnsi="Times New Roman" w:cs="Times New Roman"/>
          <w:color w:val="000000" w:themeColor="text1"/>
        </w:rPr>
        <w:t>，</w:t>
      </w:r>
      <w:r>
        <w:rPr>
          <w:rFonts w:ascii="Times New Roman" w:hAnsi="Times New Roman" w:cs="Times New Roman"/>
          <w:szCs w:val="24"/>
        </w:rPr>
        <w:t>28°35′23.15″N</w:t>
      </w:r>
      <w:r>
        <w:rPr>
          <w:rFonts w:ascii="Times New Roman" w:hAnsi="Times New Roman" w:cs="Times New Roman"/>
          <w:color w:val="000000" w:themeColor="text1"/>
        </w:rPr>
        <w:t>。</w:t>
      </w:r>
    </w:p>
    <w:p>
      <w:pPr>
        <w:ind w:firstLine="480" w:firstLineChars="200"/>
        <w:rPr>
          <w:rFonts w:ascii="Times New Roman" w:hAnsi="Times New Roman" w:cs="Times New Roman"/>
        </w:rPr>
      </w:pPr>
      <w:r>
        <w:rPr>
          <w:rFonts w:ascii="Times New Roman" w:hAnsi="Times New Roman" w:cs="Times New Roman"/>
        </w:rPr>
        <w:t>（3）项目建设规模</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清运含农药污染土壤约</w:t>
      </w:r>
      <w:r>
        <w:rPr>
          <w:rFonts w:ascii="Times New Roman" w:hAnsi="Times New Roman" w:cs="Times New Roman"/>
          <w:color w:val="000000"/>
          <w:szCs w:val="24"/>
        </w:rPr>
        <w:t>39228.5</w:t>
      </w:r>
      <w:r>
        <w:rPr>
          <w:rFonts w:ascii="Times New Roman" w:hAnsi="Times New Roman" w:cs="Times New Roman"/>
          <w:color w:val="000000" w:themeColor="text1"/>
        </w:rPr>
        <w:t>立方米，治理污染面积</w:t>
      </w:r>
      <w:r>
        <w:rPr>
          <w:rFonts w:ascii="Times New Roman" w:hAnsi="Times New Roman" w:cs="Times New Roman"/>
          <w:szCs w:val="24"/>
        </w:rPr>
        <w:t>18315</w:t>
      </w:r>
      <w:r>
        <w:rPr>
          <w:rFonts w:ascii="Times New Roman" w:hAnsi="Times New Roman" w:cs="Times New Roman"/>
          <w:color w:val="000000" w:themeColor="text1"/>
        </w:rPr>
        <w:t>平方米。</w:t>
      </w:r>
    </w:p>
    <w:p>
      <w:pPr>
        <w:rPr>
          <w:rFonts w:ascii="Times New Roman" w:hAnsi="Times New Roman" w:cs="Times New Roman"/>
        </w:rPr>
      </w:pPr>
      <w:r>
        <w:rPr>
          <w:rFonts w:ascii="Times New Roman" w:hAnsi="Times New Roman" w:cs="Times New Roman"/>
        </w:rPr>
        <w:t>3.1.2项目现状</w:t>
      </w:r>
    </w:p>
    <w:p>
      <w:pPr>
        <w:snapToGrid w:val="0"/>
        <w:ind w:firstLine="480" w:firstLineChars="200"/>
        <w:jc w:val="both"/>
        <w:rPr>
          <w:rFonts w:ascii="Times New Roman" w:hAnsi="Times New Roman" w:cs="Times New Roman"/>
          <w:color w:val="000000"/>
          <w:kern w:val="0"/>
          <w:szCs w:val="24"/>
        </w:rPr>
      </w:pPr>
      <w:r>
        <w:rPr>
          <w:rFonts w:ascii="Times New Roman" w:hAnsi="Times New Roman" w:cs="Times New Roman"/>
          <w:color w:val="000000" w:themeColor="text1"/>
        </w:rPr>
        <w:t>项目场地</w:t>
      </w:r>
      <w:r>
        <w:rPr>
          <w:rFonts w:ascii="Times New Roman" w:hAnsi="Times New Roman" w:cs="Times New Roman"/>
        </w:rPr>
        <w:t>位于益阳市赫山区桃花仑街道，</w:t>
      </w:r>
      <w:r>
        <w:rPr>
          <w:rFonts w:ascii="Times New Roman" w:hAnsi="Times New Roman" w:cs="Times New Roman"/>
          <w:szCs w:val="24"/>
        </w:rPr>
        <w:t>中心坐标为112°21′43.88″E，28°35′23.15″N，面积约27.5亩。北边</w:t>
      </w:r>
      <w:r>
        <w:rPr>
          <w:rFonts w:ascii="Times New Roman" w:hAnsi="Times New Roman" w:cs="Times New Roman"/>
          <w:color w:val="000000"/>
          <w:kern w:val="0"/>
          <w:szCs w:val="24"/>
        </w:rPr>
        <w:t>距离资水约700m，东、南、西侧均为周边居民区，人口密集。地处益阳市中心城区附近。项目地理位置见图3-1。</w:t>
      </w:r>
    </w:p>
    <w:p>
      <w:pPr>
        <w:snapToGrid w:val="0"/>
        <w:rPr>
          <w:rFonts w:ascii="Times New Roman" w:hAnsi="Times New Roman" w:cs="Times New Roman"/>
          <w:color w:val="000000"/>
          <w:kern w:val="0"/>
          <w:szCs w:val="24"/>
        </w:rPr>
      </w:pPr>
      <w:r>
        <w:rPr>
          <w:rFonts w:ascii="Times New Roman" w:hAnsi="Times New Roman" w:cs="Times New Roman"/>
        </w:rPr>
        <w:drawing>
          <wp:inline distT="0" distB="0" distL="0" distR="0">
            <wp:extent cx="5351145" cy="3155950"/>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54935" cy="3158621"/>
                    </a:xfrm>
                    <a:prstGeom prst="rect">
                      <a:avLst/>
                    </a:prstGeom>
                    <a:noFill/>
                    <a:ln>
                      <a:noFill/>
                    </a:ln>
                  </pic:spPr>
                </pic:pic>
              </a:graphicData>
            </a:graphic>
          </wp:inline>
        </w:drawing>
      </w:r>
    </w:p>
    <w:p>
      <w:pPr>
        <w:snapToGrid w:val="0"/>
        <w:ind w:firstLine="480" w:firstLineChars="200"/>
        <w:jc w:val="center"/>
        <w:rPr>
          <w:rFonts w:ascii="Times New Roman" w:hAnsi="Times New Roman" w:cs="Times New Roman"/>
          <w:color w:val="000000"/>
          <w:kern w:val="0"/>
          <w:szCs w:val="24"/>
        </w:rPr>
      </w:pPr>
      <w:r>
        <w:rPr>
          <w:rFonts w:ascii="Times New Roman" w:hAnsi="Times New Roman" w:cs="Times New Roman"/>
          <w:color w:val="000000"/>
          <w:kern w:val="0"/>
          <w:szCs w:val="24"/>
        </w:rPr>
        <w:t>图3-1</w:t>
      </w:r>
      <w:r>
        <w:rPr>
          <w:rFonts w:ascii="Times New Roman" w:hAnsi="Times New Roman" w:cs="Times New Roman"/>
          <w:szCs w:val="24"/>
        </w:rPr>
        <w:t>原农药厂</w:t>
      </w:r>
      <w:r>
        <w:rPr>
          <w:rFonts w:ascii="Times New Roman" w:hAnsi="Times New Roman" w:cs="Times New Roman"/>
          <w:color w:val="000000"/>
          <w:kern w:val="0"/>
          <w:szCs w:val="24"/>
        </w:rPr>
        <w:t>位置示意图</w:t>
      </w:r>
    </w:p>
    <w:p>
      <w:pPr>
        <w:snapToGrid w:val="0"/>
        <w:ind w:firstLine="480" w:firstLineChars="200"/>
        <w:rPr>
          <w:rFonts w:ascii="Times New Roman" w:hAnsi="Times New Roman" w:cs="Times New Roman"/>
          <w:color w:val="000000"/>
          <w:kern w:val="0"/>
          <w:szCs w:val="24"/>
        </w:rPr>
        <w:sectPr>
          <w:pgSz w:w="11906" w:h="16838"/>
          <w:pgMar w:top="1440" w:right="1800" w:bottom="1440" w:left="1800" w:header="851" w:footer="992" w:gutter="0"/>
          <w:pgNumType w:fmt="decimal"/>
          <w:cols w:space="720" w:num="1"/>
          <w:docGrid w:type="lines" w:linePitch="312" w:charSpace="0"/>
        </w:sectPr>
      </w:pPr>
      <w:r>
        <w:rPr>
          <w:rFonts w:ascii="Times New Roman" w:hAnsi="Times New Roman" w:cs="Times New Roman"/>
          <w:szCs w:val="24"/>
        </w:rPr>
        <w:t>废弃场地内设备和厂房等都已被拆除，仅余两幢废弃的办公楼、锅炉房烟囱1根，以及水塔1座未予拆除。目前地块内大部分区域荒废，但有部分地块（约10亩）被附近村民再利用于农作物的栽培。厂区六六六、杀虫双、杀虫单、氧化乐果等农药生产历史长达35年，产品达5万余吨，原车间和场地遗留的大量各类有机污染物，通过土壤、地下水等迁移，进入食物链，危害当地的生态环境和人体健康。场地现状及周边环境见</w:t>
      </w:r>
      <w:r>
        <w:rPr>
          <w:rFonts w:ascii="Times New Roman" w:hAnsi="Times New Roman" w:cs="Times New Roman"/>
          <w:color w:val="000000"/>
          <w:kern w:val="0"/>
          <w:szCs w:val="24"/>
        </w:rPr>
        <w:t>图3-2。</w:t>
      </w:r>
    </w:p>
    <w:tbl>
      <w:tblPr>
        <w:tblStyle w:val="33"/>
        <w:tblW w:w="8528" w:type="dxa"/>
        <w:tblInd w:w="0" w:type="dxa"/>
        <w:tblLayout w:type="fixed"/>
        <w:tblCellMar>
          <w:top w:w="0" w:type="dxa"/>
          <w:left w:w="108" w:type="dxa"/>
          <w:bottom w:w="0" w:type="dxa"/>
          <w:right w:w="108" w:type="dxa"/>
        </w:tblCellMar>
      </w:tblPr>
      <w:tblGrid>
        <w:gridCol w:w="4219"/>
        <w:gridCol w:w="4309"/>
      </w:tblGrid>
      <w:tr>
        <w:tblPrEx>
          <w:tblLayout w:type="fixed"/>
          <w:tblCellMar>
            <w:top w:w="0" w:type="dxa"/>
            <w:left w:w="108" w:type="dxa"/>
            <w:bottom w:w="0" w:type="dxa"/>
            <w:right w:w="108" w:type="dxa"/>
          </w:tblCellMar>
        </w:tblPrEx>
        <w:trPr>
          <w:trHeight w:val="2175" w:hRule="atLeast"/>
        </w:trPr>
        <w:tc>
          <w:tcPr>
            <w:tcW w:w="4219" w:type="dxa"/>
            <w:vAlign w:val="center"/>
          </w:tcPr>
          <w:p>
            <w:pPr>
              <w:pStyle w:val="18"/>
              <w:adjustRightInd w:val="0"/>
              <w:snapToGrid w:val="0"/>
              <w:spacing w:before="120" w:line="240" w:lineRule="auto"/>
              <w:ind w:left="480"/>
              <w:rPr>
                <w:rFonts w:ascii="Times New Roman" w:hAnsi="Times New Roman" w:eastAsiaTheme="minorEastAsia"/>
                <w:color w:val="000000"/>
                <w:kern w:val="0"/>
                <w:sz w:val="24"/>
              </w:rPr>
            </w:pPr>
            <w:r>
              <w:rPr>
                <w:rFonts w:ascii="Times New Roman" w:hAnsi="Times New Roman" w:eastAsiaTheme="minorEastAsia"/>
              </w:rPr>
              <w:drawing>
                <wp:inline distT="0" distB="0" distL="0" distR="0">
                  <wp:extent cx="2655570" cy="2242185"/>
                  <wp:effectExtent l="0" t="0" r="0" b="5715"/>
                  <wp:docPr id="3" name="图片 3" descr="IMG_20170420_121821"/>
                  <wp:cNvGraphicFramePr/>
                  <a:graphic xmlns:a="http://schemas.openxmlformats.org/drawingml/2006/main">
                    <a:graphicData uri="http://schemas.openxmlformats.org/drawingml/2006/picture">
                      <pic:pic xmlns:pic="http://schemas.openxmlformats.org/drawingml/2006/picture">
                        <pic:nvPicPr>
                          <pic:cNvPr id="3" name="图片 3" descr="IMG_20170420_121821"/>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55570" cy="2242185"/>
                          </a:xfrm>
                          <a:prstGeom prst="rect">
                            <a:avLst/>
                          </a:prstGeom>
                          <a:noFill/>
                          <a:ln>
                            <a:noFill/>
                          </a:ln>
                        </pic:spPr>
                      </pic:pic>
                    </a:graphicData>
                  </a:graphic>
                </wp:inline>
              </w:drawing>
            </w:r>
          </w:p>
        </w:tc>
        <w:tc>
          <w:tcPr>
            <w:tcW w:w="4309" w:type="dxa"/>
            <w:vAlign w:val="center"/>
          </w:tcPr>
          <w:p>
            <w:pPr>
              <w:pStyle w:val="18"/>
              <w:adjustRightInd w:val="0"/>
              <w:snapToGrid w:val="0"/>
              <w:spacing w:before="120" w:line="240" w:lineRule="auto"/>
              <w:ind w:left="480"/>
              <w:rPr>
                <w:rFonts w:ascii="Times New Roman" w:hAnsi="Times New Roman" w:eastAsiaTheme="minorEastAsia"/>
                <w:color w:val="000000"/>
                <w:kern w:val="0"/>
                <w:sz w:val="24"/>
              </w:rPr>
            </w:pPr>
            <w:r>
              <w:rPr>
                <w:rFonts w:ascii="Times New Roman" w:hAnsi="Times New Roman" w:eastAsiaTheme="minorEastAsia"/>
                <w:color w:val="000000"/>
                <w:kern w:val="0"/>
                <w:sz w:val="24"/>
              </w:rPr>
              <w:drawing>
                <wp:inline distT="0" distB="0" distL="0" distR="0">
                  <wp:extent cx="2647950" cy="2250440"/>
                  <wp:effectExtent l="0" t="0" r="0" b="0"/>
                  <wp:docPr id="4" name="图片 4" descr="IMG_20170227_1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70227_132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7950" cy="22504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448" w:hRule="atLeast"/>
        </w:trPr>
        <w:tc>
          <w:tcPr>
            <w:tcW w:w="4219" w:type="dxa"/>
            <w:vAlign w:val="center"/>
          </w:tcPr>
          <w:p>
            <w:pPr>
              <w:pStyle w:val="18"/>
              <w:adjustRightInd w:val="0"/>
              <w:snapToGrid w:val="0"/>
              <w:spacing w:before="120" w:line="240" w:lineRule="auto"/>
              <w:ind w:left="480"/>
              <w:jc w:val="center"/>
              <w:rPr>
                <w:rFonts w:ascii="Times New Roman" w:hAnsi="Times New Roman" w:eastAsiaTheme="minorEastAsia"/>
                <w:b/>
                <w:color w:val="000000"/>
                <w:kern w:val="0"/>
                <w:szCs w:val="21"/>
              </w:rPr>
            </w:pPr>
            <w:r>
              <w:rPr>
                <w:rFonts w:ascii="Times New Roman" w:hAnsi="Times New Roman" w:eastAsiaTheme="minorEastAsia"/>
                <w:b/>
                <w:color w:val="000000"/>
                <w:kern w:val="0"/>
                <w:szCs w:val="21"/>
              </w:rPr>
              <w:t>农药厂废弃地块</w:t>
            </w:r>
          </w:p>
        </w:tc>
        <w:tc>
          <w:tcPr>
            <w:tcW w:w="4309" w:type="dxa"/>
            <w:vAlign w:val="center"/>
          </w:tcPr>
          <w:p>
            <w:pPr>
              <w:pStyle w:val="18"/>
              <w:adjustRightInd w:val="0"/>
              <w:snapToGrid w:val="0"/>
              <w:spacing w:before="120" w:line="240" w:lineRule="auto"/>
              <w:ind w:left="480"/>
              <w:jc w:val="center"/>
              <w:rPr>
                <w:rFonts w:ascii="Times New Roman" w:hAnsi="Times New Roman" w:eastAsiaTheme="minorEastAsia"/>
                <w:b/>
                <w:color w:val="000000"/>
                <w:kern w:val="0"/>
                <w:szCs w:val="21"/>
              </w:rPr>
            </w:pPr>
            <w:r>
              <w:rPr>
                <w:rFonts w:ascii="Times New Roman" w:hAnsi="Times New Roman" w:eastAsiaTheme="minorEastAsia"/>
                <w:b/>
                <w:color w:val="000000"/>
                <w:kern w:val="0"/>
                <w:szCs w:val="21"/>
              </w:rPr>
              <w:t>公司废弃办公楼</w:t>
            </w:r>
          </w:p>
        </w:tc>
      </w:tr>
      <w:tr>
        <w:tblPrEx>
          <w:tblLayout w:type="fixed"/>
          <w:tblCellMar>
            <w:top w:w="0" w:type="dxa"/>
            <w:left w:w="108" w:type="dxa"/>
            <w:bottom w:w="0" w:type="dxa"/>
            <w:right w:w="108" w:type="dxa"/>
          </w:tblCellMar>
        </w:tblPrEx>
        <w:trPr>
          <w:trHeight w:val="2638" w:hRule="atLeast"/>
        </w:trPr>
        <w:tc>
          <w:tcPr>
            <w:tcW w:w="4219" w:type="dxa"/>
            <w:vAlign w:val="center"/>
          </w:tcPr>
          <w:p>
            <w:pPr>
              <w:pStyle w:val="18"/>
              <w:adjustRightInd w:val="0"/>
              <w:snapToGrid w:val="0"/>
              <w:spacing w:before="120" w:line="240" w:lineRule="auto"/>
              <w:ind w:left="480"/>
              <w:rPr>
                <w:rFonts w:ascii="Times New Roman" w:hAnsi="Times New Roman" w:eastAsiaTheme="minorEastAsia"/>
                <w:color w:val="000000"/>
                <w:kern w:val="0"/>
                <w:sz w:val="24"/>
              </w:rPr>
            </w:pPr>
            <w:r>
              <w:rPr>
                <w:rFonts w:ascii="Times New Roman" w:hAnsi="Times New Roman" w:eastAsiaTheme="minorEastAsia"/>
                <w:color w:val="000000"/>
                <w:kern w:val="0"/>
                <w:sz w:val="24"/>
              </w:rPr>
              <w:drawing>
                <wp:inline distT="0" distB="0" distL="0" distR="0">
                  <wp:extent cx="2655570" cy="2242185"/>
                  <wp:effectExtent l="0" t="0" r="0" b="5715"/>
                  <wp:docPr id="6" name="图片 6" descr="资江三桥"/>
                  <wp:cNvGraphicFramePr/>
                  <a:graphic xmlns:a="http://schemas.openxmlformats.org/drawingml/2006/main">
                    <a:graphicData uri="http://schemas.openxmlformats.org/drawingml/2006/picture">
                      <pic:pic xmlns:pic="http://schemas.openxmlformats.org/drawingml/2006/picture">
                        <pic:nvPicPr>
                          <pic:cNvPr id="6" name="图片 6" descr="资江三桥"/>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55570" cy="2242185"/>
                          </a:xfrm>
                          <a:prstGeom prst="rect">
                            <a:avLst/>
                          </a:prstGeom>
                          <a:noFill/>
                          <a:ln>
                            <a:noFill/>
                          </a:ln>
                        </pic:spPr>
                      </pic:pic>
                    </a:graphicData>
                  </a:graphic>
                </wp:inline>
              </w:drawing>
            </w:r>
          </w:p>
        </w:tc>
        <w:tc>
          <w:tcPr>
            <w:tcW w:w="4309" w:type="dxa"/>
            <w:vAlign w:val="center"/>
          </w:tcPr>
          <w:p>
            <w:pPr>
              <w:pStyle w:val="18"/>
              <w:adjustRightInd w:val="0"/>
              <w:snapToGrid w:val="0"/>
              <w:spacing w:before="120" w:line="240" w:lineRule="auto"/>
              <w:ind w:left="480"/>
              <w:rPr>
                <w:rFonts w:ascii="Times New Roman" w:hAnsi="Times New Roman" w:eastAsiaTheme="minorEastAsia"/>
                <w:color w:val="000000"/>
                <w:kern w:val="0"/>
                <w:sz w:val="24"/>
              </w:rPr>
            </w:pPr>
            <w:r>
              <w:rPr>
                <w:rFonts w:ascii="Times New Roman" w:hAnsi="Times New Roman" w:eastAsiaTheme="minorEastAsia"/>
                <w:color w:val="000000"/>
                <w:kern w:val="0"/>
                <w:sz w:val="24"/>
              </w:rPr>
              <w:drawing>
                <wp:inline distT="0" distB="0" distL="0" distR="0">
                  <wp:extent cx="2655570" cy="2242185"/>
                  <wp:effectExtent l="0" t="0" r="0" b="5715"/>
                  <wp:docPr id="36" name="图片 36" descr="三里桥安置一区 项目西北部"/>
                  <wp:cNvGraphicFramePr/>
                  <a:graphic xmlns:a="http://schemas.openxmlformats.org/drawingml/2006/main">
                    <a:graphicData uri="http://schemas.openxmlformats.org/drawingml/2006/picture">
                      <pic:pic xmlns:pic="http://schemas.openxmlformats.org/drawingml/2006/picture">
                        <pic:nvPicPr>
                          <pic:cNvPr id="36" name="图片 36" descr="三里桥安置一区 项目西北部"/>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55570" cy="22421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c>
          <w:tcPr>
            <w:tcW w:w="4219" w:type="dxa"/>
            <w:vAlign w:val="center"/>
          </w:tcPr>
          <w:p>
            <w:pPr>
              <w:pStyle w:val="18"/>
              <w:adjustRightInd w:val="0"/>
              <w:snapToGrid w:val="0"/>
              <w:spacing w:before="120" w:line="240" w:lineRule="auto"/>
              <w:ind w:left="480"/>
              <w:jc w:val="center"/>
              <w:rPr>
                <w:rFonts w:ascii="Times New Roman" w:hAnsi="Times New Roman" w:eastAsiaTheme="minorEastAsia"/>
                <w:b/>
                <w:color w:val="000000"/>
                <w:kern w:val="0"/>
                <w:szCs w:val="21"/>
              </w:rPr>
            </w:pPr>
            <w:r>
              <w:rPr>
                <w:rFonts w:ascii="Times New Roman" w:hAnsi="Times New Roman" w:eastAsiaTheme="minorEastAsia"/>
                <w:b/>
                <w:color w:val="000000"/>
                <w:kern w:val="0"/>
                <w:szCs w:val="21"/>
              </w:rPr>
              <w:t>东侧、北侧资江及资江三桥</w:t>
            </w:r>
          </w:p>
        </w:tc>
        <w:tc>
          <w:tcPr>
            <w:tcW w:w="4309" w:type="dxa"/>
            <w:vAlign w:val="center"/>
          </w:tcPr>
          <w:p>
            <w:pPr>
              <w:pStyle w:val="18"/>
              <w:adjustRightInd w:val="0"/>
              <w:snapToGrid w:val="0"/>
              <w:spacing w:before="120" w:line="240" w:lineRule="auto"/>
              <w:ind w:left="480"/>
              <w:jc w:val="center"/>
              <w:rPr>
                <w:rFonts w:ascii="Times New Roman" w:hAnsi="Times New Roman" w:eastAsiaTheme="minorEastAsia"/>
                <w:b/>
                <w:color w:val="000000"/>
                <w:kern w:val="0"/>
                <w:szCs w:val="21"/>
              </w:rPr>
            </w:pPr>
            <w:r>
              <w:rPr>
                <w:rFonts w:ascii="Times New Roman" w:hAnsi="Times New Roman" w:eastAsiaTheme="minorEastAsia"/>
                <w:b/>
                <w:color w:val="000000"/>
                <w:kern w:val="0"/>
                <w:szCs w:val="21"/>
              </w:rPr>
              <w:t>北侧：三里桥棚户区改造安置区</w:t>
            </w:r>
          </w:p>
        </w:tc>
      </w:tr>
      <w:tr>
        <w:tblPrEx>
          <w:tblLayout w:type="fixed"/>
          <w:tblCellMar>
            <w:top w:w="0" w:type="dxa"/>
            <w:left w:w="108" w:type="dxa"/>
            <w:bottom w:w="0" w:type="dxa"/>
            <w:right w:w="108" w:type="dxa"/>
          </w:tblCellMar>
        </w:tblPrEx>
        <w:tc>
          <w:tcPr>
            <w:tcW w:w="4219" w:type="dxa"/>
            <w:vAlign w:val="center"/>
          </w:tcPr>
          <w:p>
            <w:pPr>
              <w:pStyle w:val="18"/>
              <w:adjustRightInd w:val="0"/>
              <w:snapToGrid w:val="0"/>
              <w:spacing w:before="120" w:line="240" w:lineRule="auto"/>
              <w:ind w:left="480"/>
              <w:rPr>
                <w:rFonts w:ascii="Times New Roman" w:hAnsi="Times New Roman" w:eastAsiaTheme="minorEastAsia"/>
                <w:b/>
                <w:color w:val="000000"/>
                <w:kern w:val="0"/>
                <w:sz w:val="24"/>
              </w:rPr>
            </w:pPr>
            <w:r>
              <w:rPr>
                <w:rFonts w:ascii="Times New Roman" w:hAnsi="Times New Roman" w:eastAsiaTheme="minorEastAsia"/>
                <w:b/>
                <w:color w:val="000000"/>
                <w:kern w:val="0"/>
                <w:sz w:val="24"/>
              </w:rPr>
              <w:drawing>
                <wp:inline distT="0" distB="0" distL="0" distR="0">
                  <wp:extent cx="2655570" cy="2242185"/>
                  <wp:effectExtent l="0" t="0" r="0" b="5715"/>
                  <wp:docPr id="37" name="图片 37" descr="项目东部桃花仑医院"/>
                  <wp:cNvGraphicFramePr/>
                  <a:graphic xmlns:a="http://schemas.openxmlformats.org/drawingml/2006/main">
                    <a:graphicData uri="http://schemas.openxmlformats.org/drawingml/2006/picture">
                      <pic:pic xmlns:pic="http://schemas.openxmlformats.org/drawingml/2006/picture">
                        <pic:nvPicPr>
                          <pic:cNvPr id="37" name="图片 37" descr="项目东部桃花仑医院"/>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55570" cy="2242185"/>
                          </a:xfrm>
                          <a:prstGeom prst="rect">
                            <a:avLst/>
                          </a:prstGeom>
                          <a:noFill/>
                          <a:ln>
                            <a:noFill/>
                          </a:ln>
                        </pic:spPr>
                      </pic:pic>
                    </a:graphicData>
                  </a:graphic>
                </wp:inline>
              </w:drawing>
            </w:r>
          </w:p>
        </w:tc>
        <w:tc>
          <w:tcPr>
            <w:tcW w:w="4309" w:type="dxa"/>
            <w:vAlign w:val="center"/>
          </w:tcPr>
          <w:p>
            <w:pPr>
              <w:pStyle w:val="18"/>
              <w:adjustRightInd w:val="0"/>
              <w:snapToGrid w:val="0"/>
              <w:spacing w:before="120" w:line="240" w:lineRule="auto"/>
              <w:ind w:left="480"/>
              <w:rPr>
                <w:rFonts w:ascii="Times New Roman" w:hAnsi="Times New Roman" w:eastAsiaTheme="minorEastAsia"/>
                <w:b/>
                <w:color w:val="000000"/>
                <w:kern w:val="0"/>
                <w:sz w:val="24"/>
              </w:rPr>
            </w:pPr>
            <w:r>
              <w:rPr>
                <w:rFonts w:ascii="Times New Roman" w:hAnsi="Times New Roman" w:eastAsiaTheme="minorEastAsia"/>
                <w:b/>
                <w:color w:val="000000"/>
                <w:kern w:val="0"/>
                <w:sz w:val="24"/>
              </w:rPr>
              <w:drawing>
                <wp:inline distT="0" distB="0" distL="0" distR="0">
                  <wp:extent cx="2655570" cy="2242185"/>
                  <wp:effectExtent l="0" t="0" r="0" b="5715"/>
                  <wp:docPr id="38" name="图片 38" descr="家属区2"/>
                  <wp:cNvGraphicFramePr/>
                  <a:graphic xmlns:a="http://schemas.openxmlformats.org/drawingml/2006/main">
                    <a:graphicData uri="http://schemas.openxmlformats.org/drawingml/2006/picture">
                      <pic:pic xmlns:pic="http://schemas.openxmlformats.org/drawingml/2006/picture">
                        <pic:nvPicPr>
                          <pic:cNvPr id="38" name="图片 38" descr="家属区2"/>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55570" cy="22421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373" w:hRule="atLeast"/>
        </w:trPr>
        <w:tc>
          <w:tcPr>
            <w:tcW w:w="4219" w:type="dxa"/>
            <w:vAlign w:val="center"/>
          </w:tcPr>
          <w:p>
            <w:pPr>
              <w:pStyle w:val="18"/>
              <w:adjustRightInd w:val="0"/>
              <w:snapToGrid w:val="0"/>
              <w:spacing w:before="120" w:line="240" w:lineRule="auto"/>
              <w:ind w:left="480"/>
              <w:jc w:val="center"/>
              <w:rPr>
                <w:rFonts w:ascii="Times New Roman" w:hAnsi="Times New Roman" w:eastAsiaTheme="minorEastAsia"/>
                <w:b/>
                <w:color w:val="000000"/>
                <w:kern w:val="0"/>
                <w:szCs w:val="21"/>
              </w:rPr>
            </w:pPr>
            <w:r>
              <w:rPr>
                <w:rFonts w:ascii="Times New Roman" w:hAnsi="Times New Roman" w:eastAsiaTheme="minorEastAsia"/>
                <w:b/>
                <w:color w:val="000000"/>
                <w:kern w:val="0"/>
                <w:szCs w:val="21"/>
              </w:rPr>
              <w:t>西侧：桃花仑卫生院</w:t>
            </w:r>
          </w:p>
        </w:tc>
        <w:tc>
          <w:tcPr>
            <w:tcW w:w="4309" w:type="dxa"/>
            <w:vAlign w:val="center"/>
          </w:tcPr>
          <w:p>
            <w:pPr>
              <w:pStyle w:val="18"/>
              <w:adjustRightInd w:val="0"/>
              <w:snapToGrid w:val="0"/>
              <w:spacing w:before="120" w:line="240" w:lineRule="auto"/>
              <w:ind w:left="480"/>
              <w:jc w:val="center"/>
              <w:rPr>
                <w:rFonts w:ascii="Times New Roman" w:hAnsi="Times New Roman" w:eastAsiaTheme="minorEastAsia"/>
                <w:b/>
                <w:color w:val="000000"/>
                <w:kern w:val="0"/>
                <w:szCs w:val="21"/>
              </w:rPr>
            </w:pPr>
            <w:r>
              <w:rPr>
                <w:rFonts w:ascii="Times New Roman" w:hAnsi="Times New Roman" w:eastAsiaTheme="minorEastAsia"/>
                <w:b/>
                <w:color w:val="000000"/>
                <w:kern w:val="0"/>
                <w:szCs w:val="21"/>
              </w:rPr>
              <w:t>东南侧：原农药厂家属居民区</w:t>
            </w:r>
          </w:p>
        </w:tc>
      </w:tr>
    </w:tbl>
    <w:p>
      <w:pPr>
        <w:snapToGrid w:val="0"/>
        <w:ind w:firstLine="480" w:firstLineChars="200"/>
        <w:jc w:val="center"/>
        <w:rPr>
          <w:rFonts w:ascii="Times New Roman" w:hAnsi="Times New Roman" w:cs="Times New Roman"/>
          <w:color w:val="000000"/>
          <w:kern w:val="0"/>
          <w:szCs w:val="24"/>
        </w:rPr>
      </w:pPr>
      <w:r>
        <w:rPr>
          <w:rFonts w:ascii="Times New Roman" w:hAnsi="Times New Roman" w:cs="Times New Roman"/>
          <w:color w:val="000000"/>
          <w:kern w:val="0"/>
          <w:szCs w:val="24"/>
        </w:rPr>
        <w:t xml:space="preserve">图3-2 </w:t>
      </w:r>
      <w:r>
        <w:rPr>
          <w:rFonts w:ascii="Times New Roman" w:hAnsi="Times New Roman" w:cs="Times New Roman"/>
          <w:szCs w:val="24"/>
        </w:rPr>
        <w:t>原农药厂</w:t>
      </w:r>
      <w:r>
        <w:rPr>
          <w:rFonts w:ascii="Times New Roman" w:hAnsi="Times New Roman" w:cs="Times New Roman"/>
          <w:color w:val="000000"/>
          <w:kern w:val="0"/>
          <w:szCs w:val="24"/>
        </w:rPr>
        <w:t>周围环境现状</w:t>
      </w:r>
    </w:p>
    <w:p>
      <w:pPr>
        <w:rPr>
          <w:rFonts w:ascii="Times New Roman" w:hAnsi="Times New Roman" w:cs="Times New Roman"/>
        </w:rPr>
      </w:pPr>
    </w:p>
    <w:p>
      <w:pPr>
        <w:rPr>
          <w:rFonts w:ascii="Times New Roman" w:hAnsi="Times New Roman" w:cs="Times New Roman"/>
          <w:b/>
          <w:color w:val="000000" w:themeColor="text1"/>
        </w:rPr>
      </w:pPr>
      <w:r>
        <w:rPr>
          <w:rFonts w:ascii="Times New Roman" w:hAnsi="Times New Roman" w:cs="Times New Roman"/>
        </w:rPr>
        <w:t>3.1.3项目历史生产情况</w:t>
      </w:r>
    </w:p>
    <w:p>
      <w:pPr>
        <w:snapToGrid w:val="0"/>
        <w:ind w:firstLine="480" w:firstLineChars="200"/>
        <w:jc w:val="both"/>
        <w:rPr>
          <w:rFonts w:ascii="Times New Roman" w:hAnsi="Times New Roman" w:cs="Times New Roman"/>
          <w:szCs w:val="24"/>
        </w:rPr>
      </w:pPr>
      <w:r>
        <w:rPr>
          <w:rFonts w:ascii="Times New Roman" w:hAnsi="Times New Roman" w:cs="Times New Roman"/>
        </w:rPr>
        <w:t>该厂区建于1963年，最初为益阳市第一化工厂，从1963年-1974年，化工厂一直生产硫化钠；1974年，化工厂改为市农药厂，开始进行农药生产，直到2009年厂区迁出该场地。从70年代到2001年，主要生产有机氯农药、有机氮农药和硫化钠等；2001年农药厂改制为益阳市润慷宝化工有限公司，生产有机氮农药及中间体。</w:t>
      </w:r>
      <w:r>
        <w:rPr>
          <w:rFonts w:ascii="Times New Roman" w:hAnsi="Times New Roman" w:cs="Times New Roman"/>
          <w:szCs w:val="24"/>
        </w:rPr>
        <w:t>厂区六六六、杀虫双、杀虫单、氧化乐果等农药生产历史长达35年，产品达5万余吨，原车间和场地遗留的大量各类有机污染物，通过土壤、地下水等迁移，进入食物链，危害当地的生态环境和人体健康。</w:t>
      </w:r>
    </w:p>
    <w:p>
      <w:pPr>
        <w:snapToGrid w:val="0"/>
        <w:ind w:firstLine="480" w:firstLineChars="200"/>
        <w:rPr>
          <w:rFonts w:ascii="Times New Roman" w:hAnsi="Times New Roman" w:cs="Times New Roman"/>
        </w:rPr>
      </w:pPr>
      <w:r>
        <w:rPr>
          <w:rFonts w:ascii="Times New Roman" w:hAnsi="Times New Roman" w:cs="Times New Roman"/>
        </w:rPr>
        <w:t>企业历年来生产产品历史变迁见表3-1 所示。</w:t>
      </w:r>
    </w:p>
    <w:p>
      <w:pPr>
        <w:snapToGrid w:val="0"/>
        <w:ind w:firstLine="560"/>
        <w:jc w:val="center"/>
        <w:rPr>
          <w:rFonts w:ascii="Times New Roman" w:hAnsi="Times New Roman" w:cs="Times New Roman"/>
          <w:b/>
          <w:sz w:val="21"/>
          <w:szCs w:val="21"/>
        </w:rPr>
        <w:sectPr>
          <w:pgSz w:w="11906" w:h="16838"/>
          <w:pgMar w:top="1440" w:right="1800" w:bottom="1440" w:left="1800" w:header="851" w:footer="992" w:gutter="0"/>
          <w:pgNumType w:fmt="decimal"/>
          <w:cols w:space="720" w:num="1"/>
          <w:docGrid w:type="lines" w:linePitch="312" w:charSpace="0"/>
        </w:sectPr>
      </w:pPr>
    </w:p>
    <w:p>
      <w:pPr>
        <w:snapToGrid w:val="0"/>
        <w:ind w:firstLine="560"/>
        <w:jc w:val="center"/>
        <w:rPr>
          <w:rFonts w:ascii="Times New Roman" w:hAnsi="Times New Roman" w:cs="Times New Roman"/>
          <w:b/>
          <w:sz w:val="21"/>
          <w:szCs w:val="21"/>
        </w:rPr>
      </w:pPr>
      <w:r>
        <w:rPr>
          <w:rFonts w:ascii="Times New Roman" w:hAnsi="Times New Roman" w:cs="Times New Roman"/>
          <w:b/>
          <w:sz w:val="21"/>
          <w:szCs w:val="21"/>
        </w:rPr>
        <w:t>表3-1 污染场地历史生产资料</w:t>
      </w:r>
    </w:p>
    <w:tbl>
      <w:tblPr>
        <w:tblStyle w:val="33"/>
        <w:tblW w:w="8356" w:type="dxa"/>
        <w:jc w:val="center"/>
        <w:tblInd w:w="93"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9"/>
        <w:gridCol w:w="1323"/>
        <w:gridCol w:w="1842"/>
        <w:gridCol w:w="2511"/>
        <w:gridCol w:w="1541"/>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0" w:hRule="atLeast"/>
          <w:jc w:val="center"/>
        </w:trPr>
        <w:tc>
          <w:tcPr>
            <w:tcW w:w="1139" w:type="dxa"/>
            <w:tcBorders>
              <w:top w:val="single" w:color="auto" w:sz="12" w:space="0"/>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生产单位</w:t>
            </w:r>
          </w:p>
        </w:tc>
        <w:tc>
          <w:tcPr>
            <w:tcW w:w="1323" w:type="dxa"/>
            <w:tcBorders>
              <w:top w:val="single" w:color="auto" w:sz="12" w:space="0"/>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生产时间</w:t>
            </w:r>
          </w:p>
        </w:tc>
        <w:tc>
          <w:tcPr>
            <w:tcW w:w="1842" w:type="dxa"/>
            <w:tcBorders>
              <w:top w:val="single" w:color="auto" w:sz="12" w:space="0"/>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产品系列</w:t>
            </w:r>
          </w:p>
        </w:tc>
        <w:tc>
          <w:tcPr>
            <w:tcW w:w="2511" w:type="dxa"/>
            <w:tcBorders>
              <w:top w:val="single" w:color="auto" w:sz="12" w:space="0"/>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产品种类</w:t>
            </w:r>
          </w:p>
        </w:tc>
        <w:tc>
          <w:tcPr>
            <w:tcW w:w="1541" w:type="dxa"/>
            <w:tcBorders>
              <w:top w:val="single" w:color="auto" w:sz="12" w:space="0"/>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产量</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4" w:hRule="atLeast"/>
          <w:jc w:val="center"/>
        </w:trPr>
        <w:tc>
          <w:tcPr>
            <w:tcW w:w="1139" w:type="dxa"/>
            <w:tcBorders>
              <w:top w:val="single" w:color="auto" w:sz="4" w:space="0"/>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益阳市第一化工厂</w:t>
            </w:r>
          </w:p>
        </w:tc>
        <w:tc>
          <w:tcPr>
            <w:tcW w:w="1323" w:type="dxa"/>
            <w:tcBorders>
              <w:top w:val="single" w:color="auto" w:sz="4" w:space="0"/>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1963-1974</w:t>
            </w:r>
          </w:p>
        </w:tc>
        <w:tc>
          <w:tcPr>
            <w:tcW w:w="1842" w:type="dxa"/>
            <w:tcBorders>
              <w:top w:val="single" w:color="auto" w:sz="4" w:space="0"/>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硫</w:t>
            </w:r>
            <w:r>
              <w:rPr>
                <w:rFonts w:hint="eastAsia" w:ascii="Times New Roman" w:hAnsi="宋体"/>
                <w:kern w:val="0"/>
                <w:sz w:val="18"/>
                <w:szCs w:val="18"/>
              </w:rPr>
              <w:t>化钠</w:t>
            </w:r>
          </w:p>
        </w:tc>
        <w:tc>
          <w:tcPr>
            <w:tcW w:w="2511" w:type="dxa"/>
            <w:tcBorders>
              <w:top w:val="single" w:color="auto" w:sz="4" w:space="0"/>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硫化纳</w:t>
            </w:r>
          </w:p>
        </w:tc>
        <w:tc>
          <w:tcPr>
            <w:tcW w:w="1541" w:type="dxa"/>
            <w:tcBorders>
              <w:top w:val="single" w:color="auto" w:sz="4" w:space="0"/>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300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restart"/>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益阳市农药厂</w:t>
            </w:r>
          </w:p>
        </w:tc>
        <w:tc>
          <w:tcPr>
            <w:tcW w:w="1323" w:type="dxa"/>
            <w:vMerge w:val="restart"/>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1974-1983</w:t>
            </w:r>
          </w:p>
        </w:tc>
        <w:tc>
          <w:tcPr>
            <w:tcW w:w="1842" w:type="dxa"/>
            <w:vMerge w:val="restart"/>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有机氯农药</w:t>
            </w:r>
          </w:p>
        </w:tc>
        <w:tc>
          <w:tcPr>
            <w:tcW w:w="2511" w:type="dxa"/>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六六六</w:t>
            </w:r>
          </w:p>
        </w:tc>
        <w:tc>
          <w:tcPr>
            <w:tcW w:w="1541" w:type="dxa"/>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150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tcBorders>
              <w:top w:val="nil"/>
            </w:tcBorders>
            <w:vAlign w:val="center"/>
          </w:tcPr>
          <w:p>
            <w:pPr>
              <w:widowControl/>
              <w:spacing w:line="276" w:lineRule="auto"/>
              <w:rPr>
                <w:rFonts w:ascii="Times New Roman" w:hAnsi="Times New Roman"/>
                <w:kern w:val="0"/>
                <w:sz w:val="18"/>
                <w:szCs w:val="18"/>
              </w:rPr>
            </w:pPr>
          </w:p>
        </w:tc>
        <w:tc>
          <w:tcPr>
            <w:tcW w:w="1323" w:type="dxa"/>
            <w:vMerge w:val="continue"/>
            <w:tcBorders>
              <w:top w:val="nil"/>
            </w:tcBorders>
            <w:vAlign w:val="center"/>
          </w:tcPr>
          <w:p>
            <w:pPr>
              <w:widowControl/>
              <w:spacing w:line="276" w:lineRule="auto"/>
              <w:rPr>
                <w:rFonts w:ascii="Times New Roman" w:hAnsi="Times New Roman"/>
                <w:kern w:val="0"/>
                <w:sz w:val="18"/>
                <w:szCs w:val="18"/>
              </w:rPr>
            </w:pPr>
          </w:p>
        </w:tc>
        <w:tc>
          <w:tcPr>
            <w:tcW w:w="1842" w:type="dxa"/>
            <w:vMerge w:val="continue"/>
            <w:tcBorders>
              <w:top w:val="nil"/>
            </w:tcBorders>
            <w:vAlign w:val="center"/>
          </w:tcPr>
          <w:p>
            <w:pPr>
              <w:widowControl/>
              <w:spacing w:line="276" w:lineRule="auto"/>
              <w:rPr>
                <w:rFonts w:ascii="Times New Roman" w:hAnsi="Times New Roman"/>
                <w:kern w:val="0"/>
                <w:sz w:val="18"/>
                <w:szCs w:val="18"/>
              </w:rPr>
            </w:pPr>
          </w:p>
        </w:tc>
        <w:tc>
          <w:tcPr>
            <w:tcW w:w="2511" w:type="dxa"/>
            <w:tcBorders>
              <w:top w:val="nil"/>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1605</w:t>
            </w:r>
            <w:r>
              <w:rPr>
                <w:rFonts w:ascii="Times New Roman" w:hAnsi="宋体"/>
                <w:kern w:val="0"/>
                <w:sz w:val="18"/>
                <w:szCs w:val="18"/>
              </w:rPr>
              <w:t>（对硫磷）</w:t>
            </w:r>
          </w:p>
        </w:tc>
        <w:tc>
          <w:tcPr>
            <w:tcW w:w="1541" w:type="dxa"/>
            <w:tcBorders>
              <w:top w:val="nil"/>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20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6" w:hRule="atLeast"/>
          <w:jc w:val="center"/>
        </w:trPr>
        <w:tc>
          <w:tcPr>
            <w:tcW w:w="1139" w:type="dxa"/>
            <w:vMerge w:val="continue"/>
            <w:tcBorders>
              <w:top w:val="nil"/>
            </w:tcBorders>
            <w:vAlign w:val="center"/>
          </w:tcPr>
          <w:p>
            <w:pPr>
              <w:widowControl/>
              <w:spacing w:line="276" w:lineRule="auto"/>
              <w:rPr>
                <w:rFonts w:ascii="Times New Roman" w:hAnsi="Times New Roman"/>
                <w:kern w:val="0"/>
                <w:sz w:val="18"/>
                <w:szCs w:val="18"/>
              </w:rPr>
            </w:pPr>
          </w:p>
        </w:tc>
        <w:tc>
          <w:tcPr>
            <w:tcW w:w="1323" w:type="dxa"/>
            <w:vMerge w:val="continue"/>
            <w:tcBorders>
              <w:top w:val="nil"/>
              <w:bottom w:val="single" w:color="auto" w:sz="4" w:space="0"/>
            </w:tcBorders>
            <w:vAlign w:val="center"/>
          </w:tcPr>
          <w:p>
            <w:pPr>
              <w:widowControl/>
              <w:spacing w:line="276" w:lineRule="auto"/>
              <w:rPr>
                <w:rFonts w:ascii="Times New Roman" w:hAnsi="Times New Roman"/>
                <w:kern w:val="0"/>
                <w:sz w:val="18"/>
                <w:szCs w:val="18"/>
              </w:rPr>
            </w:pPr>
          </w:p>
        </w:tc>
        <w:tc>
          <w:tcPr>
            <w:tcW w:w="1842" w:type="dxa"/>
            <w:tcBorders>
              <w:top w:val="nil"/>
              <w:bottom w:val="single" w:color="auto" w:sz="4" w:space="0"/>
            </w:tcBorders>
            <w:shd w:val="clear" w:color="auto" w:fill="auto"/>
            <w:vAlign w:val="center"/>
          </w:tcPr>
          <w:p>
            <w:pPr>
              <w:widowControl/>
              <w:spacing w:line="276" w:lineRule="auto"/>
              <w:jc w:val="center"/>
              <w:rPr>
                <w:rFonts w:ascii="Times New Roman" w:hAnsi="宋体"/>
                <w:kern w:val="0"/>
                <w:sz w:val="18"/>
                <w:szCs w:val="18"/>
              </w:rPr>
            </w:pPr>
            <w:r>
              <w:rPr>
                <w:rFonts w:ascii="Times New Roman" w:hAnsi="宋体"/>
                <w:kern w:val="0"/>
                <w:sz w:val="18"/>
                <w:szCs w:val="18"/>
              </w:rPr>
              <w:t>硫</w:t>
            </w:r>
            <w:r>
              <w:rPr>
                <w:rFonts w:hint="eastAsia" w:ascii="Times New Roman" w:hAnsi="宋体"/>
                <w:kern w:val="0"/>
                <w:sz w:val="18"/>
                <w:szCs w:val="18"/>
              </w:rPr>
              <w:t>化纳</w:t>
            </w:r>
          </w:p>
          <w:p>
            <w:pPr>
              <w:widowControl/>
              <w:spacing w:line="276" w:lineRule="auto"/>
              <w:jc w:val="center"/>
              <w:rPr>
                <w:rFonts w:ascii="Times New Roman" w:hAnsi="Times New Roman"/>
                <w:kern w:val="0"/>
                <w:sz w:val="18"/>
                <w:szCs w:val="18"/>
              </w:rPr>
            </w:pPr>
            <w:r>
              <w:rPr>
                <w:rFonts w:ascii="Times New Roman" w:hAnsi="宋体"/>
                <w:kern w:val="0"/>
                <w:sz w:val="18"/>
                <w:szCs w:val="18"/>
              </w:rPr>
              <w:t>（至</w:t>
            </w:r>
            <w:r>
              <w:rPr>
                <w:rFonts w:ascii="Times New Roman" w:hAnsi="Times New Roman"/>
                <w:kern w:val="0"/>
                <w:sz w:val="18"/>
                <w:szCs w:val="18"/>
              </w:rPr>
              <w:t>1977</w:t>
            </w:r>
            <w:r>
              <w:rPr>
                <w:rFonts w:ascii="Times New Roman" w:hAnsi="宋体"/>
                <w:kern w:val="0"/>
                <w:sz w:val="18"/>
                <w:szCs w:val="18"/>
              </w:rPr>
              <w:t>年停产）</w:t>
            </w:r>
          </w:p>
        </w:tc>
        <w:tc>
          <w:tcPr>
            <w:tcW w:w="2511"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硫化纳</w:t>
            </w:r>
          </w:p>
        </w:tc>
        <w:tc>
          <w:tcPr>
            <w:tcW w:w="1541"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300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vAlign w:val="center"/>
          </w:tcPr>
          <w:p>
            <w:pPr>
              <w:widowControl/>
              <w:spacing w:line="276" w:lineRule="auto"/>
              <w:rPr>
                <w:rFonts w:ascii="Times New Roman" w:hAnsi="Times New Roman"/>
                <w:kern w:val="0"/>
                <w:sz w:val="18"/>
                <w:szCs w:val="18"/>
              </w:rPr>
            </w:pPr>
          </w:p>
        </w:tc>
        <w:tc>
          <w:tcPr>
            <w:tcW w:w="1323" w:type="dxa"/>
            <w:vMerge w:val="restart"/>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198</w:t>
            </w:r>
            <w:r>
              <w:rPr>
                <w:rFonts w:hint="eastAsia" w:ascii="Times New Roman" w:hAnsi="Times New Roman"/>
                <w:kern w:val="0"/>
                <w:sz w:val="18"/>
                <w:szCs w:val="18"/>
              </w:rPr>
              <w:t>4</w:t>
            </w:r>
            <w:r>
              <w:rPr>
                <w:rFonts w:ascii="Times New Roman" w:hAnsi="Times New Roman"/>
                <w:kern w:val="0"/>
                <w:sz w:val="18"/>
                <w:szCs w:val="18"/>
              </w:rPr>
              <w:t>-1990</w:t>
            </w:r>
          </w:p>
        </w:tc>
        <w:tc>
          <w:tcPr>
            <w:tcW w:w="1842" w:type="dxa"/>
            <w:vMerge w:val="restart"/>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有机氮农药</w:t>
            </w:r>
          </w:p>
        </w:tc>
        <w:tc>
          <w:tcPr>
            <w:tcW w:w="2511" w:type="dxa"/>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宋体"/>
                <w:kern w:val="0"/>
                <w:sz w:val="18"/>
                <w:szCs w:val="18"/>
              </w:rPr>
              <w:t>18%杀虫双水剂</w:t>
            </w:r>
          </w:p>
        </w:tc>
        <w:tc>
          <w:tcPr>
            <w:tcW w:w="1541" w:type="dxa"/>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200</w:t>
            </w:r>
            <w:r>
              <w:rPr>
                <w:rFonts w:ascii="Times New Roman" w:hAnsi="宋体"/>
                <w:kern w:val="0"/>
                <w:sz w:val="18"/>
                <w:szCs w:val="18"/>
              </w:rPr>
              <w:t>吨</w:t>
            </w:r>
            <w:r>
              <w:rPr>
                <w:rFonts w:ascii="Times New Roman" w:hAnsi="Times New Roman"/>
                <w:kern w:val="0"/>
                <w:sz w:val="18"/>
                <w:szCs w:val="18"/>
              </w:rPr>
              <w:t>-500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vAlign w:val="center"/>
          </w:tcPr>
          <w:p>
            <w:pPr>
              <w:widowControl/>
              <w:spacing w:line="276" w:lineRule="auto"/>
              <w:rPr>
                <w:rFonts w:ascii="Times New Roman" w:hAnsi="Times New Roman"/>
                <w:kern w:val="0"/>
                <w:sz w:val="18"/>
                <w:szCs w:val="18"/>
              </w:rPr>
            </w:pPr>
          </w:p>
        </w:tc>
        <w:tc>
          <w:tcPr>
            <w:tcW w:w="1323" w:type="dxa"/>
            <w:vMerge w:val="continue"/>
            <w:tcBorders>
              <w:top w:val="nil"/>
              <w:bottom w:val="single" w:color="auto" w:sz="4" w:space="0"/>
            </w:tcBorders>
            <w:vAlign w:val="center"/>
          </w:tcPr>
          <w:p>
            <w:pPr>
              <w:widowControl/>
              <w:spacing w:line="276" w:lineRule="auto"/>
              <w:rPr>
                <w:rFonts w:ascii="Times New Roman" w:hAnsi="Times New Roman"/>
                <w:kern w:val="0"/>
                <w:sz w:val="18"/>
                <w:szCs w:val="18"/>
              </w:rPr>
            </w:pPr>
          </w:p>
        </w:tc>
        <w:tc>
          <w:tcPr>
            <w:tcW w:w="1842" w:type="dxa"/>
            <w:vMerge w:val="continue"/>
            <w:tcBorders>
              <w:top w:val="nil"/>
              <w:bottom w:val="single" w:color="auto" w:sz="4" w:space="0"/>
            </w:tcBorders>
            <w:vAlign w:val="center"/>
          </w:tcPr>
          <w:p>
            <w:pPr>
              <w:widowControl/>
              <w:spacing w:line="276" w:lineRule="auto"/>
              <w:rPr>
                <w:rFonts w:ascii="Times New Roman" w:hAnsi="Times New Roman"/>
                <w:kern w:val="0"/>
                <w:sz w:val="18"/>
                <w:szCs w:val="18"/>
              </w:rPr>
            </w:pPr>
          </w:p>
        </w:tc>
        <w:tc>
          <w:tcPr>
            <w:tcW w:w="2511"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杀虫单</w:t>
            </w:r>
          </w:p>
        </w:tc>
        <w:tc>
          <w:tcPr>
            <w:tcW w:w="1541"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50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vAlign w:val="center"/>
          </w:tcPr>
          <w:p>
            <w:pPr>
              <w:widowControl/>
              <w:spacing w:line="276" w:lineRule="auto"/>
              <w:rPr>
                <w:rFonts w:ascii="Times New Roman" w:hAnsi="Times New Roman"/>
                <w:kern w:val="0"/>
                <w:sz w:val="18"/>
                <w:szCs w:val="18"/>
              </w:rPr>
            </w:pPr>
          </w:p>
        </w:tc>
        <w:tc>
          <w:tcPr>
            <w:tcW w:w="1323" w:type="dxa"/>
            <w:vMerge w:val="restart"/>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1990-1994</w:t>
            </w:r>
          </w:p>
        </w:tc>
        <w:tc>
          <w:tcPr>
            <w:tcW w:w="1842" w:type="dxa"/>
            <w:vMerge w:val="restart"/>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有机氮农药</w:t>
            </w:r>
          </w:p>
        </w:tc>
        <w:tc>
          <w:tcPr>
            <w:tcW w:w="2511" w:type="dxa"/>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宋体"/>
                <w:kern w:val="0"/>
                <w:sz w:val="18"/>
                <w:szCs w:val="18"/>
              </w:rPr>
              <w:t>18%杀虫双水剂</w:t>
            </w:r>
          </w:p>
        </w:tc>
        <w:tc>
          <w:tcPr>
            <w:tcW w:w="1541" w:type="dxa"/>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Times New Roman"/>
                <w:kern w:val="0"/>
                <w:sz w:val="18"/>
                <w:szCs w:val="18"/>
              </w:rPr>
              <w:t>5000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vAlign w:val="center"/>
          </w:tcPr>
          <w:p>
            <w:pPr>
              <w:widowControl/>
              <w:spacing w:line="276" w:lineRule="auto"/>
              <w:rPr>
                <w:rFonts w:ascii="Times New Roman" w:hAnsi="Times New Roman"/>
                <w:kern w:val="0"/>
                <w:sz w:val="18"/>
                <w:szCs w:val="18"/>
              </w:rPr>
            </w:pPr>
          </w:p>
        </w:tc>
        <w:tc>
          <w:tcPr>
            <w:tcW w:w="1323" w:type="dxa"/>
            <w:vMerge w:val="continue"/>
            <w:tcBorders>
              <w:top w:val="nil"/>
            </w:tcBorders>
            <w:vAlign w:val="center"/>
          </w:tcPr>
          <w:p>
            <w:pPr>
              <w:widowControl/>
              <w:spacing w:line="276" w:lineRule="auto"/>
              <w:rPr>
                <w:rFonts w:ascii="Times New Roman" w:hAnsi="Times New Roman"/>
                <w:kern w:val="0"/>
                <w:sz w:val="18"/>
                <w:szCs w:val="18"/>
              </w:rPr>
            </w:pPr>
          </w:p>
        </w:tc>
        <w:tc>
          <w:tcPr>
            <w:tcW w:w="1842" w:type="dxa"/>
            <w:vMerge w:val="continue"/>
            <w:tcBorders>
              <w:top w:val="nil"/>
            </w:tcBorders>
            <w:vAlign w:val="center"/>
          </w:tcPr>
          <w:p>
            <w:pPr>
              <w:widowControl/>
              <w:spacing w:line="276" w:lineRule="auto"/>
              <w:rPr>
                <w:rFonts w:ascii="Times New Roman" w:hAnsi="Times New Roman"/>
                <w:kern w:val="0"/>
                <w:sz w:val="18"/>
                <w:szCs w:val="18"/>
              </w:rPr>
            </w:pPr>
          </w:p>
        </w:tc>
        <w:tc>
          <w:tcPr>
            <w:tcW w:w="2511" w:type="dxa"/>
            <w:tcBorders>
              <w:top w:val="nil"/>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杀虫单</w:t>
            </w:r>
          </w:p>
        </w:tc>
        <w:tc>
          <w:tcPr>
            <w:tcW w:w="1541" w:type="dxa"/>
            <w:tcBorders>
              <w:top w:val="nil"/>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2000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vAlign w:val="center"/>
          </w:tcPr>
          <w:p>
            <w:pPr>
              <w:widowControl/>
              <w:spacing w:line="276" w:lineRule="auto"/>
              <w:rPr>
                <w:rFonts w:ascii="Times New Roman" w:hAnsi="Times New Roman"/>
                <w:kern w:val="0"/>
                <w:sz w:val="18"/>
                <w:szCs w:val="18"/>
              </w:rPr>
            </w:pPr>
          </w:p>
        </w:tc>
        <w:tc>
          <w:tcPr>
            <w:tcW w:w="1323" w:type="dxa"/>
            <w:vMerge w:val="continue"/>
            <w:tcBorders>
              <w:top w:val="nil"/>
              <w:bottom w:val="single" w:color="auto" w:sz="4" w:space="0"/>
            </w:tcBorders>
            <w:vAlign w:val="center"/>
          </w:tcPr>
          <w:p>
            <w:pPr>
              <w:widowControl/>
              <w:spacing w:line="276" w:lineRule="auto"/>
              <w:rPr>
                <w:rFonts w:ascii="Times New Roman" w:hAnsi="Times New Roman"/>
                <w:kern w:val="0"/>
                <w:sz w:val="18"/>
                <w:szCs w:val="18"/>
              </w:rPr>
            </w:pPr>
          </w:p>
        </w:tc>
        <w:tc>
          <w:tcPr>
            <w:tcW w:w="1842" w:type="dxa"/>
            <w:vMerge w:val="continue"/>
            <w:tcBorders>
              <w:top w:val="nil"/>
              <w:bottom w:val="single" w:color="auto" w:sz="4" w:space="0"/>
            </w:tcBorders>
            <w:vAlign w:val="center"/>
          </w:tcPr>
          <w:p>
            <w:pPr>
              <w:widowControl/>
              <w:spacing w:line="276" w:lineRule="auto"/>
              <w:rPr>
                <w:rFonts w:ascii="Times New Roman" w:hAnsi="Times New Roman"/>
                <w:kern w:val="0"/>
                <w:sz w:val="18"/>
                <w:szCs w:val="18"/>
              </w:rPr>
            </w:pPr>
          </w:p>
        </w:tc>
        <w:tc>
          <w:tcPr>
            <w:tcW w:w="2511"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氧乐果</w:t>
            </w:r>
          </w:p>
        </w:tc>
        <w:tc>
          <w:tcPr>
            <w:tcW w:w="1541"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600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vAlign w:val="center"/>
          </w:tcPr>
          <w:p>
            <w:pPr>
              <w:widowControl/>
              <w:spacing w:line="276" w:lineRule="auto"/>
              <w:rPr>
                <w:rFonts w:ascii="Times New Roman" w:hAnsi="Times New Roman"/>
                <w:kern w:val="0"/>
                <w:sz w:val="18"/>
                <w:szCs w:val="18"/>
              </w:rPr>
            </w:pPr>
          </w:p>
        </w:tc>
        <w:tc>
          <w:tcPr>
            <w:tcW w:w="1323" w:type="dxa"/>
            <w:vMerge w:val="restart"/>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1995-2001</w:t>
            </w:r>
          </w:p>
        </w:tc>
        <w:tc>
          <w:tcPr>
            <w:tcW w:w="1842" w:type="dxa"/>
            <w:vMerge w:val="restart"/>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有机氮农药</w:t>
            </w:r>
          </w:p>
        </w:tc>
        <w:tc>
          <w:tcPr>
            <w:tcW w:w="2511" w:type="dxa"/>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宋体"/>
                <w:kern w:val="0"/>
                <w:sz w:val="18"/>
                <w:szCs w:val="18"/>
              </w:rPr>
              <w:t>18%杀虫双水剂</w:t>
            </w:r>
          </w:p>
        </w:tc>
        <w:tc>
          <w:tcPr>
            <w:tcW w:w="1541" w:type="dxa"/>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Times New Roman"/>
                <w:kern w:val="0"/>
                <w:sz w:val="18"/>
                <w:szCs w:val="18"/>
              </w:rPr>
              <w:t>5000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tcBorders>
              <w:bottom w:val="single" w:color="auto" w:sz="12" w:space="0"/>
            </w:tcBorders>
            <w:vAlign w:val="center"/>
          </w:tcPr>
          <w:p>
            <w:pPr>
              <w:widowControl/>
              <w:spacing w:line="276" w:lineRule="auto"/>
              <w:rPr>
                <w:rFonts w:ascii="Times New Roman" w:hAnsi="Times New Roman"/>
                <w:kern w:val="0"/>
                <w:sz w:val="18"/>
                <w:szCs w:val="18"/>
              </w:rPr>
            </w:pPr>
          </w:p>
        </w:tc>
        <w:tc>
          <w:tcPr>
            <w:tcW w:w="1323" w:type="dxa"/>
            <w:vMerge w:val="continue"/>
            <w:tcBorders>
              <w:bottom w:val="single" w:color="auto" w:sz="12" w:space="0"/>
            </w:tcBorders>
            <w:vAlign w:val="center"/>
          </w:tcPr>
          <w:p>
            <w:pPr>
              <w:widowControl/>
              <w:spacing w:line="276" w:lineRule="auto"/>
              <w:rPr>
                <w:rFonts w:ascii="Times New Roman" w:hAnsi="Times New Roman"/>
                <w:kern w:val="0"/>
                <w:sz w:val="18"/>
                <w:szCs w:val="18"/>
              </w:rPr>
            </w:pPr>
          </w:p>
        </w:tc>
        <w:tc>
          <w:tcPr>
            <w:tcW w:w="1842" w:type="dxa"/>
            <w:vMerge w:val="continue"/>
            <w:tcBorders>
              <w:bottom w:val="single" w:color="auto" w:sz="12" w:space="0"/>
            </w:tcBorders>
            <w:vAlign w:val="center"/>
          </w:tcPr>
          <w:p>
            <w:pPr>
              <w:widowControl/>
              <w:spacing w:line="276" w:lineRule="auto"/>
              <w:rPr>
                <w:rFonts w:ascii="Times New Roman" w:hAnsi="Times New Roman"/>
                <w:kern w:val="0"/>
                <w:sz w:val="18"/>
                <w:szCs w:val="18"/>
              </w:rPr>
            </w:pPr>
          </w:p>
        </w:tc>
        <w:tc>
          <w:tcPr>
            <w:tcW w:w="2511" w:type="dxa"/>
            <w:tcBorders>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杀虫单</w:t>
            </w:r>
          </w:p>
        </w:tc>
        <w:tc>
          <w:tcPr>
            <w:tcW w:w="1541" w:type="dxa"/>
            <w:tcBorders>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2000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restart"/>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润慷宝化工有限公司</w:t>
            </w:r>
          </w:p>
        </w:tc>
        <w:tc>
          <w:tcPr>
            <w:tcW w:w="1323" w:type="dxa"/>
            <w:vMerge w:val="restart"/>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2001-2003</w:t>
            </w:r>
          </w:p>
        </w:tc>
        <w:tc>
          <w:tcPr>
            <w:tcW w:w="1842" w:type="dxa"/>
            <w:vMerge w:val="restart"/>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有机氮农药</w:t>
            </w:r>
          </w:p>
        </w:tc>
        <w:tc>
          <w:tcPr>
            <w:tcW w:w="2511" w:type="dxa"/>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宋体"/>
                <w:kern w:val="0"/>
                <w:sz w:val="18"/>
                <w:szCs w:val="18"/>
              </w:rPr>
              <w:t>18%杀虫双水剂</w:t>
            </w:r>
          </w:p>
        </w:tc>
        <w:tc>
          <w:tcPr>
            <w:tcW w:w="1541" w:type="dxa"/>
            <w:tcBorders>
              <w:top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Times New Roman"/>
                <w:kern w:val="0"/>
                <w:sz w:val="18"/>
                <w:szCs w:val="18"/>
              </w:rPr>
              <w:t>5000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jc w:val="center"/>
        </w:trPr>
        <w:tc>
          <w:tcPr>
            <w:tcW w:w="1139" w:type="dxa"/>
            <w:vMerge w:val="continue"/>
            <w:tcBorders>
              <w:top w:val="nil"/>
            </w:tcBorders>
            <w:vAlign w:val="center"/>
          </w:tcPr>
          <w:p>
            <w:pPr>
              <w:widowControl/>
              <w:spacing w:line="276" w:lineRule="auto"/>
              <w:rPr>
                <w:rFonts w:ascii="Times New Roman" w:hAnsi="Times New Roman"/>
                <w:kern w:val="0"/>
                <w:sz w:val="18"/>
                <w:szCs w:val="18"/>
              </w:rPr>
            </w:pPr>
          </w:p>
        </w:tc>
        <w:tc>
          <w:tcPr>
            <w:tcW w:w="1323" w:type="dxa"/>
            <w:vMerge w:val="continue"/>
            <w:tcBorders>
              <w:top w:val="nil"/>
            </w:tcBorders>
            <w:vAlign w:val="center"/>
          </w:tcPr>
          <w:p>
            <w:pPr>
              <w:widowControl/>
              <w:spacing w:line="276" w:lineRule="auto"/>
              <w:rPr>
                <w:rFonts w:ascii="Times New Roman" w:hAnsi="Times New Roman"/>
                <w:kern w:val="0"/>
                <w:sz w:val="18"/>
                <w:szCs w:val="18"/>
              </w:rPr>
            </w:pPr>
          </w:p>
        </w:tc>
        <w:tc>
          <w:tcPr>
            <w:tcW w:w="1842" w:type="dxa"/>
            <w:vMerge w:val="continue"/>
            <w:tcBorders>
              <w:top w:val="nil"/>
            </w:tcBorders>
            <w:vAlign w:val="center"/>
          </w:tcPr>
          <w:p>
            <w:pPr>
              <w:widowControl/>
              <w:spacing w:line="276" w:lineRule="auto"/>
              <w:rPr>
                <w:rFonts w:ascii="Times New Roman" w:hAnsi="Times New Roman"/>
                <w:kern w:val="0"/>
                <w:sz w:val="18"/>
                <w:szCs w:val="18"/>
              </w:rPr>
            </w:pPr>
          </w:p>
        </w:tc>
        <w:tc>
          <w:tcPr>
            <w:tcW w:w="2511" w:type="dxa"/>
            <w:tcBorders>
              <w:top w:val="nil"/>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杀虫单</w:t>
            </w:r>
          </w:p>
        </w:tc>
        <w:tc>
          <w:tcPr>
            <w:tcW w:w="1541" w:type="dxa"/>
            <w:tcBorders>
              <w:top w:val="nil"/>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2000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2" w:hRule="atLeast"/>
          <w:jc w:val="center"/>
        </w:trPr>
        <w:tc>
          <w:tcPr>
            <w:tcW w:w="1139" w:type="dxa"/>
            <w:vMerge w:val="continue"/>
            <w:tcBorders>
              <w:top w:val="nil"/>
            </w:tcBorders>
            <w:vAlign w:val="center"/>
          </w:tcPr>
          <w:p>
            <w:pPr>
              <w:widowControl/>
              <w:spacing w:line="276" w:lineRule="auto"/>
              <w:rPr>
                <w:rFonts w:ascii="Times New Roman" w:hAnsi="Times New Roman"/>
                <w:kern w:val="0"/>
                <w:sz w:val="18"/>
                <w:szCs w:val="18"/>
              </w:rPr>
            </w:pPr>
          </w:p>
        </w:tc>
        <w:tc>
          <w:tcPr>
            <w:tcW w:w="1323" w:type="dxa"/>
            <w:vMerge w:val="continue"/>
            <w:tcBorders>
              <w:top w:val="nil"/>
              <w:bottom w:val="single" w:color="auto" w:sz="4" w:space="0"/>
            </w:tcBorders>
            <w:vAlign w:val="center"/>
          </w:tcPr>
          <w:p>
            <w:pPr>
              <w:widowControl/>
              <w:spacing w:line="276" w:lineRule="auto"/>
              <w:rPr>
                <w:rFonts w:ascii="Times New Roman" w:hAnsi="Times New Roman"/>
                <w:kern w:val="0"/>
                <w:sz w:val="18"/>
                <w:szCs w:val="18"/>
              </w:rPr>
            </w:pPr>
          </w:p>
        </w:tc>
        <w:tc>
          <w:tcPr>
            <w:tcW w:w="1842"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乳油</w:t>
            </w:r>
          </w:p>
        </w:tc>
        <w:tc>
          <w:tcPr>
            <w:tcW w:w="2511"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三唑磷乳油</w:t>
            </w:r>
          </w:p>
        </w:tc>
        <w:tc>
          <w:tcPr>
            <w:tcW w:w="1541" w:type="dxa"/>
            <w:tcBorders>
              <w:top w:val="nil"/>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Times New Roman"/>
                <w:kern w:val="0"/>
                <w:sz w:val="18"/>
                <w:szCs w:val="18"/>
              </w:rPr>
              <w:t>2</w:t>
            </w:r>
            <w:r>
              <w:rPr>
                <w:rFonts w:ascii="Times New Roman" w:hAnsi="Times New Roman"/>
                <w:kern w:val="0"/>
                <w:sz w:val="18"/>
                <w:szCs w:val="18"/>
              </w:rPr>
              <w:t>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60" w:hRule="atLeast"/>
          <w:jc w:val="center"/>
        </w:trPr>
        <w:tc>
          <w:tcPr>
            <w:tcW w:w="1139" w:type="dxa"/>
            <w:vMerge w:val="continue"/>
            <w:tcBorders>
              <w:top w:val="nil"/>
            </w:tcBorders>
            <w:vAlign w:val="center"/>
          </w:tcPr>
          <w:p>
            <w:pPr>
              <w:widowControl/>
              <w:spacing w:line="276" w:lineRule="auto"/>
              <w:rPr>
                <w:rFonts w:ascii="Times New Roman" w:hAnsi="Times New Roman"/>
                <w:kern w:val="0"/>
                <w:sz w:val="18"/>
                <w:szCs w:val="18"/>
              </w:rPr>
            </w:pPr>
          </w:p>
        </w:tc>
        <w:tc>
          <w:tcPr>
            <w:tcW w:w="1323" w:type="dxa"/>
            <w:vMerge w:val="restart"/>
            <w:tcBorders>
              <w:top w:val="single" w:color="auto" w:sz="4" w:space="0"/>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2003-2010</w:t>
            </w:r>
          </w:p>
        </w:tc>
        <w:tc>
          <w:tcPr>
            <w:tcW w:w="1842" w:type="dxa"/>
            <w:tcBorders>
              <w:top w:val="single" w:color="auto" w:sz="4" w:space="0"/>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乳油</w:t>
            </w:r>
          </w:p>
        </w:tc>
        <w:tc>
          <w:tcPr>
            <w:tcW w:w="2511" w:type="dxa"/>
            <w:tcBorders>
              <w:top w:val="single" w:color="auto" w:sz="4" w:space="0"/>
              <w:bottom w:val="single" w:color="auto" w:sz="4" w:space="0"/>
            </w:tcBorders>
            <w:shd w:val="clear" w:color="auto" w:fill="auto"/>
            <w:vAlign w:val="center"/>
          </w:tcPr>
          <w:p>
            <w:pPr>
              <w:widowControl/>
              <w:spacing w:line="276" w:lineRule="auto"/>
              <w:jc w:val="center"/>
              <w:rPr>
                <w:rFonts w:ascii="Times New Roman" w:hAnsi="宋体"/>
                <w:kern w:val="0"/>
                <w:sz w:val="18"/>
                <w:szCs w:val="18"/>
              </w:rPr>
            </w:pPr>
            <w:r>
              <w:rPr>
                <w:rFonts w:hint="eastAsia" w:ascii="Times New Roman" w:hAnsi="宋体"/>
                <w:kern w:val="0"/>
                <w:sz w:val="18"/>
                <w:szCs w:val="18"/>
              </w:rPr>
              <w:t>10%草甘磷水剂，</w:t>
            </w:r>
            <w:r>
              <w:rPr>
                <w:rFonts w:ascii="Times New Roman" w:hAnsi="宋体"/>
                <w:kern w:val="0"/>
                <w:sz w:val="18"/>
                <w:szCs w:val="18"/>
              </w:rPr>
              <w:t>20%异丙威乳油（加工）、</w:t>
            </w:r>
            <w:r>
              <w:rPr>
                <w:rFonts w:hint="eastAsia" w:ascii="Times New Roman" w:hAnsi="宋体"/>
                <w:kern w:val="0"/>
                <w:sz w:val="18"/>
                <w:szCs w:val="18"/>
              </w:rPr>
              <w:t>90%杀单</w:t>
            </w:r>
            <w:r>
              <w:rPr>
                <w:rFonts w:ascii="Times New Roman" w:hAnsi="宋体"/>
                <w:kern w:val="0"/>
                <w:sz w:val="18"/>
                <w:szCs w:val="18"/>
              </w:rPr>
              <w:t>▪</w:t>
            </w:r>
            <w:r>
              <w:rPr>
                <w:rFonts w:hint="eastAsia" w:ascii="Times New Roman" w:hAnsi="宋体"/>
                <w:kern w:val="0"/>
                <w:sz w:val="18"/>
                <w:szCs w:val="18"/>
              </w:rPr>
              <w:t>乙酰甲可溶粉</w:t>
            </w:r>
            <w:r>
              <w:rPr>
                <w:rFonts w:ascii="Times New Roman" w:hAnsi="宋体"/>
                <w:kern w:val="0"/>
                <w:sz w:val="18"/>
                <w:szCs w:val="18"/>
              </w:rPr>
              <w:t>、</w:t>
            </w:r>
            <w:r>
              <w:rPr>
                <w:rFonts w:hint="eastAsia" w:ascii="Times New Roman" w:hAnsi="宋体"/>
                <w:kern w:val="0"/>
                <w:sz w:val="18"/>
                <w:szCs w:val="18"/>
              </w:rPr>
              <w:t>70%噻</w:t>
            </w:r>
            <w:r>
              <w:rPr>
                <w:rFonts w:ascii="Times New Roman" w:hAnsi="宋体"/>
                <w:kern w:val="0"/>
                <w:sz w:val="18"/>
                <w:szCs w:val="18"/>
              </w:rPr>
              <w:t>▪</w:t>
            </w:r>
            <w:r>
              <w:rPr>
                <w:rFonts w:hint="eastAsia" w:ascii="Times New Roman" w:hAnsi="宋体"/>
                <w:kern w:val="0"/>
                <w:sz w:val="18"/>
                <w:szCs w:val="18"/>
              </w:rPr>
              <w:t>杀单可湿分、20%马</w:t>
            </w:r>
            <w:r>
              <w:rPr>
                <w:rFonts w:ascii="Times New Roman" w:hAnsi="宋体"/>
                <w:kern w:val="0"/>
                <w:sz w:val="18"/>
                <w:szCs w:val="18"/>
              </w:rPr>
              <w:t>▪</w:t>
            </w:r>
            <w:r>
              <w:rPr>
                <w:rFonts w:hint="eastAsia" w:ascii="Times New Roman" w:hAnsi="宋体"/>
                <w:kern w:val="0"/>
                <w:sz w:val="18"/>
                <w:szCs w:val="18"/>
              </w:rPr>
              <w:t>唑磷乳油、20%高效氯氟氰菊酯</w:t>
            </w:r>
            <w:r>
              <w:rPr>
                <w:rFonts w:ascii="Times New Roman" w:hAnsi="宋体"/>
                <w:kern w:val="0"/>
                <w:sz w:val="18"/>
                <w:szCs w:val="18"/>
              </w:rPr>
              <w:t>▪</w:t>
            </w:r>
            <w:r>
              <w:rPr>
                <w:rFonts w:hint="eastAsia" w:ascii="Times New Roman" w:hAnsi="宋体"/>
                <w:kern w:val="0"/>
                <w:sz w:val="18"/>
                <w:szCs w:val="18"/>
              </w:rPr>
              <w:t>辛乳油、10%毒死蜱</w:t>
            </w:r>
            <w:r>
              <w:rPr>
                <w:rFonts w:ascii="Times New Roman" w:hAnsi="宋体"/>
                <w:kern w:val="0"/>
                <w:sz w:val="18"/>
                <w:szCs w:val="18"/>
              </w:rPr>
              <w:t>▪</w:t>
            </w:r>
            <w:r>
              <w:rPr>
                <w:rFonts w:hint="eastAsia" w:ascii="Times New Roman" w:hAnsi="宋体"/>
                <w:kern w:val="0"/>
                <w:sz w:val="18"/>
                <w:szCs w:val="18"/>
              </w:rPr>
              <w:t>高效氯氟氰菊酯乳油</w:t>
            </w:r>
            <w:r>
              <w:rPr>
                <w:rFonts w:ascii="Times New Roman" w:hAnsi="宋体"/>
                <w:kern w:val="0"/>
                <w:sz w:val="18"/>
                <w:szCs w:val="18"/>
              </w:rPr>
              <w:t>等</w:t>
            </w:r>
          </w:p>
        </w:tc>
        <w:tc>
          <w:tcPr>
            <w:tcW w:w="1541" w:type="dxa"/>
            <w:tcBorders>
              <w:top w:val="single" w:color="auto" w:sz="4" w:space="0"/>
              <w:bottom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根据定单生产，共约</w:t>
            </w:r>
            <w:r>
              <w:rPr>
                <w:rFonts w:ascii="Times New Roman" w:hAnsi="Times New Roman"/>
                <w:kern w:val="0"/>
                <w:sz w:val="18"/>
                <w:szCs w:val="18"/>
              </w:rPr>
              <w:t>300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9" w:hRule="atLeast"/>
          <w:jc w:val="center"/>
        </w:trPr>
        <w:tc>
          <w:tcPr>
            <w:tcW w:w="1139" w:type="dxa"/>
            <w:vMerge w:val="continue"/>
            <w:tcBorders>
              <w:top w:val="nil"/>
            </w:tcBorders>
            <w:vAlign w:val="center"/>
          </w:tcPr>
          <w:p>
            <w:pPr>
              <w:widowControl/>
              <w:spacing w:line="276" w:lineRule="auto"/>
              <w:rPr>
                <w:rFonts w:ascii="Times New Roman" w:hAnsi="Times New Roman"/>
                <w:kern w:val="0"/>
                <w:sz w:val="18"/>
                <w:szCs w:val="18"/>
              </w:rPr>
            </w:pPr>
          </w:p>
        </w:tc>
        <w:tc>
          <w:tcPr>
            <w:tcW w:w="1323" w:type="dxa"/>
            <w:vMerge w:val="continue"/>
            <w:tcBorders>
              <w:top w:val="single" w:color="auto" w:sz="4" w:space="0"/>
            </w:tcBorders>
            <w:vAlign w:val="center"/>
          </w:tcPr>
          <w:p>
            <w:pPr>
              <w:widowControl/>
              <w:spacing w:line="276" w:lineRule="auto"/>
              <w:rPr>
                <w:rFonts w:ascii="Times New Roman" w:hAnsi="Times New Roman"/>
                <w:kern w:val="0"/>
                <w:sz w:val="18"/>
                <w:szCs w:val="18"/>
              </w:rPr>
            </w:pPr>
          </w:p>
        </w:tc>
        <w:tc>
          <w:tcPr>
            <w:tcW w:w="1842" w:type="dxa"/>
            <w:vMerge w:val="restart"/>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有机氮农药</w:t>
            </w:r>
          </w:p>
        </w:tc>
        <w:tc>
          <w:tcPr>
            <w:tcW w:w="2511" w:type="dxa"/>
            <w:tcBorders>
              <w:top w:val="single" w:color="auto" w:sz="4" w:space="0"/>
            </w:tcBorders>
            <w:shd w:val="clear" w:color="auto" w:fill="auto"/>
            <w:vAlign w:val="center"/>
          </w:tcPr>
          <w:p>
            <w:pPr>
              <w:widowControl/>
              <w:spacing w:line="276" w:lineRule="auto"/>
              <w:jc w:val="center"/>
              <w:rPr>
                <w:rFonts w:ascii="Times New Roman" w:hAnsi="宋体"/>
                <w:kern w:val="0"/>
                <w:sz w:val="18"/>
                <w:szCs w:val="18"/>
              </w:rPr>
            </w:pPr>
            <w:r>
              <w:rPr>
                <w:rFonts w:hint="eastAsia" w:ascii="Times New Roman" w:hAnsi="宋体"/>
                <w:kern w:val="0"/>
                <w:sz w:val="18"/>
                <w:szCs w:val="18"/>
              </w:rPr>
              <w:t>18%杀虫双水剂</w:t>
            </w:r>
          </w:p>
        </w:tc>
        <w:tc>
          <w:tcPr>
            <w:tcW w:w="1541" w:type="dxa"/>
            <w:tcBorders>
              <w:top w:val="single" w:color="auto" w:sz="4" w:space="0"/>
            </w:tcBorders>
            <w:shd w:val="clear" w:color="auto" w:fill="auto"/>
            <w:vAlign w:val="center"/>
          </w:tcPr>
          <w:p>
            <w:pPr>
              <w:widowControl/>
              <w:spacing w:line="276" w:lineRule="auto"/>
              <w:jc w:val="center"/>
              <w:rPr>
                <w:rFonts w:ascii="Times New Roman" w:hAnsi="Times New Roman"/>
                <w:kern w:val="0"/>
                <w:sz w:val="18"/>
                <w:szCs w:val="18"/>
              </w:rPr>
            </w:pPr>
            <w:r>
              <w:rPr>
                <w:rFonts w:hint="eastAsia" w:ascii="Times New Roman" w:hAnsi="Times New Roman"/>
                <w:kern w:val="0"/>
                <w:sz w:val="18"/>
                <w:szCs w:val="18"/>
              </w:rPr>
              <w:t>70</w:t>
            </w:r>
            <w:r>
              <w:rPr>
                <w:rFonts w:ascii="Times New Roman" w:hAnsi="Times New Roman"/>
                <w:kern w:val="0"/>
                <w:sz w:val="18"/>
                <w:szCs w:val="18"/>
              </w:rPr>
              <w:t>00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jc w:val="center"/>
        </w:trPr>
        <w:tc>
          <w:tcPr>
            <w:tcW w:w="1139" w:type="dxa"/>
            <w:vMerge w:val="continue"/>
            <w:tcBorders>
              <w:top w:val="nil"/>
              <w:bottom w:val="single" w:color="auto" w:sz="12" w:space="0"/>
            </w:tcBorders>
            <w:vAlign w:val="center"/>
          </w:tcPr>
          <w:p>
            <w:pPr>
              <w:widowControl/>
              <w:spacing w:line="276" w:lineRule="auto"/>
              <w:rPr>
                <w:rFonts w:ascii="Times New Roman" w:hAnsi="Times New Roman"/>
                <w:kern w:val="0"/>
                <w:sz w:val="18"/>
                <w:szCs w:val="18"/>
              </w:rPr>
            </w:pPr>
          </w:p>
        </w:tc>
        <w:tc>
          <w:tcPr>
            <w:tcW w:w="1323" w:type="dxa"/>
            <w:vMerge w:val="continue"/>
            <w:tcBorders>
              <w:top w:val="nil"/>
              <w:bottom w:val="single" w:color="auto" w:sz="12" w:space="0"/>
            </w:tcBorders>
            <w:vAlign w:val="center"/>
          </w:tcPr>
          <w:p>
            <w:pPr>
              <w:widowControl/>
              <w:spacing w:line="276" w:lineRule="auto"/>
              <w:rPr>
                <w:rFonts w:ascii="Times New Roman" w:hAnsi="Times New Roman"/>
                <w:kern w:val="0"/>
                <w:sz w:val="18"/>
                <w:szCs w:val="18"/>
              </w:rPr>
            </w:pPr>
          </w:p>
        </w:tc>
        <w:tc>
          <w:tcPr>
            <w:tcW w:w="1842" w:type="dxa"/>
            <w:vMerge w:val="continue"/>
            <w:tcBorders>
              <w:top w:val="nil"/>
              <w:bottom w:val="single" w:color="auto" w:sz="12" w:space="0"/>
            </w:tcBorders>
            <w:vAlign w:val="center"/>
          </w:tcPr>
          <w:p>
            <w:pPr>
              <w:widowControl/>
              <w:spacing w:line="276" w:lineRule="auto"/>
              <w:rPr>
                <w:rFonts w:ascii="Times New Roman" w:hAnsi="Times New Roman"/>
                <w:kern w:val="0"/>
                <w:sz w:val="18"/>
                <w:szCs w:val="18"/>
              </w:rPr>
            </w:pPr>
          </w:p>
        </w:tc>
        <w:tc>
          <w:tcPr>
            <w:tcW w:w="2511" w:type="dxa"/>
            <w:tcBorders>
              <w:top w:val="nil"/>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宋体"/>
                <w:kern w:val="0"/>
                <w:sz w:val="18"/>
                <w:szCs w:val="18"/>
              </w:rPr>
              <w:t>杀虫单</w:t>
            </w:r>
          </w:p>
        </w:tc>
        <w:tc>
          <w:tcPr>
            <w:tcW w:w="1541" w:type="dxa"/>
            <w:tcBorders>
              <w:top w:val="nil"/>
              <w:bottom w:val="single" w:color="auto" w:sz="12" w:space="0"/>
            </w:tcBorders>
            <w:shd w:val="clear" w:color="auto" w:fill="auto"/>
            <w:vAlign w:val="center"/>
          </w:tcPr>
          <w:p>
            <w:pPr>
              <w:widowControl/>
              <w:spacing w:line="276" w:lineRule="auto"/>
              <w:jc w:val="center"/>
              <w:rPr>
                <w:rFonts w:ascii="Times New Roman" w:hAnsi="Times New Roman"/>
                <w:kern w:val="0"/>
                <w:sz w:val="18"/>
                <w:szCs w:val="18"/>
              </w:rPr>
            </w:pPr>
            <w:r>
              <w:rPr>
                <w:rFonts w:ascii="Times New Roman" w:hAnsi="Times New Roman"/>
                <w:kern w:val="0"/>
                <w:sz w:val="18"/>
                <w:szCs w:val="18"/>
              </w:rPr>
              <w:t>50</w:t>
            </w:r>
            <w:r>
              <w:rPr>
                <w:rFonts w:hint="eastAsia" w:ascii="Times New Roman" w:hAnsi="Times New Roman"/>
                <w:kern w:val="0"/>
                <w:sz w:val="18"/>
                <w:szCs w:val="18"/>
              </w:rPr>
              <w:t>0</w:t>
            </w:r>
            <w:r>
              <w:rPr>
                <w:rFonts w:ascii="Times New Roman" w:hAnsi="宋体"/>
                <w:kern w:val="0"/>
                <w:sz w:val="18"/>
                <w:szCs w:val="18"/>
              </w:rPr>
              <w:t>吨</w:t>
            </w:r>
            <w:r>
              <w:rPr>
                <w:rFonts w:ascii="Times New Roman" w:hAnsi="Times New Roman"/>
                <w:kern w:val="0"/>
                <w:sz w:val="18"/>
                <w:szCs w:val="18"/>
              </w:rPr>
              <w:t>/</w:t>
            </w:r>
            <w:r>
              <w:rPr>
                <w:rFonts w:ascii="Times New Roman" w:hAnsi="宋体"/>
                <w:kern w:val="0"/>
                <w:sz w:val="18"/>
                <w:szCs w:val="18"/>
              </w:rPr>
              <w:t>年</w:t>
            </w:r>
          </w:p>
        </w:tc>
      </w:tr>
    </w:tbl>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相比大气污染、水环境污染，农药厂遗留地块对环境的污染更为严重，最直接的危害是不利于植物生长，导致农作物减产乃至绝收，严重污染的土地可能寸草不生。另外，此类污染一般通过两个途径对人类产生不利影响：</w:t>
      </w:r>
      <w:r>
        <w:rPr>
          <w:rFonts w:hint="eastAsia" w:ascii="宋体" w:hAnsi="宋体" w:eastAsia="宋体" w:cs="宋体"/>
          <w:color w:val="000000" w:themeColor="text1"/>
        </w:rPr>
        <w:t>①</w:t>
      </w:r>
      <w:r>
        <w:rPr>
          <w:rFonts w:ascii="Times New Roman" w:hAnsi="Times New Roman" w:cs="Times New Roman"/>
          <w:color w:val="000000" w:themeColor="text1"/>
        </w:rPr>
        <w:t>居民通过饮水和食品等暴露途径受到被污染的土壤、水体的直接影响，尤其以通通过农作物吸附富集或能在水产品中累积放大毒性的污染物所产生的后果最为严重；</w:t>
      </w:r>
      <w:r>
        <w:rPr>
          <w:rFonts w:hint="eastAsia" w:ascii="宋体" w:hAnsi="宋体" w:eastAsia="宋体" w:cs="宋体"/>
          <w:color w:val="000000" w:themeColor="text1"/>
        </w:rPr>
        <w:t>②</w:t>
      </w:r>
      <w:r>
        <w:rPr>
          <w:rFonts w:ascii="Times New Roman" w:hAnsi="Times New Roman" w:cs="Times New Roman"/>
          <w:color w:val="000000" w:themeColor="text1"/>
        </w:rPr>
        <w:t>随着城市化进程的不断深入推进，城市范围不断扩大，许多城市“退二进三”的发展战略使得历史上被农药厂、化工厂等污染过的土地逐渐被纳入城市建设用地的范畴，从而给居民带来潜在的环境和健康风险，甚至诱发致癌、致畸变等严重后果。</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益阳市润慷宝（原农药厂）污染地块经废弃后，其生产车间、仓库等建筑物均已拆除，但地表土壤和一些废渣等未经处理，露天直接堆放于地表环境中，遗留物中存在大量的有机农药等有毒有害物质随降雨或地表径流进入周边水体，通过渗透等环境行为有毒有害物质进入土壤和地下水，造成环境污染。天气干燥时期，地表飞灰可能随风迁移到远处，造成大范围污染。</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历史污染场地如果不能得到及时有效的修复和治理，必将带来一系列后果，不仅人民生命健康和财产安全受损，而且还会造成恶劣的社会影响，甚至引发各类群体事件，影响社会整体稳定。因此，该遗留污染场地的治理、管理和开发问题变得愈来愈重要和紧迫。</w:t>
      </w:r>
    </w:p>
    <w:p>
      <w:pPr>
        <w:rPr>
          <w:rFonts w:ascii="Times New Roman" w:hAnsi="Times New Roman" w:cs="Times New Roman"/>
        </w:rPr>
      </w:pPr>
      <w:r>
        <w:rPr>
          <w:rFonts w:ascii="Times New Roman" w:hAnsi="Times New Roman" w:cs="Times New Roman"/>
        </w:rPr>
        <w:t>3.1.4项目周边敏感目标情况</w:t>
      </w:r>
    </w:p>
    <w:p>
      <w:pPr>
        <w:snapToGrid w:val="0"/>
        <w:ind w:firstLine="560"/>
        <w:rPr>
          <w:rFonts w:ascii="Times New Roman" w:hAnsi="Times New Roman" w:cs="Times New Roman"/>
        </w:rPr>
      </w:pPr>
      <w:r>
        <w:rPr>
          <w:rFonts w:ascii="Times New Roman" w:hAnsi="Times New Roman" w:cs="Times New Roman"/>
        </w:rPr>
        <w:t>周围主要是居民点及企业宿舍楼，包括：原农药厂职工宿舍、三里桥安置区居民点、团洲村居民点、三桥新村居民点、鹿角山小区居民点、梓山新城居民点、香槟花宛公寓、桃花仑医院、益阳市三里桥小学、益阳市三桥水果批发市场居民点等，周边影响涉及居民超过5000人。</w:t>
      </w:r>
    </w:p>
    <w:p>
      <w:pPr>
        <w:snapToGrid w:val="0"/>
        <w:ind w:firstLine="560"/>
        <w:rPr>
          <w:rFonts w:ascii="Times New Roman" w:hAnsi="Times New Roman" w:cs="Times New Roman"/>
        </w:rPr>
      </w:pPr>
      <w:r>
        <w:rPr>
          <w:rFonts w:ascii="Times New Roman" w:hAnsi="Times New Roman" w:cs="Times New Roman"/>
        </w:rPr>
        <w:t>项目周边敏感目标见表3-2及图3-3。</w:t>
      </w:r>
    </w:p>
    <w:p>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表3-2项目周边敏感目标</w:t>
      </w:r>
    </w:p>
    <w:tbl>
      <w:tblPr>
        <w:tblStyle w:val="33"/>
        <w:tblW w:w="855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48"/>
        <w:gridCol w:w="2721"/>
        <w:gridCol w:w="850"/>
        <w:gridCol w:w="1452"/>
        <w:gridCol w:w="28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3369" w:type="dxa"/>
            <w:gridSpan w:val="2"/>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敏感点名称</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方位</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距离（m）</w:t>
            </w:r>
          </w:p>
        </w:tc>
        <w:tc>
          <w:tcPr>
            <w:tcW w:w="288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保护对象及规模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94"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三里桥安置区居民点</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N</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15-100m</w:t>
            </w:r>
          </w:p>
        </w:tc>
        <w:tc>
          <w:tcPr>
            <w:tcW w:w="2888" w:type="dxa"/>
            <w:vAlign w:val="center"/>
          </w:tcPr>
          <w:p>
            <w:pPr>
              <w:pStyle w:val="104"/>
              <w:spacing w:line="276" w:lineRule="auto"/>
              <w:rPr>
                <w:rFonts w:eastAsiaTheme="minorEastAsia"/>
                <w:szCs w:val="21"/>
              </w:rPr>
            </w:pPr>
            <w:r>
              <w:rPr>
                <w:rFonts w:eastAsiaTheme="minorEastAsia"/>
                <w:szCs w:val="21"/>
              </w:rPr>
              <w:t>共5栋，入住约20户，居民60人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原农药厂职工宿舍居民点</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SE</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10-50m</w:t>
            </w:r>
          </w:p>
        </w:tc>
        <w:tc>
          <w:tcPr>
            <w:tcW w:w="2888" w:type="dxa"/>
            <w:vAlign w:val="center"/>
          </w:tcPr>
          <w:p>
            <w:pPr>
              <w:pStyle w:val="104"/>
              <w:spacing w:line="276" w:lineRule="auto"/>
              <w:rPr>
                <w:rFonts w:eastAsiaTheme="minorEastAsia"/>
                <w:szCs w:val="21"/>
              </w:rPr>
            </w:pPr>
            <w:r>
              <w:rPr>
                <w:rFonts w:eastAsiaTheme="minorEastAsia"/>
                <w:szCs w:val="21"/>
              </w:rPr>
              <w:t>50余户，居民约150人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团洲村居民点</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E</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140-200m</w:t>
            </w:r>
          </w:p>
        </w:tc>
        <w:tc>
          <w:tcPr>
            <w:tcW w:w="2888" w:type="dxa"/>
            <w:vAlign w:val="center"/>
          </w:tcPr>
          <w:p>
            <w:pPr>
              <w:pStyle w:val="104"/>
              <w:spacing w:line="276" w:lineRule="auto"/>
              <w:rPr>
                <w:rFonts w:eastAsiaTheme="minorEastAsia"/>
                <w:szCs w:val="21"/>
              </w:rPr>
            </w:pPr>
            <w:r>
              <w:rPr>
                <w:rFonts w:eastAsiaTheme="minorEastAsia"/>
                <w:szCs w:val="21"/>
              </w:rPr>
              <w:t>40余户，居民约150人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三桥新村居民点</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S</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50-500m</w:t>
            </w:r>
          </w:p>
        </w:tc>
        <w:tc>
          <w:tcPr>
            <w:tcW w:w="2888" w:type="dxa"/>
            <w:vAlign w:val="center"/>
          </w:tcPr>
          <w:p>
            <w:pPr>
              <w:pStyle w:val="104"/>
              <w:spacing w:line="276" w:lineRule="auto"/>
              <w:rPr>
                <w:rFonts w:eastAsiaTheme="minorEastAsia"/>
                <w:szCs w:val="21"/>
              </w:rPr>
            </w:pPr>
            <w:r>
              <w:rPr>
                <w:rFonts w:eastAsiaTheme="minorEastAsia"/>
                <w:szCs w:val="21"/>
              </w:rPr>
              <w:t>250余户，居民约1000人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鹿角山小区居民点</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SW</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50-300m</w:t>
            </w:r>
          </w:p>
        </w:tc>
        <w:tc>
          <w:tcPr>
            <w:tcW w:w="2888" w:type="dxa"/>
            <w:vAlign w:val="center"/>
          </w:tcPr>
          <w:p>
            <w:pPr>
              <w:pStyle w:val="104"/>
              <w:spacing w:line="276" w:lineRule="auto"/>
              <w:rPr>
                <w:rFonts w:eastAsiaTheme="minorEastAsia"/>
                <w:szCs w:val="21"/>
              </w:rPr>
            </w:pPr>
            <w:r>
              <w:rPr>
                <w:rFonts w:eastAsiaTheme="minorEastAsia"/>
                <w:szCs w:val="21"/>
              </w:rPr>
              <w:t>150余户，居民约700人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梓山新城居民点</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W</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50-400m</w:t>
            </w:r>
          </w:p>
        </w:tc>
        <w:tc>
          <w:tcPr>
            <w:tcW w:w="2888" w:type="dxa"/>
            <w:vAlign w:val="center"/>
          </w:tcPr>
          <w:p>
            <w:pPr>
              <w:pStyle w:val="104"/>
              <w:spacing w:line="276" w:lineRule="auto"/>
              <w:rPr>
                <w:rFonts w:eastAsiaTheme="minorEastAsia"/>
                <w:szCs w:val="21"/>
              </w:rPr>
            </w:pPr>
            <w:r>
              <w:rPr>
                <w:rFonts w:eastAsiaTheme="minorEastAsia"/>
                <w:szCs w:val="21"/>
              </w:rPr>
              <w:t>140余户，居民600人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桃花仑医院</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W</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35</w:t>
            </w:r>
          </w:p>
        </w:tc>
        <w:tc>
          <w:tcPr>
            <w:tcW w:w="2888" w:type="dxa"/>
            <w:vAlign w:val="center"/>
          </w:tcPr>
          <w:p>
            <w:pPr>
              <w:pStyle w:val="104"/>
              <w:spacing w:line="276" w:lineRule="auto"/>
              <w:rPr>
                <w:rFonts w:eastAsiaTheme="minorEastAsia"/>
                <w:szCs w:val="21"/>
              </w:rPr>
            </w:pPr>
            <w:r>
              <w:rPr>
                <w:rFonts w:eastAsiaTheme="minorEastAsia"/>
                <w:szCs w:val="21"/>
              </w:rPr>
              <w:t>约50人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香槟花宛公寓</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NW</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150-400m</w:t>
            </w:r>
          </w:p>
        </w:tc>
        <w:tc>
          <w:tcPr>
            <w:tcW w:w="2888" w:type="dxa"/>
            <w:vAlign w:val="center"/>
          </w:tcPr>
          <w:p>
            <w:pPr>
              <w:pStyle w:val="104"/>
              <w:spacing w:line="276" w:lineRule="auto"/>
              <w:rPr>
                <w:rFonts w:eastAsiaTheme="minorEastAsia"/>
                <w:szCs w:val="21"/>
              </w:rPr>
            </w:pPr>
            <w:r>
              <w:rPr>
                <w:rFonts w:eastAsiaTheme="minorEastAsia"/>
                <w:szCs w:val="21"/>
              </w:rPr>
              <w:t>300余户，居民1000人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885"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9</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益阳市三桥水果批发市场居民点</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NE</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100-150 m</w:t>
            </w:r>
          </w:p>
        </w:tc>
        <w:tc>
          <w:tcPr>
            <w:tcW w:w="2888" w:type="dxa"/>
            <w:vAlign w:val="center"/>
          </w:tcPr>
          <w:p>
            <w:pPr>
              <w:pStyle w:val="104"/>
              <w:spacing w:line="276" w:lineRule="auto"/>
              <w:rPr>
                <w:rFonts w:eastAsiaTheme="minorEastAsia"/>
                <w:szCs w:val="21"/>
              </w:rPr>
            </w:pPr>
            <w:r>
              <w:rPr>
                <w:rFonts w:eastAsiaTheme="minorEastAsia"/>
                <w:szCs w:val="21"/>
              </w:rPr>
              <w:t>100余户，居民400人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10</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益阳市三里桥小学</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S</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180 m</w:t>
            </w:r>
          </w:p>
        </w:tc>
        <w:tc>
          <w:tcPr>
            <w:tcW w:w="2888" w:type="dxa"/>
            <w:vAlign w:val="center"/>
          </w:tcPr>
          <w:p>
            <w:pPr>
              <w:pStyle w:val="104"/>
              <w:spacing w:line="276" w:lineRule="auto"/>
              <w:rPr>
                <w:rFonts w:eastAsiaTheme="minorEastAsia"/>
                <w:szCs w:val="21"/>
              </w:rPr>
            </w:pPr>
            <w:r>
              <w:rPr>
                <w:rFonts w:eastAsiaTheme="minorEastAsia"/>
                <w:szCs w:val="21"/>
              </w:rPr>
              <w:t>约950人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0" w:hRule="exact"/>
        </w:trPr>
        <w:tc>
          <w:tcPr>
            <w:tcW w:w="648"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2721"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资水河</w:t>
            </w:r>
          </w:p>
        </w:tc>
        <w:tc>
          <w:tcPr>
            <w:tcW w:w="850"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W</w:t>
            </w:r>
          </w:p>
        </w:tc>
        <w:tc>
          <w:tcPr>
            <w:tcW w:w="1452" w:type="dxa"/>
            <w:vAlign w:val="center"/>
          </w:tcPr>
          <w:p>
            <w:pPr>
              <w:adjustRightInd w:val="0"/>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700m</w:t>
            </w:r>
          </w:p>
        </w:tc>
        <w:tc>
          <w:tcPr>
            <w:tcW w:w="2888" w:type="dxa"/>
            <w:vAlign w:val="center"/>
          </w:tcPr>
          <w:p>
            <w:pPr>
              <w:pStyle w:val="104"/>
              <w:spacing w:line="276" w:lineRule="auto"/>
              <w:rPr>
                <w:rFonts w:eastAsiaTheme="minorEastAsia"/>
                <w:szCs w:val="21"/>
              </w:rPr>
            </w:pPr>
            <w:r>
              <w:rPr>
                <w:rFonts w:eastAsiaTheme="minorEastAsia"/>
                <w:szCs w:val="21"/>
              </w:rPr>
              <w:t>河流(工业用水)</w:t>
            </w:r>
          </w:p>
        </w:tc>
      </w:tr>
    </w:tbl>
    <w:p>
      <w:pPr>
        <w:snapToGrid w:val="0"/>
        <w:rPr>
          <w:rFonts w:ascii="Times New Roman" w:hAnsi="Times New Roman" w:cs="Times New Roman"/>
          <w:snapToGrid w:val="0"/>
          <w:kern w:val="0"/>
          <w:szCs w:val="24"/>
        </w:rPr>
        <w:sectPr>
          <w:pgSz w:w="11906" w:h="16838"/>
          <w:pgMar w:top="1440" w:right="1800" w:bottom="1440" w:left="1800" w:header="851" w:footer="992" w:gutter="0"/>
          <w:pgNumType w:fmt="decimal"/>
          <w:cols w:space="720" w:num="1"/>
          <w:docGrid w:type="lines" w:linePitch="312" w:charSpace="0"/>
        </w:sectPr>
      </w:pPr>
    </w:p>
    <w:p>
      <w:pPr>
        <w:snapToGrid w:val="0"/>
        <w:ind w:firstLine="560"/>
        <w:jc w:val="center"/>
        <w:rPr>
          <w:rFonts w:ascii="Times New Roman" w:hAnsi="Times New Roman" w:cs="Times New Roman"/>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7629525</wp:posOffset>
            </wp:positionH>
            <wp:positionV relativeFrom="paragraph">
              <wp:posOffset>4467860</wp:posOffset>
            </wp:positionV>
            <wp:extent cx="518795" cy="247015"/>
            <wp:effectExtent l="0" t="0" r="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8795" cy="247015"/>
                    </a:xfrm>
                    <a:prstGeom prst="rect">
                      <a:avLst/>
                    </a:prstGeom>
                    <a:noFill/>
                    <a:ln>
                      <a:noFill/>
                    </a:ln>
                  </pic:spPr>
                </pic:pic>
              </a:graphicData>
            </a:graphic>
          </wp:anchor>
        </w:drawing>
      </w:r>
      <w:r>
        <w:rPr>
          <w:rFonts w:ascii="Times New Roman" w:hAnsi="Times New Roman" w:cs="Times New Roman"/>
        </w:rPr>
        <w:drawing>
          <wp:inline distT="0" distB="0" distL="0" distR="0">
            <wp:extent cx="7076440" cy="47148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6">
                      <a:extLst>
                        <a:ext uri="{28A0092B-C50C-407E-A947-70E740481C1C}">
                          <a14:useLocalDpi xmlns:a14="http://schemas.microsoft.com/office/drawing/2010/main" val="0"/>
                        </a:ext>
                      </a:extLst>
                    </a:blip>
                    <a:srcRect l="15349" t="22559" r="25616" b="8656"/>
                    <a:stretch>
                      <a:fillRect/>
                    </a:stretch>
                  </pic:blipFill>
                  <pic:spPr>
                    <a:xfrm>
                      <a:off x="0" y="0"/>
                      <a:ext cx="7076440" cy="4714875"/>
                    </a:xfrm>
                    <a:prstGeom prst="rect">
                      <a:avLst/>
                    </a:prstGeom>
                    <a:noFill/>
                    <a:ln>
                      <a:noFill/>
                    </a:ln>
                  </pic:spPr>
                </pic:pic>
              </a:graphicData>
            </a:graphic>
          </wp:inline>
        </w:drawing>
      </w:r>
    </w:p>
    <w:p>
      <w:pPr>
        <w:snapToGrid w:val="0"/>
        <w:ind w:firstLine="560"/>
        <w:jc w:val="center"/>
        <w:rPr>
          <w:rFonts w:ascii="Times New Roman" w:hAnsi="Times New Roman" w:cs="Times New Roman"/>
          <w:snapToGrid w:val="0"/>
          <w:kern w:val="0"/>
          <w:szCs w:val="24"/>
        </w:rPr>
        <w:sectPr>
          <w:pgSz w:w="16838" w:h="11906" w:orient="landscape"/>
          <w:pgMar w:top="1800" w:right="1440" w:bottom="1800" w:left="1440" w:header="851" w:footer="992" w:gutter="0"/>
          <w:pgNumType w:fmt="decimal"/>
          <w:cols w:space="720" w:num="1"/>
          <w:docGrid w:type="lines" w:linePitch="312" w:charSpace="0"/>
        </w:sectPr>
      </w:pPr>
      <w:r>
        <w:rPr>
          <w:rFonts w:ascii="Times New Roman" w:hAnsi="Times New Roman" w:cs="Times New Roman"/>
        </w:rPr>
        <w:t>图3-3污染场地周边敏感目标分布图</w:t>
      </w:r>
    </w:p>
    <w:p>
      <w:pPr>
        <w:pStyle w:val="3"/>
        <w:ind w:right="480"/>
        <w:rPr>
          <w:rFonts w:ascii="Times New Roman" w:hAnsi="Times New Roman" w:cs="Times New Roman" w:eastAsiaTheme="minorEastAsia"/>
          <w:b w:val="0"/>
          <w:color w:val="000000" w:themeColor="text1"/>
        </w:rPr>
      </w:pPr>
      <w:bookmarkStart w:id="9" w:name="_Toc482661574"/>
      <w:r>
        <w:rPr>
          <w:rFonts w:ascii="Times New Roman" w:hAnsi="Times New Roman" w:cs="Times New Roman" w:eastAsiaTheme="minorEastAsia"/>
          <w:b w:val="0"/>
          <w:color w:val="000000" w:themeColor="text1"/>
        </w:rPr>
        <w:t>3.2土壤污染调查结果</w:t>
      </w:r>
      <w:bookmarkEnd w:id="9"/>
    </w:p>
    <w:p>
      <w:pPr>
        <w:rPr>
          <w:rFonts w:ascii="Times New Roman" w:hAnsi="Times New Roman" w:cs="Times New Roman"/>
        </w:rPr>
      </w:pPr>
      <w:r>
        <w:rPr>
          <w:rFonts w:ascii="Times New Roman" w:hAnsi="Times New Roman" w:cs="Times New Roman"/>
        </w:rPr>
        <w:t>3.2.1地勘调查结果</w:t>
      </w:r>
    </w:p>
    <w:p>
      <w:pPr>
        <w:rPr>
          <w:rFonts w:ascii="Times New Roman" w:hAnsi="Times New Roman" w:cs="Times New Roman"/>
        </w:rPr>
      </w:pPr>
      <w:r>
        <w:rPr>
          <w:rFonts w:ascii="Times New Roman" w:hAnsi="Times New Roman" w:cs="Times New Roman"/>
        </w:rPr>
        <w:t>3.2.1.1场地的地质和水文条件</w:t>
      </w:r>
    </w:p>
    <w:p>
      <w:pPr>
        <w:ind w:firstLine="240" w:firstLineChars="100"/>
        <w:rPr>
          <w:rFonts w:ascii="Times New Roman" w:hAnsi="Times New Roman" w:cs="Times New Roman"/>
        </w:rPr>
      </w:pPr>
      <w:bookmarkStart w:id="10" w:name="_Toc283305109"/>
      <w:bookmarkStart w:id="11" w:name="_Toc283364275"/>
      <w:bookmarkStart w:id="12" w:name="_Toc283314998"/>
      <w:bookmarkStart w:id="13" w:name="_Toc283314338"/>
      <w:bookmarkStart w:id="14" w:name="_Toc283314011"/>
      <w:bookmarkStart w:id="15" w:name="_Toc282866603"/>
      <w:r>
        <w:rPr>
          <w:rFonts w:ascii="Times New Roman" w:hAnsi="Times New Roman" w:cs="Times New Roman"/>
        </w:rPr>
        <w:t>（1）场地基本情况</w:t>
      </w:r>
    </w:p>
    <w:p>
      <w:pPr>
        <w:tabs>
          <w:tab w:val="left" w:pos="1660"/>
        </w:tabs>
        <w:adjustRightInd w:val="0"/>
        <w:snapToGrid w:val="0"/>
        <w:ind w:firstLine="480" w:firstLineChars="200"/>
        <w:rPr>
          <w:rFonts w:ascii="Times New Roman" w:hAnsi="Times New Roman" w:cs="Times New Roman"/>
          <w:szCs w:val="24"/>
        </w:rPr>
      </w:pPr>
      <w:r>
        <w:rPr>
          <w:rFonts w:ascii="Times New Roman" w:hAnsi="Times New Roman" w:cs="Times New Roman"/>
          <w:szCs w:val="24"/>
        </w:rPr>
        <w:t>项目地块总面积约18315m</w:t>
      </w:r>
      <w:r>
        <w:rPr>
          <w:rFonts w:ascii="Times New Roman" w:hAnsi="Times New Roman" w:cs="Times New Roman"/>
          <w:szCs w:val="24"/>
          <w:vertAlign w:val="superscript"/>
        </w:rPr>
        <w:t>2</w:t>
      </w:r>
      <w:r>
        <w:rPr>
          <w:rFonts w:ascii="Times New Roman" w:hAnsi="Times New Roman" w:cs="Times New Roman"/>
          <w:szCs w:val="24"/>
        </w:rPr>
        <w:t>，基本上为一个上底边长220米，下底边长320米，高160米的直角梯形区。根据现场钻探及测量成果资料通过计算得出该场地污染物储量为39228.5m</w:t>
      </w:r>
      <w:r>
        <w:rPr>
          <w:rFonts w:ascii="Times New Roman" w:hAnsi="Times New Roman" w:cs="Times New Roman"/>
          <w:szCs w:val="24"/>
          <w:vertAlign w:val="superscript"/>
        </w:rPr>
        <w:t>3</w:t>
      </w:r>
      <w:r>
        <w:rPr>
          <w:rFonts w:ascii="Times New Roman" w:hAnsi="Times New Roman" w:cs="Times New Roman"/>
          <w:szCs w:val="24"/>
        </w:rPr>
        <w:t>。</w:t>
      </w:r>
    </w:p>
    <w:p>
      <w:pPr>
        <w:ind w:firstLine="240" w:firstLineChars="100"/>
        <w:rPr>
          <w:rFonts w:ascii="Times New Roman" w:hAnsi="Times New Roman" w:cs="Times New Roman"/>
        </w:rPr>
      </w:pPr>
      <w:r>
        <w:rPr>
          <w:rFonts w:ascii="Times New Roman" w:hAnsi="Times New Roman" w:cs="Times New Roman"/>
        </w:rPr>
        <w:t>（2）区域地质构造</w:t>
      </w:r>
    </w:p>
    <w:p>
      <w:pPr>
        <w:tabs>
          <w:tab w:val="left" w:pos="1660"/>
        </w:tabs>
        <w:adjustRightInd w:val="0"/>
        <w:snapToGrid w:val="0"/>
        <w:ind w:firstLine="480" w:firstLineChars="200"/>
        <w:rPr>
          <w:rFonts w:ascii="Times New Roman" w:hAnsi="Times New Roman" w:cs="Times New Roman"/>
          <w:szCs w:val="24"/>
        </w:rPr>
      </w:pPr>
      <w:r>
        <w:rPr>
          <w:rFonts w:ascii="Times New Roman" w:hAnsi="Times New Roman" w:cs="Times New Roman"/>
          <w:szCs w:val="24"/>
        </w:rPr>
        <w:t>地质构造相对稳定，区域地壳稳定性较好。根据工程地质调查，拟建场地未见区域性活动断裂构造分布，地层分布较稳定。</w:t>
      </w:r>
    </w:p>
    <w:p>
      <w:pPr>
        <w:ind w:firstLine="240" w:firstLineChars="100"/>
        <w:rPr>
          <w:rFonts w:ascii="Times New Roman" w:hAnsi="Times New Roman" w:cs="Times New Roman"/>
        </w:rPr>
      </w:pPr>
      <w:r>
        <w:rPr>
          <w:rFonts w:ascii="Times New Roman" w:hAnsi="Times New Roman" w:cs="Times New Roman"/>
        </w:rPr>
        <w:t>（3）地层岩性</w:t>
      </w:r>
    </w:p>
    <w:p>
      <w:pPr>
        <w:ind w:firstLine="480" w:firstLineChars="200"/>
        <w:rPr>
          <w:rFonts w:ascii="Times New Roman" w:hAnsi="Times New Roman" w:cs="Times New Roman"/>
          <w:szCs w:val="24"/>
        </w:rPr>
      </w:pPr>
      <w:r>
        <w:rPr>
          <w:rFonts w:ascii="Times New Roman" w:hAnsi="Times New Roman" w:cs="Times New Roman"/>
          <w:szCs w:val="24"/>
        </w:rPr>
        <w:t>根据野外勘察结果，结合室内土工试验，揭露的地层为第四系杂填土</w:t>
      </w:r>
      <w:r>
        <w:rPr>
          <w:rFonts w:hint="eastAsia" w:ascii="宋体" w:hAnsi="宋体" w:eastAsia="宋体" w:cs="宋体"/>
          <w:szCs w:val="24"/>
        </w:rPr>
        <w:t>①</w:t>
      </w:r>
      <w:r>
        <w:rPr>
          <w:rFonts w:ascii="Times New Roman" w:hAnsi="Times New Roman" w:cs="Times New Roman"/>
          <w:szCs w:val="24"/>
        </w:rPr>
        <w:t>-1（</w:t>
      </w:r>
      <w:r>
        <w:rPr>
          <w:rFonts w:hint="eastAsia" w:ascii="宋体" w:hAnsi="宋体" w:eastAsia="宋体" w:cs="宋体"/>
          <w:szCs w:val="24"/>
        </w:rPr>
        <w:t>①</w:t>
      </w:r>
      <w:r>
        <w:rPr>
          <w:rFonts w:ascii="Times New Roman" w:hAnsi="Times New Roman" w:cs="Times New Roman"/>
          <w:szCs w:val="24"/>
        </w:rPr>
        <w:t>为工程地质层编号，下同）、杂填土</w:t>
      </w:r>
      <w:r>
        <w:rPr>
          <w:rFonts w:hint="eastAsia" w:ascii="宋体" w:hAnsi="宋体" w:eastAsia="宋体" w:cs="宋体"/>
          <w:szCs w:val="24"/>
        </w:rPr>
        <w:t>①</w:t>
      </w:r>
      <w:r>
        <w:rPr>
          <w:rFonts w:ascii="Times New Roman" w:hAnsi="Times New Roman" w:cs="Times New Roman"/>
          <w:szCs w:val="24"/>
        </w:rPr>
        <w:t>-2、粉质粘土</w:t>
      </w:r>
      <w:r>
        <w:rPr>
          <w:rFonts w:hint="eastAsia" w:ascii="宋体" w:hAnsi="宋体" w:eastAsia="宋体" w:cs="宋体"/>
          <w:szCs w:val="24"/>
        </w:rPr>
        <w:t>②</w:t>
      </w:r>
      <w:r>
        <w:rPr>
          <w:rFonts w:ascii="Times New Roman" w:hAnsi="Times New Roman" w:cs="Times New Roman"/>
          <w:szCs w:val="24"/>
        </w:rPr>
        <w:t>、粉质粘土</w:t>
      </w:r>
      <w:r>
        <w:rPr>
          <w:rFonts w:hint="eastAsia" w:ascii="宋体" w:hAnsi="宋体" w:eastAsia="宋体" w:cs="宋体"/>
          <w:szCs w:val="24"/>
        </w:rPr>
        <w:t>③</w:t>
      </w:r>
      <w:r>
        <w:rPr>
          <w:rFonts w:ascii="Times New Roman" w:hAnsi="Times New Roman" w:cs="Times New Roman"/>
          <w:szCs w:val="24"/>
        </w:rPr>
        <w:t>、圆砾</w:t>
      </w:r>
      <w:r>
        <w:rPr>
          <w:rFonts w:hint="eastAsia" w:ascii="宋体" w:hAnsi="宋体" w:eastAsia="宋体" w:cs="宋体"/>
          <w:szCs w:val="24"/>
        </w:rPr>
        <w:t>④</w:t>
      </w:r>
      <w:r>
        <w:rPr>
          <w:rFonts w:ascii="Times New Roman" w:hAnsi="Times New Roman" w:cs="Times New Roman"/>
          <w:szCs w:val="24"/>
        </w:rPr>
        <w:t>。现将各岩土层的主要特征分别描述如下：</w:t>
      </w:r>
    </w:p>
    <w:p>
      <w:pPr>
        <w:numPr>
          <w:ilvl w:val="0"/>
          <w:numId w:val="3"/>
        </w:numPr>
        <w:ind w:firstLine="480" w:firstLineChars="200"/>
        <w:jc w:val="both"/>
        <w:rPr>
          <w:rFonts w:ascii="Times New Roman" w:hAnsi="Times New Roman" w:cs="Times New Roman"/>
          <w:szCs w:val="24"/>
        </w:rPr>
      </w:pPr>
      <w:r>
        <w:rPr>
          <w:rFonts w:ascii="Times New Roman" w:hAnsi="Times New Roman" w:cs="Times New Roman"/>
          <w:szCs w:val="24"/>
        </w:rPr>
        <w:t>杂填土（Q</w:t>
      </w:r>
      <w:r>
        <w:rPr>
          <w:rFonts w:ascii="Times New Roman" w:hAnsi="Times New Roman" w:cs="Times New Roman"/>
          <w:szCs w:val="24"/>
          <w:vertAlign w:val="subscript"/>
        </w:rPr>
        <w:t>4</w:t>
      </w:r>
      <w:r>
        <w:rPr>
          <w:rFonts w:ascii="Times New Roman" w:hAnsi="Times New Roman" w:cs="Times New Roman"/>
          <w:szCs w:val="24"/>
          <w:vertAlign w:val="superscript"/>
        </w:rPr>
        <w:t>ml</w:t>
      </w:r>
      <w:r>
        <w:rPr>
          <w:rFonts w:ascii="Times New Roman" w:hAnsi="Times New Roman" w:cs="Times New Roman"/>
          <w:szCs w:val="24"/>
        </w:rPr>
        <w:t>）</w:t>
      </w:r>
      <w:r>
        <w:rPr>
          <w:rFonts w:ascii="Times New Roman" w:hAnsi="Times New Roman" w:cs="Times New Roman"/>
          <w:szCs w:val="24"/>
        </w:rPr>
        <w:fldChar w:fldCharType="begin"/>
      </w:r>
      <w:r>
        <w:rPr>
          <w:rFonts w:ascii="Times New Roman" w:hAnsi="Times New Roman" w:cs="Times New Roman"/>
          <w:szCs w:val="24"/>
        </w:rPr>
        <w:instrText xml:space="preserve"> = 1 \* GB3 </w:instrText>
      </w:r>
      <w:r>
        <w:rPr>
          <w:rFonts w:ascii="Times New Roman" w:hAnsi="Times New Roman" w:cs="Times New Roman"/>
          <w:szCs w:val="24"/>
        </w:rPr>
        <w:fldChar w:fldCharType="separate"/>
      </w:r>
      <w:r>
        <w:rPr>
          <w:rFonts w:hint="eastAsia" w:ascii="宋体" w:hAnsi="宋体" w:eastAsia="宋体" w:cs="宋体"/>
          <w:szCs w:val="24"/>
        </w:rPr>
        <w:t>①</w:t>
      </w:r>
      <w:r>
        <w:rPr>
          <w:rFonts w:ascii="Times New Roman" w:hAnsi="Times New Roman" w:cs="Times New Roman"/>
          <w:szCs w:val="24"/>
        </w:rPr>
        <w:fldChar w:fldCharType="end"/>
      </w:r>
      <w:r>
        <w:rPr>
          <w:rFonts w:ascii="Times New Roman" w:hAnsi="Times New Roman" w:cs="Times New Roman"/>
          <w:szCs w:val="24"/>
        </w:rPr>
        <w:t>-1：黄褐色、灰褐色等杂色，稍湿，松散，主要成分为粘性土、砂卵石、碎砖块及砼块等建筑垃圾。全场地有分布，层厚为0.30~4.80m，平均厚度为2.11m。</w:t>
      </w:r>
    </w:p>
    <w:p>
      <w:pPr>
        <w:numPr>
          <w:ilvl w:val="0"/>
          <w:numId w:val="3"/>
        </w:numPr>
        <w:ind w:firstLine="480" w:firstLineChars="200"/>
        <w:jc w:val="both"/>
        <w:rPr>
          <w:rFonts w:ascii="Times New Roman" w:hAnsi="Times New Roman" w:cs="Times New Roman"/>
          <w:szCs w:val="24"/>
        </w:rPr>
      </w:pPr>
      <w:r>
        <w:rPr>
          <w:rFonts w:ascii="Times New Roman" w:hAnsi="Times New Roman" w:cs="Times New Roman"/>
          <w:szCs w:val="24"/>
        </w:rPr>
        <w:t>杂填土（Q</w:t>
      </w:r>
      <w:r>
        <w:rPr>
          <w:rFonts w:ascii="Times New Roman" w:hAnsi="Times New Roman" w:cs="Times New Roman"/>
          <w:szCs w:val="24"/>
          <w:vertAlign w:val="subscript"/>
        </w:rPr>
        <w:t>4</w:t>
      </w:r>
      <w:r>
        <w:rPr>
          <w:rFonts w:ascii="Times New Roman" w:hAnsi="Times New Roman" w:cs="Times New Roman"/>
          <w:szCs w:val="24"/>
          <w:vertAlign w:val="superscript"/>
        </w:rPr>
        <w:t>ml</w:t>
      </w:r>
      <w:r>
        <w:rPr>
          <w:rFonts w:ascii="Times New Roman" w:hAnsi="Times New Roman" w:cs="Times New Roman"/>
          <w:szCs w:val="24"/>
        </w:rPr>
        <w:t>）</w:t>
      </w:r>
      <w:r>
        <w:rPr>
          <w:rFonts w:ascii="Times New Roman" w:hAnsi="Times New Roman" w:cs="Times New Roman"/>
          <w:szCs w:val="24"/>
        </w:rPr>
        <w:fldChar w:fldCharType="begin"/>
      </w:r>
      <w:r>
        <w:rPr>
          <w:rFonts w:ascii="Times New Roman" w:hAnsi="Times New Roman" w:cs="Times New Roman"/>
          <w:szCs w:val="24"/>
        </w:rPr>
        <w:instrText xml:space="preserve"> = 1 \* GB3 </w:instrText>
      </w:r>
      <w:r>
        <w:rPr>
          <w:rFonts w:ascii="Times New Roman" w:hAnsi="Times New Roman" w:cs="Times New Roman"/>
          <w:szCs w:val="24"/>
        </w:rPr>
        <w:fldChar w:fldCharType="separate"/>
      </w:r>
      <w:r>
        <w:rPr>
          <w:rFonts w:hint="eastAsia" w:ascii="宋体" w:hAnsi="宋体" w:eastAsia="宋体" w:cs="宋体"/>
          <w:szCs w:val="24"/>
        </w:rPr>
        <w:t>①</w:t>
      </w:r>
      <w:r>
        <w:rPr>
          <w:rFonts w:ascii="Times New Roman" w:hAnsi="Times New Roman" w:cs="Times New Roman"/>
          <w:szCs w:val="24"/>
        </w:rPr>
        <w:fldChar w:fldCharType="end"/>
      </w:r>
      <w:r>
        <w:rPr>
          <w:rFonts w:ascii="Times New Roman" w:hAnsi="Times New Roman" w:cs="Times New Roman"/>
          <w:szCs w:val="24"/>
        </w:rPr>
        <w:t>-2：灰黑色，局部黄褐色等杂色，主要成分为废渣等污染物，稍湿~湿，主要成土柱状、散体状或流塑状，具刺激性气味。大部分场地有分布，层厚为1.40~6.60m，平均厚度为2.97m。</w:t>
      </w:r>
    </w:p>
    <w:p>
      <w:pPr>
        <w:numPr>
          <w:ilvl w:val="0"/>
          <w:numId w:val="3"/>
        </w:numPr>
        <w:ind w:firstLine="480" w:firstLineChars="200"/>
        <w:jc w:val="both"/>
        <w:rPr>
          <w:rFonts w:ascii="Times New Roman" w:hAnsi="Times New Roman" w:cs="Times New Roman"/>
          <w:szCs w:val="24"/>
        </w:rPr>
      </w:pPr>
      <w:r>
        <w:rPr>
          <w:rFonts w:ascii="Times New Roman" w:hAnsi="Times New Roman" w:cs="Times New Roman"/>
          <w:szCs w:val="24"/>
        </w:rPr>
        <w:t>粉质粘土（Q</w:t>
      </w:r>
      <w:r>
        <w:rPr>
          <w:rFonts w:ascii="Times New Roman" w:hAnsi="Times New Roman" w:cs="Times New Roman"/>
          <w:szCs w:val="24"/>
          <w:vertAlign w:val="subscript"/>
        </w:rPr>
        <w:t>4</w:t>
      </w:r>
      <w:r>
        <w:rPr>
          <w:rFonts w:ascii="Times New Roman" w:hAnsi="Times New Roman" w:cs="Times New Roman"/>
          <w:szCs w:val="24"/>
          <w:vertAlign w:val="superscript"/>
        </w:rPr>
        <w:t>al</w:t>
      </w:r>
      <w:r>
        <w:rPr>
          <w:rFonts w:ascii="Times New Roman" w:hAnsi="Times New Roman" w:cs="Times New Roman"/>
          <w:szCs w:val="24"/>
        </w:rPr>
        <w:t>）</w:t>
      </w:r>
      <w:r>
        <w:rPr>
          <w:rFonts w:hint="eastAsia" w:ascii="宋体" w:hAnsi="宋体" w:eastAsia="宋体" w:cs="宋体"/>
          <w:szCs w:val="24"/>
        </w:rPr>
        <w:t>②</w:t>
      </w:r>
      <w:r>
        <w:rPr>
          <w:rFonts w:ascii="Times New Roman" w:hAnsi="Times New Roman" w:cs="Times New Roman"/>
          <w:szCs w:val="24"/>
        </w:rPr>
        <w:t>：褐黄色，湿，可塑~硬塑状，切面稍有光泽，韧性和干强度中等，摇震反应无。全场地有分布，最大揭露厚度为3.45m。部分场地有分布，层厚为2.30~6.60m，平均厚度为3.98m。</w:t>
      </w:r>
    </w:p>
    <w:p>
      <w:pPr>
        <w:numPr>
          <w:ilvl w:val="0"/>
          <w:numId w:val="3"/>
        </w:numPr>
        <w:ind w:firstLine="480" w:firstLineChars="200"/>
        <w:jc w:val="both"/>
        <w:rPr>
          <w:rFonts w:ascii="Times New Roman" w:hAnsi="Times New Roman" w:cs="Times New Roman"/>
          <w:szCs w:val="24"/>
        </w:rPr>
      </w:pPr>
      <w:r>
        <w:rPr>
          <w:rFonts w:ascii="Times New Roman" w:hAnsi="Times New Roman" w:cs="Times New Roman"/>
          <w:szCs w:val="24"/>
        </w:rPr>
        <w:t>粉质粘土（Q</w:t>
      </w:r>
      <w:r>
        <w:rPr>
          <w:rFonts w:ascii="Times New Roman" w:hAnsi="Times New Roman" w:cs="Times New Roman"/>
          <w:szCs w:val="24"/>
          <w:vertAlign w:val="subscript"/>
        </w:rPr>
        <w:t>4</w:t>
      </w:r>
      <w:r>
        <w:rPr>
          <w:rFonts w:ascii="Times New Roman" w:hAnsi="Times New Roman" w:cs="Times New Roman"/>
          <w:szCs w:val="24"/>
          <w:vertAlign w:val="superscript"/>
        </w:rPr>
        <w:t>al</w:t>
      </w:r>
      <w:r>
        <w:rPr>
          <w:rFonts w:ascii="Times New Roman" w:hAnsi="Times New Roman" w:cs="Times New Roman"/>
          <w:szCs w:val="24"/>
        </w:rPr>
        <w:t>）</w:t>
      </w:r>
      <w:r>
        <w:rPr>
          <w:rFonts w:hint="eastAsia" w:ascii="宋体" w:hAnsi="宋体" w:eastAsia="宋体" w:cs="宋体"/>
          <w:szCs w:val="24"/>
        </w:rPr>
        <w:t>③</w:t>
      </w:r>
      <w:r>
        <w:rPr>
          <w:rFonts w:ascii="Times New Roman" w:hAnsi="Times New Roman" w:cs="Times New Roman"/>
          <w:szCs w:val="24"/>
        </w:rPr>
        <w:t>：灰褐色，湿，可塑~软塑状，切面稍有光泽，韧性和干强度中等，摇震反应无，具刺激性气味。大部分场地有分布，层厚为0.50~5.10m，平均厚度为2.78m。</w:t>
      </w:r>
    </w:p>
    <w:p>
      <w:pPr>
        <w:numPr>
          <w:ilvl w:val="0"/>
          <w:numId w:val="3"/>
        </w:numPr>
        <w:ind w:firstLine="480" w:firstLineChars="200"/>
        <w:jc w:val="both"/>
        <w:rPr>
          <w:rFonts w:ascii="Times New Roman" w:hAnsi="Times New Roman" w:cs="Times New Roman"/>
          <w:szCs w:val="24"/>
        </w:rPr>
      </w:pPr>
      <w:r>
        <w:rPr>
          <w:rFonts w:ascii="Times New Roman" w:hAnsi="Times New Roman" w:cs="Times New Roman"/>
          <w:szCs w:val="24"/>
        </w:rPr>
        <w:t>圆砾（Q</w:t>
      </w:r>
      <w:r>
        <w:rPr>
          <w:rFonts w:ascii="Times New Roman" w:hAnsi="Times New Roman" w:cs="Times New Roman"/>
          <w:szCs w:val="24"/>
          <w:vertAlign w:val="subscript"/>
        </w:rPr>
        <w:t>4</w:t>
      </w:r>
      <w:r>
        <w:rPr>
          <w:rFonts w:ascii="Times New Roman" w:hAnsi="Times New Roman" w:cs="Times New Roman"/>
          <w:szCs w:val="24"/>
          <w:vertAlign w:val="superscript"/>
        </w:rPr>
        <w:t>al+pl</w:t>
      </w:r>
      <w:r>
        <w:rPr>
          <w:rFonts w:ascii="Times New Roman" w:hAnsi="Times New Roman" w:cs="Times New Roman"/>
          <w:szCs w:val="24"/>
        </w:rPr>
        <w:t>）</w:t>
      </w:r>
      <w:r>
        <w:rPr>
          <w:rFonts w:hint="eastAsia" w:ascii="宋体" w:hAnsi="宋体" w:eastAsia="宋体" w:cs="宋体"/>
          <w:szCs w:val="24"/>
        </w:rPr>
        <w:t>④</w:t>
      </w:r>
      <w:r>
        <w:rPr>
          <w:rFonts w:ascii="Times New Roman" w:hAnsi="Times New Roman" w:cs="Times New Roman"/>
          <w:szCs w:val="24"/>
        </w:rPr>
        <w:t>：灰褐色，湿，中密状，局部密实，粒径为2mm-20mm约占40%，大于20mm约占15%不等，粘性土约占20%，其余为中粗砂充填，颗粒分布不均匀，砾的主要成分为石英质，主要呈亚圆状，具刺激性气味。</w:t>
      </w:r>
    </w:p>
    <w:p>
      <w:pPr>
        <w:rPr>
          <w:rFonts w:ascii="Times New Roman" w:hAnsi="Times New Roman" w:cs="Times New Roman"/>
        </w:rPr>
      </w:pPr>
      <w:r>
        <w:rPr>
          <w:rFonts w:ascii="Times New Roman" w:hAnsi="Times New Roman" w:cs="Times New Roman"/>
        </w:rPr>
        <w:t>3.2.1.2岩土物理力学性质</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（1）原位测试</w:t>
      </w:r>
    </w:p>
    <w:p>
      <w:pPr>
        <w:adjustRightInd w:val="0"/>
        <w:snapToGrid w:val="0"/>
        <w:ind w:firstLine="480" w:firstLineChars="200"/>
        <w:rPr>
          <w:rFonts w:ascii="Times New Roman" w:hAnsi="Times New Roman" w:cs="Times New Roman"/>
          <w:sz w:val="28"/>
          <w:szCs w:val="28"/>
        </w:rPr>
      </w:pPr>
      <w:r>
        <w:rPr>
          <w:rFonts w:ascii="Times New Roman" w:hAnsi="Times New Roman" w:cs="Times New Roman"/>
          <w:szCs w:val="24"/>
        </w:rPr>
        <w:t>为查明场地内地层的工程力学性能，本次勘察的原位测试手段主要为标准贯入试验，现将试验锤击数统计如</w:t>
      </w:r>
      <w:bookmarkStart w:id="16" w:name="OLE_LINK2"/>
      <w:bookmarkStart w:id="17" w:name="OLE_LINK3"/>
      <w:r>
        <w:rPr>
          <w:rFonts w:ascii="Times New Roman" w:hAnsi="Times New Roman" w:cs="Times New Roman"/>
          <w:szCs w:val="24"/>
        </w:rPr>
        <w:t>表</w:t>
      </w:r>
      <w:bookmarkEnd w:id="16"/>
      <w:bookmarkEnd w:id="17"/>
      <w:r>
        <w:rPr>
          <w:rFonts w:ascii="Times New Roman" w:hAnsi="Times New Roman" w:cs="Times New Roman"/>
          <w:szCs w:val="24"/>
        </w:rPr>
        <w:t>3-</w:t>
      </w:r>
      <w:r>
        <w:rPr>
          <w:rFonts w:hint="eastAsia" w:ascii="Times New Roman" w:hAnsi="Times New Roman" w:cs="Times New Roman"/>
          <w:szCs w:val="24"/>
        </w:rPr>
        <w:t>3</w:t>
      </w:r>
      <w:r>
        <w:rPr>
          <w:rFonts w:ascii="Times New Roman" w:hAnsi="Times New Roman" w:cs="Times New Roman"/>
          <w:szCs w:val="24"/>
        </w:rPr>
        <w:t>。</w:t>
      </w:r>
    </w:p>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表3-</w:t>
      </w:r>
      <w:r>
        <w:rPr>
          <w:rFonts w:hint="eastAsia" w:ascii="Times New Roman" w:hAnsi="Times New Roman" w:cs="Times New Roman"/>
          <w:b/>
          <w:bCs/>
          <w:sz w:val="21"/>
          <w:szCs w:val="21"/>
        </w:rPr>
        <w:t>3</w:t>
      </w:r>
      <w:r>
        <w:rPr>
          <w:rFonts w:ascii="Times New Roman" w:hAnsi="Times New Roman" w:cs="Times New Roman"/>
          <w:b/>
          <w:bCs/>
          <w:sz w:val="21"/>
          <w:szCs w:val="21"/>
        </w:rPr>
        <w:t>各主要土层原位测试统计参数表</w:t>
      </w:r>
    </w:p>
    <w:tbl>
      <w:tblPr>
        <w:tblStyle w:val="33"/>
        <w:tblW w:w="7815" w:type="dxa"/>
        <w:jc w:val="center"/>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527"/>
        <w:gridCol w:w="608"/>
        <w:gridCol w:w="1175"/>
        <w:gridCol w:w="743"/>
        <w:gridCol w:w="711"/>
        <w:gridCol w:w="830"/>
        <w:gridCol w:w="882"/>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984" w:type="dxa"/>
            <w:gridSpan w:val="2"/>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pict>
                <v:group id="组合 1" o:spid="_x0000_s1026" o:spt="203" style="position:absolute;left:0pt;margin-left:-3.5pt;margin-top:0pt;height:58.7pt;width:94.4pt;z-index:251661312;mso-width-relative:page;mso-height-relative:page;" coordsize="2198,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">
                  <o:lock v:ext="edit"/>
                  <v:line id="__TH_L112" o:spid="_x0000_s1027" o:spt="20" style="position:absolute;left:0;top:0;height:1207;width:2198;"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MGMIAAADaAAAADwAAAGRycy9kb3ducmV2LnhtbESPQYvCMBSE78L+h/AWvGm6oiJdo6yK&#10;IHiQ6l729mjettXmpSRRq7/eCILHYWa+Yabz1tTiQs5XlhV89RMQxLnVFRcKfg/r3gSED8gaa8uk&#10;4EYe5rOPzhRTba+c0WUfChEh7FNUUIbQpFL6vCSDvm8b4uj9W2cwROkKqR1eI9zUcpAkY2mw4rhQ&#10;YkPLkvLT/mwUTA6NX92Wf2u7c8d7th1mNMSFUt3P9ucbRKA2vMOv9kYrGMH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MGMIAAADaAAAADwAAAAAAAAAAAAAA&#10;AAChAgAAZHJzL2Rvd25yZXYueG1sUEsFBgAAAAAEAAQA+QAAAJADAAAAAA==&#10;">
                    <v:path arrowok="t"/>
                    <v:fill focussize="0,0"/>
                    <v:stroke weight="0.5pt"/>
                    <v:imagedata o:title=""/>
                    <o:lock v:ext="edit"/>
                  </v:line>
                  <v:shape id="__TH_B11113" o:spid="_x0000_s1028" o:spt="202" type="#_x0000_t202" style="position:absolute;left:1042;top:139;height:263;width: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v:path/>
                    <v:fill on="f" focussize="0,0"/>
                    <v:stroke on="f" joinstyle="miter"/>
                    <v:imagedata o:title=""/>
                    <o:lock v:ext="edit"/>
                    <v:textbox inset="0mm,0mm,0mm,0mm">
                      <w:txbxContent>
                        <w:p>
                          <w:pPr>
                            <w:snapToGrid w:val="0"/>
                            <w:rPr>
                              <w:sz w:val="21"/>
                              <w:szCs w:val="21"/>
                            </w:rPr>
                          </w:pPr>
                          <w:r>
                            <w:rPr>
                              <w:rFonts w:hint="eastAsia"/>
                              <w:sz w:val="21"/>
                              <w:szCs w:val="21"/>
                            </w:rPr>
                            <w:t>项</w:t>
                          </w:r>
                        </w:p>
                      </w:txbxContent>
                    </v:textbox>
                  </v:shape>
                  <v:shape id="__TH_B12114" o:spid="_x0000_s1029" o:spt="202" type="#_x0000_t202" style="position:absolute;left:1644;top:470;height:262;width:25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v:path/>
                    <v:fill on="f" focussize="0,0"/>
                    <v:stroke on="f" joinstyle="miter"/>
                    <v:imagedata o:title=""/>
                    <o:lock v:ext="edit"/>
                    <v:textbox inset="0mm,0mm,0mm,0mm">
                      <w:txbxContent>
                        <w:p>
                          <w:pPr>
                            <w:snapToGrid w:val="0"/>
                            <w:rPr>
                              <w:sz w:val="21"/>
                              <w:szCs w:val="21"/>
                            </w:rPr>
                          </w:pPr>
                          <w:r>
                            <w:rPr>
                              <w:rFonts w:hint="eastAsia"/>
                              <w:sz w:val="21"/>
                              <w:szCs w:val="21"/>
                            </w:rPr>
                            <w:t>目</w:t>
                          </w:r>
                        </w:p>
                      </w:txbxContent>
                    </v:textbox>
                  </v:shape>
                  <v:shape id="__TH_B21115" o:spid="_x0000_s1030" o:spt="202" type="#_x0000_t202" style="position:absolute;left:295;top:492;height:263;width:25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v:path/>
                    <v:fill on="f" focussize="0,0"/>
                    <v:stroke on="f" joinstyle="miter"/>
                    <v:imagedata o:title=""/>
                    <o:lock v:ext="edit"/>
                    <v:textbox inset="0mm,0mm,0mm,0mm">
                      <w:txbxContent>
                        <w:p>
                          <w:pPr>
                            <w:snapToGrid w:val="0"/>
                            <w:rPr>
                              <w:sz w:val="18"/>
                              <w:szCs w:val="18"/>
                            </w:rPr>
                          </w:pPr>
                          <w:r>
                            <w:rPr>
                              <w:rFonts w:hint="eastAsia"/>
                              <w:sz w:val="18"/>
                              <w:szCs w:val="18"/>
                            </w:rPr>
                            <w:t>土</w:t>
                          </w:r>
                        </w:p>
                      </w:txbxContent>
                    </v:textbox>
                  </v:shape>
                  <v:shape id="__TH_B22116" o:spid="_x0000_s1031" o:spt="202" type="#_x0000_t202" style="position:absolute;left:770;top:755;height:319;width:3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v:path/>
                    <v:fill on="f" focussize="0,0"/>
                    <v:stroke on="f" joinstyle="miter"/>
                    <v:imagedata o:title=""/>
                    <o:lock v:ext="edit"/>
                    <v:textbox inset="0mm,0mm,0mm,0mm">
                      <w:txbxContent>
                        <w:p>
                          <w:pPr>
                            <w:snapToGrid w:val="0"/>
                            <w:rPr>
                              <w:sz w:val="21"/>
                              <w:szCs w:val="21"/>
                            </w:rPr>
                          </w:pPr>
                          <w:r>
                            <w:rPr>
                              <w:rFonts w:hint="eastAsia"/>
                              <w:sz w:val="21"/>
                              <w:szCs w:val="21"/>
                            </w:rPr>
                            <w:t>名</w:t>
                          </w:r>
                        </w:p>
                      </w:txbxContent>
                    </v:textbox>
                  </v:shape>
                </v:group>
              </w:pict>
            </w:r>
          </w:p>
        </w:tc>
        <w:tc>
          <w:tcPr>
            <w:tcW w:w="608"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统计个数</w:t>
            </w:r>
          </w:p>
        </w:tc>
        <w:tc>
          <w:tcPr>
            <w:tcW w:w="1175"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范围值</w:t>
            </w:r>
          </w:p>
        </w:tc>
        <w:tc>
          <w:tcPr>
            <w:tcW w:w="743"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平均值</w:t>
            </w:r>
          </w:p>
        </w:tc>
        <w:tc>
          <w:tcPr>
            <w:tcW w:w="71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标准差</w:t>
            </w:r>
          </w:p>
        </w:tc>
        <w:tc>
          <w:tcPr>
            <w:tcW w:w="83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变异系数</w:t>
            </w:r>
          </w:p>
        </w:tc>
        <w:tc>
          <w:tcPr>
            <w:tcW w:w="88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标准值</w:t>
            </w:r>
          </w:p>
        </w:tc>
        <w:tc>
          <w:tcPr>
            <w:tcW w:w="88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457" w:type="dxa"/>
            <w:vAlign w:val="center"/>
          </w:tcPr>
          <w:p>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杂填土</w:t>
            </w:r>
            <w:r>
              <w:rPr>
                <w:rFonts w:ascii="Times New Roman" w:hAnsi="Times New Roman" w:cs="Times New Roman"/>
                <w:color w:val="000000"/>
                <w:sz w:val="21"/>
                <w:szCs w:val="21"/>
              </w:rPr>
              <w:fldChar w:fldCharType="begin"/>
            </w:r>
            <w:r>
              <w:rPr>
                <w:rFonts w:ascii="Times New Roman" w:hAnsi="Times New Roman" w:cs="Times New Roman"/>
                <w:color w:val="000000"/>
                <w:sz w:val="21"/>
                <w:szCs w:val="21"/>
              </w:rPr>
              <w:instrText xml:space="preserve"> = 1 \* GB3 </w:instrText>
            </w:r>
            <w:r>
              <w:rPr>
                <w:rFonts w:ascii="Times New Roman" w:hAnsi="Times New Roman" w:cs="Times New Roman"/>
                <w:color w:val="000000"/>
                <w:sz w:val="21"/>
                <w:szCs w:val="21"/>
              </w:rPr>
              <w:fldChar w:fldCharType="separate"/>
            </w:r>
            <w:r>
              <w:rPr>
                <w:rFonts w:hint="eastAsia" w:ascii="宋体" w:hAnsi="宋体" w:eastAsia="宋体" w:cs="宋体"/>
                <w:color w:val="000000"/>
                <w:sz w:val="21"/>
                <w:szCs w:val="21"/>
              </w:rPr>
              <w:t>①</w:t>
            </w:r>
            <w:r>
              <w:rPr>
                <w:rFonts w:ascii="Times New Roman" w:hAnsi="Times New Roman" w:cs="Times New Roman"/>
                <w:color w:val="000000"/>
                <w:sz w:val="21"/>
                <w:szCs w:val="21"/>
              </w:rPr>
              <w:fldChar w:fldCharType="end"/>
            </w:r>
            <w:r>
              <w:rPr>
                <w:rFonts w:ascii="Times New Roman" w:hAnsi="Times New Roman" w:cs="Times New Roman"/>
                <w:color w:val="000000"/>
                <w:sz w:val="21"/>
                <w:szCs w:val="21"/>
              </w:rPr>
              <w:t>-2</w:t>
            </w:r>
          </w:p>
        </w:tc>
        <w:tc>
          <w:tcPr>
            <w:tcW w:w="527"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N</w:t>
            </w:r>
          </w:p>
        </w:tc>
        <w:tc>
          <w:tcPr>
            <w:tcW w:w="608" w:type="dxa"/>
            <w:vAlign w:val="center"/>
          </w:tcPr>
          <w:p>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175"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3-6</w:t>
            </w:r>
          </w:p>
        </w:tc>
        <w:tc>
          <w:tcPr>
            <w:tcW w:w="743"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4.5</w:t>
            </w:r>
          </w:p>
        </w:tc>
        <w:tc>
          <w:tcPr>
            <w:tcW w:w="71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1.049</w:t>
            </w:r>
          </w:p>
        </w:tc>
        <w:tc>
          <w:tcPr>
            <w:tcW w:w="83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0.233</w:t>
            </w:r>
          </w:p>
        </w:tc>
        <w:tc>
          <w:tcPr>
            <w:tcW w:w="88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4.0</w:t>
            </w:r>
          </w:p>
        </w:tc>
        <w:tc>
          <w:tcPr>
            <w:tcW w:w="88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标贯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457" w:type="dxa"/>
            <w:vAlign w:val="center"/>
          </w:tcPr>
          <w:p>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粉质粘土</w:t>
            </w:r>
            <w:r>
              <w:rPr>
                <w:rFonts w:hint="eastAsia" w:ascii="宋体" w:hAnsi="宋体" w:eastAsia="宋体" w:cs="宋体"/>
                <w:color w:val="000000"/>
                <w:sz w:val="21"/>
                <w:szCs w:val="21"/>
              </w:rPr>
              <w:t>②</w:t>
            </w:r>
          </w:p>
        </w:tc>
        <w:tc>
          <w:tcPr>
            <w:tcW w:w="527"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N</w:t>
            </w:r>
          </w:p>
        </w:tc>
        <w:tc>
          <w:tcPr>
            <w:tcW w:w="608" w:type="dxa"/>
            <w:vAlign w:val="center"/>
          </w:tcPr>
          <w:p>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175"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11-14</w:t>
            </w:r>
          </w:p>
        </w:tc>
        <w:tc>
          <w:tcPr>
            <w:tcW w:w="743"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12.6</w:t>
            </w:r>
          </w:p>
        </w:tc>
        <w:tc>
          <w:tcPr>
            <w:tcW w:w="71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3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标贯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457" w:type="dxa"/>
            <w:vAlign w:val="center"/>
          </w:tcPr>
          <w:p>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圆砾</w:t>
            </w:r>
            <w:r>
              <w:rPr>
                <w:rFonts w:hint="eastAsia" w:ascii="宋体" w:hAnsi="宋体" w:eastAsia="宋体" w:cs="宋体"/>
                <w:color w:val="000000"/>
                <w:sz w:val="21"/>
                <w:szCs w:val="21"/>
              </w:rPr>
              <w:t>④</w:t>
            </w:r>
          </w:p>
        </w:tc>
        <w:tc>
          <w:tcPr>
            <w:tcW w:w="527"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N</w:t>
            </w:r>
            <w:r>
              <w:rPr>
                <w:rFonts w:ascii="Times New Roman" w:hAnsi="Times New Roman" w:cs="Times New Roman"/>
                <w:sz w:val="21"/>
                <w:szCs w:val="21"/>
                <w:vertAlign w:val="subscript"/>
              </w:rPr>
              <w:t>63.5</w:t>
            </w:r>
          </w:p>
        </w:tc>
        <w:tc>
          <w:tcPr>
            <w:tcW w:w="608" w:type="dxa"/>
            <w:vAlign w:val="center"/>
          </w:tcPr>
          <w:p>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175"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13-22</w:t>
            </w:r>
          </w:p>
        </w:tc>
        <w:tc>
          <w:tcPr>
            <w:tcW w:w="743"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17.1</w:t>
            </w:r>
          </w:p>
        </w:tc>
        <w:tc>
          <w:tcPr>
            <w:tcW w:w="71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2.906</w:t>
            </w:r>
          </w:p>
        </w:tc>
        <w:tc>
          <w:tcPr>
            <w:tcW w:w="83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0.170</w:t>
            </w:r>
          </w:p>
        </w:tc>
        <w:tc>
          <w:tcPr>
            <w:tcW w:w="88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16.0</w:t>
            </w:r>
          </w:p>
        </w:tc>
        <w:tc>
          <w:tcPr>
            <w:tcW w:w="88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动探</w:t>
            </w:r>
          </w:p>
        </w:tc>
      </w:tr>
    </w:tbl>
    <w:p>
      <w:pPr>
        <w:adjustRightInd w:val="0"/>
        <w:snapToGrid w:val="0"/>
        <w:jc w:val="center"/>
        <w:rPr>
          <w:rFonts w:ascii="Times New Roman" w:hAnsi="Times New Roman" w:cs="Times New Roman"/>
          <w:szCs w:val="24"/>
        </w:rPr>
      </w:pP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（2）土的物理力学性质</w:t>
      </w:r>
    </w:p>
    <w:p>
      <w:pPr>
        <w:ind w:firstLine="480" w:firstLineChars="200"/>
        <w:rPr>
          <w:rFonts w:ascii="Times New Roman" w:hAnsi="Times New Roman" w:cs="Times New Roman"/>
          <w:color w:val="FF00FF"/>
          <w:szCs w:val="24"/>
        </w:rPr>
      </w:pPr>
      <w:r>
        <w:rPr>
          <w:rFonts w:ascii="Times New Roman" w:hAnsi="Times New Roman" w:cs="Times New Roman"/>
          <w:color w:val="000000"/>
          <w:szCs w:val="24"/>
        </w:rPr>
        <w:t>本次勘察场地内</w:t>
      </w:r>
      <w:r>
        <w:rPr>
          <w:rFonts w:ascii="Times New Roman" w:hAnsi="Times New Roman" w:cs="Times New Roman"/>
          <w:szCs w:val="24"/>
        </w:rPr>
        <w:t>在杂填土</w:t>
      </w:r>
      <w:r>
        <w:rPr>
          <w:rFonts w:ascii="Times New Roman" w:hAnsi="Times New Roman" w:cs="Times New Roman"/>
          <w:szCs w:val="24"/>
        </w:rPr>
        <w:fldChar w:fldCharType="begin"/>
      </w:r>
      <w:r>
        <w:rPr>
          <w:rFonts w:ascii="Times New Roman" w:hAnsi="Times New Roman" w:cs="Times New Roman"/>
          <w:szCs w:val="24"/>
        </w:rPr>
        <w:instrText xml:space="preserve"> = 1 \* GB3 </w:instrText>
      </w:r>
      <w:r>
        <w:rPr>
          <w:rFonts w:ascii="Times New Roman" w:hAnsi="Times New Roman" w:cs="Times New Roman"/>
          <w:szCs w:val="24"/>
        </w:rPr>
        <w:fldChar w:fldCharType="separate"/>
      </w:r>
      <w:r>
        <w:rPr>
          <w:rFonts w:hint="eastAsia" w:ascii="宋体" w:hAnsi="宋体" w:eastAsia="宋体" w:cs="宋体"/>
          <w:szCs w:val="24"/>
        </w:rPr>
        <w:t>①</w:t>
      </w:r>
      <w:r>
        <w:rPr>
          <w:rFonts w:ascii="Times New Roman" w:hAnsi="Times New Roman" w:cs="Times New Roman"/>
          <w:szCs w:val="24"/>
        </w:rPr>
        <w:fldChar w:fldCharType="end"/>
      </w:r>
      <w:r>
        <w:rPr>
          <w:rFonts w:ascii="Times New Roman" w:hAnsi="Times New Roman" w:cs="Times New Roman"/>
          <w:szCs w:val="24"/>
        </w:rPr>
        <w:t>-2取土3件，粉质粘土</w:t>
      </w:r>
      <w:r>
        <w:rPr>
          <w:rFonts w:hint="eastAsia" w:ascii="宋体" w:hAnsi="宋体" w:eastAsia="宋体" w:cs="宋体"/>
          <w:szCs w:val="24"/>
        </w:rPr>
        <w:t>②</w:t>
      </w:r>
      <w:r>
        <w:rPr>
          <w:rFonts w:ascii="Times New Roman" w:hAnsi="Times New Roman" w:cs="Times New Roman"/>
          <w:szCs w:val="24"/>
        </w:rPr>
        <w:t>取原状土3件，进行了室内土工试验，试验结果见“土工试验报告”，场地内埋藏地层的主要物理力学指标参数统计如下表3-</w:t>
      </w:r>
      <w:r>
        <w:rPr>
          <w:rFonts w:hint="eastAsia" w:ascii="Times New Roman" w:hAnsi="Times New Roman" w:cs="Times New Roman"/>
          <w:szCs w:val="24"/>
        </w:rPr>
        <w:t>4</w:t>
      </w:r>
      <w:r>
        <w:rPr>
          <w:rFonts w:ascii="Times New Roman" w:hAnsi="Times New Roman" w:cs="Times New Roman"/>
          <w:szCs w:val="24"/>
        </w:rPr>
        <w:t>：</w:t>
      </w:r>
    </w:p>
    <w:p>
      <w:pPr>
        <w:jc w:val="center"/>
        <w:rPr>
          <w:rFonts w:ascii="Times New Roman" w:hAnsi="Times New Roman" w:cs="Times New Roman"/>
          <w:color w:val="000000"/>
          <w:sz w:val="21"/>
          <w:szCs w:val="21"/>
        </w:rPr>
      </w:pPr>
      <w:r>
        <w:rPr>
          <w:rFonts w:ascii="Times New Roman" w:hAnsi="Times New Roman" w:cs="Times New Roman"/>
          <w:b/>
          <w:bCs/>
          <w:sz w:val="21"/>
          <w:szCs w:val="21"/>
        </w:rPr>
        <w:t>表3-</w:t>
      </w:r>
      <w:r>
        <w:rPr>
          <w:rFonts w:hint="eastAsia" w:ascii="Times New Roman" w:hAnsi="Times New Roman" w:cs="Times New Roman"/>
          <w:b/>
          <w:bCs/>
          <w:sz w:val="21"/>
          <w:szCs w:val="21"/>
        </w:rPr>
        <w:t>4</w:t>
      </w:r>
      <w:r>
        <w:rPr>
          <w:rFonts w:ascii="Times New Roman" w:hAnsi="Times New Roman" w:cs="Times New Roman"/>
          <w:b/>
          <w:bCs/>
          <w:sz w:val="21"/>
          <w:szCs w:val="21"/>
        </w:rPr>
        <w:t>物理力学指标参数统计表</w:t>
      </w:r>
    </w:p>
    <w:tbl>
      <w:tblPr>
        <w:tblStyle w:val="33"/>
        <w:tblW w:w="8739"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961"/>
        <w:gridCol w:w="494"/>
        <w:gridCol w:w="1410"/>
        <w:gridCol w:w="756"/>
        <w:gridCol w:w="845"/>
        <w:gridCol w:w="801"/>
        <w:gridCol w:w="801"/>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3" w:hRule="atLeast"/>
        </w:trPr>
        <w:tc>
          <w:tcPr>
            <w:tcW w:w="1137" w:type="dxa"/>
            <w:tcBorders>
              <w:bottom w:val="single" w:color="auto" w:sz="4" w:space="0"/>
              <w:tl2br w:val="single" w:color="auto" w:sz="4" w:space="0"/>
            </w:tcBorders>
          </w:tcPr>
          <w:p>
            <w:pPr>
              <w:spacing w:line="240"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t>项目</w:t>
            </w:r>
          </w:p>
          <w:p>
            <w:pPr>
              <w:spacing w:line="240" w:lineRule="auto"/>
              <w:rPr>
                <w:rFonts w:ascii="Times New Roman" w:hAnsi="Times New Roman" w:cs="Times New Roman"/>
                <w:sz w:val="21"/>
                <w:szCs w:val="21"/>
              </w:rPr>
            </w:pPr>
          </w:p>
          <w:p>
            <w:pPr>
              <w:spacing w:line="240" w:lineRule="auto"/>
              <w:rPr>
                <w:rFonts w:ascii="Times New Roman" w:hAnsi="Times New Roman" w:cs="Times New Roman"/>
                <w:sz w:val="21"/>
                <w:szCs w:val="21"/>
              </w:rPr>
            </w:pPr>
            <w:r>
              <w:rPr>
                <w:rFonts w:ascii="Times New Roman" w:hAnsi="Times New Roman" w:cs="Times New Roman"/>
                <w:sz w:val="21"/>
                <w:szCs w:val="21"/>
              </w:rPr>
              <w:t>土名</w:t>
            </w:r>
          </w:p>
        </w:tc>
        <w:tc>
          <w:tcPr>
            <w:tcW w:w="1961"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指标</w:t>
            </w:r>
          </w:p>
        </w:tc>
        <w:tc>
          <w:tcPr>
            <w:tcW w:w="494"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样</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本</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数</w:t>
            </w:r>
          </w:p>
        </w:tc>
        <w:tc>
          <w:tcPr>
            <w:tcW w:w="1410"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范围值</w:t>
            </w:r>
          </w:p>
        </w:tc>
        <w:tc>
          <w:tcPr>
            <w:tcW w:w="756" w:type="dxa"/>
            <w:tcBorders>
              <w:bottom w:val="single" w:color="auto" w:sz="4" w:space="0"/>
            </w:tcBorders>
            <w:vAlign w:val="center"/>
          </w:tcPr>
          <w:p>
            <w:pPr>
              <w:spacing w:line="240" w:lineRule="auto"/>
              <w:ind w:left="210" w:hanging="210" w:hangingChars="100"/>
              <w:jc w:val="center"/>
              <w:rPr>
                <w:rFonts w:ascii="Times New Roman" w:hAnsi="Times New Roman" w:cs="Times New Roman"/>
                <w:sz w:val="21"/>
                <w:szCs w:val="21"/>
              </w:rPr>
            </w:pPr>
            <w:r>
              <w:rPr>
                <w:rFonts w:ascii="Times New Roman" w:hAnsi="Times New Roman" w:cs="Times New Roman"/>
                <w:sz w:val="21"/>
                <w:szCs w:val="21"/>
              </w:rPr>
              <w:t>平</w:t>
            </w:r>
          </w:p>
          <w:p>
            <w:pPr>
              <w:spacing w:line="240" w:lineRule="auto"/>
              <w:ind w:left="210" w:hanging="210" w:hangingChars="100"/>
              <w:jc w:val="center"/>
              <w:rPr>
                <w:rFonts w:ascii="Times New Roman" w:hAnsi="Times New Roman" w:cs="Times New Roman"/>
                <w:sz w:val="21"/>
                <w:szCs w:val="21"/>
              </w:rPr>
            </w:pPr>
            <w:r>
              <w:rPr>
                <w:rFonts w:ascii="Times New Roman" w:hAnsi="Times New Roman" w:cs="Times New Roman"/>
                <w:sz w:val="21"/>
                <w:szCs w:val="21"/>
              </w:rPr>
              <w:t>均</w:t>
            </w:r>
          </w:p>
          <w:p>
            <w:pPr>
              <w:spacing w:line="240" w:lineRule="auto"/>
              <w:ind w:left="210" w:hanging="210" w:hangingChars="100"/>
              <w:jc w:val="center"/>
              <w:rPr>
                <w:rFonts w:ascii="Times New Roman" w:hAnsi="Times New Roman" w:cs="Times New Roman"/>
                <w:sz w:val="21"/>
                <w:szCs w:val="21"/>
              </w:rPr>
            </w:pPr>
            <w:r>
              <w:rPr>
                <w:rFonts w:ascii="Times New Roman" w:hAnsi="Times New Roman" w:cs="Times New Roman"/>
                <w:sz w:val="21"/>
                <w:szCs w:val="21"/>
              </w:rPr>
              <w:t>值</w:t>
            </w:r>
          </w:p>
        </w:tc>
        <w:tc>
          <w:tcPr>
            <w:tcW w:w="845"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标</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准</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差</w:t>
            </w:r>
          </w:p>
        </w:tc>
        <w:tc>
          <w:tcPr>
            <w:tcW w:w="801"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变异系数</w:t>
            </w:r>
          </w:p>
        </w:tc>
        <w:tc>
          <w:tcPr>
            <w:tcW w:w="801"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标</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准</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值</w:t>
            </w:r>
          </w:p>
        </w:tc>
        <w:tc>
          <w:tcPr>
            <w:tcW w:w="534" w:type="dxa"/>
            <w:tcBorders>
              <w:bottom w:val="single" w:color="auto" w:sz="4"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restart"/>
            <w:vAlign w:val="center"/>
          </w:tcPr>
          <w:p>
            <w:pPr>
              <w:spacing w:line="240" w:lineRule="auto"/>
              <w:jc w:val="center"/>
              <w:rPr>
                <w:rFonts w:ascii="Times New Roman" w:hAnsi="Times New Roman" w:cs="Times New Roman"/>
                <w:sz w:val="21"/>
                <w:szCs w:val="21"/>
              </w:rPr>
            </w:pPr>
            <w:r>
              <w:rPr>
                <w:rFonts w:ascii="Times New Roman" w:hAnsi="Times New Roman" w:cs="Times New Roman"/>
                <w:color w:val="000000"/>
                <w:sz w:val="21"/>
                <w:szCs w:val="21"/>
              </w:rPr>
              <w:t>杂填土</w:t>
            </w:r>
            <w:r>
              <w:rPr>
                <w:rFonts w:ascii="Times New Roman" w:hAnsi="Times New Roman" w:cs="Times New Roman"/>
                <w:color w:val="000000"/>
                <w:sz w:val="21"/>
                <w:szCs w:val="21"/>
              </w:rPr>
              <w:fldChar w:fldCharType="begin"/>
            </w:r>
            <w:r>
              <w:rPr>
                <w:rFonts w:ascii="Times New Roman" w:hAnsi="Times New Roman" w:cs="Times New Roman"/>
                <w:color w:val="000000"/>
                <w:sz w:val="21"/>
                <w:szCs w:val="21"/>
              </w:rPr>
              <w:instrText xml:space="preserve"> = 1 \* GB3 </w:instrText>
            </w:r>
            <w:r>
              <w:rPr>
                <w:rFonts w:ascii="Times New Roman" w:hAnsi="Times New Roman" w:cs="Times New Roman"/>
                <w:color w:val="000000"/>
                <w:sz w:val="21"/>
                <w:szCs w:val="21"/>
              </w:rPr>
              <w:fldChar w:fldCharType="separate"/>
            </w:r>
            <w:r>
              <w:rPr>
                <w:rFonts w:hint="eastAsia" w:ascii="宋体" w:hAnsi="宋体" w:eastAsia="宋体" w:cs="宋体"/>
                <w:color w:val="000000"/>
                <w:sz w:val="21"/>
                <w:szCs w:val="21"/>
              </w:rPr>
              <w:t>①</w:t>
            </w:r>
            <w:r>
              <w:rPr>
                <w:rFonts w:ascii="Times New Roman" w:hAnsi="Times New Roman" w:cs="Times New Roman"/>
                <w:color w:val="000000"/>
                <w:sz w:val="21"/>
                <w:szCs w:val="21"/>
              </w:rPr>
              <w:fldChar w:fldCharType="end"/>
            </w:r>
            <w:r>
              <w:rPr>
                <w:rFonts w:ascii="Times New Roman" w:hAnsi="Times New Roman" w:cs="Times New Roman"/>
                <w:color w:val="000000"/>
                <w:sz w:val="21"/>
                <w:szCs w:val="21"/>
              </w:rPr>
              <w:t>-2</w:t>
            </w: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含水量w(%)</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rPr>
                <w:rFonts w:ascii="Times New Roman" w:hAnsi="Times New Roman" w:cs="Times New Roman"/>
                <w:sz w:val="21"/>
                <w:szCs w:val="21"/>
              </w:rPr>
            </w:pPr>
            <w:r>
              <w:rPr>
                <w:rFonts w:ascii="Times New Roman" w:hAnsi="Times New Roman" w:cs="Times New Roman"/>
                <w:sz w:val="21"/>
                <w:szCs w:val="21"/>
              </w:rPr>
              <w:t>26.1 -32.0</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28.7</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restart"/>
          </w:tcPr>
          <w:p>
            <w:pPr>
              <w:rPr>
                <w:rFonts w:ascii="Times New Roman" w:hAnsi="Times New Roman" w:cs="Times New Roman"/>
                <w:sz w:val="21"/>
                <w:szCs w:val="21"/>
              </w:rPr>
            </w:pPr>
          </w:p>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天然密度(g/cm3)</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1.37-1.44</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1.40</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比重Gs</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2.70-2.72</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2.71</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孔隙比e</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0.87-0.98</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0.93</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液限WL(%)</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36.6-37.0</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36.8</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塑限Wp(%)</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21.4-22.3</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22.0</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塑性指数Ip (%)</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14.7-15.2</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14.9</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液性指数IL(%)</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0.29-0.66</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0.46</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压缩系数a(Mpa-1)</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0.37-0.47</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0.42</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压缩模量Es(Mpa)</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4.22-5.22</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4.67</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内摩擦角Φ(0)</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7.8-8.8</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8.37</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凝聚力C(kpa)</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6.5-8.2</w:t>
            </w:r>
          </w:p>
        </w:tc>
        <w:tc>
          <w:tcPr>
            <w:tcW w:w="756" w:type="dxa"/>
            <w:vAlign w:val="center"/>
          </w:tcPr>
          <w:p>
            <w:pPr>
              <w:autoSpaceDN w:val="0"/>
              <w:spacing w:line="240" w:lineRule="auto"/>
              <w:rPr>
                <w:rFonts w:ascii="Times New Roman" w:hAnsi="Times New Roman" w:cs="Times New Roman"/>
                <w:sz w:val="21"/>
                <w:szCs w:val="21"/>
              </w:rPr>
            </w:pPr>
            <w:r>
              <w:rPr>
                <w:rFonts w:ascii="Times New Roman" w:hAnsi="Times New Roman" w:cs="Times New Roman"/>
                <w:sz w:val="21"/>
                <w:szCs w:val="21"/>
              </w:rPr>
              <w:t>7.23</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3" w:hRule="atLeast"/>
        </w:trPr>
        <w:tc>
          <w:tcPr>
            <w:tcW w:w="1137" w:type="dxa"/>
            <w:tcBorders>
              <w:bottom w:val="single" w:color="auto" w:sz="4" w:space="0"/>
              <w:tl2br w:val="single" w:color="auto" w:sz="4" w:space="0"/>
            </w:tcBorders>
          </w:tcPr>
          <w:p>
            <w:pPr>
              <w:spacing w:line="240"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t>项目</w:t>
            </w:r>
          </w:p>
          <w:p>
            <w:pPr>
              <w:spacing w:line="240" w:lineRule="auto"/>
              <w:rPr>
                <w:rFonts w:ascii="Times New Roman" w:hAnsi="Times New Roman" w:cs="Times New Roman"/>
                <w:sz w:val="21"/>
                <w:szCs w:val="21"/>
              </w:rPr>
            </w:pPr>
          </w:p>
          <w:p>
            <w:pPr>
              <w:spacing w:line="240" w:lineRule="auto"/>
              <w:rPr>
                <w:rFonts w:ascii="Times New Roman" w:hAnsi="Times New Roman" w:cs="Times New Roman"/>
                <w:sz w:val="21"/>
                <w:szCs w:val="21"/>
              </w:rPr>
            </w:pPr>
            <w:r>
              <w:rPr>
                <w:rFonts w:ascii="Times New Roman" w:hAnsi="Times New Roman" w:cs="Times New Roman"/>
                <w:sz w:val="21"/>
                <w:szCs w:val="21"/>
              </w:rPr>
              <w:t>土名</w:t>
            </w:r>
          </w:p>
        </w:tc>
        <w:tc>
          <w:tcPr>
            <w:tcW w:w="1961"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指标</w:t>
            </w:r>
          </w:p>
        </w:tc>
        <w:tc>
          <w:tcPr>
            <w:tcW w:w="494"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样</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本</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数</w:t>
            </w:r>
          </w:p>
        </w:tc>
        <w:tc>
          <w:tcPr>
            <w:tcW w:w="1410"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范围值</w:t>
            </w:r>
          </w:p>
        </w:tc>
        <w:tc>
          <w:tcPr>
            <w:tcW w:w="756" w:type="dxa"/>
            <w:tcBorders>
              <w:bottom w:val="single" w:color="auto" w:sz="4" w:space="0"/>
            </w:tcBorders>
            <w:vAlign w:val="center"/>
          </w:tcPr>
          <w:p>
            <w:pPr>
              <w:spacing w:line="240" w:lineRule="auto"/>
              <w:ind w:left="210" w:hanging="210" w:hangingChars="100"/>
              <w:jc w:val="center"/>
              <w:rPr>
                <w:rFonts w:ascii="Times New Roman" w:hAnsi="Times New Roman" w:cs="Times New Roman"/>
                <w:sz w:val="21"/>
                <w:szCs w:val="21"/>
              </w:rPr>
            </w:pPr>
            <w:r>
              <w:rPr>
                <w:rFonts w:ascii="Times New Roman" w:hAnsi="Times New Roman" w:cs="Times New Roman"/>
                <w:sz w:val="21"/>
                <w:szCs w:val="21"/>
              </w:rPr>
              <w:t>平</w:t>
            </w:r>
          </w:p>
          <w:p>
            <w:pPr>
              <w:spacing w:line="240" w:lineRule="auto"/>
              <w:ind w:left="210" w:hanging="210" w:hangingChars="100"/>
              <w:jc w:val="center"/>
              <w:rPr>
                <w:rFonts w:ascii="Times New Roman" w:hAnsi="Times New Roman" w:cs="Times New Roman"/>
                <w:sz w:val="21"/>
                <w:szCs w:val="21"/>
              </w:rPr>
            </w:pPr>
            <w:r>
              <w:rPr>
                <w:rFonts w:ascii="Times New Roman" w:hAnsi="Times New Roman" w:cs="Times New Roman"/>
                <w:sz w:val="21"/>
                <w:szCs w:val="21"/>
              </w:rPr>
              <w:t>均</w:t>
            </w:r>
          </w:p>
          <w:p>
            <w:pPr>
              <w:spacing w:line="240" w:lineRule="auto"/>
              <w:ind w:left="210" w:hanging="210" w:hangingChars="100"/>
              <w:jc w:val="center"/>
              <w:rPr>
                <w:rFonts w:ascii="Times New Roman" w:hAnsi="Times New Roman" w:cs="Times New Roman"/>
                <w:sz w:val="21"/>
                <w:szCs w:val="21"/>
              </w:rPr>
            </w:pPr>
            <w:r>
              <w:rPr>
                <w:rFonts w:ascii="Times New Roman" w:hAnsi="Times New Roman" w:cs="Times New Roman"/>
                <w:sz w:val="21"/>
                <w:szCs w:val="21"/>
              </w:rPr>
              <w:t>值</w:t>
            </w:r>
          </w:p>
        </w:tc>
        <w:tc>
          <w:tcPr>
            <w:tcW w:w="845"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标</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准</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差</w:t>
            </w:r>
          </w:p>
        </w:tc>
        <w:tc>
          <w:tcPr>
            <w:tcW w:w="801"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变异系数</w:t>
            </w:r>
          </w:p>
        </w:tc>
        <w:tc>
          <w:tcPr>
            <w:tcW w:w="801"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标</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准</w:t>
            </w:r>
          </w:p>
          <w:p>
            <w:pPr>
              <w:spacing w:line="240" w:lineRule="auto"/>
              <w:jc w:val="center"/>
              <w:rPr>
                <w:rFonts w:ascii="Times New Roman" w:hAnsi="Times New Roman" w:cs="Times New Roman"/>
                <w:sz w:val="21"/>
                <w:szCs w:val="21"/>
              </w:rPr>
            </w:pPr>
            <w:r>
              <w:rPr>
                <w:rFonts w:ascii="Times New Roman" w:hAnsi="Times New Roman" w:cs="Times New Roman"/>
                <w:sz w:val="21"/>
                <w:szCs w:val="21"/>
              </w:rPr>
              <w:t>值</w:t>
            </w:r>
          </w:p>
        </w:tc>
        <w:tc>
          <w:tcPr>
            <w:tcW w:w="534" w:type="dxa"/>
            <w:tcBorders>
              <w:bottom w:val="single" w:color="auto" w:sz="4"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1137" w:type="dxa"/>
            <w:vMerge w:val="restart"/>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粉质粘土</w:t>
            </w:r>
            <w:r>
              <w:rPr>
                <w:rFonts w:hint="eastAsia" w:ascii="宋体" w:hAnsi="宋体" w:eastAsia="宋体" w:cs="宋体"/>
                <w:sz w:val="21"/>
                <w:szCs w:val="21"/>
              </w:rPr>
              <w:t>②</w:t>
            </w: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含水量w(%)</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ind w:firstLine="210"/>
              <w:rPr>
                <w:rFonts w:ascii="Times New Roman" w:hAnsi="Times New Roman" w:cs="Times New Roman"/>
                <w:sz w:val="21"/>
                <w:szCs w:val="21"/>
              </w:rPr>
            </w:pPr>
            <w:r>
              <w:rPr>
                <w:rFonts w:ascii="Times New Roman" w:hAnsi="Times New Roman" w:cs="Times New Roman"/>
                <w:sz w:val="21"/>
                <w:szCs w:val="21"/>
              </w:rPr>
              <w:t>24.2-26.4</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25.4</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restart"/>
          </w:tcPr>
          <w:p>
            <w:pPr>
              <w:rPr>
                <w:rFonts w:ascii="Times New Roman" w:hAnsi="Times New Roman" w:cs="Times New Roman"/>
                <w:sz w:val="21"/>
                <w:szCs w:val="21"/>
              </w:rPr>
            </w:pPr>
          </w:p>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天然密度(g/cm3)</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1.98-2.00</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1.99</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9"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比重Gs</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2.72-2.72</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2.72</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孔隙比e</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0.689-0.728</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0.715</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液限WL(%)</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32.8-36.5</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34.8</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塑限Wp(%)</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19.4-23.1</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21.2</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塑性指数Ip (%)</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13.4-14.0</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13.6</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液性指数IL(%)</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0.19-0.52</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0.31</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压缩系数a(Mpa-1)</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0.22-0.43</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0.29</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压缩模量Es(Mpa)</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4.0-7.8</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6.4</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内摩擦角Φ(0)</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13.5—16.4</w:t>
            </w:r>
          </w:p>
        </w:tc>
        <w:tc>
          <w:tcPr>
            <w:tcW w:w="756"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15.2</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137" w:type="dxa"/>
            <w:vMerge w:val="continue"/>
          </w:tcPr>
          <w:p>
            <w:pPr>
              <w:spacing w:line="240" w:lineRule="auto"/>
              <w:rPr>
                <w:rFonts w:ascii="Times New Roman" w:hAnsi="Times New Roman" w:cs="Times New Roman"/>
                <w:sz w:val="21"/>
                <w:szCs w:val="21"/>
              </w:rPr>
            </w:pPr>
          </w:p>
        </w:tc>
        <w:tc>
          <w:tcPr>
            <w:tcW w:w="196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凝聚力C(kpa)</w:t>
            </w:r>
          </w:p>
        </w:tc>
        <w:tc>
          <w:tcPr>
            <w:tcW w:w="494"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10"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18.0--26.0</w:t>
            </w:r>
          </w:p>
        </w:tc>
        <w:tc>
          <w:tcPr>
            <w:tcW w:w="756" w:type="dxa"/>
            <w:vAlign w:val="center"/>
          </w:tcPr>
          <w:p>
            <w:pPr>
              <w:autoSpaceDN w:val="0"/>
              <w:spacing w:line="240" w:lineRule="auto"/>
              <w:rPr>
                <w:rFonts w:ascii="Times New Roman" w:hAnsi="Times New Roman" w:cs="Times New Roman"/>
                <w:sz w:val="21"/>
                <w:szCs w:val="21"/>
              </w:rPr>
            </w:pPr>
            <w:r>
              <w:rPr>
                <w:rFonts w:ascii="Times New Roman" w:hAnsi="Times New Roman" w:cs="Times New Roman"/>
                <w:sz w:val="21"/>
                <w:szCs w:val="21"/>
              </w:rPr>
              <w:t>23.0</w:t>
            </w:r>
          </w:p>
        </w:tc>
        <w:tc>
          <w:tcPr>
            <w:tcW w:w="845"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01" w:type="dxa"/>
            <w:vAlign w:val="center"/>
          </w:tcPr>
          <w:p>
            <w:pPr>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534" w:type="dxa"/>
            <w:vMerge w:val="continue"/>
          </w:tcPr>
          <w:p>
            <w:pPr>
              <w:rPr>
                <w:rFonts w:ascii="Times New Roman" w:hAnsi="Times New Roman" w:cs="Times New Roman"/>
                <w:sz w:val="21"/>
                <w:szCs w:val="21"/>
              </w:rPr>
            </w:pPr>
          </w:p>
        </w:tc>
      </w:tr>
    </w:tbl>
    <w:p>
      <w:pPr>
        <w:rPr>
          <w:rFonts w:ascii="Times New Roman" w:hAnsi="Times New Roman" w:cs="Times New Roman"/>
        </w:rPr>
      </w:pPr>
      <w:r>
        <w:rPr>
          <w:rFonts w:ascii="Times New Roman" w:hAnsi="Times New Roman" w:cs="Times New Roman"/>
        </w:rPr>
        <w:t>3.2.1.3地震条件</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国家地震局颁布1/400万《中国地震动烈度区划分图》（GB18306-2015），场区地震动峰值加速度a为0.05g，地震动反应谱特征周期为0.35s。按《建筑抗震设计规范》（GB50011-2010）第3.2.4条规定，设计地震分组为第一组，抗震设防烈度为6度地区。</w:t>
      </w:r>
    </w:p>
    <w:p>
      <w:pPr>
        <w:rPr>
          <w:rFonts w:ascii="Times New Roman" w:hAnsi="Times New Roman" w:cs="Times New Roman"/>
        </w:rPr>
      </w:pPr>
      <w:bookmarkStart w:id="18" w:name="_Toc471890457"/>
      <w:r>
        <w:rPr>
          <w:rFonts w:ascii="Times New Roman" w:hAnsi="Times New Roman" w:cs="Times New Roman"/>
        </w:rPr>
        <w:t>3.2.1.4渗透试验</w:t>
      </w:r>
      <w:bookmarkEnd w:id="18"/>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为了检测污染土染及场地主要土层的透水性，工程勘察时进行了注水试验。试验结果如表3-</w:t>
      </w:r>
      <w:r>
        <w:rPr>
          <w:rFonts w:hint="eastAsia" w:ascii="Times New Roman" w:hAnsi="Times New Roman" w:cs="Times New Roman"/>
          <w:szCs w:val="24"/>
        </w:rPr>
        <w:t>5</w:t>
      </w:r>
      <w:r>
        <w:rPr>
          <w:rFonts w:ascii="Times New Roman" w:hAnsi="Times New Roman" w:cs="Times New Roman"/>
          <w:szCs w:val="24"/>
        </w:rPr>
        <w:t>。</w:t>
      </w:r>
    </w:p>
    <w:p>
      <w:pPr>
        <w:ind w:firstLine="422" w:firstLineChars="200"/>
        <w:jc w:val="center"/>
        <w:rPr>
          <w:rFonts w:ascii="Times New Roman" w:hAnsi="Times New Roman" w:cs="Times New Roman"/>
          <w:b/>
          <w:bCs/>
          <w:sz w:val="21"/>
          <w:szCs w:val="21"/>
        </w:rPr>
      </w:pPr>
      <w:r>
        <w:rPr>
          <w:rFonts w:ascii="Times New Roman" w:hAnsi="Times New Roman" w:cs="Times New Roman"/>
          <w:b/>
          <w:bCs/>
          <w:sz w:val="21"/>
          <w:szCs w:val="21"/>
        </w:rPr>
        <w:t>表3-</w:t>
      </w:r>
      <w:r>
        <w:rPr>
          <w:rFonts w:hint="eastAsia" w:ascii="Times New Roman" w:hAnsi="Times New Roman" w:cs="Times New Roman"/>
          <w:b/>
          <w:bCs/>
          <w:sz w:val="21"/>
          <w:szCs w:val="21"/>
        </w:rPr>
        <w:t>5</w:t>
      </w:r>
      <w:r>
        <w:rPr>
          <w:rFonts w:ascii="Times New Roman" w:hAnsi="Times New Roman" w:cs="Times New Roman"/>
          <w:b/>
          <w:bCs/>
          <w:sz w:val="21"/>
          <w:szCs w:val="21"/>
        </w:rPr>
        <w:t>渗透系数平均值</w:t>
      </w:r>
    </w:p>
    <w:tbl>
      <w:tblPr>
        <w:tblStyle w:val="33"/>
        <w:tblW w:w="8397"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0"/>
        <w:gridCol w:w="5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jc w:val="center"/>
        </w:trPr>
        <w:tc>
          <w:tcPr>
            <w:tcW w:w="2540" w:type="dxa"/>
            <w:vMerge w:val="restart"/>
            <w:tcBorders>
              <w:top w:val="single" w:color="auto" w:sz="12" w:space="0"/>
              <w:tl2br w:val="single" w:color="auto" w:sz="4" w:space="0"/>
            </w:tcBorders>
            <w:vAlign w:val="center"/>
          </w:tcPr>
          <w:p>
            <w:pPr>
              <w:spacing w:line="240" w:lineRule="auto"/>
              <w:ind w:firstLine="207" w:firstLineChars="99"/>
              <w:jc w:val="center"/>
              <w:rPr>
                <w:rFonts w:ascii="Times New Roman" w:hAnsi="Times New Roman" w:cs="Times New Roman"/>
                <w:bCs/>
                <w:sz w:val="21"/>
                <w:szCs w:val="21"/>
              </w:rPr>
            </w:pPr>
            <w:r>
              <w:rPr>
                <w:rFonts w:ascii="Times New Roman" w:hAnsi="Times New Roman" w:cs="Times New Roman"/>
                <w:bCs/>
                <w:sz w:val="21"/>
                <w:szCs w:val="21"/>
              </w:rPr>
              <w:t>试验指标</w:t>
            </w:r>
          </w:p>
          <w:p>
            <w:pPr>
              <w:spacing w:line="240" w:lineRule="auto"/>
              <w:rPr>
                <w:rFonts w:ascii="Times New Roman" w:hAnsi="Times New Roman" w:cs="Times New Roman"/>
                <w:bCs/>
                <w:sz w:val="21"/>
                <w:szCs w:val="21"/>
              </w:rPr>
            </w:pPr>
            <w:r>
              <w:rPr>
                <w:rFonts w:ascii="Times New Roman" w:hAnsi="Times New Roman" w:cs="Times New Roman"/>
                <w:bCs/>
                <w:sz w:val="21"/>
                <w:szCs w:val="21"/>
              </w:rPr>
              <w:t>岩土名称</w:t>
            </w:r>
          </w:p>
        </w:tc>
        <w:tc>
          <w:tcPr>
            <w:tcW w:w="5857" w:type="dxa"/>
            <w:vMerge w:val="restart"/>
            <w:tcBorders>
              <w:top w:val="single" w:color="auto" w:sz="12" w:space="0"/>
              <w:bottom w:val="nil"/>
            </w:tcBorders>
            <w:vAlign w:val="center"/>
          </w:tcPr>
          <w:p>
            <w:pPr>
              <w:pStyle w:val="22"/>
              <w:tabs>
                <w:tab w:val="right" w:leader="dot" w:pos="8495"/>
              </w:tabs>
              <w:spacing w:line="240" w:lineRule="auto"/>
              <w:ind w:left="1011" w:right="300"/>
              <w:jc w:val="both"/>
              <w:rPr>
                <w:rFonts w:ascii="Times New Roman" w:hAnsi="Times New Roman" w:cs="Times New Roman"/>
                <w:sz w:val="21"/>
                <w:szCs w:val="21"/>
              </w:rPr>
            </w:pPr>
            <w:r>
              <w:rPr>
                <w:rFonts w:ascii="Times New Roman" w:hAnsi="Times New Roman" w:cs="Times New Roman"/>
                <w:b/>
                <w:caps/>
                <w:sz w:val="21"/>
                <w:szCs w:val="21"/>
              </w:rPr>
              <w:t>渗透系数Kv(cm/s)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jc w:val="center"/>
        </w:trPr>
        <w:tc>
          <w:tcPr>
            <w:tcW w:w="2540" w:type="dxa"/>
            <w:vMerge w:val="continue"/>
            <w:tcBorders>
              <w:bottom w:val="single" w:color="auto" w:sz="12" w:space="0"/>
              <w:tl2br w:val="single" w:color="auto" w:sz="4" w:space="0"/>
            </w:tcBorders>
            <w:vAlign w:val="center"/>
          </w:tcPr>
          <w:p>
            <w:pPr>
              <w:spacing w:line="240" w:lineRule="auto"/>
              <w:ind w:firstLine="207" w:firstLineChars="99"/>
              <w:jc w:val="center"/>
              <w:rPr>
                <w:rFonts w:ascii="Times New Roman" w:hAnsi="Times New Roman" w:cs="Times New Roman"/>
                <w:bCs/>
                <w:sz w:val="21"/>
                <w:szCs w:val="21"/>
              </w:rPr>
            </w:pPr>
          </w:p>
        </w:tc>
        <w:tc>
          <w:tcPr>
            <w:tcW w:w="5857" w:type="dxa"/>
            <w:vMerge w:val="continue"/>
            <w:tcBorders>
              <w:bottom w:val="single" w:color="auto" w:sz="12" w:space="0"/>
            </w:tcBorders>
            <w:vAlign w:val="center"/>
          </w:tcPr>
          <w:p>
            <w:pPr>
              <w:spacing w:line="240" w:lineRule="auto"/>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jc w:val="center"/>
        </w:trPr>
        <w:tc>
          <w:tcPr>
            <w:tcW w:w="2540" w:type="dxa"/>
            <w:tcBorders>
              <w:top w:val="single" w:color="auto" w:sz="12" w:space="0"/>
              <w:bottom w:val="single" w:color="auto" w:sz="4" w:space="0"/>
            </w:tcBorders>
            <w:vAlign w:val="center"/>
          </w:tcPr>
          <w:p>
            <w:pPr>
              <w:spacing w:line="240" w:lineRule="auto"/>
              <w:jc w:val="center"/>
              <w:rPr>
                <w:rFonts w:ascii="Times New Roman" w:hAnsi="Times New Roman" w:cs="Times New Roman"/>
                <w:bCs/>
                <w:sz w:val="21"/>
                <w:szCs w:val="21"/>
              </w:rPr>
            </w:pPr>
            <w:r>
              <w:rPr>
                <w:rFonts w:ascii="Times New Roman" w:hAnsi="Times New Roman" w:cs="Times New Roman"/>
                <w:sz w:val="21"/>
                <w:szCs w:val="21"/>
              </w:rPr>
              <w:t>杂填土</w:t>
            </w:r>
            <w:r>
              <w:rPr>
                <w:rFonts w:hint="eastAsia" w:ascii="宋体" w:hAnsi="宋体" w:eastAsia="宋体" w:cs="宋体"/>
                <w:sz w:val="21"/>
                <w:szCs w:val="21"/>
              </w:rPr>
              <w:t>①</w:t>
            </w:r>
            <w:r>
              <w:rPr>
                <w:rFonts w:ascii="Times New Roman" w:hAnsi="Times New Roman" w:cs="Times New Roman"/>
                <w:sz w:val="21"/>
                <w:szCs w:val="21"/>
              </w:rPr>
              <w:t>-1</w:t>
            </w:r>
          </w:p>
        </w:tc>
        <w:tc>
          <w:tcPr>
            <w:tcW w:w="5857" w:type="dxa"/>
            <w:tcBorders>
              <w:top w:val="single" w:color="auto" w:sz="12" w:space="0"/>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3.50×10</w:t>
            </w:r>
            <w:r>
              <w:rPr>
                <w:rFonts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 w:hRule="atLeast"/>
          <w:jc w:val="center"/>
        </w:trPr>
        <w:tc>
          <w:tcPr>
            <w:tcW w:w="2540" w:type="dxa"/>
            <w:vAlign w:val="center"/>
          </w:tcPr>
          <w:p>
            <w:pPr>
              <w:tabs>
                <w:tab w:val="left" w:pos="2520"/>
              </w:tabs>
              <w:spacing w:line="240" w:lineRule="auto"/>
              <w:jc w:val="center"/>
              <w:rPr>
                <w:rFonts w:ascii="Times New Roman" w:hAnsi="Times New Roman" w:cs="Times New Roman"/>
                <w:bCs/>
                <w:sz w:val="21"/>
                <w:szCs w:val="21"/>
              </w:rPr>
            </w:pPr>
            <w:r>
              <w:rPr>
                <w:rFonts w:ascii="Times New Roman" w:hAnsi="Times New Roman" w:cs="Times New Roman"/>
                <w:sz w:val="21"/>
                <w:szCs w:val="21"/>
              </w:rPr>
              <w:t>杂填土</w:t>
            </w:r>
            <w:r>
              <w:rPr>
                <w:rFonts w:hint="eastAsia" w:ascii="宋体" w:hAnsi="宋体" w:eastAsia="宋体" w:cs="宋体"/>
                <w:sz w:val="21"/>
                <w:szCs w:val="21"/>
              </w:rPr>
              <w:t>①</w:t>
            </w:r>
            <w:r>
              <w:rPr>
                <w:rFonts w:ascii="Times New Roman" w:hAnsi="Times New Roman" w:cs="Times New Roman"/>
                <w:sz w:val="21"/>
                <w:szCs w:val="21"/>
              </w:rPr>
              <w:t>-2</w:t>
            </w:r>
          </w:p>
        </w:tc>
        <w:tc>
          <w:tcPr>
            <w:tcW w:w="5857" w:type="dxa"/>
            <w:vAlign w:val="center"/>
          </w:tcPr>
          <w:p>
            <w:pPr>
              <w:spacing w:line="240" w:lineRule="auto"/>
              <w:jc w:val="center"/>
              <w:rPr>
                <w:rFonts w:ascii="Times New Roman" w:hAnsi="Times New Roman" w:cs="Times New Roman"/>
                <w:bCs/>
                <w:sz w:val="21"/>
                <w:szCs w:val="21"/>
              </w:rPr>
            </w:pPr>
            <w:r>
              <w:rPr>
                <w:rFonts w:ascii="Times New Roman" w:hAnsi="Times New Roman" w:cs="Times New Roman"/>
                <w:sz w:val="21"/>
                <w:szCs w:val="21"/>
              </w:rPr>
              <w:t>4.20×10</w:t>
            </w:r>
            <w:r>
              <w:rPr>
                <w:rFonts w:ascii="Times New Roman" w:hAnsi="Times New Roman" w:cs="Times New Roman"/>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 w:hRule="atLeast"/>
          <w:jc w:val="center"/>
        </w:trPr>
        <w:tc>
          <w:tcPr>
            <w:tcW w:w="2540" w:type="dxa"/>
            <w:vAlign w:val="center"/>
          </w:tcPr>
          <w:p>
            <w:pPr>
              <w:tabs>
                <w:tab w:val="left" w:pos="2520"/>
              </w:tabs>
              <w:spacing w:line="240" w:lineRule="auto"/>
              <w:jc w:val="center"/>
              <w:rPr>
                <w:rFonts w:ascii="Times New Roman" w:hAnsi="Times New Roman" w:cs="Times New Roman"/>
                <w:sz w:val="21"/>
                <w:szCs w:val="21"/>
              </w:rPr>
            </w:pPr>
            <w:r>
              <w:rPr>
                <w:rFonts w:ascii="Times New Roman" w:hAnsi="Times New Roman" w:cs="Times New Roman"/>
                <w:sz w:val="21"/>
                <w:szCs w:val="21"/>
              </w:rPr>
              <w:t>粉质粘土</w:t>
            </w:r>
            <w:r>
              <w:rPr>
                <w:rFonts w:hint="eastAsia" w:ascii="宋体" w:hAnsi="宋体" w:eastAsia="宋体" w:cs="宋体"/>
                <w:sz w:val="21"/>
                <w:szCs w:val="21"/>
              </w:rPr>
              <w:t>②</w:t>
            </w:r>
          </w:p>
        </w:tc>
        <w:tc>
          <w:tcPr>
            <w:tcW w:w="5857"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 w:hRule="atLeast"/>
          <w:jc w:val="center"/>
        </w:trPr>
        <w:tc>
          <w:tcPr>
            <w:tcW w:w="2540" w:type="dxa"/>
            <w:vAlign w:val="center"/>
          </w:tcPr>
          <w:p>
            <w:pPr>
              <w:tabs>
                <w:tab w:val="left" w:pos="2520"/>
              </w:tabs>
              <w:spacing w:line="240" w:lineRule="auto"/>
              <w:jc w:val="center"/>
              <w:rPr>
                <w:rFonts w:ascii="Times New Roman" w:hAnsi="Times New Roman" w:cs="Times New Roman"/>
                <w:sz w:val="21"/>
                <w:szCs w:val="21"/>
              </w:rPr>
            </w:pPr>
            <w:r>
              <w:rPr>
                <w:rFonts w:ascii="Times New Roman" w:hAnsi="Times New Roman" w:cs="Times New Roman"/>
                <w:sz w:val="21"/>
                <w:szCs w:val="21"/>
              </w:rPr>
              <w:t>粉质粘土</w:t>
            </w:r>
            <w:r>
              <w:rPr>
                <w:rFonts w:hint="eastAsia" w:ascii="宋体" w:hAnsi="宋体" w:eastAsia="宋体" w:cs="宋体"/>
                <w:sz w:val="21"/>
                <w:szCs w:val="21"/>
              </w:rPr>
              <w:t>③</w:t>
            </w:r>
          </w:p>
        </w:tc>
        <w:tc>
          <w:tcPr>
            <w:tcW w:w="5857"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2.50×10</w:t>
            </w:r>
            <w:r>
              <w:rPr>
                <w:rFonts w:ascii="Times New Roman" w:hAnsi="Times New Roman" w:cs="Times New Roman"/>
                <w:sz w:val="21"/>
                <w:szCs w:val="21"/>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 w:hRule="atLeast"/>
          <w:jc w:val="center"/>
        </w:trPr>
        <w:tc>
          <w:tcPr>
            <w:tcW w:w="254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圆砾</w:t>
            </w:r>
            <w:r>
              <w:rPr>
                <w:rFonts w:hint="eastAsia" w:ascii="宋体" w:hAnsi="宋体" w:eastAsia="宋体" w:cs="宋体"/>
                <w:sz w:val="21"/>
                <w:szCs w:val="21"/>
              </w:rPr>
              <w:t>④</w:t>
            </w:r>
          </w:p>
        </w:tc>
        <w:tc>
          <w:tcPr>
            <w:tcW w:w="5857" w:type="dxa"/>
            <w:tcBorders>
              <w:bottom w:val="single" w:color="auto" w:sz="4" w:space="0"/>
            </w:tcBorders>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6.80×10</w:t>
            </w:r>
            <w:r>
              <w:rPr>
                <w:rFonts w:ascii="Times New Roman" w:hAnsi="Times New Roman" w:cs="Times New Roman"/>
                <w:sz w:val="21"/>
                <w:szCs w:val="21"/>
                <w:vertAlign w:val="superscript"/>
              </w:rPr>
              <w:t>-3</w:t>
            </w:r>
          </w:p>
        </w:tc>
      </w:tr>
    </w:tbl>
    <w:p>
      <w:pPr>
        <w:rPr>
          <w:rFonts w:ascii="Times New Roman" w:hAnsi="Times New Roman" w:cs="Times New Roman"/>
        </w:rPr>
      </w:pPr>
      <w:r>
        <w:rPr>
          <w:rFonts w:ascii="Times New Roman" w:hAnsi="Times New Roman" w:cs="Times New Roman"/>
        </w:rPr>
        <w:t>3.2.1.5水文地质条件</w:t>
      </w:r>
    </w:p>
    <w:bookmarkEnd w:id="10"/>
    <w:bookmarkEnd w:id="11"/>
    <w:bookmarkEnd w:id="12"/>
    <w:bookmarkEnd w:id="13"/>
    <w:bookmarkEnd w:id="14"/>
    <w:bookmarkEnd w:id="15"/>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地表水：主要分布于场地水塘中，受大气降水影响较大。</w:t>
      </w:r>
    </w:p>
    <w:p>
      <w:pPr>
        <w:ind w:firstLine="480" w:firstLineChars="200"/>
        <w:rPr>
          <w:rFonts w:ascii="Times New Roman" w:hAnsi="Times New Roman" w:cs="Times New Roman"/>
          <w:szCs w:val="24"/>
        </w:rPr>
      </w:pPr>
      <w:r>
        <w:rPr>
          <w:rFonts w:ascii="Times New Roman" w:hAnsi="Times New Roman" w:cs="Times New Roman"/>
          <w:szCs w:val="24"/>
        </w:rPr>
        <w:t>地下水：场地地下水主要类型为上层滞水和孔隙水，上层滞水主要赋存于填土层中，受大气降水影响较大；孔隙水主要赋存于砾砂层中，</w:t>
      </w:r>
      <w:r>
        <w:rPr>
          <w:rFonts w:ascii="Times New Roman" w:hAnsi="Times New Roman" w:cs="Times New Roman"/>
        </w:rPr>
        <w:t>主要由地表水及大气降水渗入补给，动态及幅度变化较大，含水量较丰富，</w:t>
      </w:r>
      <w:r>
        <w:rPr>
          <w:rFonts w:ascii="Times New Roman" w:hAnsi="Times New Roman" w:cs="Times New Roman"/>
          <w:szCs w:val="24"/>
        </w:rPr>
        <w:t>水量较大，受资江径向补给。</w:t>
      </w:r>
      <w:r>
        <w:rPr>
          <w:rFonts w:ascii="Times New Roman" w:hAnsi="Times New Roman" w:cs="Times New Roman"/>
          <w:szCs w:val="28"/>
        </w:rPr>
        <w:t>水体流向大致由场地北侧流向南侧。</w:t>
      </w:r>
      <w:r>
        <w:rPr>
          <w:rFonts w:ascii="Times New Roman" w:hAnsi="Times New Roman" w:cs="Times New Roman"/>
          <w:szCs w:val="24"/>
        </w:rPr>
        <w:t>勘探时测得各钻孔水位埋深0.4m-2.80m左右，相当于高程28.76m-32.90m。</w:t>
      </w:r>
    </w:p>
    <w:p>
      <w:pPr>
        <w:rPr>
          <w:rFonts w:ascii="Times New Roman" w:hAnsi="Times New Roman" w:cs="Times New Roman"/>
        </w:rPr>
      </w:pPr>
      <w:r>
        <w:rPr>
          <w:rFonts w:ascii="Times New Roman" w:hAnsi="Times New Roman" w:cs="Times New Roman"/>
        </w:rPr>
        <w:t>3.2.1.</w:t>
      </w:r>
      <w:r>
        <w:rPr>
          <w:rFonts w:hint="eastAsia" w:ascii="Times New Roman" w:hAnsi="Times New Roman" w:cs="Times New Roman"/>
        </w:rPr>
        <w:t>6</w:t>
      </w:r>
      <w:r>
        <w:rPr>
          <w:rFonts w:ascii="Times New Roman" w:hAnsi="Times New Roman" w:cs="Times New Roman"/>
        </w:rPr>
        <w:t>地勘</w:t>
      </w:r>
      <w:r>
        <w:rPr>
          <w:rFonts w:hint="eastAsia" w:ascii="Times New Roman" w:hAnsi="Times New Roman" w:cs="Times New Roman"/>
        </w:rPr>
        <w:t>小结</w:t>
      </w:r>
    </w:p>
    <w:p>
      <w:pPr>
        <w:ind w:firstLine="464" w:firstLineChars="200"/>
        <w:rPr>
          <w:rFonts w:ascii="Times New Roman" w:hAnsi="Times New Roman" w:cs="Times New Roman"/>
          <w:szCs w:val="24"/>
        </w:rPr>
      </w:pPr>
      <w:r>
        <w:rPr>
          <w:rFonts w:ascii="Times New Roman" w:hAnsi="Times New Roman" w:cs="Times New Roman"/>
          <w:spacing w:val="-4"/>
          <w:szCs w:val="24"/>
        </w:rPr>
        <w:t>（1）</w:t>
      </w:r>
      <w:r>
        <w:rPr>
          <w:rFonts w:ascii="Times New Roman" w:hAnsi="Times New Roman" w:cs="Times New Roman"/>
          <w:szCs w:val="24"/>
        </w:rPr>
        <w:t>根据区域地质构造、新构造运动和地震活动资料，场地及附近未发现全新活动的地质构造，未见有滑坡、危岩和崩塌、泥石流等不良地质作用，场地稳定性较好。</w:t>
      </w:r>
    </w:p>
    <w:p>
      <w:pPr>
        <w:ind w:firstLine="348" w:firstLineChars="150"/>
        <w:rPr>
          <w:rFonts w:ascii="Times New Roman" w:hAnsi="Times New Roman" w:cs="Times New Roman"/>
          <w:szCs w:val="24"/>
        </w:rPr>
      </w:pPr>
      <w:r>
        <w:rPr>
          <w:rFonts w:ascii="Times New Roman" w:hAnsi="Times New Roman" w:cs="Times New Roman"/>
          <w:spacing w:val="-4"/>
          <w:szCs w:val="24"/>
        </w:rPr>
        <w:t>（2）</w:t>
      </w:r>
      <w:r>
        <w:rPr>
          <w:rFonts w:ascii="Times New Roman" w:hAnsi="Times New Roman" w:cs="Times New Roman"/>
          <w:szCs w:val="24"/>
        </w:rPr>
        <w:t>拟建场地抗震设防烈度为6度地区，设计基本加速度值为0.05g，特征周期0.35s，设计地震分组为第一组，建筑场地类别为</w:t>
      </w:r>
      <w:r>
        <w:rPr>
          <w:rFonts w:hint="eastAsia" w:ascii="宋体" w:hAnsi="宋体" w:eastAsia="宋体" w:cs="宋体"/>
          <w:szCs w:val="24"/>
        </w:rPr>
        <w:t>Ⅱ</w:t>
      </w:r>
      <w:r>
        <w:rPr>
          <w:rFonts w:ascii="Times New Roman" w:hAnsi="Times New Roman" w:cs="Times New Roman"/>
          <w:szCs w:val="24"/>
        </w:rPr>
        <w:t>类，为可建筑的一般场地。</w:t>
      </w:r>
    </w:p>
    <w:p>
      <w:pPr>
        <w:ind w:firstLine="360" w:firstLineChars="150"/>
        <w:rPr>
          <w:rFonts w:ascii="Times New Roman" w:hAnsi="Times New Roman" w:cs="Times New Roman"/>
          <w:szCs w:val="24"/>
        </w:rPr>
      </w:pPr>
      <w:r>
        <w:rPr>
          <w:rFonts w:ascii="Times New Roman" w:hAnsi="Times New Roman" w:cs="Times New Roman"/>
          <w:szCs w:val="24"/>
        </w:rPr>
        <w:t>（3）根据水质分析结果，场地地下水</w:t>
      </w:r>
      <w:r>
        <w:rPr>
          <w:rFonts w:ascii="Times New Roman" w:hAnsi="Times New Roman"/>
          <w:color w:val="000000"/>
          <w:szCs w:val="24"/>
        </w:rPr>
        <w:t>呈</w:t>
      </w:r>
      <w:r>
        <w:rPr>
          <w:rFonts w:hint="eastAsia" w:ascii="Times New Roman" w:hAnsi="Times New Roman"/>
          <w:color w:val="000000"/>
          <w:szCs w:val="24"/>
        </w:rPr>
        <w:t>碱</w:t>
      </w:r>
      <w:r>
        <w:rPr>
          <w:rFonts w:ascii="Times New Roman" w:hAnsi="Times New Roman"/>
          <w:color w:val="000000"/>
          <w:szCs w:val="24"/>
        </w:rPr>
        <w:t>性</w:t>
      </w:r>
      <w:r>
        <w:rPr>
          <w:rFonts w:hint="eastAsia" w:ascii="Times New Roman" w:hAnsi="Times New Roman"/>
          <w:color w:val="000000"/>
          <w:szCs w:val="24"/>
        </w:rPr>
        <w:t>（</w:t>
      </w:r>
      <w:r>
        <w:rPr>
          <w:rFonts w:ascii="宋体" w:hAnsi="宋体"/>
          <w:kern w:val="0"/>
          <w:szCs w:val="21"/>
        </w:rPr>
        <w:t>pH</w:t>
      </w:r>
      <w:r>
        <w:rPr>
          <w:rFonts w:hint="eastAsia" w:ascii="宋体" w:hAnsi="宋体"/>
          <w:kern w:val="0"/>
          <w:szCs w:val="21"/>
        </w:rPr>
        <w:t>&gt;7</w:t>
      </w:r>
      <w:r>
        <w:rPr>
          <w:rFonts w:hint="eastAsia" w:ascii="Times New Roman" w:hAnsi="Times New Roman"/>
          <w:color w:val="000000"/>
          <w:szCs w:val="24"/>
        </w:rPr>
        <w:t>）</w:t>
      </w:r>
      <w:r>
        <w:rPr>
          <w:rFonts w:ascii="Times New Roman" w:hAnsi="Times New Roman" w:cs="Times New Roman"/>
          <w:szCs w:val="24"/>
        </w:rPr>
        <w:t>。</w:t>
      </w:r>
    </w:p>
    <w:p>
      <w:pPr>
        <w:tabs>
          <w:tab w:val="left" w:pos="2520"/>
        </w:tabs>
        <w:ind w:firstLine="348" w:firstLineChars="150"/>
        <w:rPr>
          <w:rFonts w:ascii="Times New Roman" w:hAnsi="Times New Roman" w:cs="Times New Roman"/>
          <w:szCs w:val="24"/>
        </w:rPr>
      </w:pPr>
      <w:r>
        <w:rPr>
          <w:rFonts w:ascii="Times New Roman" w:hAnsi="Times New Roman" w:cs="Times New Roman"/>
          <w:spacing w:val="-4"/>
          <w:szCs w:val="24"/>
        </w:rPr>
        <w:t>（4）</w:t>
      </w:r>
      <w:r>
        <w:rPr>
          <w:rFonts w:ascii="Times New Roman" w:hAnsi="Times New Roman" w:cs="Times New Roman"/>
          <w:szCs w:val="24"/>
        </w:rPr>
        <w:t>根据现场钻探及测量成果资料通过计算得出该场地废渣储量为39228.5</w:t>
      </w:r>
      <w:r>
        <w:rPr>
          <w:rFonts w:ascii="Times New Roman" w:hAnsi="Times New Roman" w:cs="Times New Roman"/>
          <w:sz w:val="28"/>
          <w:szCs w:val="28"/>
        </w:rPr>
        <w:t>m</w:t>
      </w:r>
      <w:r>
        <w:rPr>
          <w:rFonts w:ascii="Times New Roman" w:hAnsi="Times New Roman" w:cs="Times New Roman"/>
          <w:sz w:val="28"/>
          <w:szCs w:val="28"/>
          <w:vertAlign w:val="superscript"/>
        </w:rPr>
        <w:t>3</w:t>
      </w:r>
      <w:r>
        <w:rPr>
          <w:rFonts w:ascii="Times New Roman" w:hAnsi="Times New Roman" w:cs="Times New Roman"/>
          <w:szCs w:val="24"/>
        </w:rPr>
        <w:t>。（详细数据见废渣量计算图、计算软件使用南方CASS9.0、方格网边长为10m×10m、计算深度根据地勘资料成果而定、方格网为电脑自动生成，格内数量是格内的平均高差乘以格网面积。）</w:t>
      </w:r>
    </w:p>
    <w:p>
      <w:pPr>
        <w:rPr>
          <w:rFonts w:ascii="Times New Roman" w:hAnsi="Times New Roman" w:cs="Times New Roman"/>
          <w:b/>
          <w:color w:val="000000" w:themeColor="text1"/>
          <w:szCs w:val="24"/>
        </w:rPr>
      </w:pPr>
      <w:r>
        <w:rPr>
          <w:rFonts w:ascii="Times New Roman" w:hAnsi="Times New Roman" w:cs="Times New Roman"/>
          <w:szCs w:val="24"/>
        </w:rPr>
        <w:t>（5）</w:t>
      </w:r>
      <w:r>
        <w:rPr>
          <w:rFonts w:ascii="Times New Roman" w:hAnsi="Times New Roman" w:cs="Times New Roman"/>
          <w:b/>
          <w:color w:val="000000" w:themeColor="text1"/>
          <w:szCs w:val="24"/>
        </w:rPr>
        <w:t>根据本次勘察结果，场地揭露的卵石</w:t>
      </w:r>
      <w:r>
        <w:rPr>
          <w:rFonts w:hint="eastAsia" w:ascii="宋体" w:hAnsi="宋体" w:eastAsia="宋体" w:cs="宋体"/>
          <w:b/>
          <w:color w:val="000000" w:themeColor="text1"/>
          <w:szCs w:val="24"/>
        </w:rPr>
        <w:t>④</w:t>
      </w:r>
      <w:r>
        <w:rPr>
          <w:rFonts w:ascii="Times New Roman" w:hAnsi="Times New Roman" w:cs="Times New Roman"/>
          <w:b/>
          <w:color w:val="000000" w:themeColor="text1"/>
          <w:szCs w:val="24"/>
        </w:rPr>
        <w:t>层呈灰褐色，刺激性气味较强，该层为强透水层，该层地下水与资水河相通，并且具有承压性。该层上部土层粉质粘土</w:t>
      </w:r>
      <w:r>
        <w:rPr>
          <w:rFonts w:hint="eastAsia" w:ascii="宋体" w:hAnsi="宋体" w:eastAsia="宋体" w:cs="宋体"/>
          <w:b/>
          <w:color w:val="000000" w:themeColor="text1"/>
          <w:szCs w:val="24"/>
        </w:rPr>
        <w:t>③</w:t>
      </w:r>
      <w:r>
        <w:rPr>
          <w:rFonts w:ascii="Times New Roman" w:hAnsi="Times New Roman" w:cs="Times New Roman"/>
          <w:b/>
          <w:color w:val="000000" w:themeColor="text1"/>
          <w:szCs w:val="24"/>
        </w:rPr>
        <w:t>亦呈灰褐色，具刺激性气味，因此判定场地污染物已随地下水流扩散，且较严重。</w:t>
      </w:r>
    </w:p>
    <w:p>
      <w:pPr>
        <w:rPr>
          <w:rFonts w:ascii="Times New Roman" w:hAnsi="Times New Roman" w:cs="Times New Roman"/>
          <w:spacing w:val="-4"/>
          <w:szCs w:val="24"/>
        </w:rPr>
      </w:pPr>
      <w:r>
        <w:rPr>
          <w:rFonts w:ascii="Times New Roman" w:hAnsi="Times New Roman" w:cs="Times New Roman"/>
          <w:spacing w:val="-4"/>
          <w:szCs w:val="24"/>
        </w:rPr>
        <w:t>（6）堆场地震烈度为</w:t>
      </w:r>
      <w:r>
        <w:rPr>
          <w:rFonts w:hint="eastAsia" w:ascii="宋体" w:hAnsi="宋体" w:eastAsia="宋体" w:cs="宋体"/>
          <w:spacing w:val="-4"/>
          <w:szCs w:val="24"/>
        </w:rPr>
        <w:t>Ⅵ</w:t>
      </w:r>
      <w:r>
        <w:rPr>
          <w:rFonts w:ascii="Times New Roman" w:hAnsi="Times New Roman" w:cs="Times New Roman"/>
          <w:spacing w:val="-4"/>
          <w:szCs w:val="24"/>
        </w:rPr>
        <w:t>度，</w:t>
      </w:r>
      <w:r>
        <w:rPr>
          <w:rFonts w:ascii="Times New Roman" w:hAnsi="Times New Roman" w:cs="Times New Roman"/>
          <w:szCs w:val="24"/>
        </w:rPr>
        <w:t>根据区域地质构造、新构造运动和地震活动资料，场地及附近无活动断裂通过，场地稳定性良好</w:t>
      </w:r>
      <w:r>
        <w:rPr>
          <w:rFonts w:ascii="Times New Roman" w:hAnsi="Times New Roman" w:cs="Times New Roman"/>
          <w:spacing w:val="-4"/>
          <w:szCs w:val="24"/>
        </w:rPr>
        <w:t>。</w:t>
      </w:r>
    </w:p>
    <w:p>
      <w:pPr>
        <w:tabs>
          <w:tab w:val="left" w:pos="2520"/>
        </w:tabs>
        <w:ind w:firstLine="348" w:firstLineChars="150"/>
        <w:rPr>
          <w:rFonts w:ascii="Times New Roman" w:hAnsi="Times New Roman" w:cs="Times New Roman"/>
          <w:szCs w:val="24"/>
        </w:rPr>
      </w:pPr>
      <w:r>
        <w:rPr>
          <w:rFonts w:ascii="Times New Roman" w:hAnsi="Times New Roman" w:cs="Times New Roman"/>
          <w:spacing w:val="-4"/>
          <w:szCs w:val="24"/>
        </w:rPr>
        <w:t>（7）</w:t>
      </w:r>
      <w:r>
        <w:rPr>
          <w:rFonts w:ascii="Times New Roman" w:hAnsi="Times New Roman" w:cs="Times New Roman"/>
          <w:szCs w:val="24"/>
        </w:rPr>
        <w:t>根据《建筑地基基础设计规范》（GB50007-2011），并结合以往经验，推荐各土层设计参数如表3-</w:t>
      </w:r>
      <w:r>
        <w:rPr>
          <w:rFonts w:hint="eastAsia" w:ascii="Times New Roman" w:hAnsi="Times New Roman" w:cs="Times New Roman"/>
          <w:szCs w:val="24"/>
        </w:rPr>
        <w:t>6</w:t>
      </w:r>
      <w:r>
        <w:rPr>
          <w:rFonts w:ascii="Times New Roman" w:hAnsi="Times New Roman" w:cs="Times New Roman"/>
          <w:szCs w:val="24"/>
        </w:rPr>
        <w:t>：</w:t>
      </w:r>
    </w:p>
    <w:p>
      <w:pPr>
        <w:tabs>
          <w:tab w:val="left" w:pos="2520"/>
        </w:tabs>
        <w:spacing w:line="520" w:lineRule="exact"/>
        <w:ind w:firstLine="316" w:firstLineChars="150"/>
        <w:jc w:val="center"/>
        <w:rPr>
          <w:rFonts w:ascii="Times New Roman" w:hAnsi="Times New Roman" w:cs="Times New Roman"/>
          <w:sz w:val="21"/>
          <w:szCs w:val="21"/>
        </w:rPr>
      </w:pPr>
      <w:r>
        <w:rPr>
          <w:rFonts w:ascii="Times New Roman" w:hAnsi="Times New Roman" w:cs="Times New Roman"/>
          <w:b/>
          <w:bCs/>
          <w:sz w:val="21"/>
          <w:szCs w:val="21"/>
        </w:rPr>
        <w:t>表3-</w:t>
      </w:r>
      <w:r>
        <w:rPr>
          <w:rFonts w:hint="eastAsia" w:ascii="Times New Roman" w:hAnsi="Times New Roman" w:cs="Times New Roman"/>
          <w:b/>
          <w:bCs/>
          <w:sz w:val="21"/>
          <w:szCs w:val="21"/>
        </w:rPr>
        <w:t>6</w:t>
      </w:r>
      <w:r>
        <w:rPr>
          <w:rFonts w:ascii="Times New Roman" w:hAnsi="Times New Roman" w:cs="Times New Roman"/>
          <w:b/>
          <w:bCs/>
          <w:sz w:val="21"/>
          <w:szCs w:val="21"/>
        </w:rPr>
        <w:t>推荐各土层设计参数</w:t>
      </w:r>
    </w:p>
    <w:tbl>
      <w:tblPr>
        <w:tblStyle w:val="33"/>
        <w:tblW w:w="8608" w:type="dxa"/>
        <w:jc w:val="center"/>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163"/>
        <w:gridCol w:w="1027"/>
        <w:gridCol w:w="710"/>
        <w:gridCol w:w="800"/>
        <w:gridCol w:w="831"/>
        <w:gridCol w:w="815"/>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510" w:type="dxa"/>
            <w:vMerge w:val="restart"/>
            <w:vAlign w:val="center"/>
          </w:tcPr>
          <w:p>
            <w:pPr>
              <w:tabs>
                <w:tab w:val="left" w:pos="2520"/>
              </w:tabs>
              <w:ind w:right="840"/>
              <w:jc w:val="center"/>
              <w:rPr>
                <w:rFonts w:ascii="Times New Roman" w:hAnsi="Times New Roman" w:cs="Times New Roman"/>
                <w:sz w:val="21"/>
                <w:szCs w:val="21"/>
              </w:rPr>
            </w:pPr>
            <w:r>
              <w:rPr>
                <w:rFonts w:ascii="Times New Roman" w:hAnsi="Times New Roman" w:cs="Times New Roman"/>
                <w:sz w:val="21"/>
                <w:szCs w:val="21"/>
              </w:rPr>
              <w:pict>
                <v:group id="组合 11" o:spid="_x0000_s1032" o:spt="203" style="position:absolute;left:0pt;margin-left:-4.4pt;margin-top:-0.35pt;height:73.25pt;width:74.25pt;z-index:251663360;mso-width-relative:page;mso-height-relative:page;" coordsize="1143,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">
                  <o:lock v:ext="edit"/>
                  <v:line id="__TH_L199" o:spid="_x0000_s1033" o:spt="20" style="position:absolute;left:0;top:0;height:1173;width:1143;"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S98EAAADbAAAADwAAAGRycy9kb3ducmV2LnhtbERPTYvCMBC9C/6HMII3TVdEpGsUVxGE&#10;PUitl70NzdhWm0lJotb99UZY2Ns83ucsVp1pxJ2cry0r+BgnIIgLq2suFZzy3WgOwgdkjY1lUvAk&#10;D6tlv7fAVNsHZ3Q/hlLEEPYpKqhCaFMpfVGRQT+2LXHkztYZDBG6UmqHjxhuGjlJkpk0WHNsqLCl&#10;TUXF9XgzCuZ567fPzc/OHtzlN/ueZjTFL6WGg279CSJQF/7Ff+69jvM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RL3wQAAANsAAAAPAAAAAAAAAAAAAAAA&#10;AKECAABkcnMvZG93bnJldi54bWxQSwUGAAAAAAQABAD5AAAAjwMAAAAA&#10;">
                    <v:path arrowok="t"/>
                    <v:fill focussize="0,0"/>
                    <v:stroke weight="0.5pt"/>
                    <v:imagedata o:title=""/>
                    <o:lock v:ext="edit"/>
                  </v:line>
                  <v:shape id="__TH_B11200" o:spid="_x0000_s1034" o:spt="202" type="#_x0000_t202" style="position:absolute;left:514;top:103;height:262;width: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v:path/>
                    <v:fill on="f" focussize="0,0"/>
                    <v:stroke on="f" joinstyle="miter"/>
                    <v:imagedata o:title=""/>
                    <o:lock v:ext="edit"/>
                    <v:textbox inset="0mm,0mm,0mm,0mm">
                      <w:txbxContent>
                        <w:p>
                          <w:pPr>
                            <w:snapToGrid w:val="0"/>
                          </w:pPr>
                          <w:r>
                            <w:rPr>
                              <w:rFonts w:hint="eastAsia"/>
                            </w:rPr>
                            <w:t>指</w:t>
                          </w:r>
                        </w:p>
                      </w:txbxContent>
                    </v:textbox>
                  </v:shape>
                  <v:shape id="__TH_B12201" o:spid="_x0000_s1035" o:spt="202" type="#_x0000_t202" style="position:absolute;left:765;top:361;height:262;width: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v:path/>
                    <v:fill on="f" focussize="0,0"/>
                    <v:stroke on="f" joinstyle="miter"/>
                    <v:imagedata o:title=""/>
                    <o:lock v:ext="edit"/>
                    <v:textbox inset="0mm,0mm,0mm,0mm">
                      <w:txbxContent>
                        <w:p>
                          <w:pPr>
                            <w:snapToGrid w:val="0"/>
                          </w:pPr>
                          <w:r>
                            <w:rPr>
                              <w:rFonts w:hint="eastAsia"/>
                            </w:rPr>
                            <w:t>标</w:t>
                          </w:r>
                        </w:p>
                      </w:txbxContent>
                    </v:textbox>
                  </v:shape>
                  <v:shape id="__TH_B21202" o:spid="_x0000_s1036" o:spt="202" type="#_x0000_t202" style="position:absolute;left:142;top:515;height:263;width: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v:path/>
                    <v:fill on="f" focussize="0,0"/>
                    <v:stroke on="f" joinstyle="miter"/>
                    <v:imagedata o:title=""/>
                    <o:lock v:ext="edit"/>
                    <v:textbox inset="0mm,0mm,0mm,0mm">
                      <w:txbxContent>
                        <w:p>
                          <w:pPr>
                            <w:snapToGrid w:val="0"/>
                          </w:pPr>
                          <w:r>
                            <w:rPr>
                              <w:rFonts w:hint="eastAsia"/>
                            </w:rPr>
                            <w:t>土</w:t>
                          </w:r>
                        </w:p>
                      </w:txbxContent>
                    </v:textbox>
                  </v:shape>
                  <v:shape id="__TH_B22203" o:spid="_x0000_s1037" o:spt="202" type="#_x0000_t202" style="position:absolute;left:416;top:797;height:262;width:25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v:path/>
                    <v:fill on="f" focussize="0,0"/>
                    <v:stroke on="f" joinstyle="miter"/>
                    <v:imagedata o:title=""/>
                    <o:lock v:ext="edit"/>
                    <v:textbox inset="0mm,0mm,0mm,0mm">
                      <w:txbxContent>
                        <w:p>
                          <w:pPr>
                            <w:snapToGrid w:val="0"/>
                          </w:pPr>
                          <w:r>
                            <w:rPr>
                              <w:rFonts w:hint="eastAsia"/>
                            </w:rPr>
                            <w:t>层</w:t>
                          </w:r>
                        </w:p>
                      </w:txbxContent>
                    </v:textbox>
                  </v:shape>
                </v:group>
              </w:pict>
            </w:r>
          </w:p>
        </w:tc>
        <w:tc>
          <w:tcPr>
            <w:tcW w:w="7098" w:type="dxa"/>
            <w:gridSpan w:val="7"/>
            <w:vAlign w:val="center"/>
          </w:tcPr>
          <w:p>
            <w:pPr>
              <w:tabs>
                <w:tab w:val="left" w:pos="2520"/>
              </w:tabs>
              <w:ind w:right="840"/>
              <w:jc w:val="center"/>
              <w:rPr>
                <w:rFonts w:ascii="Times New Roman" w:hAnsi="Times New Roman" w:cs="Times New Roman"/>
                <w:sz w:val="21"/>
                <w:szCs w:val="21"/>
              </w:rPr>
            </w:pPr>
            <w:r>
              <w:rPr>
                <w:rFonts w:ascii="Times New Roman" w:hAnsi="Times New Roman" w:cs="Times New Roman"/>
                <w:sz w:val="21"/>
                <w:szCs w:val="21"/>
              </w:rPr>
              <w:t>岩土参数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jc w:val="center"/>
        </w:trPr>
        <w:tc>
          <w:tcPr>
            <w:tcW w:w="1510" w:type="dxa"/>
            <w:vMerge w:val="continue"/>
            <w:vAlign w:val="center"/>
          </w:tcPr>
          <w:p>
            <w:pPr>
              <w:tabs>
                <w:tab w:val="left" w:pos="2520"/>
              </w:tabs>
              <w:ind w:right="840"/>
              <w:jc w:val="center"/>
              <w:rPr>
                <w:rFonts w:ascii="Times New Roman" w:hAnsi="Times New Roman" w:cs="Times New Roman"/>
                <w:sz w:val="21"/>
                <w:szCs w:val="21"/>
              </w:rPr>
            </w:pPr>
          </w:p>
        </w:tc>
        <w:tc>
          <w:tcPr>
            <w:tcW w:w="1163" w:type="dxa"/>
            <w:vAlign w:val="center"/>
          </w:tcPr>
          <w:p>
            <w:pPr>
              <w:spacing w:line="240" w:lineRule="exact"/>
              <w:ind w:firstLine="105" w:firstLineChars="50"/>
              <w:jc w:val="center"/>
              <w:rPr>
                <w:rFonts w:ascii="Times New Roman" w:hAnsi="Times New Roman" w:cs="Times New Roman"/>
                <w:sz w:val="21"/>
                <w:szCs w:val="21"/>
              </w:rPr>
            </w:pPr>
            <w:r>
              <w:rPr>
                <w:rFonts w:ascii="Times New Roman" w:hAnsi="Times New Roman" w:cs="Times New Roman"/>
                <w:sz w:val="21"/>
                <w:szCs w:val="21"/>
              </w:rPr>
              <w:t>承载力</w:t>
            </w:r>
          </w:p>
          <w:p>
            <w:pPr>
              <w:spacing w:line="240" w:lineRule="exact"/>
              <w:ind w:firstLine="105" w:firstLineChars="50"/>
              <w:jc w:val="center"/>
              <w:rPr>
                <w:rFonts w:ascii="Times New Roman" w:hAnsi="Times New Roman" w:cs="Times New Roman"/>
                <w:sz w:val="21"/>
                <w:szCs w:val="21"/>
              </w:rPr>
            </w:pPr>
            <w:r>
              <w:rPr>
                <w:rFonts w:ascii="Times New Roman" w:hAnsi="Times New Roman" w:cs="Times New Roman"/>
                <w:sz w:val="21"/>
                <w:szCs w:val="21"/>
              </w:rPr>
              <w:t>特征值</w:t>
            </w:r>
          </w:p>
          <w:p>
            <w:pPr>
              <w:spacing w:line="240" w:lineRule="exact"/>
              <w:jc w:val="center"/>
              <w:rPr>
                <w:rFonts w:ascii="Times New Roman" w:hAnsi="Times New Roman" w:cs="Times New Roman"/>
                <w:sz w:val="21"/>
                <w:szCs w:val="21"/>
              </w:rPr>
            </w:pPr>
            <w:r>
              <w:rPr>
                <w:rFonts w:ascii="Times New Roman" w:hAnsi="Times New Roman" w:cs="Times New Roman"/>
                <w:sz w:val="21"/>
                <w:szCs w:val="21"/>
              </w:rPr>
              <w:t>Fak(Kpa)</w:t>
            </w:r>
          </w:p>
        </w:tc>
        <w:tc>
          <w:tcPr>
            <w:tcW w:w="1027" w:type="dxa"/>
            <w:vAlign w:val="center"/>
          </w:tcPr>
          <w:p>
            <w:pPr>
              <w:spacing w:line="240" w:lineRule="exact"/>
              <w:ind w:left="230" w:leftChars="52" w:hanging="105" w:hangingChars="50"/>
              <w:jc w:val="center"/>
              <w:rPr>
                <w:rFonts w:ascii="Times New Roman" w:hAnsi="Times New Roman" w:cs="Times New Roman"/>
                <w:sz w:val="21"/>
                <w:szCs w:val="21"/>
              </w:rPr>
            </w:pPr>
            <w:r>
              <w:rPr>
                <w:rFonts w:ascii="Times New Roman" w:hAnsi="Times New Roman" w:cs="Times New Roman"/>
                <w:sz w:val="21"/>
                <w:szCs w:val="21"/>
              </w:rPr>
              <w:t>压缩模量</w:t>
            </w:r>
          </w:p>
          <w:p>
            <w:pPr>
              <w:spacing w:line="240" w:lineRule="exact"/>
              <w:ind w:left="-226" w:leftChars="-94" w:firstLine="86" w:firstLineChars="41"/>
              <w:jc w:val="center"/>
              <w:rPr>
                <w:rFonts w:ascii="Times New Roman" w:hAnsi="Times New Roman" w:cs="Times New Roman"/>
                <w:sz w:val="21"/>
                <w:szCs w:val="21"/>
              </w:rPr>
            </w:pPr>
            <w:r>
              <w:rPr>
                <w:rFonts w:ascii="Times New Roman" w:hAnsi="Times New Roman" w:cs="Times New Roman"/>
                <w:sz w:val="21"/>
                <w:szCs w:val="21"/>
              </w:rPr>
              <w:t>E</w:t>
            </w:r>
            <w:r>
              <w:rPr>
                <w:rFonts w:ascii="Times New Roman" w:hAnsi="Times New Roman" w:cs="Times New Roman"/>
                <w:sz w:val="21"/>
                <w:szCs w:val="21"/>
                <w:vertAlign w:val="subscript"/>
              </w:rPr>
              <w:t>s</w:t>
            </w:r>
            <w:r>
              <w:rPr>
                <w:rFonts w:ascii="Times New Roman" w:hAnsi="Times New Roman" w:cs="Times New Roman"/>
                <w:sz w:val="21"/>
                <w:szCs w:val="21"/>
              </w:rPr>
              <w:t xml:space="preserve">(Mpa) </w:t>
            </w:r>
          </w:p>
        </w:tc>
        <w:tc>
          <w:tcPr>
            <w:tcW w:w="710" w:type="dxa"/>
            <w:vAlign w:val="center"/>
          </w:tcPr>
          <w:p>
            <w:pPr>
              <w:spacing w:line="240" w:lineRule="exact"/>
              <w:rPr>
                <w:rFonts w:ascii="Times New Roman" w:hAnsi="Times New Roman" w:cs="Times New Roman"/>
                <w:sz w:val="21"/>
                <w:szCs w:val="21"/>
              </w:rPr>
            </w:pPr>
            <w:r>
              <w:rPr>
                <w:rFonts w:ascii="Times New Roman" w:hAnsi="Times New Roman" w:cs="Times New Roman"/>
                <w:sz w:val="21"/>
                <w:szCs w:val="21"/>
              </w:rPr>
              <w:t>重度</w:t>
            </w:r>
          </w:p>
          <w:p>
            <w:pPr>
              <w:spacing w:line="240" w:lineRule="exact"/>
              <w:jc w:val="center"/>
              <w:rPr>
                <w:rFonts w:ascii="Times New Roman" w:hAnsi="Times New Roman" w:cs="Times New Roman"/>
                <w:sz w:val="21"/>
                <w:szCs w:val="21"/>
              </w:rPr>
            </w:pPr>
            <w:r>
              <w:rPr>
                <w:rFonts w:ascii="Times New Roman" w:hAnsi="Times New Roman" w:cs="Times New Roman"/>
                <w:sz w:val="21"/>
                <w:szCs w:val="21"/>
              </w:rPr>
              <w:t>ρkN/m</w:t>
            </w:r>
            <w:r>
              <w:rPr>
                <w:rFonts w:ascii="Times New Roman" w:hAnsi="Times New Roman" w:cs="Times New Roman"/>
                <w:sz w:val="21"/>
                <w:szCs w:val="21"/>
                <w:vertAlign w:val="superscript"/>
              </w:rPr>
              <w:t>3</w:t>
            </w:r>
          </w:p>
        </w:tc>
        <w:tc>
          <w:tcPr>
            <w:tcW w:w="800" w:type="dxa"/>
            <w:vAlign w:val="center"/>
          </w:tcPr>
          <w:p>
            <w:pPr>
              <w:spacing w:line="240" w:lineRule="exact"/>
              <w:ind w:left="105" w:hanging="105" w:hangingChars="50"/>
              <w:jc w:val="center"/>
              <w:rPr>
                <w:rFonts w:ascii="Times New Roman" w:hAnsi="Times New Roman" w:cs="Times New Roman"/>
                <w:sz w:val="21"/>
                <w:szCs w:val="21"/>
              </w:rPr>
            </w:pPr>
            <w:r>
              <w:rPr>
                <w:rFonts w:ascii="Times New Roman" w:hAnsi="Times New Roman" w:cs="Times New Roman"/>
                <w:sz w:val="21"/>
                <w:szCs w:val="21"/>
              </w:rPr>
              <w:t>内摩擦角φ(度)</w:t>
            </w:r>
          </w:p>
        </w:tc>
        <w:tc>
          <w:tcPr>
            <w:tcW w:w="831" w:type="dxa"/>
            <w:vAlign w:val="center"/>
          </w:tcPr>
          <w:p>
            <w:pPr>
              <w:spacing w:line="240" w:lineRule="exact"/>
              <w:jc w:val="center"/>
              <w:rPr>
                <w:rFonts w:ascii="Times New Roman" w:hAnsi="Times New Roman" w:cs="Times New Roman"/>
                <w:sz w:val="21"/>
                <w:szCs w:val="21"/>
              </w:rPr>
            </w:pPr>
            <w:r>
              <w:rPr>
                <w:rFonts w:ascii="Times New Roman" w:hAnsi="Times New Roman" w:cs="Times New Roman"/>
                <w:sz w:val="21"/>
                <w:szCs w:val="21"/>
              </w:rPr>
              <w:t>凝聚力c</w:t>
            </w:r>
          </w:p>
          <w:p>
            <w:pPr>
              <w:spacing w:line="240" w:lineRule="exact"/>
              <w:jc w:val="center"/>
              <w:rPr>
                <w:rFonts w:ascii="Times New Roman" w:hAnsi="Times New Roman" w:cs="Times New Roman"/>
                <w:sz w:val="21"/>
                <w:szCs w:val="21"/>
              </w:rPr>
            </w:pPr>
            <w:r>
              <w:rPr>
                <w:rFonts w:ascii="Times New Roman" w:hAnsi="Times New Roman" w:cs="Times New Roman"/>
                <w:sz w:val="21"/>
                <w:szCs w:val="21"/>
              </w:rPr>
              <w:t>(Kpa)</w:t>
            </w:r>
          </w:p>
        </w:tc>
        <w:tc>
          <w:tcPr>
            <w:tcW w:w="815" w:type="dxa"/>
            <w:vAlign w:val="center"/>
          </w:tcPr>
          <w:p>
            <w:pPr>
              <w:spacing w:line="240" w:lineRule="exact"/>
              <w:jc w:val="center"/>
              <w:rPr>
                <w:rFonts w:ascii="Times New Roman" w:hAnsi="Times New Roman" w:cs="Times New Roman"/>
                <w:sz w:val="21"/>
                <w:szCs w:val="21"/>
              </w:rPr>
            </w:pPr>
            <w:r>
              <w:rPr>
                <w:rFonts w:ascii="Times New Roman" w:hAnsi="Times New Roman" w:cs="Times New Roman"/>
                <w:sz w:val="21"/>
                <w:szCs w:val="21"/>
              </w:rPr>
              <w:t>基底</w:t>
            </w:r>
          </w:p>
          <w:p>
            <w:pPr>
              <w:spacing w:line="240" w:lineRule="exact"/>
              <w:jc w:val="center"/>
              <w:rPr>
                <w:rFonts w:ascii="Times New Roman" w:hAnsi="Times New Roman" w:cs="Times New Roman"/>
                <w:sz w:val="21"/>
                <w:szCs w:val="21"/>
              </w:rPr>
            </w:pPr>
            <w:r>
              <w:rPr>
                <w:rFonts w:ascii="Times New Roman" w:hAnsi="Times New Roman" w:cs="Times New Roman"/>
                <w:sz w:val="21"/>
                <w:szCs w:val="21"/>
              </w:rPr>
              <w:t>摩擦</w:t>
            </w:r>
          </w:p>
          <w:p>
            <w:pPr>
              <w:spacing w:line="240" w:lineRule="exact"/>
              <w:jc w:val="center"/>
              <w:rPr>
                <w:rFonts w:ascii="Times New Roman" w:hAnsi="Times New Roman" w:cs="Times New Roman"/>
                <w:sz w:val="21"/>
                <w:szCs w:val="21"/>
              </w:rPr>
            </w:pPr>
            <w:r>
              <w:rPr>
                <w:rFonts w:ascii="Times New Roman" w:hAnsi="Times New Roman" w:cs="Times New Roman"/>
                <w:sz w:val="21"/>
                <w:szCs w:val="21"/>
              </w:rPr>
              <w:t>系数</w:t>
            </w:r>
          </w:p>
        </w:tc>
        <w:tc>
          <w:tcPr>
            <w:tcW w:w="1752" w:type="dxa"/>
            <w:vAlign w:val="center"/>
          </w:tcPr>
          <w:p>
            <w:pPr>
              <w:spacing w:line="240" w:lineRule="exact"/>
              <w:jc w:val="center"/>
              <w:rPr>
                <w:rFonts w:ascii="Times New Roman" w:hAnsi="Times New Roman" w:cs="Times New Roman"/>
                <w:sz w:val="21"/>
                <w:szCs w:val="21"/>
              </w:rPr>
            </w:pPr>
            <w:r>
              <w:rPr>
                <w:rFonts w:ascii="Times New Roman" w:hAnsi="Times New Roman" w:cs="Times New Roman"/>
                <w:sz w:val="21"/>
                <w:szCs w:val="21"/>
              </w:rPr>
              <w:t>渗透系数</w:t>
            </w:r>
          </w:p>
          <w:p>
            <w:pPr>
              <w:spacing w:line="240" w:lineRule="exact"/>
              <w:jc w:val="center"/>
              <w:rPr>
                <w:rFonts w:ascii="Times New Roman" w:hAnsi="Times New Roman" w:cs="Times New Roman"/>
                <w:sz w:val="21"/>
                <w:szCs w:val="21"/>
              </w:rPr>
            </w:pPr>
            <w:r>
              <w:rPr>
                <w:rFonts w:ascii="Times New Roman" w:hAnsi="Times New Roman" w:cs="Times New Roman"/>
                <w:sz w:val="21"/>
                <w:szCs w:val="21"/>
              </w:rPr>
              <w:t>K（cm/s）</w:t>
            </w:r>
          </w:p>
          <w:p>
            <w:pPr>
              <w:spacing w:line="24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51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杂填土</w:t>
            </w:r>
            <w:r>
              <w:rPr>
                <w:rFonts w:hint="eastAsia" w:ascii="宋体" w:hAnsi="宋体" w:eastAsia="宋体" w:cs="宋体"/>
                <w:sz w:val="21"/>
                <w:szCs w:val="21"/>
              </w:rPr>
              <w:t>①</w:t>
            </w:r>
            <w:r>
              <w:rPr>
                <w:rFonts w:ascii="Times New Roman" w:hAnsi="Times New Roman" w:cs="Times New Roman"/>
                <w:sz w:val="21"/>
                <w:szCs w:val="21"/>
              </w:rPr>
              <w:t>-1</w:t>
            </w:r>
          </w:p>
        </w:tc>
        <w:tc>
          <w:tcPr>
            <w:tcW w:w="2900" w:type="dxa"/>
            <w:gridSpan w:val="3"/>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未完成自重固结</w:t>
            </w:r>
          </w:p>
        </w:tc>
        <w:tc>
          <w:tcPr>
            <w:tcW w:w="80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83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15"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75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3.50×10</w:t>
            </w:r>
            <w:r>
              <w:rPr>
                <w:rFonts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510" w:type="dxa"/>
            <w:vAlign w:val="center"/>
          </w:tcPr>
          <w:p>
            <w:pPr>
              <w:tabs>
                <w:tab w:val="left" w:pos="2520"/>
              </w:tabs>
              <w:spacing w:line="240" w:lineRule="auto"/>
              <w:jc w:val="center"/>
              <w:rPr>
                <w:rFonts w:ascii="Times New Roman" w:hAnsi="Times New Roman" w:cs="Times New Roman"/>
                <w:sz w:val="21"/>
                <w:szCs w:val="21"/>
              </w:rPr>
            </w:pPr>
            <w:r>
              <w:rPr>
                <w:rFonts w:ascii="Times New Roman" w:hAnsi="Times New Roman" w:cs="Times New Roman"/>
                <w:sz w:val="21"/>
                <w:szCs w:val="21"/>
              </w:rPr>
              <w:t>杂填土</w:t>
            </w:r>
            <w:r>
              <w:rPr>
                <w:rFonts w:hint="eastAsia" w:ascii="宋体" w:hAnsi="宋体" w:eastAsia="宋体" w:cs="宋体"/>
                <w:sz w:val="21"/>
                <w:szCs w:val="21"/>
              </w:rPr>
              <w:t>①</w:t>
            </w:r>
            <w:r>
              <w:rPr>
                <w:rFonts w:ascii="Times New Roman" w:hAnsi="Times New Roman" w:cs="Times New Roman"/>
                <w:sz w:val="21"/>
                <w:szCs w:val="21"/>
              </w:rPr>
              <w:t>-2</w:t>
            </w:r>
          </w:p>
        </w:tc>
        <w:tc>
          <w:tcPr>
            <w:tcW w:w="2900" w:type="dxa"/>
            <w:gridSpan w:val="3"/>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未完成自重固结</w:t>
            </w:r>
          </w:p>
        </w:tc>
        <w:tc>
          <w:tcPr>
            <w:tcW w:w="80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83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815"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75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4.20×10</w:t>
            </w:r>
            <w:r>
              <w:rPr>
                <w:rFonts w:ascii="Times New Roman" w:hAnsi="Times New Roman" w:cs="Times New Roman"/>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1510" w:type="dxa"/>
            <w:vAlign w:val="center"/>
          </w:tcPr>
          <w:p>
            <w:pPr>
              <w:tabs>
                <w:tab w:val="left" w:pos="2520"/>
              </w:tabs>
              <w:spacing w:line="240" w:lineRule="auto"/>
              <w:jc w:val="center"/>
              <w:rPr>
                <w:rFonts w:ascii="Times New Roman" w:hAnsi="Times New Roman" w:cs="Times New Roman"/>
                <w:sz w:val="21"/>
                <w:szCs w:val="21"/>
              </w:rPr>
            </w:pPr>
            <w:r>
              <w:rPr>
                <w:rFonts w:ascii="Times New Roman" w:hAnsi="Times New Roman" w:cs="Times New Roman"/>
                <w:sz w:val="21"/>
                <w:szCs w:val="21"/>
              </w:rPr>
              <w:t>粉质粘土</w:t>
            </w:r>
            <w:r>
              <w:rPr>
                <w:rFonts w:hint="eastAsia" w:ascii="宋体" w:hAnsi="宋体" w:eastAsia="宋体" w:cs="宋体"/>
                <w:sz w:val="21"/>
                <w:szCs w:val="21"/>
              </w:rPr>
              <w:t>②</w:t>
            </w:r>
          </w:p>
        </w:tc>
        <w:tc>
          <w:tcPr>
            <w:tcW w:w="1163" w:type="dxa"/>
            <w:vAlign w:val="center"/>
          </w:tcPr>
          <w:p>
            <w:pPr>
              <w:spacing w:line="240" w:lineRule="auto"/>
              <w:jc w:val="center"/>
              <w:rPr>
                <w:rFonts w:ascii="Times New Roman" w:hAnsi="Times New Roman" w:cs="Times New Roman"/>
                <w:color w:val="FF0000"/>
                <w:sz w:val="21"/>
                <w:szCs w:val="21"/>
              </w:rPr>
            </w:pPr>
            <w:r>
              <w:rPr>
                <w:rFonts w:ascii="Times New Roman" w:hAnsi="Times New Roman" w:cs="Times New Roman"/>
                <w:sz w:val="21"/>
                <w:szCs w:val="21"/>
              </w:rPr>
              <w:t>180</w:t>
            </w:r>
          </w:p>
        </w:tc>
        <w:tc>
          <w:tcPr>
            <w:tcW w:w="1027" w:type="dxa"/>
            <w:vAlign w:val="center"/>
          </w:tcPr>
          <w:p>
            <w:pPr>
              <w:spacing w:line="240" w:lineRule="auto"/>
              <w:jc w:val="center"/>
              <w:rPr>
                <w:rFonts w:ascii="Times New Roman" w:hAnsi="Times New Roman" w:cs="Times New Roman"/>
                <w:color w:val="FF0000"/>
                <w:sz w:val="21"/>
                <w:szCs w:val="21"/>
              </w:rPr>
            </w:pPr>
            <w:r>
              <w:rPr>
                <w:rFonts w:ascii="Times New Roman" w:hAnsi="Times New Roman" w:cs="Times New Roman"/>
                <w:sz w:val="21"/>
                <w:szCs w:val="21"/>
              </w:rPr>
              <w:t>6</w:t>
            </w:r>
          </w:p>
        </w:tc>
        <w:tc>
          <w:tcPr>
            <w:tcW w:w="710" w:type="dxa"/>
            <w:vAlign w:val="center"/>
          </w:tcPr>
          <w:p>
            <w:pPr>
              <w:tabs>
                <w:tab w:val="left" w:pos="300"/>
              </w:tabs>
              <w:spacing w:line="240" w:lineRule="auto"/>
              <w:jc w:val="center"/>
              <w:rPr>
                <w:rFonts w:ascii="Times New Roman" w:hAnsi="Times New Roman" w:cs="Times New Roman"/>
                <w:color w:val="FF0000"/>
                <w:sz w:val="21"/>
                <w:szCs w:val="21"/>
              </w:rPr>
            </w:pPr>
            <w:r>
              <w:rPr>
                <w:rFonts w:ascii="Times New Roman" w:hAnsi="Times New Roman" w:cs="Times New Roman"/>
                <w:sz w:val="21"/>
                <w:szCs w:val="21"/>
              </w:rPr>
              <w:t>20</w:t>
            </w:r>
          </w:p>
        </w:tc>
        <w:tc>
          <w:tcPr>
            <w:tcW w:w="800" w:type="dxa"/>
            <w:vAlign w:val="center"/>
          </w:tcPr>
          <w:p>
            <w:pPr>
              <w:spacing w:line="240" w:lineRule="auto"/>
              <w:jc w:val="center"/>
              <w:rPr>
                <w:rFonts w:ascii="Times New Roman" w:hAnsi="Times New Roman" w:cs="Times New Roman"/>
                <w:color w:val="FF0000"/>
                <w:sz w:val="21"/>
                <w:szCs w:val="21"/>
              </w:rPr>
            </w:pPr>
            <w:r>
              <w:rPr>
                <w:rFonts w:ascii="Times New Roman" w:hAnsi="Times New Roman" w:cs="Times New Roman"/>
                <w:sz w:val="21"/>
                <w:szCs w:val="21"/>
              </w:rPr>
              <w:t>15</w:t>
            </w:r>
          </w:p>
        </w:tc>
        <w:tc>
          <w:tcPr>
            <w:tcW w:w="831" w:type="dxa"/>
            <w:vAlign w:val="center"/>
          </w:tcPr>
          <w:p>
            <w:pPr>
              <w:spacing w:line="240" w:lineRule="auto"/>
              <w:jc w:val="center"/>
              <w:rPr>
                <w:rFonts w:ascii="Times New Roman" w:hAnsi="Times New Roman" w:cs="Times New Roman"/>
                <w:color w:val="FF0000"/>
                <w:sz w:val="21"/>
                <w:szCs w:val="21"/>
              </w:rPr>
            </w:pPr>
            <w:r>
              <w:rPr>
                <w:rFonts w:ascii="Times New Roman" w:hAnsi="Times New Roman" w:cs="Times New Roman"/>
                <w:sz w:val="21"/>
                <w:szCs w:val="21"/>
              </w:rPr>
              <w:t>23</w:t>
            </w:r>
          </w:p>
        </w:tc>
        <w:tc>
          <w:tcPr>
            <w:tcW w:w="815"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0.25</w:t>
            </w:r>
          </w:p>
        </w:tc>
        <w:tc>
          <w:tcPr>
            <w:tcW w:w="175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510" w:type="dxa"/>
            <w:vAlign w:val="center"/>
          </w:tcPr>
          <w:p>
            <w:pPr>
              <w:tabs>
                <w:tab w:val="left" w:pos="2520"/>
              </w:tabs>
              <w:spacing w:line="240" w:lineRule="auto"/>
              <w:jc w:val="center"/>
              <w:rPr>
                <w:rFonts w:ascii="Times New Roman" w:hAnsi="Times New Roman" w:cs="Times New Roman"/>
                <w:sz w:val="21"/>
                <w:szCs w:val="21"/>
              </w:rPr>
            </w:pPr>
            <w:r>
              <w:rPr>
                <w:rFonts w:ascii="Times New Roman" w:hAnsi="Times New Roman" w:cs="Times New Roman"/>
                <w:sz w:val="21"/>
                <w:szCs w:val="21"/>
              </w:rPr>
              <w:t>粉质粘土</w:t>
            </w:r>
            <w:r>
              <w:rPr>
                <w:rFonts w:hint="eastAsia" w:ascii="宋体" w:hAnsi="宋体" w:eastAsia="宋体" w:cs="宋体"/>
                <w:sz w:val="21"/>
                <w:szCs w:val="21"/>
              </w:rPr>
              <w:t>③</w:t>
            </w:r>
          </w:p>
        </w:tc>
        <w:tc>
          <w:tcPr>
            <w:tcW w:w="1163"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120</w:t>
            </w:r>
          </w:p>
        </w:tc>
        <w:tc>
          <w:tcPr>
            <w:tcW w:w="1027"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71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19</w:t>
            </w:r>
          </w:p>
        </w:tc>
        <w:tc>
          <w:tcPr>
            <w:tcW w:w="80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83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15</w:t>
            </w:r>
          </w:p>
        </w:tc>
        <w:tc>
          <w:tcPr>
            <w:tcW w:w="815"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0.20</w:t>
            </w:r>
          </w:p>
        </w:tc>
        <w:tc>
          <w:tcPr>
            <w:tcW w:w="175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2.50×10</w:t>
            </w:r>
            <w:r>
              <w:rPr>
                <w:rFonts w:ascii="Times New Roman" w:hAnsi="Times New Roman" w:cs="Times New Roman"/>
                <w:sz w:val="21"/>
                <w:szCs w:val="21"/>
                <w:vertAlign w:val="super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151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圆砾</w:t>
            </w:r>
            <w:r>
              <w:rPr>
                <w:rFonts w:hint="eastAsia" w:ascii="宋体" w:hAnsi="宋体" w:eastAsia="宋体" w:cs="宋体"/>
                <w:sz w:val="21"/>
                <w:szCs w:val="21"/>
              </w:rPr>
              <w:t>④</w:t>
            </w:r>
          </w:p>
        </w:tc>
        <w:tc>
          <w:tcPr>
            <w:tcW w:w="1163"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280</w:t>
            </w:r>
          </w:p>
        </w:tc>
        <w:tc>
          <w:tcPr>
            <w:tcW w:w="1027"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32*</w:t>
            </w:r>
          </w:p>
        </w:tc>
        <w:tc>
          <w:tcPr>
            <w:tcW w:w="71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23</w:t>
            </w:r>
          </w:p>
        </w:tc>
        <w:tc>
          <w:tcPr>
            <w:tcW w:w="800"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25</w:t>
            </w:r>
          </w:p>
        </w:tc>
        <w:tc>
          <w:tcPr>
            <w:tcW w:w="831"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15" w:type="dxa"/>
            <w:vAlign w:val="center"/>
          </w:tcPr>
          <w:p>
            <w:pPr>
              <w:tabs>
                <w:tab w:val="left" w:pos="2520"/>
              </w:tabs>
              <w:spacing w:line="240" w:lineRule="auto"/>
              <w:jc w:val="center"/>
              <w:rPr>
                <w:rFonts w:ascii="Times New Roman" w:hAnsi="Times New Roman" w:cs="Times New Roman"/>
                <w:sz w:val="21"/>
                <w:szCs w:val="21"/>
              </w:rPr>
            </w:pPr>
            <w:r>
              <w:rPr>
                <w:rFonts w:ascii="Times New Roman" w:hAnsi="Times New Roman" w:cs="Times New Roman"/>
                <w:sz w:val="21"/>
                <w:szCs w:val="21"/>
              </w:rPr>
              <w:t>0.35</w:t>
            </w:r>
          </w:p>
        </w:tc>
        <w:tc>
          <w:tcPr>
            <w:tcW w:w="1752" w:type="dxa"/>
            <w:vAlign w:val="center"/>
          </w:tcPr>
          <w:p>
            <w:pPr>
              <w:spacing w:line="240" w:lineRule="auto"/>
              <w:jc w:val="center"/>
              <w:rPr>
                <w:rFonts w:ascii="Times New Roman" w:hAnsi="Times New Roman" w:cs="Times New Roman"/>
                <w:sz w:val="21"/>
                <w:szCs w:val="21"/>
              </w:rPr>
            </w:pPr>
            <w:r>
              <w:rPr>
                <w:rFonts w:ascii="Times New Roman" w:hAnsi="Times New Roman" w:cs="Times New Roman"/>
                <w:sz w:val="21"/>
                <w:szCs w:val="21"/>
              </w:rPr>
              <w:t>6.80×10</w:t>
            </w:r>
            <w:r>
              <w:rPr>
                <w:rFonts w:ascii="Times New Roman" w:hAnsi="Times New Roman" w:cs="Times New Roman"/>
                <w:sz w:val="21"/>
                <w:szCs w:val="21"/>
                <w:vertAlign w:val="superscript"/>
              </w:rPr>
              <w:t>-3</w:t>
            </w:r>
          </w:p>
        </w:tc>
      </w:tr>
    </w:tbl>
    <w:p>
      <w:pPr>
        <w:spacing w:line="550" w:lineRule="exact"/>
        <w:rPr>
          <w:rFonts w:ascii="Times New Roman" w:hAnsi="Times New Roman" w:cs="Times New Roman"/>
          <w:spacing w:val="-4"/>
          <w:sz w:val="28"/>
          <w:szCs w:val="28"/>
        </w:rPr>
      </w:pPr>
      <w:r>
        <w:rPr>
          <w:rFonts w:ascii="Times New Roman" w:hAnsi="Times New Roman" w:cs="Times New Roman"/>
          <w:sz w:val="18"/>
          <w:szCs w:val="18"/>
        </w:rPr>
        <w:t>注：带"*"为变形模量。</w:t>
      </w:r>
    </w:p>
    <w:p>
      <w:pPr>
        <w:rPr>
          <w:rFonts w:ascii="Times New Roman" w:hAnsi="Times New Roman" w:cs="Times New Roman"/>
        </w:rPr>
      </w:pPr>
      <w:r>
        <w:rPr>
          <w:rFonts w:ascii="Times New Roman" w:hAnsi="Times New Roman" w:cs="Times New Roman"/>
        </w:rPr>
        <w:t>3.2.2采样监测调查结果</w:t>
      </w:r>
    </w:p>
    <w:p>
      <w:pPr>
        <w:rPr>
          <w:rFonts w:ascii="Times New Roman" w:hAnsi="Times New Roman" w:cs="Times New Roman"/>
        </w:rPr>
      </w:pPr>
      <w:r>
        <w:rPr>
          <w:rFonts w:ascii="Times New Roman" w:hAnsi="Times New Roman" w:cs="Times New Roman"/>
        </w:rPr>
        <w:t>3.2.2.1场地地表水监测结果及评价</w:t>
      </w:r>
    </w:p>
    <w:p>
      <w:pPr>
        <w:adjustRightInd w:val="0"/>
        <w:snapToGrid w:val="0"/>
        <w:ind w:firstLine="480" w:firstLineChars="200"/>
        <w:jc w:val="both"/>
        <w:rPr>
          <w:rFonts w:ascii="Times New Roman" w:hAnsi="Times New Roman"/>
          <w:snapToGrid w:val="0"/>
          <w:kern w:val="0"/>
          <w:szCs w:val="24"/>
        </w:rPr>
      </w:pPr>
      <w:r>
        <w:rPr>
          <w:rFonts w:ascii="Times New Roman" w:hAnsi="Times New Roman"/>
          <w:bCs/>
          <w:szCs w:val="24"/>
        </w:rPr>
        <w:t>湖南华弘检测有限公司对</w:t>
      </w:r>
      <w:r>
        <w:rPr>
          <w:rFonts w:ascii="Times New Roman" w:hAnsi="Times New Roman"/>
          <w:snapToGrid w:val="0"/>
          <w:kern w:val="0"/>
          <w:szCs w:val="24"/>
        </w:rPr>
        <w:t>项目地块</w:t>
      </w:r>
      <w:r>
        <w:rPr>
          <w:rFonts w:hint="eastAsia" w:ascii="Times New Roman" w:hAnsi="Times New Roman"/>
          <w:snapToGrid w:val="0"/>
          <w:kern w:val="0"/>
          <w:szCs w:val="24"/>
        </w:rPr>
        <w:t>中心集水池1</w:t>
      </w:r>
      <w:r>
        <w:rPr>
          <w:rFonts w:ascii="Times New Roman" w:hAnsi="Times New Roman"/>
          <w:snapToGrid w:val="0"/>
          <w:kern w:val="0"/>
          <w:szCs w:val="24"/>
        </w:rPr>
        <w:t>（W1）、地块</w:t>
      </w:r>
      <w:r>
        <w:rPr>
          <w:rFonts w:hint="eastAsia" w:ascii="Times New Roman" w:hAnsi="Times New Roman"/>
          <w:snapToGrid w:val="0"/>
          <w:kern w:val="0"/>
          <w:szCs w:val="24"/>
        </w:rPr>
        <w:t>中心集水池2</w:t>
      </w:r>
      <w:r>
        <w:rPr>
          <w:rFonts w:ascii="Times New Roman" w:hAnsi="Times New Roman"/>
          <w:szCs w:val="24"/>
        </w:rPr>
        <w:t>（W2）、</w:t>
      </w:r>
      <w:r>
        <w:rPr>
          <w:rFonts w:ascii="Times New Roman" w:hAnsi="Times New Roman"/>
          <w:snapToGrid w:val="0"/>
          <w:kern w:val="0"/>
          <w:szCs w:val="24"/>
        </w:rPr>
        <w:t>资江位于本项目地块上游</w:t>
      </w:r>
      <w:r>
        <w:rPr>
          <w:rFonts w:hint="eastAsia" w:ascii="Times New Roman" w:hAnsi="Times New Roman"/>
          <w:snapToGrid w:val="0"/>
          <w:kern w:val="0"/>
          <w:szCs w:val="24"/>
        </w:rPr>
        <w:t>5</w:t>
      </w:r>
      <w:r>
        <w:rPr>
          <w:rFonts w:ascii="Times New Roman" w:hAnsi="Times New Roman"/>
          <w:snapToGrid w:val="0"/>
          <w:kern w:val="0"/>
          <w:szCs w:val="24"/>
        </w:rPr>
        <w:t>00m断面（W3）、资江位于本项目地块下游500m断面（W4）、</w:t>
      </w:r>
      <w:r>
        <w:rPr>
          <w:rFonts w:hint="eastAsia" w:ascii="Times New Roman" w:hAnsi="Times New Roman"/>
          <w:snapToGrid w:val="0"/>
          <w:kern w:val="0"/>
          <w:szCs w:val="24"/>
        </w:rPr>
        <w:t>团洲</w:t>
      </w:r>
      <w:r>
        <w:rPr>
          <w:rFonts w:ascii="Times New Roman" w:hAnsi="Times New Roman"/>
          <w:snapToGrid w:val="0"/>
          <w:kern w:val="0"/>
          <w:szCs w:val="24"/>
        </w:rPr>
        <w:t>污水处理厂位于资江的排污口（W5）5个点进行了采样，监测指标为</w:t>
      </w:r>
      <w:r>
        <w:rPr>
          <w:rFonts w:ascii="Times New Roman" w:hAnsi="Times New Roman"/>
        </w:rPr>
        <w:t>pH、COD、BOD</w:t>
      </w:r>
      <w:r>
        <w:rPr>
          <w:rFonts w:ascii="Times New Roman" w:hAnsi="Times New Roman"/>
          <w:vertAlign w:val="subscript"/>
        </w:rPr>
        <w:t>5</w:t>
      </w:r>
      <w:r>
        <w:rPr>
          <w:rFonts w:ascii="Times New Roman" w:hAnsi="Times New Roman"/>
        </w:rPr>
        <w:t>、氨氮、硫化物、总磷、铅、镉、锌、六价铬、VOCs、</w:t>
      </w:r>
      <w:r>
        <w:rPr>
          <w:rFonts w:ascii="Times New Roman" w:hAnsi="Times New Roman"/>
          <w:bCs/>
          <w:spacing w:val="6"/>
          <w:kern w:val="0"/>
        </w:rPr>
        <w:t>六六六、滴滴涕、甲苯、二甲苯、</w:t>
      </w:r>
      <w:r>
        <w:rPr>
          <w:rFonts w:hint="eastAsia" w:ascii="Times New Roman" w:hAnsi="Times New Roman"/>
          <w:bCs/>
          <w:spacing w:val="6"/>
          <w:kern w:val="0"/>
        </w:rPr>
        <w:t>二氯乙烷等</w:t>
      </w:r>
      <w:r>
        <w:rPr>
          <w:rFonts w:hint="eastAsia" w:ascii="Times New Roman" w:hAnsi="Times New Roman"/>
          <w:snapToGrid w:val="0"/>
          <w:kern w:val="0"/>
          <w:szCs w:val="24"/>
        </w:rPr>
        <w:t>，W1-W4评价标准采用《地表水环境质量标准》（GB3838-2002）</w:t>
      </w:r>
      <w:r>
        <w:rPr>
          <w:rFonts w:ascii="Times New Roman" w:hAnsi="Times New Roman"/>
          <w:snapToGrid w:val="0"/>
          <w:kern w:val="0"/>
          <w:szCs w:val="24"/>
        </w:rPr>
        <w:t>的Ⅲ类标准，W5评价标准采用《城镇污水处理厂污染物排放标准》（GB18918-2002）一级B标准。</w:t>
      </w:r>
    </w:p>
    <w:p>
      <w:pPr>
        <w:adjustRightInd w:val="0"/>
        <w:snapToGrid w:val="0"/>
        <w:ind w:firstLine="480" w:firstLineChars="200"/>
        <w:rPr>
          <w:rFonts w:ascii="Times New Roman" w:hAnsi="Times New Roman"/>
          <w:snapToGrid w:val="0"/>
          <w:kern w:val="0"/>
          <w:szCs w:val="24"/>
        </w:rPr>
      </w:pPr>
      <w:r>
        <w:rPr>
          <w:rFonts w:hint="eastAsia" w:ascii="Times New Roman" w:hAnsi="Times New Roman" w:cs="Times New Roman"/>
          <w:snapToGrid w:val="0"/>
          <w:kern w:val="0"/>
          <w:szCs w:val="24"/>
        </w:rPr>
        <w:t>根据现场监测结果</w:t>
      </w:r>
      <w:r>
        <w:rPr>
          <w:rFonts w:ascii="Times New Roman" w:hAnsi="Times New Roman" w:cs="Times New Roman"/>
          <w:snapToGrid w:val="0"/>
          <w:kern w:val="0"/>
          <w:szCs w:val="24"/>
        </w:rPr>
        <w:t>，</w:t>
      </w:r>
      <w:r>
        <w:rPr>
          <w:rFonts w:ascii="Times New Roman" w:hAnsi="Times New Roman"/>
          <w:snapToGrid w:val="0"/>
          <w:kern w:val="0"/>
          <w:szCs w:val="24"/>
        </w:rPr>
        <w:t>项目地块内</w:t>
      </w:r>
      <w:r>
        <w:rPr>
          <w:rFonts w:hint="eastAsia" w:ascii="Times New Roman" w:hAnsi="Times New Roman"/>
          <w:snapToGrid w:val="0"/>
          <w:kern w:val="0"/>
          <w:szCs w:val="24"/>
        </w:rPr>
        <w:t>西侧</w:t>
      </w:r>
      <w:r>
        <w:rPr>
          <w:rFonts w:ascii="Times New Roman" w:hAnsi="Times New Roman"/>
          <w:snapToGrid w:val="0"/>
          <w:kern w:val="0"/>
          <w:szCs w:val="24"/>
        </w:rPr>
        <w:t>水塘（W1）水质指标COD、BOD</w:t>
      </w:r>
      <w:r>
        <w:rPr>
          <w:rFonts w:ascii="Times New Roman" w:hAnsi="Times New Roman"/>
          <w:snapToGrid w:val="0"/>
          <w:kern w:val="0"/>
          <w:szCs w:val="24"/>
          <w:vertAlign w:val="subscript"/>
        </w:rPr>
        <w:t>5</w:t>
      </w:r>
      <w:r>
        <w:rPr>
          <w:rFonts w:ascii="Times New Roman" w:hAnsi="Times New Roman"/>
          <w:snapToGrid w:val="0"/>
          <w:kern w:val="0"/>
          <w:szCs w:val="24"/>
        </w:rPr>
        <w:t>、氨氮、总磷存在超标现象，超标倍数分别为</w:t>
      </w:r>
      <w:r>
        <w:rPr>
          <w:rFonts w:hint="eastAsia" w:ascii="Times New Roman" w:hAnsi="Times New Roman"/>
          <w:snapToGrid w:val="0"/>
          <w:kern w:val="0"/>
          <w:szCs w:val="24"/>
        </w:rPr>
        <w:t>7.2</w:t>
      </w:r>
      <w:r>
        <w:rPr>
          <w:rFonts w:ascii="Times New Roman" w:hAnsi="Times New Roman"/>
          <w:snapToGrid w:val="0"/>
          <w:kern w:val="0"/>
          <w:szCs w:val="24"/>
        </w:rPr>
        <w:t>倍、</w:t>
      </w:r>
      <w:r>
        <w:rPr>
          <w:rFonts w:hint="eastAsia" w:ascii="Times New Roman" w:hAnsi="Times New Roman"/>
          <w:snapToGrid w:val="0"/>
          <w:kern w:val="0"/>
          <w:szCs w:val="24"/>
        </w:rPr>
        <w:t>9.5</w:t>
      </w:r>
      <w:r>
        <w:rPr>
          <w:rFonts w:ascii="Times New Roman" w:hAnsi="Times New Roman"/>
          <w:snapToGrid w:val="0"/>
          <w:kern w:val="0"/>
          <w:szCs w:val="24"/>
        </w:rPr>
        <w:t>倍、</w:t>
      </w:r>
      <w:r>
        <w:rPr>
          <w:rFonts w:hint="eastAsia" w:ascii="Times New Roman" w:hAnsi="Times New Roman"/>
          <w:snapToGrid w:val="0"/>
          <w:kern w:val="0"/>
          <w:szCs w:val="24"/>
        </w:rPr>
        <w:t>3.25</w:t>
      </w:r>
      <w:r>
        <w:rPr>
          <w:rFonts w:ascii="Times New Roman" w:hAnsi="Times New Roman"/>
          <w:snapToGrid w:val="0"/>
          <w:kern w:val="0"/>
          <w:szCs w:val="24"/>
        </w:rPr>
        <w:t>倍、</w:t>
      </w:r>
      <w:r>
        <w:rPr>
          <w:rFonts w:hint="eastAsia" w:ascii="Times New Roman" w:hAnsi="Times New Roman"/>
          <w:snapToGrid w:val="0"/>
          <w:kern w:val="0"/>
          <w:szCs w:val="24"/>
        </w:rPr>
        <w:t>0.35</w:t>
      </w:r>
      <w:r>
        <w:rPr>
          <w:rFonts w:ascii="Times New Roman" w:hAnsi="Times New Roman"/>
          <w:snapToGrid w:val="0"/>
          <w:kern w:val="0"/>
          <w:szCs w:val="24"/>
        </w:rPr>
        <w:t>倍，</w:t>
      </w:r>
      <w:r>
        <w:rPr>
          <w:rFonts w:hint="eastAsia" w:ascii="Times New Roman" w:hAnsi="Times New Roman"/>
          <w:snapToGrid w:val="0"/>
          <w:kern w:val="0"/>
          <w:szCs w:val="24"/>
        </w:rPr>
        <w:t>项目地块东侧水塘</w:t>
      </w:r>
      <w:r>
        <w:rPr>
          <w:rFonts w:ascii="Times New Roman" w:hAnsi="Times New Roman"/>
          <w:snapToGrid w:val="0"/>
          <w:kern w:val="0"/>
          <w:szCs w:val="24"/>
        </w:rPr>
        <w:t>（W2）水质指标COD</w:t>
      </w:r>
      <w:r>
        <w:rPr>
          <w:rFonts w:hint="eastAsia" w:ascii="Times New Roman" w:hAnsi="Times New Roman"/>
          <w:snapToGrid w:val="0"/>
          <w:kern w:val="0"/>
          <w:szCs w:val="24"/>
        </w:rPr>
        <w:t>、</w:t>
      </w:r>
      <w:r>
        <w:rPr>
          <w:rFonts w:ascii="Times New Roman" w:hAnsi="Times New Roman"/>
          <w:snapToGrid w:val="0"/>
          <w:kern w:val="0"/>
          <w:szCs w:val="24"/>
        </w:rPr>
        <w:t>BOD</w:t>
      </w:r>
      <w:r>
        <w:rPr>
          <w:rFonts w:ascii="Times New Roman" w:hAnsi="Times New Roman"/>
          <w:snapToGrid w:val="0"/>
          <w:kern w:val="0"/>
          <w:szCs w:val="24"/>
          <w:vertAlign w:val="subscript"/>
        </w:rPr>
        <w:t>5</w:t>
      </w:r>
      <w:r>
        <w:rPr>
          <w:rFonts w:hint="eastAsia" w:ascii="Times New Roman" w:hAnsi="Times New Roman"/>
          <w:snapToGrid w:val="0"/>
          <w:kern w:val="0"/>
          <w:szCs w:val="24"/>
        </w:rPr>
        <w:t>、</w:t>
      </w:r>
      <w:r>
        <w:rPr>
          <w:rFonts w:ascii="Times New Roman" w:hAnsi="Times New Roman"/>
          <w:snapToGrid w:val="0"/>
          <w:kern w:val="0"/>
          <w:szCs w:val="24"/>
        </w:rPr>
        <w:t>氨氮、总磷存在超标现象，超标倍数分别为</w:t>
      </w:r>
      <w:r>
        <w:rPr>
          <w:rFonts w:hint="eastAsia" w:ascii="Times New Roman" w:hAnsi="Times New Roman"/>
          <w:snapToGrid w:val="0"/>
          <w:kern w:val="0"/>
          <w:szCs w:val="24"/>
        </w:rPr>
        <w:t>9.55</w:t>
      </w:r>
      <w:r>
        <w:rPr>
          <w:rFonts w:ascii="Times New Roman" w:hAnsi="Times New Roman"/>
          <w:snapToGrid w:val="0"/>
          <w:kern w:val="0"/>
          <w:szCs w:val="24"/>
        </w:rPr>
        <w:t>倍、</w:t>
      </w:r>
      <w:r>
        <w:rPr>
          <w:rFonts w:hint="eastAsia" w:ascii="Times New Roman" w:hAnsi="Times New Roman"/>
          <w:snapToGrid w:val="0"/>
          <w:kern w:val="0"/>
          <w:szCs w:val="24"/>
        </w:rPr>
        <w:t>12.7</w:t>
      </w:r>
      <w:r>
        <w:rPr>
          <w:rFonts w:ascii="Times New Roman" w:hAnsi="Times New Roman"/>
          <w:snapToGrid w:val="0"/>
          <w:kern w:val="0"/>
          <w:szCs w:val="24"/>
        </w:rPr>
        <w:t>倍</w:t>
      </w:r>
      <w:r>
        <w:rPr>
          <w:rFonts w:hint="eastAsia" w:ascii="Times New Roman" w:hAnsi="Times New Roman"/>
          <w:snapToGrid w:val="0"/>
          <w:kern w:val="0"/>
          <w:szCs w:val="24"/>
        </w:rPr>
        <w:t>10.4</w:t>
      </w:r>
      <w:r>
        <w:rPr>
          <w:rFonts w:ascii="Times New Roman" w:hAnsi="Times New Roman"/>
          <w:snapToGrid w:val="0"/>
          <w:kern w:val="0"/>
          <w:szCs w:val="24"/>
        </w:rPr>
        <w:t>倍、</w:t>
      </w:r>
      <w:r>
        <w:rPr>
          <w:rFonts w:hint="eastAsia" w:ascii="Times New Roman" w:hAnsi="Times New Roman"/>
          <w:snapToGrid w:val="0"/>
          <w:kern w:val="0"/>
          <w:szCs w:val="24"/>
        </w:rPr>
        <w:t>3.9</w:t>
      </w:r>
      <w:r>
        <w:rPr>
          <w:rFonts w:ascii="Times New Roman" w:hAnsi="Times New Roman"/>
          <w:snapToGrid w:val="0"/>
          <w:kern w:val="0"/>
          <w:szCs w:val="24"/>
        </w:rPr>
        <w:t>倍，资江位于本项目地块上游</w:t>
      </w:r>
      <w:r>
        <w:rPr>
          <w:rFonts w:hint="eastAsia" w:ascii="Times New Roman" w:hAnsi="Times New Roman"/>
          <w:snapToGrid w:val="0"/>
          <w:kern w:val="0"/>
          <w:szCs w:val="24"/>
        </w:rPr>
        <w:t>5</w:t>
      </w:r>
      <w:r>
        <w:rPr>
          <w:rFonts w:ascii="Times New Roman" w:hAnsi="Times New Roman"/>
          <w:snapToGrid w:val="0"/>
          <w:kern w:val="0"/>
          <w:szCs w:val="24"/>
        </w:rPr>
        <w:t>00m断面（W3）、资江位于本项目地块下游500m断面（W4）2个点水质指标</w:t>
      </w:r>
      <w:r>
        <w:rPr>
          <w:rFonts w:hint="eastAsia" w:ascii="Times New Roman" w:hAnsi="Times New Roman"/>
          <w:snapToGrid w:val="0"/>
          <w:kern w:val="0"/>
          <w:szCs w:val="24"/>
        </w:rPr>
        <w:t>均符合要求</w:t>
      </w:r>
      <w:r>
        <w:rPr>
          <w:rFonts w:ascii="Times New Roman" w:hAnsi="Times New Roman"/>
          <w:snapToGrid w:val="0"/>
          <w:kern w:val="0"/>
          <w:szCs w:val="24"/>
        </w:rPr>
        <w:t>。</w:t>
      </w:r>
      <w:r>
        <w:rPr>
          <w:rFonts w:hint="eastAsia" w:ascii="Times New Roman" w:hAnsi="Times New Roman"/>
          <w:snapToGrid w:val="0"/>
          <w:kern w:val="0"/>
          <w:szCs w:val="24"/>
        </w:rPr>
        <w:t>团洲</w:t>
      </w:r>
      <w:r>
        <w:rPr>
          <w:rFonts w:ascii="Times New Roman" w:hAnsi="Times New Roman"/>
          <w:snapToGrid w:val="0"/>
          <w:kern w:val="0"/>
          <w:szCs w:val="24"/>
        </w:rPr>
        <w:t>污水处理厂位于资江的排污口（W5）水质指标均达到了《城镇污水处理厂污染物排放标准》（GB18918-2002）</w:t>
      </w:r>
      <w:r>
        <w:rPr>
          <w:rFonts w:hint="eastAsia" w:ascii="Times New Roman" w:hAnsi="Times New Roman"/>
          <w:snapToGrid w:val="0"/>
          <w:kern w:val="0"/>
          <w:szCs w:val="24"/>
        </w:rPr>
        <w:t>相应标准</w:t>
      </w:r>
      <w:r>
        <w:rPr>
          <w:rFonts w:ascii="Times New Roman" w:hAnsi="Times New Roman"/>
          <w:snapToGrid w:val="0"/>
          <w:kern w:val="0"/>
          <w:szCs w:val="24"/>
        </w:rPr>
        <w:t>。</w:t>
      </w:r>
    </w:p>
    <w:p>
      <w:pPr>
        <w:adjustRightInd w:val="0"/>
        <w:snapToGrid w:val="0"/>
        <w:rPr>
          <w:rFonts w:ascii="Times New Roman" w:hAnsi="Times New Roman" w:cs="Times New Roman"/>
        </w:rPr>
      </w:pPr>
      <w:r>
        <w:rPr>
          <w:rFonts w:ascii="Times New Roman" w:hAnsi="Times New Roman" w:cs="Times New Roman"/>
        </w:rPr>
        <w:t>3.2.2.2场地浅层地下水监测结果及评价</w:t>
      </w:r>
    </w:p>
    <w:p>
      <w:pPr>
        <w:snapToGrid w:val="0"/>
        <w:ind w:firstLine="480" w:firstLineChars="200"/>
        <w:rPr>
          <w:rFonts w:ascii="Times New Roman" w:hAnsi="Times New Roman" w:cs="Times New Roman"/>
          <w:snapToGrid w:val="0"/>
          <w:kern w:val="0"/>
          <w:szCs w:val="24"/>
        </w:rPr>
      </w:pPr>
      <w:r>
        <w:rPr>
          <w:rFonts w:ascii="Times New Roman" w:hAnsi="Times New Roman" w:cs="Times New Roman"/>
          <w:bCs/>
          <w:szCs w:val="24"/>
        </w:rPr>
        <w:t>湖南华弘检测有限公司</w:t>
      </w:r>
      <w:r>
        <w:rPr>
          <w:rFonts w:ascii="Times New Roman" w:hAnsi="Times New Roman"/>
          <w:bCs/>
          <w:szCs w:val="24"/>
        </w:rPr>
        <w:t>对</w:t>
      </w:r>
      <w:r>
        <w:rPr>
          <w:rFonts w:hint="eastAsia" w:ascii="Times New Roman" w:hAnsi="Times New Roman"/>
          <w:snapToGrid w:val="0"/>
          <w:kern w:val="0"/>
          <w:szCs w:val="24"/>
        </w:rPr>
        <w:t>污染地块浅层</w:t>
      </w:r>
      <w:r>
        <w:rPr>
          <w:rFonts w:ascii="Times New Roman" w:hAnsi="Times New Roman"/>
          <w:snapToGrid w:val="0"/>
          <w:kern w:val="0"/>
          <w:szCs w:val="24"/>
        </w:rPr>
        <w:t>地下水监测井1#（</w:t>
      </w:r>
      <w:r>
        <w:rPr>
          <w:rFonts w:hint="eastAsia" w:ascii="Times New Roman" w:hAnsi="Times New Roman"/>
          <w:snapToGrid w:val="0"/>
          <w:kern w:val="0"/>
          <w:szCs w:val="24"/>
        </w:rPr>
        <w:t>C</w:t>
      </w:r>
      <w:r>
        <w:rPr>
          <w:rFonts w:ascii="Times New Roman" w:hAnsi="Times New Roman"/>
          <w:snapToGrid w:val="0"/>
          <w:kern w:val="0"/>
          <w:szCs w:val="24"/>
        </w:rPr>
        <w:t>W1）、生产区</w:t>
      </w:r>
      <w:r>
        <w:rPr>
          <w:rFonts w:hint="eastAsia" w:ascii="Times New Roman" w:hAnsi="Times New Roman"/>
          <w:snapToGrid w:val="0"/>
          <w:kern w:val="0"/>
          <w:szCs w:val="24"/>
        </w:rPr>
        <w:t>浅层</w:t>
      </w:r>
      <w:r>
        <w:rPr>
          <w:rFonts w:ascii="Times New Roman" w:hAnsi="Times New Roman"/>
          <w:snapToGrid w:val="0"/>
          <w:kern w:val="0"/>
          <w:szCs w:val="24"/>
        </w:rPr>
        <w:t>地下水监测井2#</w:t>
      </w:r>
      <w:r>
        <w:rPr>
          <w:rFonts w:ascii="Times New Roman" w:hAnsi="Times New Roman"/>
          <w:szCs w:val="24"/>
        </w:rPr>
        <w:t>（</w:t>
      </w:r>
      <w:r>
        <w:rPr>
          <w:rFonts w:hint="eastAsia" w:ascii="Times New Roman" w:hAnsi="Times New Roman"/>
          <w:szCs w:val="24"/>
        </w:rPr>
        <w:t>C</w:t>
      </w:r>
      <w:r>
        <w:rPr>
          <w:rFonts w:ascii="Times New Roman" w:hAnsi="Times New Roman"/>
          <w:szCs w:val="24"/>
        </w:rPr>
        <w:t>W2）</w:t>
      </w:r>
      <w:r>
        <w:rPr>
          <w:rFonts w:ascii="Times New Roman" w:hAnsi="Times New Roman"/>
          <w:snapToGrid w:val="0"/>
          <w:kern w:val="0"/>
          <w:szCs w:val="24"/>
        </w:rPr>
        <w:t>进行了取样监测</w:t>
      </w:r>
      <w:r>
        <w:rPr>
          <w:rFonts w:hint="eastAsia" w:ascii="Times New Roman" w:hAnsi="Times New Roman"/>
          <w:snapToGrid w:val="0"/>
          <w:kern w:val="0"/>
          <w:szCs w:val="24"/>
        </w:rPr>
        <w:t>。</w:t>
      </w:r>
      <w:r>
        <w:rPr>
          <w:rFonts w:ascii="Times New Roman" w:hAnsi="Times New Roman"/>
          <w:snapToGrid w:val="0"/>
          <w:kern w:val="0"/>
          <w:szCs w:val="24"/>
        </w:rPr>
        <w:t>目地块外</w:t>
      </w:r>
      <w:r>
        <w:rPr>
          <w:rFonts w:hint="eastAsia" w:ascii="Times New Roman" w:hAnsi="Times New Roman"/>
          <w:snapToGrid w:val="0"/>
          <w:kern w:val="0"/>
          <w:szCs w:val="24"/>
        </w:rPr>
        <w:t>的居民点已全部使用自来水，无相对应的监测点，故本次仅对场地地下水进行监测。</w:t>
      </w:r>
      <w:r>
        <w:rPr>
          <w:rFonts w:ascii="Times New Roman" w:hAnsi="Times New Roman"/>
          <w:snapToGrid w:val="0"/>
          <w:kern w:val="0"/>
          <w:szCs w:val="24"/>
        </w:rPr>
        <w:t>监测指标为pH、COD、氨氮、硫化物、</w:t>
      </w:r>
      <w:r>
        <w:rPr>
          <w:rFonts w:hint="eastAsia" w:ascii="宋体" w:hAnsi="宋体"/>
          <w:snapToGrid w:val="0"/>
          <w:kern w:val="0"/>
          <w:szCs w:val="24"/>
        </w:rPr>
        <w:t>有机</w:t>
      </w:r>
      <w:r>
        <w:rPr>
          <w:rFonts w:ascii="宋体" w:hAnsi="宋体"/>
          <w:snapToGrid w:val="0"/>
          <w:kern w:val="0"/>
          <w:szCs w:val="24"/>
        </w:rPr>
        <w:t>磷、铅、镉、锌、六价铬、</w:t>
      </w:r>
      <w:r>
        <w:rPr>
          <w:rFonts w:hint="eastAsia" w:ascii="宋体" w:hAnsi="宋体" w:cs="宋体"/>
          <w:kern w:val="0"/>
          <w:szCs w:val="24"/>
        </w:rPr>
        <w:t>甲苯、二甲苯、二氯乙烷、六六六、滴滴涕、三氯乙烯、三氯甲烷、1，</w:t>
      </w:r>
      <w:r>
        <w:rPr>
          <w:rFonts w:ascii="宋体" w:hAnsi="宋体" w:cs="宋体"/>
          <w:kern w:val="0"/>
          <w:szCs w:val="24"/>
        </w:rPr>
        <w:t>2-</w:t>
      </w:r>
      <w:r>
        <w:rPr>
          <w:rFonts w:hint="eastAsia" w:ascii="宋体" w:hAnsi="宋体" w:cs="宋体"/>
          <w:kern w:val="0"/>
          <w:szCs w:val="24"/>
        </w:rPr>
        <w:t>二氯甲烷、1，1，1-三氯乙烷等</w:t>
      </w:r>
      <w:r>
        <w:rPr>
          <w:rFonts w:ascii="宋体" w:hAnsi="宋体"/>
          <w:snapToGrid w:val="0"/>
          <w:kern w:val="0"/>
          <w:szCs w:val="24"/>
        </w:rPr>
        <w:t>，</w:t>
      </w:r>
      <w:r>
        <w:rPr>
          <w:rFonts w:ascii="Times New Roman" w:hAnsi="Times New Roman"/>
          <w:snapToGrid w:val="0"/>
          <w:kern w:val="0"/>
          <w:szCs w:val="24"/>
        </w:rPr>
        <w:t>评价标准采用《地下水质量标准》（GB/T14848--93）的Ⅲ类标准。</w:t>
      </w:r>
    </w:p>
    <w:p>
      <w:pPr>
        <w:snapToGrid w:val="0"/>
        <w:ind w:firstLine="480" w:firstLineChars="200"/>
        <w:rPr>
          <w:rFonts w:ascii="Times New Roman" w:hAnsi="Times New Roman"/>
          <w:snapToGrid w:val="0"/>
          <w:kern w:val="0"/>
          <w:szCs w:val="24"/>
        </w:rPr>
      </w:pPr>
      <w:r>
        <w:rPr>
          <w:rFonts w:hint="eastAsia" w:ascii="Times New Roman" w:hAnsi="Times New Roman" w:cs="Times New Roman"/>
          <w:snapToGrid w:val="0"/>
          <w:kern w:val="0"/>
          <w:szCs w:val="24"/>
        </w:rPr>
        <w:t>根据现场监测结果</w:t>
      </w:r>
      <w:r>
        <w:rPr>
          <w:rFonts w:ascii="Times New Roman" w:hAnsi="Times New Roman" w:cs="Times New Roman"/>
          <w:snapToGrid w:val="0"/>
          <w:kern w:val="0"/>
          <w:szCs w:val="24"/>
        </w:rPr>
        <w:t>，</w:t>
      </w:r>
      <w:r>
        <w:rPr>
          <w:rFonts w:ascii="Times New Roman" w:hAnsi="Times New Roman"/>
          <w:snapToGrid w:val="0"/>
          <w:kern w:val="0"/>
          <w:szCs w:val="24"/>
        </w:rPr>
        <w:t>生产区</w:t>
      </w:r>
      <w:r>
        <w:rPr>
          <w:rFonts w:hint="eastAsia" w:ascii="Times New Roman" w:hAnsi="Times New Roman"/>
          <w:snapToGrid w:val="0"/>
          <w:kern w:val="0"/>
          <w:szCs w:val="24"/>
        </w:rPr>
        <w:t>浅层</w:t>
      </w:r>
      <w:r>
        <w:rPr>
          <w:rFonts w:ascii="Times New Roman" w:hAnsi="Times New Roman"/>
          <w:snapToGrid w:val="0"/>
          <w:kern w:val="0"/>
          <w:szCs w:val="24"/>
        </w:rPr>
        <w:t>地下水监测井1#（</w:t>
      </w:r>
      <w:r>
        <w:rPr>
          <w:rFonts w:hint="eastAsia" w:ascii="Times New Roman" w:hAnsi="Times New Roman"/>
          <w:snapToGrid w:val="0"/>
          <w:kern w:val="0"/>
          <w:szCs w:val="24"/>
        </w:rPr>
        <w:t>C</w:t>
      </w:r>
      <w:r>
        <w:rPr>
          <w:rFonts w:ascii="Times New Roman" w:hAnsi="Times New Roman"/>
          <w:snapToGrid w:val="0"/>
          <w:kern w:val="0"/>
          <w:szCs w:val="24"/>
        </w:rPr>
        <w:t>W1）</w:t>
      </w:r>
      <w:r>
        <w:rPr>
          <w:rFonts w:hint="eastAsia" w:ascii="Times New Roman" w:hAnsi="Times New Roman"/>
          <w:snapToGrid w:val="0"/>
          <w:kern w:val="0"/>
          <w:szCs w:val="24"/>
        </w:rPr>
        <w:t>和</w:t>
      </w:r>
      <w:r>
        <w:rPr>
          <w:rFonts w:ascii="Times New Roman" w:hAnsi="Times New Roman"/>
          <w:snapToGrid w:val="0"/>
          <w:kern w:val="0"/>
          <w:szCs w:val="24"/>
        </w:rPr>
        <w:t>监测井2#（</w:t>
      </w:r>
      <w:r>
        <w:rPr>
          <w:rFonts w:hint="eastAsia" w:ascii="Times New Roman" w:hAnsi="Times New Roman"/>
          <w:snapToGrid w:val="0"/>
          <w:kern w:val="0"/>
          <w:szCs w:val="24"/>
        </w:rPr>
        <w:t>C</w:t>
      </w:r>
      <w:r>
        <w:rPr>
          <w:rFonts w:ascii="Times New Roman" w:hAnsi="Times New Roman"/>
          <w:snapToGrid w:val="0"/>
          <w:kern w:val="0"/>
          <w:szCs w:val="24"/>
        </w:rPr>
        <w:t>W2）</w:t>
      </w:r>
      <w:r>
        <w:rPr>
          <w:rFonts w:hint="eastAsia" w:ascii="Times New Roman" w:hAnsi="Times New Roman"/>
          <w:snapToGrid w:val="0"/>
          <w:kern w:val="0"/>
          <w:szCs w:val="24"/>
        </w:rPr>
        <w:t>均存在</w:t>
      </w:r>
      <w:r>
        <w:rPr>
          <w:rFonts w:ascii="Times New Roman" w:hAnsi="Times New Roman"/>
          <w:snapToGrid w:val="0"/>
          <w:kern w:val="0"/>
          <w:szCs w:val="24"/>
        </w:rPr>
        <w:t>存在</w:t>
      </w:r>
      <w:r>
        <w:rPr>
          <w:rFonts w:hint="eastAsia" w:ascii="Times New Roman" w:hAnsi="Times New Roman"/>
          <w:snapToGrid w:val="0"/>
          <w:kern w:val="0"/>
          <w:szCs w:val="24"/>
        </w:rPr>
        <w:t>有机磷和六六六</w:t>
      </w:r>
      <w:r>
        <w:rPr>
          <w:rFonts w:ascii="Times New Roman" w:hAnsi="Times New Roman"/>
          <w:snapToGrid w:val="0"/>
          <w:kern w:val="0"/>
          <w:szCs w:val="24"/>
        </w:rPr>
        <w:t>超标</w:t>
      </w:r>
      <w:r>
        <w:rPr>
          <w:rFonts w:hint="eastAsia" w:ascii="Times New Roman" w:hAnsi="Times New Roman"/>
          <w:snapToGrid w:val="0"/>
          <w:kern w:val="0"/>
          <w:szCs w:val="24"/>
        </w:rPr>
        <w:t>。其中，</w:t>
      </w:r>
      <w:r>
        <w:rPr>
          <w:rFonts w:ascii="Times New Roman" w:hAnsi="Times New Roman"/>
          <w:snapToGrid w:val="0"/>
          <w:kern w:val="0"/>
          <w:szCs w:val="24"/>
        </w:rPr>
        <w:t>1#（</w:t>
      </w:r>
      <w:r>
        <w:rPr>
          <w:rFonts w:hint="eastAsia" w:ascii="Times New Roman" w:hAnsi="Times New Roman"/>
          <w:snapToGrid w:val="0"/>
          <w:kern w:val="0"/>
          <w:szCs w:val="24"/>
        </w:rPr>
        <w:t>C</w:t>
      </w:r>
      <w:r>
        <w:rPr>
          <w:rFonts w:ascii="Times New Roman" w:hAnsi="Times New Roman"/>
          <w:snapToGrid w:val="0"/>
          <w:kern w:val="0"/>
          <w:szCs w:val="24"/>
        </w:rPr>
        <w:t>W1）</w:t>
      </w:r>
      <w:r>
        <w:rPr>
          <w:rFonts w:hint="eastAsia" w:ascii="Times New Roman" w:hAnsi="Times New Roman"/>
          <w:snapToGrid w:val="0"/>
          <w:kern w:val="0"/>
          <w:szCs w:val="24"/>
        </w:rPr>
        <w:t>有机磷和六六六</w:t>
      </w:r>
      <w:r>
        <w:rPr>
          <w:rFonts w:ascii="Times New Roman" w:hAnsi="Times New Roman"/>
          <w:snapToGrid w:val="0"/>
          <w:kern w:val="0"/>
          <w:szCs w:val="24"/>
        </w:rPr>
        <w:t>超标倍数分别为</w:t>
      </w:r>
      <w:r>
        <w:rPr>
          <w:rFonts w:hint="eastAsia" w:ascii="Times New Roman" w:hAnsi="Times New Roman"/>
          <w:snapToGrid w:val="0"/>
          <w:kern w:val="0"/>
          <w:szCs w:val="24"/>
        </w:rPr>
        <w:t>0.9</w:t>
      </w:r>
      <w:r>
        <w:rPr>
          <w:rFonts w:ascii="Times New Roman" w:hAnsi="Times New Roman"/>
          <w:snapToGrid w:val="0"/>
          <w:kern w:val="0"/>
          <w:szCs w:val="24"/>
        </w:rPr>
        <w:t>倍</w:t>
      </w:r>
      <w:r>
        <w:rPr>
          <w:rFonts w:hint="eastAsia" w:ascii="Times New Roman" w:hAnsi="Times New Roman"/>
          <w:snapToGrid w:val="0"/>
          <w:kern w:val="0"/>
          <w:szCs w:val="24"/>
        </w:rPr>
        <w:t>2.8倍；</w:t>
      </w:r>
      <w:r>
        <w:rPr>
          <w:rFonts w:ascii="Times New Roman" w:hAnsi="Times New Roman"/>
          <w:snapToGrid w:val="0"/>
          <w:kern w:val="0"/>
          <w:szCs w:val="24"/>
        </w:rPr>
        <w:t>监测井2#（</w:t>
      </w:r>
      <w:r>
        <w:rPr>
          <w:rFonts w:hint="eastAsia" w:ascii="Times New Roman" w:hAnsi="Times New Roman"/>
          <w:snapToGrid w:val="0"/>
          <w:kern w:val="0"/>
          <w:szCs w:val="24"/>
        </w:rPr>
        <w:t>C</w:t>
      </w:r>
      <w:r>
        <w:rPr>
          <w:rFonts w:ascii="Times New Roman" w:hAnsi="Times New Roman"/>
          <w:snapToGrid w:val="0"/>
          <w:kern w:val="0"/>
          <w:szCs w:val="24"/>
        </w:rPr>
        <w:t>W2）</w:t>
      </w:r>
      <w:r>
        <w:rPr>
          <w:rFonts w:hint="eastAsia" w:ascii="Times New Roman" w:hAnsi="Times New Roman"/>
          <w:snapToGrid w:val="0"/>
          <w:kern w:val="0"/>
          <w:szCs w:val="24"/>
        </w:rPr>
        <w:t>的有机磷和六六六</w:t>
      </w:r>
      <w:r>
        <w:rPr>
          <w:rFonts w:ascii="Times New Roman" w:hAnsi="Times New Roman"/>
          <w:snapToGrid w:val="0"/>
          <w:kern w:val="0"/>
          <w:szCs w:val="24"/>
        </w:rPr>
        <w:t>超标倍数分别为</w:t>
      </w:r>
      <w:r>
        <w:rPr>
          <w:rFonts w:hint="eastAsia" w:ascii="Times New Roman" w:hAnsi="Times New Roman"/>
          <w:snapToGrid w:val="0"/>
          <w:kern w:val="0"/>
          <w:szCs w:val="24"/>
        </w:rPr>
        <w:t>1.5</w:t>
      </w:r>
      <w:r>
        <w:rPr>
          <w:rFonts w:ascii="Times New Roman" w:hAnsi="Times New Roman"/>
          <w:snapToGrid w:val="0"/>
          <w:kern w:val="0"/>
          <w:szCs w:val="24"/>
        </w:rPr>
        <w:t>倍</w:t>
      </w:r>
      <w:r>
        <w:rPr>
          <w:rFonts w:hint="eastAsia" w:ascii="Times New Roman" w:hAnsi="Times New Roman"/>
          <w:snapToGrid w:val="0"/>
          <w:kern w:val="0"/>
          <w:szCs w:val="24"/>
        </w:rPr>
        <w:t>2.6倍</w:t>
      </w:r>
      <w:r>
        <w:rPr>
          <w:rFonts w:ascii="Times New Roman" w:hAnsi="Times New Roman"/>
          <w:snapToGrid w:val="0"/>
          <w:kern w:val="0"/>
          <w:szCs w:val="24"/>
        </w:rPr>
        <w:t>。</w:t>
      </w:r>
    </w:p>
    <w:p>
      <w:pPr>
        <w:snapToGrid w:val="0"/>
        <w:rPr>
          <w:rFonts w:ascii="Times New Roman" w:hAnsi="Times New Roman" w:cs="Times New Roman"/>
        </w:rPr>
      </w:pPr>
      <w:r>
        <w:rPr>
          <w:rFonts w:ascii="Times New Roman" w:hAnsi="Times New Roman" w:cs="Times New Roman"/>
        </w:rPr>
        <w:t>3.2.2.3场地底泥和地表废弃物监测结果及评价</w:t>
      </w:r>
    </w:p>
    <w:p>
      <w:pPr>
        <w:snapToGrid w:val="0"/>
        <w:ind w:firstLine="480" w:firstLineChars="200"/>
        <w:rPr>
          <w:rFonts w:ascii="Times New Roman" w:hAnsi="Times New Roman"/>
          <w:snapToGrid w:val="0"/>
          <w:kern w:val="0"/>
          <w:szCs w:val="24"/>
        </w:rPr>
      </w:pPr>
      <w:r>
        <w:rPr>
          <w:rFonts w:ascii="Times New Roman" w:hAnsi="Times New Roman"/>
          <w:bCs/>
          <w:szCs w:val="24"/>
        </w:rPr>
        <w:t>湖南华弘检测有限公司对项目地块</w:t>
      </w:r>
      <w:r>
        <w:rPr>
          <w:rFonts w:hint="eastAsia" w:ascii="Times New Roman" w:hAnsi="Times New Roman"/>
          <w:bCs/>
          <w:szCs w:val="24"/>
        </w:rPr>
        <w:t>集水池</w:t>
      </w:r>
      <w:r>
        <w:rPr>
          <w:rFonts w:ascii="Times New Roman" w:hAnsi="Times New Roman"/>
          <w:bCs/>
          <w:szCs w:val="24"/>
        </w:rPr>
        <w:t>（SS1）、</w:t>
      </w:r>
      <w:r>
        <w:rPr>
          <w:rFonts w:hint="eastAsia" w:ascii="Times New Roman" w:hAnsi="Times New Roman"/>
          <w:bCs/>
          <w:szCs w:val="24"/>
        </w:rPr>
        <w:t>项目地块东部</w:t>
      </w:r>
      <w:r>
        <w:rPr>
          <w:rFonts w:ascii="Times New Roman" w:hAnsi="Times New Roman"/>
          <w:bCs/>
          <w:szCs w:val="24"/>
        </w:rPr>
        <w:t>的排水渠（SS2）</w:t>
      </w:r>
      <w:r>
        <w:rPr>
          <w:rFonts w:ascii="Times New Roman" w:hAnsi="Times New Roman"/>
          <w:snapToGrid w:val="0"/>
          <w:kern w:val="0"/>
          <w:szCs w:val="24"/>
        </w:rPr>
        <w:t>2个点</w:t>
      </w:r>
      <w:r>
        <w:rPr>
          <w:rFonts w:hint="eastAsia" w:ascii="Times New Roman" w:hAnsi="Times New Roman"/>
          <w:snapToGrid w:val="0"/>
          <w:kern w:val="0"/>
          <w:szCs w:val="24"/>
        </w:rPr>
        <w:t>的底泥进行了</w:t>
      </w:r>
      <w:r>
        <w:rPr>
          <w:rFonts w:ascii="Times New Roman" w:hAnsi="Times New Roman"/>
          <w:snapToGrid w:val="0"/>
          <w:kern w:val="0"/>
          <w:szCs w:val="24"/>
        </w:rPr>
        <w:t>取样监测</w:t>
      </w:r>
      <w:r>
        <w:rPr>
          <w:rFonts w:hint="eastAsia" w:ascii="Times New Roman" w:hAnsi="Times New Roman"/>
          <w:snapToGrid w:val="0"/>
          <w:kern w:val="0"/>
          <w:szCs w:val="24"/>
        </w:rPr>
        <w:t>；同时，对场地内两处地表废弃物</w:t>
      </w:r>
      <w:r>
        <w:rPr>
          <w:rFonts w:ascii="Times New Roman" w:hAnsi="Times New Roman"/>
          <w:bCs/>
          <w:szCs w:val="24"/>
        </w:rPr>
        <w:t>（SS</w:t>
      </w:r>
      <w:r>
        <w:rPr>
          <w:rFonts w:hint="eastAsia" w:ascii="Times New Roman" w:hAnsi="Times New Roman"/>
          <w:bCs/>
          <w:szCs w:val="24"/>
        </w:rPr>
        <w:t>3-</w:t>
      </w:r>
      <w:r>
        <w:rPr>
          <w:rFonts w:ascii="Times New Roman" w:hAnsi="Times New Roman"/>
          <w:bCs/>
          <w:szCs w:val="24"/>
        </w:rPr>
        <w:t>（SS</w:t>
      </w:r>
      <w:r>
        <w:rPr>
          <w:rFonts w:hint="eastAsia" w:ascii="Times New Roman" w:hAnsi="Times New Roman"/>
          <w:bCs/>
          <w:szCs w:val="24"/>
        </w:rPr>
        <w:t>4</w:t>
      </w:r>
      <w:r>
        <w:rPr>
          <w:rFonts w:ascii="Times New Roman" w:hAnsi="Times New Roman"/>
          <w:bCs/>
          <w:szCs w:val="24"/>
        </w:rPr>
        <w:t>）</w:t>
      </w:r>
      <w:r>
        <w:rPr>
          <w:rFonts w:hint="eastAsia" w:ascii="Times New Roman" w:hAnsi="Times New Roman"/>
          <w:snapToGrid w:val="0"/>
          <w:kern w:val="0"/>
          <w:szCs w:val="24"/>
        </w:rPr>
        <w:t>进行取样，共4个监测点。</w:t>
      </w:r>
      <w:r>
        <w:rPr>
          <w:rFonts w:ascii="Times New Roman" w:hAnsi="Times New Roman"/>
          <w:snapToGrid w:val="0"/>
          <w:kern w:val="0"/>
          <w:szCs w:val="24"/>
        </w:rPr>
        <w:t>监测指标为</w:t>
      </w:r>
      <w:r>
        <w:rPr>
          <w:rFonts w:ascii="Times New Roman" w:hAnsi="Times New Roman"/>
        </w:rPr>
        <w:t>pH、铅、镉、锌、铬、VOCs、</w:t>
      </w:r>
      <w:r>
        <w:rPr>
          <w:rFonts w:ascii="Times New Roman" w:hAnsi="Times New Roman"/>
          <w:bCs/>
          <w:spacing w:val="6"/>
          <w:kern w:val="0"/>
        </w:rPr>
        <w:t>六六六、滴滴涕、甲苯、二甲苯、</w:t>
      </w:r>
      <w:r>
        <w:rPr>
          <w:rFonts w:hint="eastAsia" w:ascii="Times New Roman" w:hAnsi="Times New Roman"/>
          <w:bCs/>
          <w:spacing w:val="6"/>
          <w:kern w:val="0"/>
        </w:rPr>
        <w:t>二氯乙烷、氯丙烯</w:t>
      </w:r>
      <w:r>
        <w:rPr>
          <w:rFonts w:ascii="Times New Roman" w:hAnsi="Times New Roman"/>
          <w:snapToGrid w:val="0"/>
          <w:kern w:val="0"/>
          <w:szCs w:val="24"/>
        </w:rPr>
        <w:t>，</w:t>
      </w:r>
      <w:r>
        <w:rPr>
          <w:rFonts w:ascii="Times New Roman" w:hAnsi="Times New Roman"/>
          <w:snapToGrid w:val="0"/>
          <w:color w:val="000000"/>
          <w:kern w:val="0"/>
          <w:szCs w:val="24"/>
        </w:rPr>
        <w:t>评价标准采用</w:t>
      </w:r>
      <w:r>
        <w:rPr>
          <w:rFonts w:hint="eastAsia" w:ascii="Times New Roman" w:hAnsi="Times New Roman"/>
          <w:snapToGrid w:val="0"/>
          <w:color w:val="000000"/>
          <w:kern w:val="0"/>
          <w:szCs w:val="24"/>
        </w:rPr>
        <w:t>《场地土壤环境风险评价筛选值》(DB11/T 811-2011) 中住宅用地标准</w:t>
      </w:r>
      <w:r>
        <w:rPr>
          <w:rFonts w:ascii="Times New Roman" w:hAnsi="Times New Roman"/>
          <w:snapToGrid w:val="0"/>
          <w:kern w:val="0"/>
          <w:szCs w:val="24"/>
        </w:rPr>
        <w:t>。</w:t>
      </w:r>
    </w:p>
    <w:p>
      <w:pPr>
        <w:snapToGrid w:val="0"/>
        <w:ind w:firstLine="480" w:firstLineChars="200"/>
        <w:rPr>
          <w:rFonts w:ascii="Times New Roman" w:hAnsi="Times New Roman"/>
          <w:snapToGrid w:val="0"/>
          <w:kern w:val="0"/>
          <w:szCs w:val="24"/>
        </w:rPr>
      </w:pPr>
      <w:r>
        <w:rPr>
          <w:rFonts w:hint="eastAsia" w:ascii="Times New Roman" w:hAnsi="Times New Roman" w:cs="Times New Roman"/>
          <w:snapToGrid w:val="0"/>
          <w:kern w:val="0"/>
          <w:szCs w:val="24"/>
        </w:rPr>
        <w:t>根据现场监测结果</w:t>
      </w:r>
      <w:r>
        <w:rPr>
          <w:rFonts w:ascii="Times New Roman" w:hAnsi="Times New Roman" w:cs="Times New Roman"/>
          <w:snapToGrid w:val="0"/>
          <w:kern w:val="0"/>
          <w:szCs w:val="24"/>
        </w:rPr>
        <w:t>，</w:t>
      </w:r>
      <w:r>
        <w:rPr>
          <w:rFonts w:ascii="Times New Roman" w:hAnsi="Times New Roman"/>
          <w:snapToGrid w:val="0"/>
          <w:kern w:val="0"/>
          <w:szCs w:val="24"/>
        </w:rPr>
        <w:t>底泥监测点的监测值（除pH值）均能达到</w:t>
      </w:r>
      <w:r>
        <w:rPr>
          <w:rFonts w:hint="eastAsia" w:ascii="Times New Roman" w:hAnsi="Times New Roman"/>
          <w:snapToGrid w:val="0"/>
          <w:color w:val="000000"/>
          <w:kern w:val="0"/>
          <w:szCs w:val="24"/>
        </w:rPr>
        <w:t>《场地土壤环境风险评价筛选值》(DB11/T 811-2011)中住宅用地标准</w:t>
      </w:r>
      <w:r>
        <w:rPr>
          <w:rFonts w:ascii="Times New Roman" w:hAnsi="Times New Roman"/>
          <w:snapToGrid w:val="0"/>
          <w:kern w:val="0"/>
          <w:szCs w:val="24"/>
        </w:rPr>
        <w:t>。</w:t>
      </w:r>
    </w:p>
    <w:p>
      <w:pPr>
        <w:snapToGrid w:val="0"/>
        <w:rPr>
          <w:rFonts w:ascii="Times New Roman" w:hAnsi="Times New Roman" w:cs="Times New Roman"/>
        </w:rPr>
      </w:pPr>
      <w:r>
        <w:rPr>
          <w:rFonts w:ascii="Times New Roman" w:hAnsi="Times New Roman" w:cs="Times New Roman"/>
        </w:rPr>
        <w:t>3.2.2.4场地土壤监测结果及评价</w:t>
      </w:r>
    </w:p>
    <w:p>
      <w:pPr>
        <w:snapToGrid w:val="0"/>
        <w:ind w:firstLine="480" w:firstLineChars="200"/>
        <w:rPr>
          <w:rFonts w:ascii="Times New Roman" w:hAnsi="Times New Roman"/>
          <w:bCs/>
          <w:szCs w:val="24"/>
        </w:rPr>
      </w:pPr>
      <w:r>
        <w:rPr>
          <w:rFonts w:ascii="Times New Roman" w:hAnsi="Times New Roman"/>
          <w:bCs/>
          <w:szCs w:val="24"/>
        </w:rPr>
        <w:t>根据场地情况，本次调查共布设土壤监测点</w:t>
      </w:r>
      <w:r>
        <w:rPr>
          <w:rFonts w:hint="eastAsia" w:ascii="Times New Roman" w:hAnsi="Times New Roman"/>
          <w:bCs/>
          <w:szCs w:val="24"/>
        </w:rPr>
        <w:t>13</w:t>
      </w:r>
      <w:r>
        <w:rPr>
          <w:rFonts w:ascii="Times New Roman" w:hAnsi="Times New Roman"/>
          <w:bCs/>
          <w:szCs w:val="24"/>
        </w:rPr>
        <w:t>个，</w:t>
      </w:r>
      <w:r>
        <w:rPr>
          <w:rFonts w:hint="eastAsia" w:ascii="Times New Roman" w:hAnsi="Times New Roman"/>
          <w:bCs/>
          <w:szCs w:val="24"/>
        </w:rPr>
        <w:t>其中重点调查区共布设6个采样点（S1-</w:t>
      </w:r>
      <w:r>
        <w:rPr>
          <w:rFonts w:ascii="Times New Roman" w:hAnsi="Times New Roman"/>
          <w:bCs/>
          <w:szCs w:val="24"/>
        </w:rPr>
        <w:t>S</w:t>
      </w:r>
      <w:r>
        <w:rPr>
          <w:rFonts w:hint="eastAsia" w:ascii="Times New Roman" w:hAnsi="Times New Roman"/>
          <w:bCs/>
          <w:szCs w:val="24"/>
        </w:rPr>
        <w:t>6），一般调查区布设2采样点（S7-S8），目前已被填土填实的污水存储区兰溪哑河设1采样点（S9）。东南部的农药厂职工宿舍区、南侧周围居民菜田、西侧居民区设3个风险监控采样点（S10- S12），同时在项目地块南侧500m未开发的地方布设1个土壤背景采样点（S13）。厂区内和填土填实的污水存储区兰溪哑河设采样点分层取样，其中0~1米深土层设1取样层，1~2米深土层设1取样层，2~4米深土层设1取样层，4~6米深土层设1取样层，共36个测试样品（S1-S9）</w:t>
      </w:r>
      <w:r>
        <w:rPr>
          <w:rFonts w:ascii="Times New Roman" w:hAnsi="Times New Roman"/>
          <w:bCs/>
          <w:szCs w:val="24"/>
        </w:rPr>
        <w:t>。</w:t>
      </w:r>
      <w:r>
        <w:rPr>
          <w:rFonts w:hint="eastAsia" w:ascii="Times New Roman" w:hAnsi="Times New Roman"/>
          <w:bCs/>
          <w:szCs w:val="24"/>
        </w:rPr>
        <w:t>其它区域设1表层取样，取样深度约0.5米，共4个测试样品。</w:t>
      </w:r>
    </w:p>
    <w:p>
      <w:pPr>
        <w:snapToGrid w:val="0"/>
        <w:ind w:firstLine="480" w:firstLineChars="200"/>
        <w:rPr>
          <w:rFonts w:ascii="Times New Roman" w:hAnsi="Times New Roman" w:cs="Times New Roman"/>
          <w:snapToGrid w:val="0"/>
          <w:kern w:val="0"/>
          <w:szCs w:val="24"/>
        </w:rPr>
      </w:pPr>
      <w:r>
        <w:rPr>
          <w:rFonts w:ascii="Times New Roman" w:hAnsi="Times New Roman" w:cs="Times New Roman"/>
          <w:bCs/>
          <w:szCs w:val="24"/>
        </w:rPr>
        <w:t>本项目地块</w:t>
      </w:r>
      <w:r>
        <w:rPr>
          <w:rFonts w:ascii="Times New Roman" w:hAnsi="Times New Roman" w:cs="Times New Roman"/>
          <w:snapToGrid w:val="0"/>
          <w:kern w:val="0"/>
          <w:szCs w:val="24"/>
        </w:rPr>
        <w:t>（S1-S8）和</w:t>
      </w:r>
      <w:r>
        <w:rPr>
          <w:rFonts w:ascii="Times New Roman" w:hAnsi="Times New Roman" w:cs="Times New Roman"/>
          <w:bCs/>
          <w:szCs w:val="24"/>
        </w:rPr>
        <w:t>已被填土填实的污水存储区兰溪哑河采样点（S9）采用</w:t>
      </w:r>
      <w:r>
        <w:rPr>
          <w:rFonts w:ascii="Times New Roman" w:hAnsi="Times New Roman" w:cs="Times New Roman"/>
          <w:snapToGrid w:val="0"/>
          <w:color w:val="000000" w:themeColor="text1"/>
          <w:kern w:val="0"/>
          <w:szCs w:val="24"/>
        </w:rPr>
        <w:t>《场地土壤环境风险评价筛选值》(DB11/T 811-2011)中住宅用地标准</w:t>
      </w:r>
      <w:r>
        <w:rPr>
          <w:rFonts w:ascii="Times New Roman" w:hAnsi="Times New Roman" w:cs="Times New Roman"/>
          <w:bCs/>
          <w:color w:val="000000" w:themeColor="text1"/>
          <w:szCs w:val="24"/>
        </w:rPr>
        <w:t>进行评价；</w:t>
      </w:r>
      <w:r>
        <w:rPr>
          <w:rFonts w:ascii="Times New Roman" w:hAnsi="Times New Roman" w:cs="Times New Roman"/>
          <w:snapToGrid w:val="0"/>
          <w:kern w:val="0"/>
          <w:szCs w:val="24"/>
        </w:rPr>
        <w:t>风险监控采样点（S10-S13）监测结果的评价标准采用</w:t>
      </w:r>
      <w:r>
        <w:rPr>
          <w:rFonts w:ascii="Times New Roman" w:hAnsi="Times New Roman" w:cs="Times New Roman"/>
          <w:bCs/>
          <w:szCs w:val="24"/>
        </w:rPr>
        <w:t>《土壤环境质量标准》（GB15618-1995）中二级标准</w:t>
      </w:r>
      <w:r>
        <w:rPr>
          <w:rFonts w:ascii="Times New Roman" w:hAnsi="Times New Roman" w:cs="Times New Roman"/>
          <w:snapToGrid w:val="0"/>
          <w:kern w:val="0"/>
          <w:szCs w:val="24"/>
        </w:rPr>
        <w:t>。</w:t>
      </w:r>
    </w:p>
    <w:p>
      <w:pPr>
        <w:adjustRightInd w:val="0"/>
        <w:snapToGrid w:val="0"/>
        <w:ind w:firstLine="482" w:firstLineChars="200"/>
        <w:rPr>
          <w:rFonts w:ascii="Times New Roman" w:hAnsi="Times New Roman"/>
          <w:bCs/>
          <w:color w:val="FF0000"/>
          <w:szCs w:val="24"/>
        </w:rPr>
      </w:pPr>
      <w:r>
        <w:rPr>
          <w:rFonts w:hint="eastAsia" w:ascii="Times New Roman" w:hAnsi="Times New Roman"/>
          <w:b/>
          <w:snapToGrid w:val="0"/>
          <w:color w:val="000000"/>
          <w:kern w:val="0"/>
          <w:szCs w:val="24"/>
        </w:rPr>
        <w:t>厂区内9个点位中除六六六以外，其他</w:t>
      </w:r>
      <w:r>
        <w:rPr>
          <w:rFonts w:ascii="Times New Roman" w:hAnsi="Times New Roman"/>
          <w:b/>
          <w:snapToGrid w:val="0"/>
          <w:color w:val="000000"/>
          <w:kern w:val="0"/>
          <w:szCs w:val="24"/>
        </w:rPr>
        <w:t>指标均达到了</w:t>
      </w:r>
      <w:r>
        <w:rPr>
          <w:rFonts w:hint="eastAsia" w:ascii="Times New Roman" w:hAnsi="Times New Roman"/>
          <w:b/>
          <w:snapToGrid w:val="0"/>
          <w:color w:val="000000"/>
          <w:kern w:val="0"/>
          <w:szCs w:val="24"/>
        </w:rPr>
        <w:t>《场地土壤环境风险评价筛选值》(DB11/T 811-2011) 中住宅用地标准，36个样品中，六六六的值有22个超标，占样品的61.8%，超标倍数在0.23~51.6倍之间。</w:t>
      </w:r>
      <w:r>
        <w:rPr>
          <w:rFonts w:hint="eastAsia" w:ascii="Times New Roman" w:hAnsi="Times New Roman"/>
          <w:bCs/>
          <w:szCs w:val="24"/>
        </w:rPr>
        <w:t>东南部的农药厂职工宿舍区、南侧周围居民菜田、西侧居民区设3个风险监控采样点（S10- S12），同时1个土壤背景采样点（S13）</w:t>
      </w:r>
      <w:r>
        <w:rPr>
          <w:rFonts w:hint="eastAsia" w:ascii="Times New Roman" w:hAnsi="Times New Roman"/>
          <w:bCs/>
          <w:color w:val="000000"/>
          <w:szCs w:val="24"/>
        </w:rPr>
        <w:t>各指标均达到了《土壤环境质量标准》（GB15618-1995）中三级标准。</w:t>
      </w:r>
    </w:p>
    <w:p>
      <w:pPr>
        <w:rPr>
          <w:rFonts w:ascii="Times New Roman" w:hAnsi="Times New Roman" w:cs="Times New Roman"/>
        </w:rPr>
      </w:pPr>
      <w:r>
        <w:rPr>
          <w:rFonts w:ascii="Times New Roman" w:hAnsi="Times New Roman" w:cs="Times New Roman"/>
        </w:rPr>
        <w:t>3.2.2.</w:t>
      </w:r>
      <w:r>
        <w:rPr>
          <w:rFonts w:hint="eastAsia" w:ascii="Times New Roman" w:hAnsi="Times New Roman" w:cs="Times New Roman"/>
        </w:rPr>
        <w:t>5</w:t>
      </w:r>
      <w:r>
        <w:rPr>
          <w:rFonts w:ascii="Times New Roman" w:hAnsi="Times New Roman" w:cs="Times New Roman"/>
        </w:rPr>
        <w:t>监测结果及评价小结</w:t>
      </w:r>
    </w:p>
    <w:p>
      <w:pPr>
        <w:snapToGrid w:val="0"/>
        <w:ind w:firstLine="480" w:firstLineChars="200"/>
        <w:rPr>
          <w:rFonts w:ascii="Times New Roman" w:hAnsi="Times New Roman"/>
          <w:snapToGrid w:val="0"/>
          <w:kern w:val="0"/>
          <w:szCs w:val="24"/>
        </w:rPr>
      </w:pPr>
      <w:r>
        <w:rPr>
          <w:rFonts w:ascii="Times New Roman" w:hAnsi="Times New Roman"/>
          <w:snapToGrid w:val="0"/>
          <w:kern w:val="0"/>
          <w:szCs w:val="24"/>
        </w:rPr>
        <w:t>（1）地表水监测共设置了5个监测点/监测断面，场区内2个监测点，污染情况较为严重；在地块入资江处上下游各设置1个监测断面，COD、BOD</w:t>
      </w:r>
      <w:r>
        <w:rPr>
          <w:rFonts w:ascii="Times New Roman" w:hAnsi="Times New Roman"/>
          <w:snapToGrid w:val="0"/>
          <w:kern w:val="0"/>
          <w:szCs w:val="24"/>
          <w:vertAlign w:val="subscript"/>
        </w:rPr>
        <w:t>5</w:t>
      </w:r>
      <w:r>
        <w:rPr>
          <w:rFonts w:ascii="Times New Roman" w:hAnsi="Times New Roman"/>
          <w:snapToGrid w:val="0"/>
          <w:kern w:val="0"/>
          <w:szCs w:val="24"/>
        </w:rPr>
        <w:t>、氨氮、总磷存在超标现象；</w:t>
      </w:r>
      <w:r>
        <w:rPr>
          <w:rFonts w:hint="eastAsia" w:ascii="Times New Roman" w:hAnsi="Times New Roman"/>
          <w:snapToGrid w:val="0"/>
          <w:kern w:val="0"/>
          <w:szCs w:val="24"/>
        </w:rPr>
        <w:t>团洲</w:t>
      </w:r>
      <w:r>
        <w:rPr>
          <w:rFonts w:ascii="Times New Roman" w:hAnsi="Times New Roman"/>
          <w:snapToGrid w:val="0"/>
          <w:kern w:val="0"/>
          <w:szCs w:val="24"/>
        </w:rPr>
        <w:t>污水处理厂排污口布设1个监测点，水质指标均达到了《城镇污水处理厂污染物排放标准》（GB18918-2002）</w:t>
      </w:r>
      <w:r>
        <w:rPr>
          <w:rFonts w:hint="eastAsia" w:ascii="Times New Roman" w:hAnsi="Times New Roman"/>
          <w:snapToGrid w:val="0"/>
          <w:kern w:val="0"/>
          <w:szCs w:val="24"/>
        </w:rPr>
        <w:t>相关要求</w:t>
      </w:r>
      <w:r>
        <w:rPr>
          <w:rFonts w:ascii="Times New Roman" w:hAnsi="Times New Roman"/>
          <w:snapToGrid w:val="0"/>
          <w:kern w:val="0"/>
          <w:szCs w:val="24"/>
        </w:rPr>
        <w:t>。</w:t>
      </w:r>
    </w:p>
    <w:p>
      <w:pPr>
        <w:snapToGrid w:val="0"/>
        <w:ind w:firstLine="480" w:firstLineChars="200"/>
        <w:rPr>
          <w:rFonts w:ascii="Times New Roman" w:hAnsi="Times New Roman"/>
          <w:snapToGrid w:val="0"/>
          <w:kern w:val="0"/>
          <w:szCs w:val="24"/>
        </w:rPr>
      </w:pPr>
      <w:r>
        <w:rPr>
          <w:rFonts w:ascii="Times New Roman" w:hAnsi="Times New Roman"/>
          <w:snapToGrid w:val="0"/>
          <w:kern w:val="0"/>
          <w:szCs w:val="24"/>
        </w:rPr>
        <w:t>（2）地下水监测共布设</w:t>
      </w:r>
      <w:r>
        <w:rPr>
          <w:rFonts w:hint="eastAsia" w:ascii="Times New Roman" w:hAnsi="Times New Roman"/>
          <w:snapToGrid w:val="0"/>
          <w:kern w:val="0"/>
          <w:szCs w:val="24"/>
        </w:rPr>
        <w:t>2</w:t>
      </w:r>
      <w:r>
        <w:rPr>
          <w:rFonts w:ascii="Times New Roman" w:hAnsi="Times New Roman"/>
          <w:snapToGrid w:val="0"/>
          <w:kern w:val="0"/>
          <w:szCs w:val="24"/>
        </w:rPr>
        <w:t>个监测点，</w:t>
      </w:r>
      <w:r>
        <w:rPr>
          <w:rFonts w:hint="eastAsia" w:ascii="Times New Roman" w:hAnsi="Times New Roman"/>
          <w:snapToGrid w:val="0"/>
          <w:kern w:val="0"/>
          <w:szCs w:val="24"/>
        </w:rPr>
        <w:t>项目地块</w:t>
      </w:r>
      <w:r>
        <w:rPr>
          <w:rFonts w:ascii="Times New Roman" w:hAnsi="Times New Roman"/>
          <w:snapToGrid w:val="0"/>
          <w:kern w:val="0"/>
          <w:szCs w:val="24"/>
        </w:rPr>
        <w:t>生产区两个</w:t>
      </w:r>
      <w:r>
        <w:rPr>
          <w:rFonts w:hint="eastAsia" w:ascii="Times New Roman" w:hAnsi="Times New Roman"/>
          <w:snapToGrid w:val="0"/>
          <w:kern w:val="0"/>
          <w:szCs w:val="24"/>
        </w:rPr>
        <w:t>浅层</w:t>
      </w:r>
      <w:r>
        <w:rPr>
          <w:rFonts w:ascii="Times New Roman" w:hAnsi="Times New Roman"/>
          <w:snapToGrid w:val="0"/>
          <w:kern w:val="0"/>
          <w:szCs w:val="24"/>
        </w:rPr>
        <w:t>监测井均存在</w:t>
      </w:r>
      <w:r>
        <w:rPr>
          <w:rFonts w:hint="eastAsia" w:ascii="Times New Roman" w:hAnsi="Times New Roman"/>
          <w:snapToGrid w:val="0"/>
          <w:kern w:val="0"/>
          <w:szCs w:val="24"/>
        </w:rPr>
        <w:t>有机磷和六六六超标现象，表明地下水已存在</w:t>
      </w:r>
      <w:r>
        <w:rPr>
          <w:rFonts w:ascii="Times New Roman" w:hAnsi="Times New Roman"/>
          <w:snapToGrid w:val="0"/>
          <w:kern w:val="0"/>
          <w:szCs w:val="24"/>
        </w:rPr>
        <w:t>不同程度的污染。</w:t>
      </w:r>
    </w:p>
    <w:p>
      <w:pPr>
        <w:adjustRightInd w:val="0"/>
        <w:snapToGrid w:val="0"/>
        <w:ind w:firstLine="480" w:firstLineChars="200"/>
        <w:rPr>
          <w:rFonts w:ascii="Times New Roman" w:hAnsi="Times New Roman"/>
          <w:snapToGrid w:val="0"/>
          <w:kern w:val="0"/>
          <w:szCs w:val="24"/>
        </w:rPr>
      </w:pPr>
      <w:r>
        <w:rPr>
          <w:rFonts w:ascii="Times New Roman" w:hAnsi="Times New Roman"/>
          <w:snapToGrid w:val="0"/>
          <w:kern w:val="0"/>
          <w:szCs w:val="24"/>
        </w:rPr>
        <w:t>（</w:t>
      </w:r>
      <w:r>
        <w:rPr>
          <w:rFonts w:hint="eastAsia" w:ascii="Times New Roman" w:hAnsi="Times New Roman"/>
          <w:snapToGrid w:val="0"/>
          <w:kern w:val="0"/>
          <w:szCs w:val="24"/>
        </w:rPr>
        <w:t>3</w:t>
      </w:r>
      <w:r>
        <w:rPr>
          <w:rFonts w:ascii="Times New Roman" w:hAnsi="Times New Roman"/>
          <w:snapToGrid w:val="0"/>
          <w:kern w:val="0"/>
          <w:szCs w:val="24"/>
        </w:rPr>
        <w:t>）本次调查共设置</w:t>
      </w:r>
      <w:r>
        <w:rPr>
          <w:rFonts w:hint="eastAsia" w:ascii="Times New Roman" w:hAnsi="Times New Roman"/>
          <w:snapToGrid w:val="0"/>
          <w:kern w:val="0"/>
          <w:szCs w:val="24"/>
        </w:rPr>
        <w:t>土壤13</w:t>
      </w:r>
      <w:r>
        <w:rPr>
          <w:rFonts w:ascii="Times New Roman" w:hAnsi="Times New Roman"/>
          <w:snapToGrid w:val="0"/>
          <w:kern w:val="0"/>
          <w:szCs w:val="24"/>
        </w:rPr>
        <w:t>个取样点，其中</w:t>
      </w:r>
      <w:r>
        <w:rPr>
          <w:rFonts w:hint="eastAsia" w:ascii="Times New Roman" w:hAnsi="Times New Roman"/>
          <w:snapToGrid w:val="0"/>
          <w:kern w:val="0"/>
          <w:szCs w:val="24"/>
        </w:rPr>
        <w:t>项目厂地布设9</w:t>
      </w:r>
      <w:r>
        <w:rPr>
          <w:rFonts w:ascii="Times New Roman" w:hAnsi="Times New Roman"/>
          <w:snapToGrid w:val="0"/>
          <w:kern w:val="0"/>
          <w:szCs w:val="24"/>
        </w:rPr>
        <w:t>个监测点，</w:t>
      </w:r>
      <w:r>
        <w:rPr>
          <w:rFonts w:hint="eastAsia" w:ascii="Times New Roman" w:hAnsi="Times New Roman"/>
          <w:snapToGrid w:val="0"/>
          <w:kern w:val="0"/>
          <w:szCs w:val="24"/>
        </w:rPr>
        <w:t>每个监测点分四层取样，共36</w:t>
      </w:r>
      <w:r>
        <w:rPr>
          <w:rFonts w:ascii="Times New Roman" w:hAnsi="Times New Roman"/>
          <w:snapToGrid w:val="0"/>
          <w:kern w:val="0"/>
          <w:szCs w:val="24"/>
        </w:rPr>
        <w:t>个</w:t>
      </w:r>
      <w:r>
        <w:rPr>
          <w:rFonts w:hint="eastAsia" w:ascii="Times New Roman" w:hAnsi="Times New Roman"/>
          <w:snapToGrid w:val="0"/>
          <w:kern w:val="0"/>
          <w:szCs w:val="24"/>
        </w:rPr>
        <w:t>监测数据；</w:t>
      </w:r>
      <w:r>
        <w:rPr>
          <w:rFonts w:hint="eastAsia" w:ascii="Times New Roman" w:hAnsi="Times New Roman"/>
          <w:bCs/>
          <w:szCs w:val="24"/>
        </w:rPr>
        <w:t>东南部的农药厂职工宿舍区、南侧周围居民菜田、西侧居民区设3个风险监控采样点</w:t>
      </w:r>
      <w:r>
        <w:rPr>
          <w:rFonts w:ascii="Times New Roman" w:hAnsi="Times New Roman"/>
          <w:snapToGrid w:val="0"/>
          <w:kern w:val="0"/>
          <w:szCs w:val="24"/>
        </w:rPr>
        <w:t>。参考</w:t>
      </w:r>
      <w:r>
        <w:rPr>
          <w:rFonts w:ascii="Times New Roman" w:hAnsi="Times New Roman"/>
          <w:snapToGrid w:val="0"/>
          <w:color w:val="000000"/>
          <w:kern w:val="0"/>
          <w:szCs w:val="24"/>
        </w:rPr>
        <w:t>《场地土壤环境风险评价筛选值》(DB11</w:t>
      </w:r>
      <w:r>
        <w:rPr>
          <w:rFonts w:hint="eastAsia" w:ascii="Times New Roman" w:hAnsi="Times New Roman"/>
          <w:snapToGrid w:val="0"/>
          <w:color w:val="000000"/>
          <w:kern w:val="0"/>
          <w:szCs w:val="24"/>
        </w:rPr>
        <w:t>/</w:t>
      </w:r>
      <w:r>
        <w:rPr>
          <w:rFonts w:ascii="Times New Roman" w:hAnsi="Times New Roman"/>
          <w:snapToGrid w:val="0"/>
          <w:color w:val="000000"/>
          <w:kern w:val="0"/>
          <w:szCs w:val="24"/>
        </w:rPr>
        <w:t>T</w:t>
      </w:r>
      <w:r>
        <w:rPr>
          <w:rFonts w:hint="eastAsia" w:ascii="Times New Roman" w:hAnsi="Times New Roman"/>
          <w:snapToGrid w:val="0"/>
          <w:color w:val="000000"/>
          <w:kern w:val="0"/>
          <w:szCs w:val="24"/>
        </w:rPr>
        <w:t xml:space="preserve"> </w:t>
      </w:r>
      <w:r>
        <w:rPr>
          <w:rFonts w:ascii="Times New Roman" w:hAnsi="Times New Roman"/>
          <w:snapToGrid w:val="0"/>
          <w:color w:val="000000"/>
          <w:kern w:val="0"/>
          <w:szCs w:val="24"/>
        </w:rPr>
        <w:t>811-2011) 中住宅用地标准</w:t>
      </w:r>
      <w:r>
        <w:rPr>
          <w:rFonts w:ascii="Times New Roman" w:hAnsi="Times New Roman"/>
          <w:snapToGrid w:val="0"/>
          <w:kern w:val="0"/>
          <w:szCs w:val="24"/>
        </w:rPr>
        <w:t>，污染场地</w:t>
      </w:r>
      <w:r>
        <w:rPr>
          <w:rFonts w:hint="eastAsia" w:ascii="Times New Roman" w:hAnsi="Times New Roman"/>
          <w:snapToGrid w:val="0"/>
          <w:kern w:val="0"/>
          <w:szCs w:val="24"/>
        </w:rPr>
        <w:t>36</w:t>
      </w:r>
      <w:r>
        <w:rPr>
          <w:rFonts w:ascii="Times New Roman" w:hAnsi="Times New Roman"/>
          <w:snapToGrid w:val="0"/>
          <w:kern w:val="0"/>
          <w:szCs w:val="24"/>
        </w:rPr>
        <w:t>个样品数据中</w:t>
      </w:r>
      <w:r>
        <w:rPr>
          <w:rFonts w:hint="eastAsia" w:ascii="Times New Roman" w:hAnsi="Times New Roman"/>
          <w:snapToGrid w:val="0"/>
          <w:kern w:val="0"/>
          <w:szCs w:val="24"/>
        </w:rPr>
        <w:t>，</w:t>
      </w:r>
      <w:r>
        <w:rPr>
          <w:rFonts w:ascii="Times New Roman" w:hAnsi="Times New Roman"/>
          <w:snapToGrid w:val="0"/>
          <w:kern w:val="0"/>
          <w:szCs w:val="24"/>
        </w:rPr>
        <w:t>7个样品</w:t>
      </w:r>
      <w:r>
        <w:rPr>
          <w:rFonts w:hint="eastAsia" w:ascii="Times New Roman" w:hAnsi="Times New Roman"/>
          <w:snapToGrid w:val="0"/>
          <w:kern w:val="0"/>
          <w:szCs w:val="24"/>
        </w:rPr>
        <w:t>重</w:t>
      </w:r>
      <w:r>
        <w:rPr>
          <w:rFonts w:ascii="Times New Roman" w:hAnsi="Times New Roman"/>
          <w:snapToGrid w:val="0"/>
          <w:kern w:val="0"/>
          <w:szCs w:val="24"/>
        </w:rPr>
        <w:t>污染，占比</w:t>
      </w:r>
      <w:r>
        <w:rPr>
          <w:rFonts w:hint="eastAsia" w:ascii="Times New Roman" w:hAnsi="Times New Roman"/>
          <w:snapToGrid w:val="0"/>
          <w:kern w:val="0"/>
          <w:szCs w:val="24"/>
        </w:rPr>
        <w:t>19</w:t>
      </w:r>
      <w:r>
        <w:rPr>
          <w:rFonts w:ascii="Times New Roman" w:hAnsi="Times New Roman"/>
          <w:snapToGrid w:val="0"/>
          <w:kern w:val="0"/>
          <w:szCs w:val="24"/>
        </w:rPr>
        <w:t>.81%，</w:t>
      </w:r>
      <w:r>
        <w:rPr>
          <w:rFonts w:hint="eastAsia" w:ascii="Times New Roman" w:hAnsi="Times New Roman"/>
          <w:snapToGrid w:val="0"/>
          <w:kern w:val="0"/>
          <w:szCs w:val="24"/>
        </w:rPr>
        <w:t>3</w:t>
      </w:r>
      <w:r>
        <w:rPr>
          <w:rFonts w:ascii="Times New Roman" w:hAnsi="Times New Roman"/>
          <w:snapToGrid w:val="0"/>
          <w:kern w:val="0"/>
          <w:szCs w:val="24"/>
        </w:rPr>
        <w:t>个样品</w:t>
      </w:r>
      <w:r>
        <w:rPr>
          <w:rFonts w:hint="eastAsia" w:ascii="Times New Roman" w:hAnsi="Times New Roman"/>
          <w:snapToGrid w:val="0"/>
          <w:kern w:val="0"/>
          <w:szCs w:val="24"/>
        </w:rPr>
        <w:t>中度污染，</w:t>
      </w:r>
      <w:r>
        <w:rPr>
          <w:rFonts w:ascii="Times New Roman" w:hAnsi="Times New Roman"/>
          <w:snapToGrid w:val="0"/>
          <w:kern w:val="0"/>
          <w:szCs w:val="24"/>
        </w:rPr>
        <w:t>占比</w:t>
      </w:r>
      <w:r>
        <w:rPr>
          <w:rFonts w:hint="eastAsia" w:ascii="Times New Roman" w:hAnsi="Times New Roman"/>
          <w:snapToGrid w:val="0"/>
          <w:kern w:val="0"/>
          <w:szCs w:val="24"/>
        </w:rPr>
        <w:t>8</w:t>
      </w:r>
      <w:r>
        <w:rPr>
          <w:rFonts w:ascii="Times New Roman" w:hAnsi="Times New Roman"/>
          <w:snapToGrid w:val="0"/>
          <w:kern w:val="0"/>
          <w:szCs w:val="24"/>
        </w:rPr>
        <w:t>.32%，</w:t>
      </w:r>
      <w:r>
        <w:rPr>
          <w:rFonts w:hint="eastAsia" w:ascii="Times New Roman" w:hAnsi="Times New Roman"/>
          <w:snapToGrid w:val="0"/>
          <w:kern w:val="0"/>
          <w:szCs w:val="24"/>
        </w:rPr>
        <w:t>8</w:t>
      </w:r>
      <w:r>
        <w:rPr>
          <w:rFonts w:ascii="Times New Roman" w:hAnsi="Times New Roman"/>
          <w:snapToGrid w:val="0"/>
          <w:kern w:val="0"/>
          <w:szCs w:val="24"/>
        </w:rPr>
        <w:t>个</w:t>
      </w:r>
      <w:r>
        <w:rPr>
          <w:rFonts w:hint="eastAsia" w:ascii="Times New Roman" w:hAnsi="Times New Roman"/>
          <w:snapToGrid w:val="0"/>
          <w:kern w:val="0"/>
          <w:szCs w:val="24"/>
        </w:rPr>
        <w:t>轻度污染</w:t>
      </w:r>
      <w:r>
        <w:rPr>
          <w:rFonts w:ascii="Times New Roman" w:hAnsi="Times New Roman"/>
          <w:snapToGrid w:val="0"/>
          <w:kern w:val="0"/>
          <w:szCs w:val="24"/>
        </w:rPr>
        <w:t>，占比</w:t>
      </w:r>
      <w:r>
        <w:rPr>
          <w:rFonts w:hint="eastAsia" w:ascii="Times New Roman" w:hAnsi="Times New Roman"/>
          <w:snapToGrid w:val="0"/>
          <w:kern w:val="0"/>
          <w:szCs w:val="24"/>
        </w:rPr>
        <w:t>22.22</w:t>
      </w:r>
      <w:r>
        <w:rPr>
          <w:rFonts w:ascii="Times New Roman" w:hAnsi="Times New Roman"/>
          <w:snapToGrid w:val="0"/>
          <w:kern w:val="0"/>
          <w:szCs w:val="24"/>
        </w:rPr>
        <w:t>%，</w:t>
      </w:r>
      <w:r>
        <w:rPr>
          <w:rFonts w:hint="eastAsia" w:ascii="Times New Roman" w:hAnsi="Times New Roman"/>
          <w:snapToGrid w:val="0"/>
          <w:kern w:val="0"/>
          <w:szCs w:val="24"/>
        </w:rPr>
        <w:t>已污染点位总比为50%左右。其余场地、</w:t>
      </w:r>
      <w:r>
        <w:rPr>
          <w:rFonts w:ascii="Times New Roman" w:hAnsi="Times New Roman"/>
          <w:snapToGrid w:val="0"/>
          <w:kern w:val="0"/>
          <w:szCs w:val="24"/>
        </w:rPr>
        <w:t>风险监控点、土壤背景点及周边居民敏感点均清洁</w:t>
      </w:r>
      <w:r>
        <w:rPr>
          <w:rFonts w:hint="eastAsia" w:ascii="Times New Roman" w:hAnsi="Times New Roman"/>
          <w:snapToGrid w:val="0"/>
          <w:kern w:val="0"/>
          <w:szCs w:val="24"/>
        </w:rPr>
        <w:t>，部分样品处于污染警戒限边缘</w:t>
      </w:r>
      <w:r>
        <w:rPr>
          <w:rFonts w:ascii="Times New Roman" w:hAnsi="Times New Roman"/>
          <w:snapToGrid w:val="0"/>
          <w:kern w:val="0"/>
          <w:szCs w:val="24"/>
        </w:rPr>
        <w:t>。这说明，相比</w:t>
      </w:r>
      <w:r>
        <w:rPr>
          <w:rFonts w:ascii="Times New Roman" w:hAnsi="Times New Roman"/>
          <w:snapToGrid w:val="0"/>
          <w:color w:val="000000"/>
          <w:kern w:val="0"/>
          <w:szCs w:val="24"/>
        </w:rPr>
        <w:t>《场地土壤环境风险评价筛选值》(DB11/T 811-2011) 中住宅用地标准</w:t>
      </w:r>
      <w:r>
        <w:rPr>
          <w:rFonts w:ascii="Times New Roman" w:hAnsi="Times New Roman"/>
          <w:snapToGrid w:val="0"/>
          <w:kern w:val="0"/>
          <w:szCs w:val="24"/>
        </w:rPr>
        <w:t>，</w:t>
      </w:r>
      <w:r>
        <w:rPr>
          <w:rFonts w:hint="eastAsia" w:ascii="Times New Roman" w:hAnsi="Times New Roman"/>
          <w:snapToGrid w:val="0"/>
          <w:kern w:val="0"/>
          <w:szCs w:val="24"/>
        </w:rPr>
        <w:t>场地大部分样品已经受到了污染。</w:t>
      </w:r>
    </w:p>
    <w:p>
      <w:pPr>
        <w:pStyle w:val="3"/>
        <w:ind w:right="480"/>
        <w:rPr>
          <w:rFonts w:ascii="Times New Roman" w:hAnsi="Times New Roman" w:cs="Times New Roman" w:eastAsiaTheme="minorEastAsia"/>
          <w:b w:val="0"/>
          <w:color w:val="000000" w:themeColor="text1"/>
        </w:rPr>
      </w:pPr>
      <w:bookmarkStart w:id="19" w:name="_Toc482661575"/>
      <w:r>
        <w:rPr>
          <w:rFonts w:ascii="Times New Roman" w:hAnsi="Times New Roman" w:cs="Times New Roman" w:eastAsiaTheme="minorEastAsia"/>
          <w:b w:val="0"/>
          <w:color w:val="000000" w:themeColor="text1"/>
        </w:rPr>
        <w:t>3.3</w:t>
      </w:r>
      <w:r>
        <w:rPr>
          <w:rFonts w:ascii="Times New Roman" w:hAnsi="Times New Roman" w:cs="Times New Roman" w:eastAsiaTheme="minorEastAsia"/>
          <w:sz w:val="28"/>
          <w:szCs w:val="28"/>
          <w:lang w:val="zh-CN"/>
        </w:rPr>
        <w:t>土壤污染风险分析</w:t>
      </w:r>
      <w:bookmarkEnd w:id="19"/>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污染场地健康风险评估是指在场地环境调查的基础上，分析污染场地土壤和地下水中污染物对人群的主要暴露途径，评估污染物对人体健康的致癌风险或危害水平。</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根据《污染场地风险评估技术导则》（HJ25.3-2014），污染场地风险评估工作内容包括危害识别、暴露评估、毒性评估、风险表征，以及土壤和地下水风险控制值的计算。</w:t>
      </w:r>
    </w:p>
    <w:p>
      <w:pPr>
        <w:rPr>
          <w:rFonts w:ascii="Times New Roman" w:hAnsi="Times New Roman" w:cs="Times New Roman"/>
        </w:rPr>
      </w:pPr>
      <w:r>
        <w:rPr>
          <w:rFonts w:ascii="Times New Roman" w:hAnsi="Times New Roman" w:cs="Times New Roman"/>
        </w:rPr>
        <w:t>3.3.1危害识别</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通过收集场地环境调查相关资料和数据，将对人群等敏感受体具有潜在风险需要进行风险评估的污染物确定为关注污染物，同时，明确规划土地利用方式，分析可能得敏感受体，如儿童、成人、地下水体等。</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根据本项目前期环境调查相关资料和监测数据分析，本项目场地的主要污染物为</w:t>
      </w:r>
      <w:r>
        <w:rPr>
          <w:rFonts w:hint="eastAsia" w:ascii="Times New Roman" w:hAnsi="Times New Roman"/>
          <w:color w:val="000000"/>
          <w:szCs w:val="24"/>
        </w:rPr>
        <w:t>pH值、VOCs、</w:t>
      </w:r>
      <w:r>
        <w:rPr>
          <w:rFonts w:hint="eastAsia" w:ascii="Times New Roman" w:hAnsi="Times New Roman"/>
          <w:szCs w:val="24"/>
        </w:rPr>
        <w:t>六六六</w:t>
      </w:r>
      <w:r>
        <w:rPr>
          <w:rFonts w:ascii="Times New Roman" w:hAnsi="Times New Roman" w:cs="Times New Roman"/>
          <w:szCs w:val="24"/>
        </w:rPr>
        <w:t>。综合考虑主要污染物对人群等敏感受体的潜在风险，本次评估将土壤中的</w:t>
      </w:r>
      <w:r>
        <w:rPr>
          <w:rFonts w:hint="eastAsia" w:ascii="Times New Roman" w:hAnsi="Times New Roman"/>
          <w:szCs w:val="24"/>
        </w:rPr>
        <w:t>六六六</w:t>
      </w:r>
      <w:r>
        <w:rPr>
          <w:rFonts w:ascii="Times New Roman" w:hAnsi="Times New Roman" w:cs="Times New Roman"/>
          <w:szCs w:val="24"/>
        </w:rPr>
        <w:t>确定为关注污染物。</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根据益阳市中心城区规划，本项目场地属于二类居住用地，可能受到影响的敏感受体为周围居民。场地附近没有饮用水水源保护区。</w:t>
      </w:r>
    </w:p>
    <w:p>
      <w:pPr>
        <w:rPr>
          <w:rFonts w:ascii="Times New Roman" w:hAnsi="Times New Roman" w:cs="Times New Roman"/>
        </w:rPr>
      </w:pPr>
      <w:r>
        <w:rPr>
          <w:rFonts w:ascii="Times New Roman" w:hAnsi="Times New Roman" w:cs="Times New Roman"/>
        </w:rPr>
        <w:t>3.3.2暴露评估</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在危害识别的基础上，分析关注污染物迁移和危害敏感受体的可能性，确定场地土壤污染物主要暴露途径和暴露评估模型，确定评估模型参数取值，计算敏感人群对土壤地下水中污染物的暴露量。</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污染场地风险评估技术导则》（HJ25.3-2014）暴露评估技术要求，本项目场地为居住用地，属敏感用地。敏感用地方式下，儿童和成人均可能会长时间暴露于场地污染而产生健康危害。对于致癌效应，考虑人群的终生暴露危害，一般根据儿童期和成人期的暴露来评估污染物的终生致癌风险；对于非致癌效应，儿童体重较轻、暴露量较高，一般根据儿童暴露来评估污染物的非致癌危害效应。暴露情景采用以居住用地为代表的敏感用地的暴露情景，一般根据儿童和成人期的暴露来评估污染物的致癌危害效应，根据儿童暴露来评估污染物的非致癌危害效应。</w:t>
      </w:r>
    </w:p>
    <w:p>
      <w:pPr>
        <w:rPr>
          <w:rFonts w:ascii="Times New Roman" w:hAnsi="Times New Roman" w:cs="Times New Roman"/>
        </w:rPr>
      </w:pPr>
      <w:r>
        <w:rPr>
          <w:rFonts w:ascii="Times New Roman" w:hAnsi="Times New Roman" w:cs="Times New Roman"/>
        </w:rPr>
        <w:t>3.3.</w:t>
      </w:r>
      <w:r>
        <w:rPr>
          <w:rFonts w:hint="eastAsia" w:ascii="Times New Roman" w:hAnsi="Times New Roman" w:cs="Times New Roman"/>
        </w:rPr>
        <w:t>3</w:t>
      </w:r>
      <w:r>
        <w:rPr>
          <w:rFonts w:ascii="Times New Roman" w:hAnsi="Times New Roman" w:cs="Times New Roman"/>
        </w:rPr>
        <w:t>毒性评估</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在危害识别的基础上，分析关注污染物对人体健康的危害效应，包括致癌效应和非致癌效应，确定与关注污染物相关的参数，包括参考剂量、参考浓度、致癌斜率因子和呼吸吸入单位致癌因子等。</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通过查阅《污染场地风险评估技术导则》（HJ25.3-2014）附录B，可确定</w:t>
      </w:r>
      <w:r>
        <w:rPr>
          <w:rFonts w:hint="eastAsia" w:ascii="Times New Roman" w:hAnsi="Times New Roman"/>
          <w:szCs w:val="24"/>
        </w:rPr>
        <w:t>六六六</w:t>
      </w:r>
      <w:r>
        <w:rPr>
          <w:rFonts w:ascii="Times New Roman" w:hAnsi="Times New Roman" w:cs="Times New Roman"/>
          <w:szCs w:val="24"/>
        </w:rPr>
        <w:t>的部分相关参数，见表</w:t>
      </w:r>
      <w:r>
        <w:rPr>
          <w:rFonts w:hint="eastAsia" w:ascii="Times New Roman" w:hAnsi="Times New Roman" w:cs="Times New Roman"/>
          <w:szCs w:val="24"/>
        </w:rPr>
        <w:t>3-7</w:t>
      </w:r>
      <w:r>
        <w:rPr>
          <w:rFonts w:ascii="Times New Roman" w:hAnsi="Times New Roman" w:cs="Times New Roman"/>
          <w:szCs w:val="24"/>
        </w:rPr>
        <w:t>。</w:t>
      </w:r>
    </w:p>
    <w:p>
      <w:pPr>
        <w:adjustRightInd w:val="0"/>
        <w:snapToGrid w:val="0"/>
        <w:jc w:val="center"/>
        <w:rPr>
          <w:rFonts w:ascii="Times New Roman" w:hAnsi="Times New Roman" w:cs="Times New Roman"/>
          <w:b/>
          <w:bCs/>
          <w:snapToGrid w:val="0"/>
          <w:kern w:val="0"/>
          <w:sz w:val="21"/>
          <w:szCs w:val="21"/>
        </w:rPr>
      </w:pPr>
      <w:r>
        <w:rPr>
          <w:rFonts w:ascii="Times New Roman" w:hAnsi="Times New Roman" w:cs="Times New Roman"/>
          <w:b/>
          <w:bCs/>
          <w:snapToGrid w:val="0"/>
          <w:kern w:val="0"/>
          <w:sz w:val="21"/>
          <w:szCs w:val="21"/>
        </w:rPr>
        <w:t>表</w:t>
      </w:r>
      <w:r>
        <w:rPr>
          <w:rFonts w:hint="eastAsia" w:ascii="Times New Roman" w:hAnsi="Times New Roman" w:cs="Times New Roman"/>
          <w:b/>
          <w:bCs/>
          <w:snapToGrid w:val="0"/>
          <w:kern w:val="0"/>
          <w:sz w:val="21"/>
          <w:szCs w:val="21"/>
        </w:rPr>
        <w:t>3-7 六六六</w:t>
      </w:r>
      <w:r>
        <w:rPr>
          <w:rFonts w:ascii="Times New Roman" w:hAnsi="Times New Roman" w:cs="Times New Roman"/>
          <w:b/>
          <w:bCs/>
          <w:snapToGrid w:val="0"/>
          <w:kern w:val="0"/>
          <w:sz w:val="21"/>
          <w:szCs w:val="21"/>
        </w:rPr>
        <w:t>的毒性参数及理化性质参数</w:t>
      </w:r>
    </w:p>
    <w:tbl>
      <w:tblPr>
        <w:tblStyle w:val="33"/>
        <w:tblW w:w="76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0"/>
        <w:gridCol w:w="2001"/>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参数</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单位</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六六六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经口摄入斜率因子</w:t>
            </w:r>
            <w:r>
              <w:rPr>
                <w:rFonts w:ascii="Times New Roman" w:hAnsi="Times New Roman" w:cs="Times New Roman"/>
                <w:sz w:val="18"/>
                <w:szCs w:val="18"/>
              </w:rPr>
              <w:t>SF</w:t>
            </w:r>
            <w:r>
              <w:rPr>
                <w:rFonts w:ascii="Times New Roman" w:hAnsi="Times New Roman" w:cs="Times New Roman"/>
                <w:sz w:val="18"/>
                <w:szCs w:val="18"/>
                <w:vertAlign w:val="subscript"/>
              </w:rPr>
              <w:t>o</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(μg/kg·d)</w:t>
            </w:r>
            <w:r>
              <w:rPr>
                <w:rFonts w:ascii="Times New Roman" w:hAnsi="Times New Roman" w:cs="Times New Roman"/>
                <w:sz w:val="18"/>
                <w:szCs w:val="18"/>
                <w:vertAlign w:val="superscript"/>
              </w:rPr>
              <w:t>-1</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呼吸吸入单位致癌风险</w:t>
            </w:r>
            <w:r>
              <w:rPr>
                <w:rFonts w:ascii="Times New Roman" w:hAnsi="Times New Roman" w:cs="Times New Roman"/>
                <w:sz w:val="18"/>
                <w:szCs w:val="18"/>
              </w:rPr>
              <w:t>IUR</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(μg/m</w:t>
            </w:r>
            <w:r>
              <w:rPr>
                <w:rFonts w:ascii="Times New Roman" w:hAnsi="Times New Roman" w:cs="Times New Roman"/>
                <w:sz w:val="18"/>
                <w:szCs w:val="18"/>
                <w:vertAlign w:val="superscript"/>
              </w:rPr>
              <w:t>3</w:t>
            </w:r>
            <w:r>
              <w:rPr>
                <w:rFonts w:ascii="Times New Roman" w:hAnsi="Times New Roman" w:cs="Times New Roman"/>
                <w:sz w:val="18"/>
                <w:szCs w:val="18"/>
              </w:rPr>
              <w:t>)</w:t>
            </w:r>
            <w:r>
              <w:rPr>
                <w:rFonts w:ascii="Times New Roman" w:hAnsi="Times New Roman" w:cs="Times New Roman"/>
                <w:sz w:val="18"/>
                <w:szCs w:val="18"/>
                <w:vertAlign w:val="superscript"/>
              </w:rPr>
              <w:t>-1</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经口摄入参考剂量</w:t>
            </w:r>
            <w:r>
              <w:rPr>
                <w:rFonts w:ascii="Times New Roman" w:hAnsi="Times New Roman" w:cs="Times New Roman"/>
                <w:sz w:val="18"/>
                <w:szCs w:val="18"/>
              </w:rPr>
              <w:t>RfD</w:t>
            </w:r>
            <w:r>
              <w:rPr>
                <w:rFonts w:ascii="Times New Roman" w:hAnsi="Times New Roman" w:cs="Times New Roman"/>
                <w:sz w:val="18"/>
                <w:szCs w:val="18"/>
                <w:vertAlign w:val="subscript"/>
              </w:rPr>
              <w:t>o</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μg/kg·d</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呼吸吸入参考浓度</w:t>
            </w:r>
            <w:r>
              <w:rPr>
                <w:rFonts w:ascii="Times New Roman" w:hAnsi="Times New Roman" w:cs="Times New Roman"/>
                <w:sz w:val="18"/>
                <w:szCs w:val="18"/>
              </w:rPr>
              <w:t>RfC</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μg/m</w:t>
            </w:r>
            <w:r>
              <w:rPr>
                <w:rFonts w:ascii="Times New Roman" w:hAnsi="Times New Roman" w:cs="Times New Roman"/>
                <w:sz w:val="18"/>
                <w:szCs w:val="18"/>
                <w:vertAlign w:val="superscript"/>
              </w:rPr>
              <w:t>3</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消化道吸收因子</w:t>
            </w:r>
            <w:r>
              <w:rPr>
                <w:rFonts w:ascii="Times New Roman" w:hAnsi="Times New Roman" w:cs="Times New Roman"/>
                <w:sz w:val="18"/>
                <w:szCs w:val="18"/>
              </w:rPr>
              <w:t>ABS</w:t>
            </w:r>
            <w:r>
              <w:rPr>
                <w:rFonts w:ascii="Times New Roman" w:hAnsi="Times New Roman" w:cs="Times New Roman"/>
                <w:sz w:val="18"/>
                <w:szCs w:val="18"/>
                <w:vertAlign w:val="subscript"/>
              </w:rPr>
              <w:t>gi</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无量纲</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皮肤吸收效率因子</w:t>
            </w:r>
            <w:r>
              <w:rPr>
                <w:rFonts w:ascii="Times New Roman" w:hAnsi="Times New Roman" w:cs="Times New Roman"/>
                <w:sz w:val="18"/>
                <w:szCs w:val="18"/>
              </w:rPr>
              <w:t>ABS</w:t>
            </w:r>
            <w:r>
              <w:rPr>
                <w:rFonts w:ascii="Times New Roman" w:hAnsi="Times New Roman" w:cs="Times New Roman"/>
                <w:sz w:val="18"/>
                <w:szCs w:val="18"/>
                <w:vertAlign w:val="subscript"/>
              </w:rPr>
              <w:t>d</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无量纲</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呼吸吸入致癌斜率因子</w:t>
            </w:r>
            <w:r>
              <w:rPr>
                <w:rFonts w:ascii="Times New Roman" w:hAnsi="Times New Roman" w:cs="Times New Roman"/>
                <w:sz w:val="18"/>
                <w:szCs w:val="18"/>
              </w:rPr>
              <w:t>SF</w:t>
            </w:r>
            <w:r>
              <w:rPr>
                <w:rFonts w:ascii="Times New Roman" w:hAnsi="Times New Roman" w:cs="Times New Roman"/>
                <w:sz w:val="18"/>
                <w:szCs w:val="18"/>
                <w:vertAlign w:val="subscript"/>
              </w:rPr>
              <w:t>i</w:t>
            </w:r>
            <w:r>
              <w:rPr>
                <w:rFonts w:ascii="Times New Roman" w:cs="Times New Roman" w:hAnsiTheme="minorEastAsia"/>
                <w:sz w:val="18"/>
                <w:szCs w:val="18"/>
                <w:vertAlign w:val="superscript"/>
              </w:rPr>
              <w:t>①</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(μg/kg·d)</w:t>
            </w:r>
            <w:r>
              <w:rPr>
                <w:rFonts w:ascii="Times New Roman" w:hAnsi="Times New Roman" w:cs="Times New Roman"/>
                <w:sz w:val="18"/>
                <w:szCs w:val="18"/>
                <w:vertAlign w:val="superscript"/>
              </w:rPr>
              <w:t>-1</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呼吸吸入参考剂量</w:t>
            </w:r>
            <w:r>
              <w:rPr>
                <w:rFonts w:ascii="Times New Roman" w:hAnsi="Times New Roman" w:cs="Times New Roman"/>
                <w:sz w:val="18"/>
                <w:szCs w:val="18"/>
              </w:rPr>
              <w:t>RfD</w:t>
            </w:r>
            <w:r>
              <w:rPr>
                <w:rFonts w:ascii="Times New Roman" w:hAnsi="Times New Roman" w:cs="Times New Roman"/>
                <w:sz w:val="18"/>
                <w:szCs w:val="18"/>
                <w:vertAlign w:val="subscript"/>
              </w:rPr>
              <w:t>i</w:t>
            </w:r>
            <w:r>
              <w:rPr>
                <w:rFonts w:ascii="Times New Roman" w:cs="Times New Roman" w:hAnsiTheme="minorEastAsia"/>
                <w:sz w:val="18"/>
                <w:szCs w:val="18"/>
                <w:vertAlign w:val="superscript"/>
              </w:rPr>
              <w:t>②</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μg/kg·d</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2.553×10</w:t>
            </w:r>
            <w:r>
              <w:rPr>
                <w:rFonts w:ascii="Times New Roman" w:hAnsi="Times New Roman" w:cs="Times New Roman"/>
                <w:sz w:val="18"/>
                <w:szCs w:val="18"/>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皮肤接触致癌斜率系数</w:t>
            </w:r>
            <w:r>
              <w:rPr>
                <w:rFonts w:ascii="Times New Roman" w:hAnsi="Times New Roman" w:cs="Times New Roman"/>
                <w:sz w:val="18"/>
                <w:szCs w:val="18"/>
              </w:rPr>
              <w:t>SF</w:t>
            </w:r>
            <w:r>
              <w:rPr>
                <w:rFonts w:ascii="Times New Roman" w:hAnsi="Times New Roman" w:cs="Times New Roman"/>
                <w:sz w:val="18"/>
                <w:szCs w:val="18"/>
                <w:vertAlign w:val="subscript"/>
              </w:rPr>
              <w:t>d</w:t>
            </w:r>
            <w:r>
              <w:rPr>
                <w:rFonts w:ascii="Times New Roman" w:cs="Times New Roman" w:hAnsiTheme="minorEastAsia"/>
                <w:sz w:val="18"/>
                <w:szCs w:val="18"/>
                <w:vertAlign w:val="superscript"/>
              </w:rPr>
              <w:t>③</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(μg/kg·d)</w:t>
            </w:r>
            <w:r>
              <w:rPr>
                <w:rFonts w:ascii="Times New Roman" w:hAnsi="Times New Roman" w:cs="Times New Roman"/>
                <w:sz w:val="18"/>
                <w:szCs w:val="18"/>
                <w:vertAlign w:val="superscript"/>
              </w:rPr>
              <w:t>-1</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皮肤接触参考剂量</w:t>
            </w:r>
            <w:r>
              <w:rPr>
                <w:rFonts w:ascii="Times New Roman" w:hAnsi="Times New Roman" w:cs="Times New Roman"/>
                <w:sz w:val="18"/>
                <w:szCs w:val="18"/>
              </w:rPr>
              <w:t>RfD</w:t>
            </w:r>
            <w:r>
              <w:rPr>
                <w:rFonts w:ascii="Times New Roman" w:hAnsi="Times New Roman" w:cs="Times New Roman"/>
                <w:sz w:val="18"/>
                <w:szCs w:val="18"/>
                <w:vertAlign w:val="subscript"/>
              </w:rPr>
              <w:t>d</w:t>
            </w:r>
            <w:r>
              <w:rPr>
                <w:rFonts w:ascii="Times New Roman" w:cs="Times New Roman" w:hAnsiTheme="minorEastAsia"/>
                <w:sz w:val="18"/>
                <w:szCs w:val="18"/>
                <w:vertAlign w:val="superscript"/>
              </w:rPr>
              <w:t>④</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μg/kg·d</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7.5×10</w:t>
            </w:r>
            <w:r>
              <w:rPr>
                <w:rFonts w:ascii="Times New Roman" w:hAnsi="Times New Roman" w:cs="Times New Roman"/>
                <w:sz w:val="18"/>
                <w:szCs w:val="18"/>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无量纲亨利常数</w:t>
            </w:r>
            <w:r>
              <w:rPr>
                <w:rFonts w:ascii="Times New Roman" w:hAnsi="Times New Roman" w:cs="Times New Roman"/>
                <w:sz w:val="18"/>
                <w:szCs w:val="18"/>
              </w:rPr>
              <w:t>H’</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无量纲</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7.04×10</w:t>
            </w:r>
            <w:r>
              <w:rPr>
                <w:rFonts w:ascii="Times New Roman" w:hAnsi="Times New Roman" w:cs="Times New Roman"/>
                <w:sz w:val="18"/>
                <w:szCs w:val="18"/>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空气中扩散系数</w:t>
            </w:r>
            <w:r>
              <w:rPr>
                <w:rFonts w:ascii="Times New Roman" w:hAnsi="Times New Roman" w:cs="Times New Roman"/>
                <w:sz w:val="18"/>
                <w:szCs w:val="18"/>
              </w:rPr>
              <w:t>Da</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cm</w:t>
            </w:r>
            <w:r>
              <w:rPr>
                <w:rFonts w:ascii="Times New Roman" w:hAnsi="Times New Roman" w:cs="Times New Roman"/>
                <w:sz w:val="18"/>
                <w:szCs w:val="18"/>
                <w:vertAlign w:val="superscript"/>
              </w:rPr>
              <w:t>2</w:t>
            </w:r>
            <w:r>
              <w:rPr>
                <w:rFonts w:ascii="Times New Roman" w:hAnsi="Times New Roman" w:cs="Times New Roman"/>
                <w:sz w:val="18"/>
                <w:szCs w:val="18"/>
              </w:rPr>
              <w:t>/s</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水中扩散系数</w:t>
            </w:r>
            <w:r>
              <w:rPr>
                <w:rFonts w:ascii="Times New Roman" w:hAnsi="Times New Roman" w:cs="Times New Roman"/>
                <w:sz w:val="18"/>
                <w:szCs w:val="18"/>
              </w:rPr>
              <w:t>Dw</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cm</w:t>
            </w:r>
            <w:r>
              <w:rPr>
                <w:rFonts w:ascii="Times New Roman" w:hAnsi="Times New Roman" w:cs="Times New Roman"/>
                <w:sz w:val="18"/>
                <w:szCs w:val="18"/>
                <w:vertAlign w:val="superscript"/>
              </w:rPr>
              <w:t>2</w:t>
            </w:r>
            <w:r>
              <w:rPr>
                <w:rFonts w:ascii="Times New Roman" w:hAnsi="Times New Roman" w:cs="Times New Roman"/>
                <w:sz w:val="18"/>
                <w:szCs w:val="18"/>
              </w:rPr>
              <w:t>/s</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土壤</w:t>
            </w:r>
            <w:r>
              <w:rPr>
                <w:rFonts w:ascii="Times New Roman" w:hAnsi="Times New Roman" w:cs="Times New Roman"/>
                <w:sz w:val="18"/>
                <w:szCs w:val="18"/>
              </w:rPr>
              <w:t>-</w:t>
            </w:r>
            <w:r>
              <w:rPr>
                <w:rFonts w:ascii="Times New Roman" w:cs="Times New Roman" w:hAnsiTheme="minorEastAsia"/>
                <w:sz w:val="18"/>
                <w:szCs w:val="18"/>
              </w:rPr>
              <w:t>有机碳分配系数</w:t>
            </w:r>
            <w:r>
              <w:rPr>
                <w:rFonts w:ascii="Times New Roman" w:hAnsi="Times New Roman" w:cs="Times New Roman"/>
                <w:sz w:val="18"/>
                <w:szCs w:val="18"/>
              </w:rPr>
              <w:t>Koc</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cm</w:t>
            </w:r>
            <w:r>
              <w:rPr>
                <w:rFonts w:ascii="Times New Roman" w:hAnsi="Times New Roman" w:cs="Times New Roman"/>
                <w:sz w:val="18"/>
                <w:szCs w:val="18"/>
                <w:vertAlign w:val="superscript"/>
              </w:rPr>
              <w:t>3</w:t>
            </w:r>
            <w:r>
              <w:rPr>
                <w:rFonts w:ascii="Times New Roman" w:hAnsi="Times New Roman" w:cs="Times New Roman"/>
                <w:sz w:val="18"/>
                <w:szCs w:val="18"/>
              </w:rPr>
              <w:t>/g</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374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cs="Times New Roman" w:hAnsiTheme="minorEastAsia"/>
                <w:sz w:val="18"/>
                <w:szCs w:val="18"/>
              </w:rPr>
              <w:t>水溶解度</w:t>
            </w:r>
            <w:r>
              <w:rPr>
                <w:rFonts w:ascii="Times New Roman" w:hAnsi="Times New Roman" w:cs="Times New Roman"/>
                <w:sz w:val="18"/>
                <w:szCs w:val="18"/>
              </w:rPr>
              <w:t>S</w:t>
            </w:r>
          </w:p>
        </w:tc>
        <w:tc>
          <w:tcPr>
            <w:tcW w:w="2001"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μg/L</w:t>
            </w:r>
          </w:p>
        </w:tc>
        <w:tc>
          <w:tcPr>
            <w:tcW w:w="1930" w:type="dxa"/>
            <w:shd w:val="clear" w:color="auto" w:fill="auto"/>
            <w:vAlign w:val="center"/>
          </w:tcPr>
          <w:p>
            <w:pPr>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1000</w:t>
            </w:r>
          </w:p>
        </w:tc>
      </w:tr>
    </w:tbl>
    <w:p>
      <w:pPr>
        <w:adjustRightInd w:val="0"/>
        <w:snapToGrid w:val="0"/>
        <w:ind w:firstLine="480" w:firstLineChars="200"/>
        <w:rPr>
          <w:rFonts w:ascii="Times New Roman" w:hAnsi="Times New Roman" w:cs="Times New Roman"/>
          <w:szCs w:val="21"/>
        </w:rPr>
      </w:pPr>
      <w:r>
        <w:rPr>
          <w:rFonts w:ascii="Times New Roman" w:hAnsi="Times New Roman" w:cs="Times New Roman"/>
          <w:szCs w:val="21"/>
        </w:rPr>
        <w:t>注：</w:t>
      </w:r>
      <w:r>
        <w:rPr>
          <w:rFonts w:hint="eastAsia" w:ascii="宋体" w:hAnsi="宋体" w:eastAsia="宋体" w:cs="宋体"/>
          <w:szCs w:val="21"/>
        </w:rPr>
        <w:t>①②③④</w:t>
      </w:r>
      <w:r>
        <w:rPr>
          <w:rFonts w:ascii="Times New Roman" w:hAnsi="Times New Roman" w:cs="Times New Roman"/>
          <w:szCs w:val="21"/>
        </w:rPr>
        <w:t>所表示的参数通过《污染场地风险评估技术导则》（HJ25.3-2014）附录B中的外推模型公式（B.1）（B.2）（B.3）（B.4）计算得到。</w:t>
      </w:r>
    </w:p>
    <w:p>
      <w:pPr>
        <w:adjustRightInd w:val="0"/>
        <w:snapToGrid w:val="0"/>
        <w:ind w:firstLine="480" w:firstLineChars="200"/>
        <w:rPr>
          <w:rFonts w:ascii="Times New Roman" w:hAnsi="Times New Roman" w:cs="Times New Roman"/>
          <w:szCs w:val="21"/>
        </w:rPr>
      </w:pPr>
      <w:r>
        <w:rPr>
          <w:rFonts w:hint="eastAsia" w:ascii="宋体" w:hAnsi="宋体" w:eastAsia="宋体" w:cs="宋体"/>
          <w:szCs w:val="21"/>
        </w:rPr>
        <w:t>⑤</w:t>
      </w:r>
      <w:r>
        <w:rPr>
          <w:rFonts w:ascii="Times New Roman" w:hAnsi="Times New Roman" w:cs="Times New Roman"/>
          <w:szCs w:val="21"/>
        </w:rPr>
        <w:t>”/”表示附录B中没有推荐值，或根据外推公式无法计算。</w:t>
      </w:r>
    </w:p>
    <w:p>
      <w:pPr>
        <w:rPr>
          <w:rFonts w:ascii="Times New Roman" w:hAnsi="Times New Roman" w:cs="Times New Roman"/>
          <w:szCs w:val="24"/>
        </w:rPr>
      </w:pPr>
      <w:r>
        <w:rPr>
          <w:rFonts w:ascii="Times New Roman" w:hAnsi="Times New Roman" w:cs="Times New Roman"/>
        </w:rPr>
        <w:t>3.3.</w:t>
      </w:r>
      <w:r>
        <w:rPr>
          <w:rFonts w:hint="eastAsia" w:ascii="Times New Roman" w:hAnsi="Times New Roman" w:cs="Times New Roman"/>
        </w:rPr>
        <w:t>4</w:t>
      </w:r>
      <w:r>
        <w:rPr>
          <w:rFonts w:ascii="Times New Roman" w:hAnsi="Times New Roman" w:cs="Times New Roman"/>
          <w:szCs w:val="24"/>
        </w:rPr>
        <w:t>风险表征</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在暴露评估和毒性评估的基础上，采用风险评估模型计算土壤单一污染物经单一途径的致癌风险和危害商，计算单一污染物的总致癌风险和危害指数，进行不确定性分析。因本项目场地确定的关注污染物为土壤中的二氯</w:t>
      </w:r>
      <w:r>
        <w:rPr>
          <w:rFonts w:ascii="Times New Roman" w:hAnsi="Times New Roman" w:cs="Times New Roman"/>
          <w:bCs/>
          <w:snapToGrid w:val="0"/>
          <w:kern w:val="0"/>
          <w:szCs w:val="24"/>
        </w:rPr>
        <w:t>乙烷</w:t>
      </w:r>
      <w:r>
        <w:rPr>
          <w:rFonts w:ascii="Times New Roman" w:hAnsi="Times New Roman" w:cs="Times New Roman"/>
          <w:szCs w:val="24"/>
        </w:rPr>
        <w:t>，则本次评估不对地下水单一污染物的致癌风险和危害商进行计算。</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暴露评估分析，本次风险表征计算经口摄入土壤、吸入土壤颗粒物两种途径的土壤单一污染物致癌风险和危害商。各途径土壤单一污染物致癌风险和危害商计算公式采用《污染场地风险评估技术导则》（HJ25.3-2014）推荐模型公式（C.1）、（C.3）、（C.8）、（C.10），土壤中单一污染物经各暴露途径致癌风险的推荐模型采用推荐模型公式（C.7）、（C.14）。</w:t>
      </w:r>
    </w:p>
    <w:p>
      <w:pPr>
        <w:rPr>
          <w:rFonts w:ascii="Times New Roman" w:hAnsi="Times New Roman" w:cs="Times New Roman"/>
        </w:rPr>
      </w:pPr>
      <w:r>
        <w:rPr>
          <w:rFonts w:ascii="Times New Roman" w:hAnsi="Times New Roman" w:cs="Times New Roman"/>
        </w:rPr>
        <w:t>3.3.4</w:t>
      </w:r>
      <w:r>
        <w:rPr>
          <w:rFonts w:hint="eastAsia" w:ascii="Times New Roman" w:hAnsi="Times New Roman" w:cs="Times New Roman"/>
        </w:rPr>
        <w:t>.1</w:t>
      </w:r>
      <w:r>
        <w:rPr>
          <w:rFonts w:ascii="Times New Roman" w:hAnsi="Times New Roman" w:cs="Times New Roman"/>
        </w:rPr>
        <w:t>风险表征评估</w:t>
      </w:r>
    </w:p>
    <w:p>
      <w:pPr>
        <w:adjustRightInd w:val="0"/>
        <w:snapToGrid w:val="0"/>
        <w:ind w:firstLine="480" w:firstLineChars="200"/>
        <w:rPr>
          <w:rFonts w:ascii="Times New Roman" w:hAnsi="Times New Roman"/>
          <w:szCs w:val="24"/>
        </w:rPr>
      </w:pPr>
      <w:r>
        <w:rPr>
          <w:rFonts w:hint="eastAsia" w:ascii="Times New Roman" w:hAnsi="Times New Roman"/>
          <w:szCs w:val="24"/>
        </w:rPr>
        <w:t>根据《污染场地风险评估技术导则》（HJ25.3-2014）风险表征技术要求，单一污染物的致癌风险值超过10</w:t>
      </w:r>
      <w:r>
        <w:rPr>
          <w:rFonts w:hint="eastAsia" w:ascii="Times New Roman" w:hAnsi="Times New Roman"/>
          <w:szCs w:val="24"/>
          <w:vertAlign w:val="superscript"/>
        </w:rPr>
        <w:t>-6</w:t>
      </w:r>
      <w:r>
        <w:rPr>
          <w:rFonts w:hint="eastAsia" w:ascii="Times New Roman" w:hAnsi="Times New Roman"/>
          <w:szCs w:val="24"/>
        </w:rPr>
        <w:t>或危害商超过1的采样点，其代表的场地区域应划为风险不可接受的污染区域。根据以污染场地检测数据计算得到的六六六的致癌风险（</w:t>
      </w:r>
      <w:r>
        <w:rPr>
          <w:rFonts w:hint="eastAsia" w:ascii="Times New Roman" w:hAnsi="Times New Roman"/>
          <w:bCs/>
          <w:szCs w:val="24"/>
        </w:rPr>
        <w:t>1.298×10</w:t>
      </w:r>
      <w:r>
        <w:rPr>
          <w:rFonts w:hint="eastAsia" w:ascii="Times New Roman" w:hAnsi="Times New Roman"/>
          <w:bCs/>
          <w:szCs w:val="24"/>
          <w:vertAlign w:val="superscript"/>
        </w:rPr>
        <w:t>-6</w:t>
      </w:r>
      <w:r>
        <w:rPr>
          <w:rFonts w:hint="eastAsia" w:ascii="Times New Roman" w:hAnsi="Times New Roman"/>
          <w:szCs w:val="24"/>
        </w:rPr>
        <w:t>）和六六六的危害商（1.5387）判断，本场地区域可划为风险不可接受的污染区域。</w:t>
      </w:r>
    </w:p>
    <w:p>
      <w:pPr>
        <w:rPr>
          <w:rFonts w:ascii="Times New Roman" w:hAnsi="Times New Roman" w:cs="Times New Roman"/>
          <w:szCs w:val="24"/>
        </w:rPr>
      </w:pPr>
      <w:r>
        <w:rPr>
          <w:rFonts w:ascii="Times New Roman" w:hAnsi="Times New Roman" w:cs="Times New Roman"/>
        </w:rPr>
        <w:t>3.3.</w:t>
      </w:r>
      <w:r>
        <w:rPr>
          <w:rFonts w:hint="eastAsia" w:ascii="Times New Roman" w:hAnsi="Times New Roman" w:cs="Times New Roman"/>
        </w:rPr>
        <w:t>4.2</w:t>
      </w:r>
      <w:r>
        <w:rPr>
          <w:rFonts w:ascii="Times New Roman" w:hAnsi="Times New Roman" w:cs="Times New Roman"/>
        </w:rPr>
        <w:t>土壤风险控制值的计算</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在风险表征的基础上，判断计算得到的风险值是否超过可接受风险水平。如污染场地风险评估结果未超过可接受风险水平，则结束风险评估工作；如污染场地风险评估结果超过可接受风险水平，则计算土壤中关注污染物的风险控制值；如调查结果表明，土壤中关注污染物可迁移进入地下水，则计算保护地下水的土壤风险控制值；根据计算结果，提出关注污染物的土壤和地下水风险控制值。因本项目场地确定的关注污染物为土壤中的</w:t>
      </w:r>
      <w:r>
        <w:rPr>
          <w:rFonts w:hint="eastAsia" w:ascii="Times New Roman" w:hAnsi="Times New Roman"/>
          <w:szCs w:val="24"/>
        </w:rPr>
        <w:t>六六六</w:t>
      </w:r>
      <w:r>
        <w:rPr>
          <w:rFonts w:ascii="Times New Roman" w:hAnsi="Times New Roman" w:cs="Times New Roman"/>
          <w:szCs w:val="24"/>
        </w:rPr>
        <w:t>，则本次不对地下水单一污染物风险控制值进行计算。</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根据计算得到的</w:t>
      </w:r>
      <w:r>
        <w:rPr>
          <w:rFonts w:hint="eastAsia" w:ascii="Times New Roman" w:hAnsi="Times New Roman"/>
          <w:szCs w:val="24"/>
        </w:rPr>
        <w:t>六六六</w:t>
      </w:r>
      <w:r>
        <w:rPr>
          <w:rFonts w:ascii="Times New Roman" w:hAnsi="Times New Roman" w:cs="Times New Roman"/>
          <w:szCs w:val="24"/>
        </w:rPr>
        <w:t>的致癌风险（</w:t>
      </w:r>
      <w:r>
        <w:rPr>
          <w:rFonts w:hint="eastAsia" w:ascii="Times New Roman" w:hAnsi="Times New Roman"/>
          <w:bCs/>
          <w:szCs w:val="24"/>
        </w:rPr>
        <w:t>1.298×10</w:t>
      </w:r>
      <w:r>
        <w:rPr>
          <w:rFonts w:hint="eastAsia" w:ascii="Times New Roman" w:hAnsi="Times New Roman"/>
          <w:bCs/>
          <w:szCs w:val="24"/>
          <w:vertAlign w:val="superscript"/>
        </w:rPr>
        <w:t>-6</w:t>
      </w:r>
      <w:r>
        <w:rPr>
          <w:rFonts w:ascii="Times New Roman" w:hAnsi="Times New Roman" w:cs="Times New Roman"/>
          <w:szCs w:val="24"/>
        </w:rPr>
        <w:t>）和危害商（</w:t>
      </w:r>
      <w:r>
        <w:rPr>
          <w:rFonts w:hint="eastAsia" w:ascii="Times New Roman" w:hAnsi="Times New Roman"/>
          <w:szCs w:val="24"/>
        </w:rPr>
        <w:t>1.5387</w:t>
      </w:r>
      <w:r>
        <w:rPr>
          <w:rFonts w:ascii="Times New Roman" w:hAnsi="Times New Roman" w:cs="Times New Roman"/>
          <w:szCs w:val="24"/>
        </w:rPr>
        <w:t>）可知，</w:t>
      </w:r>
      <w:r>
        <w:rPr>
          <w:rFonts w:hint="eastAsia" w:ascii="Times New Roman" w:hAnsi="Times New Roman"/>
          <w:szCs w:val="24"/>
        </w:rPr>
        <w:t>六六六</w:t>
      </w:r>
      <w:r>
        <w:rPr>
          <w:rFonts w:ascii="Times New Roman" w:hAnsi="Times New Roman" w:cs="Times New Roman"/>
          <w:szCs w:val="24"/>
        </w:rPr>
        <w:t>超过了可接受风险水平，需要计算土壤风险控制值。</w:t>
      </w:r>
    </w:p>
    <w:p>
      <w:pPr>
        <w:adjustRightInd w:val="0"/>
        <w:snapToGrid w:val="0"/>
        <w:rPr>
          <w:rFonts w:ascii="Times New Roman" w:hAnsi="Times New Roman" w:cs="Times New Roman"/>
          <w:szCs w:val="24"/>
        </w:rPr>
      </w:pPr>
      <w:r>
        <w:rPr>
          <w:rFonts w:ascii="Times New Roman" w:hAnsi="Times New Roman" w:cs="Times New Roman"/>
        </w:rPr>
        <w:t>3.3.</w:t>
      </w:r>
      <w:r>
        <w:rPr>
          <w:rFonts w:hint="eastAsia" w:ascii="Times New Roman" w:hAnsi="Times New Roman" w:cs="Times New Roman"/>
        </w:rPr>
        <w:t>4.3</w:t>
      </w:r>
      <w:r>
        <w:rPr>
          <w:rFonts w:ascii="Times New Roman" w:hAnsi="Times New Roman" w:cs="Times New Roman"/>
          <w:szCs w:val="24"/>
        </w:rPr>
        <w:t>土壤污染物风险控制值确定</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根据查阅《污染场地风险评估技术导则》（HJ25.3-2014），确定土壤污染物风险控制值的方法为：比较计算得到的基于致癌效应和非致癌效应的土壤风险控制值，选择较小值作为污染场地的风险控制值。</w:t>
      </w:r>
    </w:p>
    <w:p>
      <w:pPr>
        <w:adjustRightInd w:val="0"/>
        <w:snapToGrid w:val="0"/>
        <w:ind w:firstLine="480" w:firstLineChars="200"/>
        <w:rPr>
          <w:rFonts w:ascii="Times New Roman" w:hAnsi="Times New Roman" w:cs="Times New Roman"/>
          <w:szCs w:val="24"/>
        </w:rPr>
      </w:pPr>
      <w:r>
        <w:rPr>
          <w:rFonts w:ascii="Times New Roman" w:hAnsi="Times New Roman" w:cs="Times New Roman"/>
          <w:szCs w:val="24"/>
        </w:rPr>
        <w:t>根据比较</w:t>
      </w:r>
      <w:r>
        <w:rPr>
          <w:rFonts w:hint="eastAsia" w:ascii="Times New Roman" w:hAnsi="Times New Roman"/>
          <w:szCs w:val="24"/>
        </w:rPr>
        <w:t>六六六</w:t>
      </w:r>
      <w:r>
        <w:rPr>
          <w:rFonts w:ascii="Times New Roman" w:hAnsi="Times New Roman" w:cs="Times New Roman"/>
          <w:szCs w:val="24"/>
        </w:rPr>
        <w:t>基于致癌效应的土壤风险控制值（RCVS</w:t>
      </w:r>
      <w:r>
        <w:rPr>
          <w:rFonts w:hint="eastAsia" w:ascii="Times New Roman" w:hAnsi="Times New Roman"/>
          <w:szCs w:val="24"/>
          <w:vertAlign w:val="subscript"/>
        </w:rPr>
        <w:t>六六六</w:t>
      </w:r>
      <w:r>
        <w:rPr>
          <w:rFonts w:ascii="Times New Roman" w:hAnsi="Times New Roman" w:cs="Times New Roman"/>
          <w:szCs w:val="24"/>
        </w:rPr>
        <w:t>=0.544μg·kg</w:t>
      </w:r>
      <w:r>
        <w:rPr>
          <w:rFonts w:ascii="Times New Roman" w:hAnsi="Times New Roman" w:cs="Times New Roman"/>
          <w:szCs w:val="24"/>
          <w:vertAlign w:val="superscript"/>
        </w:rPr>
        <w:t>-1</w:t>
      </w:r>
      <w:r>
        <w:rPr>
          <w:rFonts w:ascii="Times New Roman" w:hAnsi="Times New Roman" w:cs="Times New Roman"/>
          <w:szCs w:val="24"/>
        </w:rPr>
        <w:t>）和基于非致癌效应的土壤风险控制值（HCVS</w:t>
      </w:r>
      <w:r>
        <w:rPr>
          <w:rFonts w:hint="eastAsia" w:ascii="Times New Roman" w:hAnsi="Times New Roman"/>
          <w:szCs w:val="24"/>
          <w:vertAlign w:val="subscript"/>
        </w:rPr>
        <w:t>六六六</w:t>
      </w:r>
      <w:r>
        <w:rPr>
          <w:rFonts w:ascii="Times New Roman" w:hAnsi="Times New Roman" w:cs="Times New Roman"/>
          <w:szCs w:val="24"/>
        </w:rPr>
        <w:t>=208.22μg·kg</w:t>
      </w:r>
      <w:r>
        <w:rPr>
          <w:rFonts w:ascii="Times New Roman" w:hAnsi="Times New Roman" w:cs="Times New Roman"/>
          <w:szCs w:val="24"/>
          <w:vertAlign w:val="superscript"/>
        </w:rPr>
        <w:t>-1</w:t>
      </w:r>
      <w:r>
        <w:rPr>
          <w:rFonts w:ascii="Times New Roman" w:hAnsi="Times New Roman" w:cs="Times New Roman"/>
          <w:szCs w:val="24"/>
        </w:rPr>
        <w:t>）可知，</w:t>
      </w:r>
      <w:r>
        <w:rPr>
          <w:rFonts w:hint="eastAsia" w:ascii="Times New Roman" w:hAnsi="Times New Roman"/>
          <w:szCs w:val="24"/>
        </w:rPr>
        <w:t>六六六</w:t>
      </w:r>
      <w:r>
        <w:rPr>
          <w:rFonts w:ascii="Times New Roman" w:hAnsi="Times New Roman" w:cs="Times New Roman"/>
          <w:szCs w:val="24"/>
        </w:rPr>
        <w:t>土壤风险控制值为0.544μg·kg</w:t>
      </w:r>
      <w:r>
        <w:rPr>
          <w:rFonts w:ascii="Times New Roman" w:hAnsi="Times New Roman" w:cs="Times New Roman"/>
          <w:szCs w:val="24"/>
          <w:vertAlign w:val="superscript"/>
        </w:rPr>
        <w:t>-1</w:t>
      </w:r>
      <w:r>
        <w:rPr>
          <w:rFonts w:ascii="Times New Roman" w:hAnsi="Times New Roman" w:cs="Times New Roman"/>
          <w:szCs w:val="24"/>
        </w:rPr>
        <w:t>。</w:t>
      </w:r>
    </w:p>
    <w:p>
      <w:pPr>
        <w:ind w:firstLine="480" w:firstLineChars="200"/>
        <w:rPr>
          <w:rFonts w:ascii="Times New Roman" w:hAnsi="Times New Roman" w:cs="Times New Roman"/>
        </w:rPr>
        <w:sectPr>
          <w:footerReference r:id="rId5" w:type="default"/>
          <w:pgSz w:w="11906" w:h="16838"/>
          <w:pgMar w:top="1440" w:right="1800" w:bottom="1440" w:left="1800" w:header="851" w:footer="992" w:gutter="0"/>
          <w:pgNumType w:fmt="decimal"/>
          <w:cols w:space="425" w:num="1"/>
          <w:docGrid w:type="lines" w:linePitch="312" w:charSpace="0"/>
        </w:sectPr>
      </w:pPr>
    </w:p>
    <w:p>
      <w:pPr>
        <w:pStyle w:val="2"/>
        <w:wordWrap w:val="0"/>
        <w:topLinePunct/>
        <w:adjustRightInd w:val="0"/>
        <w:snapToGrid w:val="0"/>
        <w:spacing w:before="120" w:beforeLines="50" w:after="120" w:afterLines="50" w:line="520" w:lineRule="exact"/>
        <w:rPr>
          <w:rFonts w:ascii="Times New Roman" w:hAnsi="Times New Roman" w:cs="Times New Roman" w:eastAsiaTheme="minorEastAsia"/>
          <w:color w:val="000000" w:themeColor="text1"/>
        </w:rPr>
      </w:pPr>
      <w:bookmarkStart w:id="20" w:name="_Toc480461250"/>
      <w:bookmarkStart w:id="21" w:name="_Toc482661576"/>
      <w:r>
        <w:rPr>
          <w:rFonts w:ascii="Times New Roman" w:hAnsi="Times New Roman" w:cs="Times New Roman" w:eastAsiaTheme="minorEastAsia"/>
          <w:color w:val="000000" w:themeColor="text1"/>
        </w:rPr>
        <w:t>4</w:t>
      </w:r>
      <w:bookmarkEnd w:id="20"/>
      <w:r>
        <w:rPr>
          <w:rFonts w:ascii="Times New Roman" w:hAnsi="Times New Roman" w:cs="Times New Roman" w:eastAsiaTheme="minorEastAsia"/>
          <w:color w:val="000000" w:themeColor="text1"/>
        </w:rPr>
        <w:t>治理与修复范围和目标</w:t>
      </w:r>
      <w:bookmarkEnd w:id="21"/>
    </w:p>
    <w:p>
      <w:pPr>
        <w:pStyle w:val="3"/>
        <w:ind w:right="480"/>
        <w:rPr>
          <w:rFonts w:ascii="Times New Roman" w:hAnsi="Times New Roman" w:cs="Times New Roman" w:eastAsiaTheme="minorEastAsia"/>
          <w:b w:val="0"/>
          <w:color w:val="000000" w:themeColor="text1"/>
        </w:rPr>
      </w:pPr>
      <w:bookmarkStart w:id="22" w:name="_Toc480461252"/>
      <w:bookmarkStart w:id="23" w:name="_Toc482661577"/>
      <w:r>
        <w:rPr>
          <w:rFonts w:ascii="Times New Roman" w:hAnsi="Times New Roman" w:cs="Times New Roman" w:eastAsiaTheme="minorEastAsia"/>
          <w:b w:val="0"/>
          <w:color w:val="000000" w:themeColor="text1"/>
        </w:rPr>
        <w:t>4.1 治理与修复范围</w:t>
      </w:r>
      <w:bookmarkEnd w:id="22"/>
      <w:bookmarkEnd w:id="23"/>
    </w:p>
    <w:p>
      <w:pPr>
        <w:ind w:firstLine="480" w:firstLineChars="200"/>
        <w:rPr>
          <w:rFonts w:ascii="Times New Roman" w:hAnsi="Times New Roman" w:cs="Times New Roman"/>
        </w:rPr>
      </w:pPr>
      <w:r>
        <w:rPr>
          <w:rFonts w:ascii="Times New Roman" w:hAnsi="Times New Roman" w:cs="Times New Roman"/>
        </w:rPr>
        <w:t>根据上述监测结果及污染风险分析，本项目场地土壤污染因子为各类有机物的污染，如</w:t>
      </w:r>
      <w:r>
        <w:rPr>
          <w:rFonts w:hint="eastAsia" w:ascii="Times New Roman" w:hAnsi="Times New Roman"/>
          <w:color w:val="000000"/>
          <w:szCs w:val="24"/>
        </w:rPr>
        <w:t>pH值、VOCs、</w:t>
      </w:r>
      <w:r>
        <w:rPr>
          <w:rFonts w:hint="eastAsia" w:ascii="Times New Roman" w:hAnsi="Times New Roman"/>
          <w:szCs w:val="24"/>
        </w:rPr>
        <w:t>六六六</w:t>
      </w:r>
      <w:r>
        <w:rPr>
          <w:rFonts w:ascii="Times New Roman" w:hAnsi="Times New Roman" w:cs="Times New Roman"/>
          <w:bCs/>
          <w:snapToGrid w:val="0"/>
          <w:kern w:val="0"/>
          <w:szCs w:val="24"/>
        </w:rPr>
        <w:t>等</w:t>
      </w:r>
      <w:r>
        <w:rPr>
          <w:rFonts w:ascii="Times New Roman" w:hAnsi="Times New Roman" w:cs="Times New Roman"/>
        </w:rPr>
        <w:t>，未来规划用地方式下仍存在较高风险，致癌风险和非致癌风险分析均表明，表层高风险区域主要为原农药厂生产区，另外受场地污染的地表水受体暴露途径多样，风险较高，由于本项目场地规划做居住用地，根据《污染地块土壤环境管理办法》（征求意见稿），现阶段做好土壤的治理和修复。</w:t>
      </w:r>
    </w:p>
    <w:p>
      <w:pPr>
        <w:ind w:firstLine="480" w:firstLineChars="200"/>
        <w:rPr>
          <w:rFonts w:ascii="Times New Roman" w:hAnsi="Times New Roman" w:cs="Times New Roman"/>
        </w:rPr>
      </w:pPr>
      <w:r>
        <w:rPr>
          <w:rFonts w:ascii="Times New Roman" w:hAnsi="Times New Roman" w:cs="Times New Roman"/>
        </w:rPr>
        <w:t>因此本项目治理和修复范围为原农药厂，包括生产区和办公区、车库及广场，面积约为18315m</w:t>
      </w:r>
      <w:r>
        <w:rPr>
          <w:rFonts w:ascii="Times New Roman" w:hAnsi="Times New Roman" w:cs="Times New Roman"/>
          <w:vertAlign w:val="superscript"/>
        </w:rPr>
        <w:t>2</w:t>
      </w:r>
      <w:r>
        <w:rPr>
          <w:rFonts w:ascii="Times New Roman" w:hAnsi="Times New Roman" w:cs="Times New Roman"/>
        </w:rPr>
        <w:t>。</w:t>
      </w:r>
    </w:p>
    <w:p>
      <w:pPr>
        <w:pStyle w:val="3"/>
        <w:ind w:right="480"/>
        <w:rPr>
          <w:rFonts w:ascii="Times New Roman" w:hAnsi="Times New Roman" w:cs="Times New Roman" w:eastAsiaTheme="minorEastAsia"/>
          <w:b w:val="0"/>
          <w:color w:val="000000" w:themeColor="text1"/>
        </w:rPr>
      </w:pPr>
      <w:bookmarkStart w:id="24" w:name="_Toc482661578"/>
      <w:bookmarkStart w:id="25" w:name="_Toc480461253"/>
      <w:r>
        <w:rPr>
          <w:rFonts w:ascii="Times New Roman" w:hAnsi="Times New Roman" w:cs="Times New Roman" w:eastAsiaTheme="minorEastAsia"/>
          <w:b w:val="0"/>
          <w:color w:val="000000" w:themeColor="text1"/>
        </w:rPr>
        <w:t>4.2治理与修复目标</w:t>
      </w:r>
      <w:bookmarkEnd w:id="24"/>
      <w:bookmarkEnd w:id="25"/>
    </w:p>
    <w:p>
      <w:pPr>
        <w:ind w:firstLine="480" w:firstLineChars="200"/>
        <w:rPr>
          <w:rFonts w:ascii="Times New Roman" w:hAnsi="Times New Roman" w:cs="Times New Roman"/>
        </w:rPr>
      </w:pPr>
      <w:r>
        <w:rPr>
          <w:rFonts w:ascii="Times New Roman" w:hAnsi="Times New Roman" w:cs="Times New Roman"/>
        </w:rPr>
        <w:t>（1）通过工程措施，隔离场地土壤中高风险污染源，控制污染源，切断受体暴露途径；</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sz w:val="24"/>
        </w:rPr>
        <w:t>（2）开展治理措施，建立场地环境风险监测和管理体系，全程控制和减少场地人体健康风险及环境风险。</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（3）治理和修复后的土壤，达到《场地土壤环境风险评价筛选值(DB11T811-2011) 》（北京市地方标准）中住宅用地的要求。</w:t>
      </w:r>
    </w:p>
    <w:p>
      <w:pPr>
        <w:rPr>
          <w:rFonts w:ascii="Times New Roman" w:hAnsi="Times New Roman" w:cs="Times New Roman"/>
        </w:rPr>
      </w:pPr>
    </w:p>
    <w:p>
      <w:pPr>
        <w:rPr>
          <w:rFonts w:ascii="Times New Roman" w:hAnsi="Times New Roman" w:cs="Times New Roman"/>
        </w:rPr>
        <w:sectPr>
          <w:pgSz w:w="11906" w:h="16838"/>
          <w:pgMar w:top="1440" w:right="1797" w:bottom="1440" w:left="1797" w:header="851" w:footer="992" w:gutter="0"/>
          <w:pgNumType w:fmt="decimal"/>
          <w:cols w:space="425" w:num="1"/>
          <w:docGrid w:linePitch="326" w:charSpace="0"/>
        </w:sectPr>
      </w:pPr>
    </w:p>
    <w:p>
      <w:pPr>
        <w:pStyle w:val="2"/>
        <w:wordWrap w:val="0"/>
        <w:topLinePunct/>
        <w:adjustRightInd w:val="0"/>
        <w:snapToGrid w:val="0"/>
        <w:spacing w:before="120" w:beforeLines="50" w:after="120" w:afterLines="50" w:line="520" w:lineRule="exact"/>
        <w:rPr>
          <w:rFonts w:ascii="Times New Roman" w:hAnsi="Times New Roman" w:cs="Times New Roman" w:eastAsiaTheme="minorEastAsia"/>
          <w:color w:val="000000" w:themeColor="text1"/>
        </w:rPr>
      </w:pPr>
      <w:bookmarkStart w:id="26" w:name="_Toc482661579"/>
      <w:bookmarkStart w:id="27" w:name="_Toc155469305"/>
      <w:bookmarkStart w:id="28" w:name="_Toc257362598"/>
      <w:bookmarkStart w:id="29" w:name="_Toc426042821"/>
      <w:bookmarkStart w:id="30" w:name="_Toc425949366"/>
      <w:bookmarkStart w:id="31" w:name="_Toc419149639"/>
      <w:r>
        <w:rPr>
          <w:rFonts w:ascii="Times New Roman" w:hAnsi="Times New Roman" w:cs="Times New Roman" w:eastAsiaTheme="minorEastAsia"/>
          <w:color w:val="000000" w:themeColor="text1"/>
        </w:rPr>
        <w:t>5治理与修复技术方案</w:t>
      </w:r>
      <w:bookmarkEnd w:id="26"/>
    </w:p>
    <w:p>
      <w:pPr>
        <w:pStyle w:val="3"/>
        <w:ind w:right="480"/>
        <w:rPr>
          <w:rFonts w:ascii="Times New Roman" w:hAnsi="Times New Roman" w:cs="Times New Roman" w:eastAsiaTheme="minorEastAsia"/>
          <w:b w:val="0"/>
          <w:color w:val="000000" w:themeColor="text1"/>
        </w:rPr>
      </w:pPr>
      <w:bookmarkStart w:id="32" w:name="_Toc482661580"/>
      <w:bookmarkStart w:id="33" w:name="_Toc468087234"/>
      <w:r>
        <w:rPr>
          <w:rFonts w:ascii="Times New Roman" w:hAnsi="Times New Roman" w:cs="Times New Roman" w:eastAsiaTheme="minorEastAsia"/>
          <w:b w:val="0"/>
          <w:color w:val="000000" w:themeColor="text1"/>
        </w:rPr>
        <w:t>5.1土壤污染治理与修复技术概述</w:t>
      </w:r>
      <w:bookmarkEnd w:id="32"/>
      <w:bookmarkEnd w:id="33"/>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土壤是人类赖以生存的主要自然资源之一，也是人类生态环境的重要组成部分。土壤是由矿物质、动植物残体腐解产生的有机物质、土壤生物、水分和空气等固、液、气三相组成的。土壤污染的风险主要包括：一是耕地污染影响农产品质量。土壤污染影响农作物生长，造成减产。农作物可能会吸收和富集某些污染物，影响农产品质量，给农业生产带来经济损失；长期食用超标农产品可能严重危害人体健康。二是危害人居环境安全。住宅、商业、工业等建设用地土壤污染可能通过经口摄入、呼吸吸入和皮肤接触等方式危害人体健康。污染地块未经治理修复就直接开发，会给有关人群造成长期的危害。三是威胁生态环境安全。土壤污染影响植物、动物（如蚯蚓）和微生物（如根瘤菌）的生长和繁衍，危及正常的土壤生态过程和生态服务功能，不利于土壤养分转化和肥力保持，影响土壤的正常功能。土壤中的污染物，可能发生转化和迁移，继而进入地表水、地下水和大气环境，影响其他环境介质，可能会对饮用水源造成污染。虽然土壤自身的净化作用可以减少土壤中污染物的污染程度，但是如果进入土壤中的污染物含量在数量和速度上超过土壤的自净能力，即超过土壤的环境容量，终将会导致土壤的污染。土壤污染在中国已成为一个日益严重的问题。这些污染场地的存在带来了双重问题：一方面是环境和健康风险；另一方面是阻碍了城市建设和地方经济的发展。解决此问题最直接方法是场地修复。</w:t>
      </w:r>
    </w:p>
    <w:p>
      <w:pPr>
        <w:ind w:firstLine="600" w:firstLineChars="250"/>
        <w:rPr>
          <w:rFonts w:ascii="Times New Roman" w:hAnsi="Times New Roman" w:cs="Times New Roman"/>
          <w:color w:val="000000" w:themeColor="text1"/>
        </w:rPr>
      </w:pPr>
      <w:r>
        <w:rPr>
          <w:rFonts w:ascii="Times New Roman" w:hAnsi="Times New Roman" w:cs="Times New Roman"/>
          <w:color w:val="000000" w:themeColor="text1"/>
        </w:rPr>
        <w:t>纵观世界各国土壤污染防治历程，结合城市开发建设和环境改善，针对污染地块的治理修复较为普遍，其主要目的是规避人居环境风险，将治理修复措施作为风险管控的一类手段。保护和改善土壤环境质量，要以切断污染来源作为基本前提。由于土壤污染具有累积性，若不能有效减少污染物输入，对污染源实施有效治理，即使采取了保护、管控、治理与修复措施，也难以达到保护和改善土壤环境的目的。因此，研究制定土壤污染防治对策，均要首先对污染源开展系统评估和解析，全面了解污染源空间分布、排放污染物种类、排放量、传输途径、最终去向等，以采取针对性处理措施。</w:t>
      </w:r>
    </w:p>
    <w:p>
      <w:pPr>
        <w:pStyle w:val="3"/>
        <w:ind w:right="480"/>
        <w:rPr>
          <w:rFonts w:ascii="Times New Roman" w:hAnsi="Times New Roman" w:cs="Times New Roman" w:eastAsiaTheme="minorEastAsia"/>
          <w:b w:val="0"/>
          <w:color w:val="000000" w:themeColor="text1"/>
        </w:rPr>
      </w:pPr>
      <w:bookmarkStart w:id="34" w:name="_Toc468087243"/>
      <w:bookmarkStart w:id="35" w:name="_Toc482661581"/>
      <w:bookmarkStart w:id="36" w:name="_Toc271008599"/>
      <w:bookmarkStart w:id="37" w:name="_Toc262627518"/>
      <w:bookmarkStart w:id="38" w:name="_Toc377486379"/>
      <w:bookmarkStart w:id="39" w:name="_Toc371342369"/>
      <w:r>
        <w:rPr>
          <w:rFonts w:ascii="Times New Roman" w:hAnsi="Times New Roman" w:cs="Times New Roman" w:eastAsiaTheme="minorEastAsia"/>
          <w:b w:val="0"/>
          <w:color w:val="000000" w:themeColor="text1"/>
        </w:rPr>
        <w:t>5.</w:t>
      </w:r>
      <w:bookmarkEnd w:id="34"/>
      <w:r>
        <w:rPr>
          <w:rFonts w:ascii="Times New Roman" w:hAnsi="Times New Roman" w:cs="Times New Roman" w:eastAsiaTheme="minorEastAsia"/>
          <w:b w:val="0"/>
          <w:color w:val="000000" w:themeColor="text1"/>
        </w:rPr>
        <w:t>2土壤污染治理与修复技术筛选</w:t>
      </w:r>
      <w:bookmarkEnd w:id="35"/>
    </w:p>
    <w:bookmarkEnd w:id="36"/>
    <w:bookmarkEnd w:id="37"/>
    <w:bookmarkEnd w:id="38"/>
    <w:bookmarkEnd w:id="39"/>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现有污染土壤的修复途径包括：第一，降低污染物在土壤中的浓度；第二，通过固化或钝化作用改变污染物的形态从而降低在环境中的迁移性；第三，从土壤中去除。目前，土壤的修复技术主要有以下几种：</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（1）物理修复</w:t>
      </w:r>
    </w:p>
    <w:p>
      <w:pPr>
        <w:widowControl/>
        <w:shd w:val="clear" w:color="auto" w:fill="FFFFFF"/>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治理污染土壤的方法在20世纪80年代以前仅仅限于物理法和化学法。如早期的焚烧法、换土法以及隔离法等都要求高温、人力以及机械设备等，不仅成本很高，最主要的是没有从根本上解决污染问题，这些处理方法仅仅是使污染物发生了转移，对这些污染物还需要进一步的处理，目前这些方法仅仅应用于处理一些突发的紧急事件。而现在出现的一些经济可行的新技术、新工艺等逐渐成为了研究的热点，如：电修复法、土壤气相抽提法及CSP法、热解析法等。</w:t>
      </w:r>
    </w:p>
    <w:p>
      <w:pPr>
        <w:widowControl/>
        <w:shd w:val="clear" w:color="auto" w:fill="FFFFFF"/>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电修复法：将电极插入到受污染的地下水或土壤区域，在直流电的作用下形成直流电场，则土壤中的离子和颗粒物质会沿着电场方向发生定向的电渗析、电泳运动以及电迁移，使土壤空隙中的荷电离子或粒子发生迁移运动。</w:t>
      </w:r>
    </w:p>
    <w:p>
      <w:pPr>
        <w:widowControl/>
        <w:shd w:val="clear" w:color="auto" w:fill="FFFFFF"/>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热解析法主要用于修复有机物，它是通过加热升温土壤，收集挥发性污染物进行集中处理;土壤气相抽提法是一种原位修复技术，主要是去除石油污染土壤中挥发性或半挥发性的石油组分。</w:t>
      </w:r>
    </w:p>
    <w:p>
      <w:pPr>
        <w:widowControl/>
        <w:shd w:val="clear" w:color="auto" w:fill="FFFFFF"/>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CSP法是用煤和焦炭等含碳的物料当作吸附物，在90</w:t>
      </w:r>
      <w:r>
        <w:rPr>
          <w:rFonts w:hint="eastAsia" w:ascii="宋体" w:hAnsi="宋体" w:eastAsia="宋体" w:cs="宋体"/>
          <w:color w:val="000000" w:themeColor="text1"/>
        </w:rPr>
        <w:t>℃</w:t>
      </w:r>
      <w:r>
        <w:rPr>
          <w:rFonts w:ascii="Times New Roman" w:hAnsi="Times New Roman" w:cs="Times New Roman"/>
          <w:color w:val="000000" w:themeColor="text1"/>
        </w:rPr>
        <w:t>和强烈搅拌下通过煤表面强力吸附烃基污染物，然后用重选或浮选法将干净的土壤和吸附有烃基化合物的煤分开。</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电修复法与传统的土壤修复技术相比具有经济效益高、不破坏现场生态环境以及接触毒物少的优点，更加适用于治理渗透系数低的密质土壤。而热解析法需要消耗大量的能力并且容易破坏土壤中的有机质和结构水，同时还会向空气会发有害蒸汽而造成二次污染。土壤土壤气相抽提法具有可操作性强、处理污染物的范围宽、可由标准设备操作、不破坏土壤结构及可回收利用废物等优点。</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（2）生物修复</w:t>
      </w:r>
    </w:p>
    <w:p>
      <w:pPr>
        <w:widowControl/>
        <w:shd w:val="clear" w:color="auto" w:fill="FFFFFF"/>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减少土壤中有毒有害物质浓度的时候利用生命的代谢活动使污染的土壤恢复到健康状态，这种修复土壤的方式为生物修复。目前有以下三类：</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w:t>
      </w:r>
      <w:r>
        <w:rPr>
          <w:rFonts w:hint="eastAsia" w:ascii="宋体" w:hAnsi="宋体" w:eastAsia="宋体" w:cs="宋体"/>
          <w:color w:val="000000" w:themeColor="text1"/>
        </w:rPr>
        <w:t>①</w:t>
      </w:r>
      <w:r>
        <w:rPr>
          <w:rFonts w:ascii="Times New Roman" w:hAnsi="Times New Roman" w:cs="Times New Roman"/>
          <w:color w:val="000000" w:themeColor="text1"/>
        </w:rPr>
        <w:t>微生物修复。土壤中的某些微生物对一种或多种污染物具有沉淀、吸收、氧化和还原的作用，微生物修复就是利用这种作用来降低土壤重金属的吸收、修复被污染的土壤和降解复杂的有机物。</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影响微生物修复土壤的因素有很多，如温度、水分、pH以及氧气等。每种微生物对生物因子都会有一定的耐受范围，在同一个环境中，多种微生物就比一种微生物的耐受范围宽。如果环境的条件超过了所有定居微生物的耐受范围则微生物的修复作用就会停止。</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w:t>
      </w:r>
      <w:r>
        <w:rPr>
          <w:rFonts w:hint="eastAsia" w:ascii="宋体" w:hAnsi="宋体" w:eastAsia="宋体" w:cs="宋体"/>
          <w:color w:val="000000" w:themeColor="text1"/>
        </w:rPr>
        <w:t>②</w:t>
      </w:r>
      <w:r>
        <w:rPr>
          <w:rFonts w:ascii="Times New Roman" w:hAnsi="Times New Roman" w:cs="Times New Roman"/>
          <w:color w:val="000000" w:themeColor="text1"/>
        </w:rPr>
        <w:t>植物修复。利用能够富集重金属的植物清除土壤重金属污染的设想是美国科学家Chaney在1983年首次提出的，这就是植物修复技术。污染土的植物修复技术根据植物修复的机理和作用过程可以分为4种基本类型：植物提取、植物挥发、植物稳定和植物降解。</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植物提取主要是靠植物吸收土壤中的污染物，这些污染物运输并储存在植物体的地上部分，通过种植和收割植物而达到去除土壤中污染物的目的；植物挥发净化土壤可以分为两种方式：一是土壤中的污染物在植物根系分泌的特殊物质的作用下转化为挥发态，其二是植物将土壤中的污染物吸收到体内在转换为气态物质释放到大气中；植物稳定是指植物通过某种生化过程使污染基质中污染物的流动性降低，生物可利用性下降;植物降解是通过植物根系分泌物与根际微生物联合作用而达到降解污染物的生物化学过程，这种主要是处理复杂的有机物。</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以上几种方式中植物提取修复是目前应用最多、最有发展前景的技术；而植物挥发修复技术仅仅限于挥发性物质，将这些污染物转移到大气中有没有环境风险还不确定，因此应当谨慎采用;植物稳定修复仅仅是暂时固定污染物，当土壤环境发生变化时污染物可能将重新被激活而恢复毒性;因此，没有彻底解决土壤污染问题。</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w:t>
      </w:r>
      <w:r>
        <w:rPr>
          <w:rFonts w:hint="eastAsia" w:ascii="宋体" w:hAnsi="宋体" w:eastAsia="宋体" w:cs="宋体"/>
          <w:color w:val="000000" w:themeColor="text1"/>
        </w:rPr>
        <w:t>③</w:t>
      </w:r>
      <w:r>
        <w:rPr>
          <w:rFonts w:ascii="Times New Roman" w:hAnsi="Times New Roman" w:cs="Times New Roman"/>
          <w:color w:val="000000" w:themeColor="text1"/>
        </w:rPr>
        <w:t>动物修复。动物修复技术主要是通过土壤动物群来修复受污染的土壤，分为直接作用：吸收、转化和分解；间接作用：改善土壤理化性质，提高土壤肥力，促进植物和微生物的生长。动物修复技术包括两方面内容：第一，生长在污染土壤上的植物体和粮食等饲喂动物，通过研究动物的生化变异来研究土壤的污染状况;第二，直接将蚯蚓、线虫类等饲养在污染土壤中进行研究。目前这项技术较多的应用在石油类污染中。</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（3）化学修复</w:t>
      </w:r>
    </w:p>
    <w:p>
      <w:pPr>
        <w:widowControl/>
        <w:shd w:val="clear" w:color="auto" w:fill="FFFFFF"/>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化学修复是通过土壤中的吸附、溶解、氧化还原、拮抗、络合螯合或沉淀作用，以降低土壤中污染物的迁移性或生物有效性。常用的有以下几种：</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w:t>
      </w:r>
      <w:r>
        <w:rPr>
          <w:rFonts w:hint="eastAsia" w:cs="Times New Roman" w:asciiTheme="minorEastAsia" w:hAnsiTheme="minorEastAsia"/>
          <w:color w:val="000000" w:themeColor="text1"/>
        </w:rPr>
        <w:t>①</w:t>
      </w:r>
      <w:r>
        <w:rPr>
          <w:rFonts w:ascii="Times New Roman" w:hAnsi="Times New Roman" w:cs="Times New Roman"/>
          <w:color w:val="000000" w:themeColor="text1"/>
        </w:rPr>
        <w:t>固化：为了控制污染物在土壤中的迁移，一般是将含有重金属的污染土壤与固化剂按照一定的比例进行混合，熟化后形成渗透性较低的固体混合物，从而隔离了污染土壤与外界环境的影响将污染物固封在固化物中；</w:t>
      </w:r>
      <w:r>
        <w:rPr>
          <w:rFonts w:hint="eastAsia" w:cs="Times New Roman" w:asciiTheme="minorEastAsia" w:hAnsiTheme="minorEastAsia"/>
          <w:color w:val="000000" w:themeColor="text1"/>
        </w:rPr>
        <w:t>②</w:t>
      </w:r>
      <w:r>
        <w:rPr>
          <w:rFonts w:ascii="Times New Roman" w:hAnsi="Times New Roman" w:cs="Times New Roman"/>
          <w:color w:val="000000" w:themeColor="text1"/>
        </w:rPr>
        <w:t>稳定化：将污染物转化为不易溶解、迁移能力小以及毒性小的形式或状态，主要是通过在土壤中加入化学物质改变重金属的形态或价态实现的；</w:t>
      </w:r>
      <w:r>
        <w:rPr>
          <w:rFonts w:hint="eastAsia" w:cs="Times New Roman" w:asciiTheme="minorEastAsia" w:hAnsiTheme="minorEastAsia"/>
          <w:color w:val="000000" w:themeColor="text1"/>
        </w:rPr>
        <w:t>③</w:t>
      </w:r>
      <w:r>
        <w:rPr>
          <w:rFonts w:ascii="Times New Roman" w:hAnsi="Times New Roman" w:cs="Times New Roman"/>
          <w:color w:val="000000" w:themeColor="text1"/>
        </w:rPr>
        <w:t>萃取法：使用有机溶剂对石油污染的土壤中的原油进行萃取主要是根据相似相溶原理进行的，萃取后对有机相进行分离，回收油用于回炼，而分离的溶剂循环使用；</w:t>
      </w:r>
      <w:r>
        <w:rPr>
          <w:rFonts w:hint="eastAsia" w:cs="Times New Roman" w:asciiTheme="minorEastAsia" w:hAnsiTheme="minorEastAsia"/>
          <w:color w:val="000000" w:themeColor="text1"/>
        </w:rPr>
        <w:t>④</w:t>
      </w:r>
      <w:r>
        <w:rPr>
          <w:rFonts w:ascii="Times New Roman" w:hAnsi="Times New Roman" w:cs="Times New Roman"/>
          <w:color w:val="000000" w:themeColor="text1"/>
        </w:rPr>
        <w:t>淋洗法：受到污染的土壤经过清水淋洗液或含有化学助剂的水溶液淋洗出污染物。</w:t>
      </w:r>
    </w:p>
    <w:p>
      <w:pPr>
        <w:widowControl/>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以上几种方式各有自己的优势和适用范围，因此在处理污染土壤时应当根据实际情况选择适宜的处理方式以达到预期的处理效果。如：固化适用于面积小但是污染严重的土壤；萃取法仅仅适用于受油污浓度较高的土壤；而化学氧化法虽然操作比较复杂但是可以灵活的应用于不同类型污染物的处理中。</w:t>
      </w:r>
    </w:p>
    <w:p>
      <w:pPr>
        <w:pStyle w:val="3"/>
        <w:ind w:right="480"/>
        <w:rPr>
          <w:rFonts w:ascii="Times New Roman" w:hAnsi="Times New Roman" w:cs="Times New Roman" w:eastAsiaTheme="minorEastAsia"/>
          <w:b w:val="0"/>
          <w:bCs w:val="0"/>
          <w:color w:val="000000" w:themeColor="text1"/>
          <w:sz w:val="24"/>
          <w:szCs w:val="22"/>
        </w:rPr>
      </w:pPr>
      <w:bookmarkStart w:id="40" w:name="_Toc468087248"/>
      <w:bookmarkStart w:id="41" w:name="_Toc419659734"/>
      <w:bookmarkStart w:id="42" w:name="_Toc426042817"/>
      <w:bookmarkStart w:id="43" w:name="_Toc425949362"/>
      <w:bookmarkStart w:id="44" w:name="_Toc482661582"/>
      <w:r>
        <w:rPr>
          <w:rFonts w:ascii="Times New Roman" w:hAnsi="Times New Roman" w:cs="Times New Roman" w:eastAsiaTheme="minorEastAsia"/>
          <w:b w:val="0"/>
          <w:color w:val="000000" w:themeColor="text1"/>
        </w:rPr>
        <w:t>5.</w:t>
      </w:r>
      <w:bookmarkEnd w:id="40"/>
      <w:bookmarkEnd w:id="41"/>
      <w:bookmarkEnd w:id="42"/>
      <w:bookmarkEnd w:id="43"/>
      <w:r>
        <w:rPr>
          <w:rFonts w:ascii="Times New Roman" w:hAnsi="Times New Roman" w:cs="Times New Roman" w:eastAsiaTheme="minorEastAsia"/>
          <w:b w:val="0"/>
          <w:color w:val="000000" w:themeColor="text1"/>
        </w:rPr>
        <w:t>3土壤污染治理与修复技术方案比选</w:t>
      </w:r>
      <w:bookmarkEnd w:id="44"/>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各种土壤污染修复方法比选见表5-1。</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本工程为农药污染场地，其中生</w:t>
      </w:r>
      <w:r>
        <w:rPr>
          <w:rFonts w:ascii="Times New Roman" w:hAnsi="Times New Roman" w:cs="Times New Roman"/>
          <w:szCs w:val="24"/>
        </w:rPr>
        <w:t>厂区的六六六、杀虫双、杀虫单、氧化乐果等农药生产历史长达35年，产品达5万余吨，原车间和场地遗留的大量各类有机污染物，通过土壤、地下水等迁移，进入食物链，危害当地的生态环境和人体健康。</w:t>
      </w:r>
      <w:r>
        <w:rPr>
          <w:rFonts w:ascii="Times New Roman" w:hAnsi="Times New Roman" w:cs="Times New Roman"/>
          <w:color w:val="000000" w:themeColor="text1"/>
        </w:rPr>
        <w:t>由于该地块规划为居住用地，开发利用时间紧迫，因此不宜采用修复时间较长的原位修复技术，而宜采用异位修复技术。对 VOCs污染土壤修复可适用的异位修复技术主要有土壤淋洗、焚烧和热解吸。</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对 VOCs污染土壤淋洗技术的研究和应用，主要围绕以表面活性剂作为淋洗液而开展，有时通过加入氧化剂，帮助难分解、有毒化合物转化为二氧化碳、水或毒性较小或更容易生物降解的中间产物，从而达到去污染、清洗土壤的目的。采用该技术对单一污染组分及土壤粘粒含量低的土壤修复效果较好，但淋洗后的溶液还需要进一步处理使整个处置过程变得复杂，耗时较长，由于该地块污染组分复杂，且污染土层主要为褐色、灰褐色粘土，同时考虑该地块修复的时效性，认为土壤淋洗技术不是本项目最佳的修复技术。</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热解吸技术在修复有机污染土壤方面是一种成熟可靠的技术，可适用于多种污染组分的处置，对挥发性有机物，半挥发性有机物和持久性有机物都很有效。可修复一般的土壤，也可用于淤泥等难处置土壤的修复。热解吸技术同焚烧技术相比，处置成本低，能耗小，是一种经济环保的修复技术。但是，热脱附设备投入较大，高含水率情况下运行费用高。因此，考虑该地块含水率高的特点，可认为热解吸技术也不是本项目最佳的修复技术。</w:t>
      </w:r>
    </w:p>
    <w:p>
      <w:pPr>
        <w:ind w:firstLine="480" w:firstLineChars="200"/>
        <w:rPr>
          <w:rFonts w:ascii="Times New Roman" w:hAnsi="Times New Roman" w:cs="Times New Roman"/>
          <w:color w:val="000000" w:themeColor="text1"/>
        </w:rPr>
        <w:sectPr>
          <w:footerReference r:id="rId6" w:type="default"/>
          <w:pgSz w:w="11906" w:h="16838"/>
          <w:pgMar w:top="1440" w:right="1797" w:bottom="1440" w:left="1797" w:header="851" w:footer="992" w:gutter="0"/>
          <w:pgNumType w:fmt="decimal"/>
          <w:cols w:space="425" w:num="1"/>
          <w:docGrid w:linePitch="326" w:charSpace="0"/>
        </w:sectPr>
      </w:pPr>
      <w:r>
        <w:rPr>
          <w:rFonts w:ascii="Times New Roman" w:hAnsi="Times New Roman" w:cs="Times New Roman"/>
          <w:color w:val="000000" w:themeColor="text1"/>
        </w:rPr>
        <w:t>焚烧技术是一种比较成熟的修复技术，处置成本比土壤淋洗和热解吸技术差别不大。考虑到本地块局部残存有成分、来源复杂的废液、废渣，或单独存在于地下沟、池、坑等构筑物中，或夹杂渗透于土壤中，危害性大，可视作危险废物，此类污染物用其他方法不宜处理或处理后不易达标，故宜用焚烧技术对该部分污染物进行彻底处置。同时，益阳市已建成水泥厂较多，通过较简单的工艺改造，可具备相应的焚烧处理设备，可大大减少前期的投入。因此，本项目推存采用焚烧技术进行污染土壤的处置。</w:t>
      </w:r>
    </w:p>
    <w:p>
      <w:pPr>
        <w:jc w:val="center"/>
        <w:rPr>
          <w:rFonts w:ascii="Times New Roman" w:hAnsi="Times New Roman" w:cs="Times New Roman"/>
          <w:b/>
          <w:sz w:val="21"/>
          <w:szCs w:val="21"/>
        </w:rPr>
      </w:pPr>
      <w:r>
        <w:rPr>
          <w:rFonts w:ascii="Times New Roman" w:hAnsi="Times New Roman" w:cs="Times New Roman"/>
          <w:b/>
          <w:sz w:val="21"/>
          <w:szCs w:val="21"/>
        </w:rPr>
        <w:t>表5-1 各种土壤污染修复方法比选</w:t>
      </w:r>
    </w:p>
    <w:tbl>
      <w:tblPr>
        <w:tblStyle w:val="33"/>
        <w:tblW w:w="14622" w:type="dxa"/>
        <w:tblInd w:w="93" w:type="dxa"/>
        <w:tblLayout w:type="fixed"/>
        <w:tblCellMar>
          <w:top w:w="0" w:type="dxa"/>
          <w:left w:w="108" w:type="dxa"/>
          <w:bottom w:w="0" w:type="dxa"/>
          <w:right w:w="108" w:type="dxa"/>
        </w:tblCellMar>
      </w:tblPr>
      <w:tblGrid>
        <w:gridCol w:w="477"/>
        <w:gridCol w:w="884"/>
        <w:gridCol w:w="4173"/>
        <w:gridCol w:w="3253"/>
        <w:gridCol w:w="1416"/>
        <w:gridCol w:w="2264"/>
        <w:gridCol w:w="1112"/>
        <w:gridCol w:w="1043"/>
      </w:tblGrid>
      <w:tr>
        <w:tblPrEx>
          <w:tblLayout w:type="fixed"/>
          <w:tblCellMar>
            <w:top w:w="0" w:type="dxa"/>
            <w:left w:w="108" w:type="dxa"/>
            <w:bottom w:w="0" w:type="dxa"/>
            <w:right w:w="108" w:type="dxa"/>
          </w:tblCellMar>
        </w:tblPrEx>
        <w:trPr>
          <w:trHeight w:val="476" w:hRule="atLeast"/>
        </w:trPr>
        <w:tc>
          <w:tcPr>
            <w:tcW w:w="4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序号</w:t>
            </w:r>
          </w:p>
        </w:tc>
        <w:tc>
          <w:tcPr>
            <w:tcW w:w="88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修复方法</w:t>
            </w:r>
          </w:p>
        </w:tc>
        <w:tc>
          <w:tcPr>
            <w:tcW w:w="417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技术原理和条件要求</w:t>
            </w:r>
          </w:p>
        </w:tc>
        <w:tc>
          <w:tcPr>
            <w:tcW w:w="325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结合实际情况后限制性条件分析</w:t>
            </w:r>
          </w:p>
        </w:tc>
        <w:tc>
          <w:tcPr>
            <w:tcW w:w="141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修复资源需求</w:t>
            </w:r>
          </w:p>
        </w:tc>
        <w:tc>
          <w:tcPr>
            <w:tcW w:w="226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处理工艺安全健康分析</w:t>
            </w:r>
          </w:p>
        </w:tc>
        <w:tc>
          <w:tcPr>
            <w:tcW w:w="111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修复时间</w:t>
            </w:r>
          </w:p>
        </w:tc>
        <w:tc>
          <w:tcPr>
            <w:tcW w:w="104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成本测算</w:t>
            </w:r>
          </w:p>
        </w:tc>
      </w:tr>
      <w:tr>
        <w:tblPrEx>
          <w:tblLayout w:type="fixed"/>
          <w:tblCellMar>
            <w:top w:w="0" w:type="dxa"/>
            <w:left w:w="108" w:type="dxa"/>
            <w:bottom w:w="0" w:type="dxa"/>
            <w:right w:w="108" w:type="dxa"/>
          </w:tblCellMar>
        </w:tblPrEx>
        <w:trPr>
          <w:trHeight w:val="1101" w:hRule="atLeast"/>
        </w:trPr>
        <w:tc>
          <w:tcPr>
            <w:tcW w:w="47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8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热解吸技术</w:t>
            </w:r>
          </w:p>
        </w:tc>
        <w:tc>
          <w:tcPr>
            <w:tcW w:w="417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热解吸是通过直接或间接热交换，将污染介质及其所含的有机污染物加热到足够的温度（通常被加热到150~540</w:t>
            </w:r>
            <w:r>
              <w:rPr>
                <w:rFonts w:hint="eastAsia" w:ascii="宋体" w:hAnsi="宋体" w:eastAsia="宋体" w:cs="宋体"/>
                <w:kern w:val="0"/>
                <w:sz w:val="18"/>
                <w:szCs w:val="18"/>
              </w:rPr>
              <w:t>℃</w:t>
            </w:r>
            <w:r>
              <w:rPr>
                <w:rFonts w:ascii="Times New Roman" w:hAnsi="Times New Roman" w:cs="Times New Roman"/>
                <w:kern w:val="0"/>
                <w:sz w:val="18"/>
                <w:szCs w:val="18"/>
              </w:rPr>
              <w:t>），以使有机污染物从污染介质上得以挥发或分离的过程。</w:t>
            </w:r>
          </w:p>
        </w:tc>
        <w:tc>
          <w:tcPr>
            <w:tcW w:w="325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处理费用相对较高，需要将土壤挖出后异位处理，一般水泥厂的回转窑可用于热解还原法处理</w:t>
            </w:r>
          </w:p>
        </w:tc>
        <w:tc>
          <w:tcPr>
            <w:tcW w:w="14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煤炭资源;水资源</w:t>
            </w:r>
          </w:p>
        </w:tc>
        <w:tc>
          <w:tcPr>
            <w:tcW w:w="22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控制土方开挖、运输过程中产生的扬尘，煅烧过程的大气污染物及冷却水的二次污染</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8 个月</w:t>
            </w:r>
          </w:p>
        </w:tc>
        <w:tc>
          <w:tcPr>
            <w:tcW w:w="1043"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200 元/t</w:t>
            </w:r>
          </w:p>
        </w:tc>
      </w:tr>
      <w:tr>
        <w:tblPrEx>
          <w:tblLayout w:type="fixed"/>
          <w:tblCellMar>
            <w:top w:w="0" w:type="dxa"/>
            <w:left w:w="108" w:type="dxa"/>
            <w:bottom w:w="0" w:type="dxa"/>
            <w:right w:w="108" w:type="dxa"/>
          </w:tblCellMar>
        </w:tblPrEx>
        <w:trPr>
          <w:trHeight w:val="1015" w:hRule="atLeast"/>
        </w:trPr>
        <w:tc>
          <w:tcPr>
            <w:tcW w:w="47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8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焚烧法</w:t>
            </w:r>
          </w:p>
        </w:tc>
        <w:tc>
          <w:tcPr>
            <w:tcW w:w="417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b/>
                <w:kern w:val="0"/>
                <w:sz w:val="18"/>
                <w:szCs w:val="18"/>
              </w:rPr>
            </w:pPr>
            <w:r>
              <w:rPr>
                <w:rFonts w:ascii="Times New Roman" w:hAnsi="Times New Roman" w:cs="Times New Roman"/>
                <w:b/>
                <w:kern w:val="0"/>
                <w:sz w:val="18"/>
                <w:szCs w:val="18"/>
              </w:rPr>
              <w:t>焚烧法是在高温条件下（</w:t>
            </w:r>
            <w:r>
              <w:rPr>
                <w:rFonts w:ascii="Times New Roman" w:hAnsi="Times New Roman" w:cs="Times New Roman"/>
                <w:kern w:val="0"/>
                <w:sz w:val="18"/>
                <w:szCs w:val="18"/>
              </w:rPr>
              <w:t>800~2500</w:t>
            </w:r>
            <w:r>
              <w:rPr>
                <w:rFonts w:hint="eastAsia" w:ascii="宋体" w:hAnsi="宋体" w:eastAsia="宋体" w:cs="宋体"/>
                <w:kern w:val="0"/>
                <w:sz w:val="18"/>
                <w:szCs w:val="18"/>
              </w:rPr>
              <w:t>℃</w:t>
            </w:r>
            <w:r>
              <w:rPr>
                <w:rFonts w:ascii="Times New Roman" w:hAnsi="Times New Roman" w:cs="Times New Roman"/>
                <w:b/>
                <w:kern w:val="0"/>
                <w:sz w:val="18"/>
                <w:szCs w:val="18"/>
              </w:rPr>
              <w:t>），通过热氧化作用以破坏污染物的异位热处理技术。</w:t>
            </w:r>
          </w:p>
        </w:tc>
        <w:tc>
          <w:tcPr>
            <w:tcW w:w="325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b/>
                <w:kern w:val="0"/>
                <w:sz w:val="18"/>
                <w:szCs w:val="18"/>
              </w:rPr>
            </w:pPr>
            <w:r>
              <w:rPr>
                <w:rFonts w:ascii="Times New Roman" w:hAnsi="Times New Roman" w:cs="Times New Roman"/>
                <w:b/>
                <w:kern w:val="0"/>
                <w:sz w:val="18"/>
                <w:szCs w:val="18"/>
              </w:rPr>
              <w:t>处理费用相对较高，需要将土壤挖出后异位处理，适用于挥发/半挥发有机物污染、卤化或非卤化有机物、农药、除草剂、氰化物等治理</w:t>
            </w:r>
          </w:p>
        </w:tc>
        <w:tc>
          <w:tcPr>
            <w:tcW w:w="14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煤炭资源</w:t>
            </w:r>
          </w:p>
        </w:tc>
        <w:tc>
          <w:tcPr>
            <w:tcW w:w="22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b/>
                <w:kern w:val="0"/>
                <w:sz w:val="18"/>
                <w:szCs w:val="18"/>
              </w:rPr>
            </w:pPr>
            <w:r>
              <w:rPr>
                <w:rFonts w:ascii="Times New Roman" w:hAnsi="Times New Roman" w:cs="Times New Roman"/>
                <w:b/>
                <w:kern w:val="0"/>
                <w:sz w:val="18"/>
                <w:szCs w:val="18"/>
              </w:rPr>
              <w:t>控制土方开挖、运输过程中产生的扬尘，焚烧过程的大气污染物</w:t>
            </w:r>
          </w:p>
        </w:tc>
        <w:tc>
          <w:tcPr>
            <w:tcW w:w="111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10个月</w:t>
            </w:r>
          </w:p>
        </w:tc>
        <w:tc>
          <w:tcPr>
            <w:tcW w:w="1043"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180 元/t</w:t>
            </w:r>
          </w:p>
        </w:tc>
      </w:tr>
      <w:tr>
        <w:tblPrEx>
          <w:tblLayout w:type="fixed"/>
          <w:tblCellMar>
            <w:top w:w="0" w:type="dxa"/>
            <w:left w:w="108" w:type="dxa"/>
            <w:bottom w:w="0" w:type="dxa"/>
            <w:right w:w="108" w:type="dxa"/>
          </w:tblCellMar>
        </w:tblPrEx>
        <w:trPr>
          <w:trHeight w:val="1188" w:hRule="atLeast"/>
        </w:trPr>
        <w:tc>
          <w:tcPr>
            <w:tcW w:w="47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8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固化稳定法</w:t>
            </w:r>
          </w:p>
        </w:tc>
        <w:tc>
          <w:tcPr>
            <w:tcW w:w="417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将污染物转化为不易溶解、迁移能力小以及毒性小的形式或状态，主要是通过在土壤中加入化学物质改变重金属的形态或价态实现的</w:t>
            </w:r>
          </w:p>
        </w:tc>
        <w:tc>
          <w:tcPr>
            <w:tcW w:w="325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需将污染的土壤挖出来;土壤的性质会影响到技术的有效性;并没有从根本上去除污染物;各类有机物的水溶性较差，处理效果比较理想</w:t>
            </w:r>
          </w:p>
        </w:tc>
        <w:tc>
          <w:tcPr>
            <w:tcW w:w="14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固化剂或稳定剂</w:t>
            </w:r>
          </w:p>
        </w:tc>
        <w:tc>
          <w:tcPr>
            <w:tcW w:w="22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土方开挖、运输过程会产生扬尘，固化剂/稳定剂会产生的挥发性有机污染物</w:t>
            </w:r>
          </w:p>
        </w:tc>
        <w:tc>
          <w:tcPr>
            <w:tcW w:w="111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9个月</w:t>
            </w:r>
          </w:p>
        </w:tc>
        <w:tc>
          <w:tcPr>
            <w:tcW w:w="1043"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300 元/t</w:t>
            </w:r>
          </w:p>
        </w:tc>
      </w:tr>
      <w:tr>
        <w:tblPrEx>
          <w:tblLayout w:type="fixed"/>
          <w:tblCellMar>
            <w:top w:w="0" w:type="dxa"/>
            <w:left w:w="108" w:type="dxa"/>
            <w:bottom w:w="0" w:type="dxa"/>
            <w:right w:w="108" w:type="dxa"/>
          </w:tblCellMar>
        </w:tblPrEx>
        <w:trPr>
          <w:trHeight w:val="721" w:hRule="atLeast"/>
        </w:trPr>
        <w:tc>
          <w:tcPr>
            <w:tcW w:w="47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8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化学氧化法</w:t>
            </w:r>
          </w:p>
        </w:tc>
        <w:tc>
          <w:tcPr>
            <w:tcW w:w="417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利用强氧化剂如高锰酸钾等将有机物氧化成二氧化碳和水从而降低对环境的危害</w:t>
            </w:r>
          </w:p>
        </w:tc>
        <w:tc>
          <w:tcPr>
            <w:tcW w:w="325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原位修复未做防渗处理的渣场，会引起二次污染，具有潜在的危害</w:t>
            </w:r>
          </w:p>
        </w:tc>
        <w:tc>
          <w:tcPr>
            <w:tcW w:w="14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大量的氧化剂(如高锰酸钾等)</w:t>
            </w:r>
          </w:p>
        </w:tc>
        <w:tc>
          <w:tcPr>
            <w:tcW w:w="22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操作人员不直接接触污染物，易产生二次污染</w:t>
            </w:r>
          </w:p>
        </w:tc>
        <w:tc>
          <w:tcPr>
            <w:tcW w:w="111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12个月</w:t>
            </w:r>
          </w:p>
        </w:tc>
        <w:tc>
          <w:tcPr>
            <w:tcW w:w="1043"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200 元/t</w:t>
            </w:r>
          </w:p>
        </w:tc>
      </w:tr>
      <w:tr>
        <w:tblPrEx>
          <w:tblLayout w:type="fixed"/>
          <w:tblCellMar>
            <w:top w:w="0" w:type="dxa"/>
            <w:left w:w="108" w:type="dxa"/>
            <w:bottom w:w="0" w:type="dxa"/>
            <w:right w:w="108" w:type="dxa"/>
          </w:tblCellMar>
        </w:tblPrEx>
        <w:trPr>
          <w:trHeight w:val="1124" w:hRule="atLeast"/>
        </w:trPr>
        <w:tc>
          <w:tcPr>
            <w:tcW w:w="47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8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清洗法</w:t>
            </w:r>
          </w:p>
        </w:tc>
        <w:tc>
          <w:tcPr>
            <w:tcW w:w="417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水力压头推动清洗液通过污染土壤而将有机物从土壤中清洗出去，清洗液可以是某种配合剂或者只是清水。分为原位淋洗和异位淋洗两种</w:t>
            </w:r>
          </w:p>
        </w:tc>
        <w:tc>
          <w:tcPr>
            <w:tcW w:w="325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本地区水资源短缺，而且渣场无防渗措施，适合异位淋洗，否则清洗过程容易造成二次污染和把污染物转移到更深层的土壤和地下水。此法适用于渗透系数较大的土壤</w:t>
            </w:r>
          </w:p>
        </w:tc>
        <w:tc>
          <w:tcPr>
            <w:tcW w:w="14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水资源(化学配</w:t>
            </w:r>
            <w:r>
              <w:rPr>
                <w:rFonts w:ascii="Times New Roman" w:hAnsi="Times New Roman" w:cs="Times New Roman"/>
                <w:kern w:val="0"/>
                <w:sz w:val="18"/>
                <w:szCs w:val="18"/>
              </w:rPr>
              <w:br w:type="textWrapping"/>
            </w:r>
            <w:r>
              <w:rPr>
                <w:rFonts w:ascii="Times New Roman" w:hAnsi="Times New Roman" w:cs="Times New Roman"/>
                <w:kern w:val="0"/>
                <w:sz w:val="18"/>
                <w:szCs w:val="18"/>
              </w:rPr>
              <w:t>合剂)</w:t>
            </w:r>
          </w:p>
        </w:tc>
        <w:tc>
          <w:tcPr>
            <w:tcW w:w="22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操作人员不直接接触污染物，但易造成污染转移</w:t>
            </w:r>
          </w:p>
        </w:tc>
        <w:tc>
          <w:tcPr>
            <w:tcW w:w="1112"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3年以上</w:t>
            </w:r>
          </w:p>
        </w:tc>
        <w:tc>
          <w:tcPr>
            <w:tcW w:w="1043"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140 元/t</w:t>
            </w:r>
          </w:p>
        </w:tc>
      </w:tr>
      <w:tr>
        <w:tblPrEx>
          <w:tblLayout w:type="fixed"/>
          <w:tblCellMar>
            <w:top w:w="0" w:type="dxa"/>
            <w:left w:w="108" w:type="dxa"/>
            <w:bottom w:w="0" w:type="dxa"/>
            <w:right w:w="108" w:type="dxa"/>
          </w:tblCellMar>
        </w:tblPrEx>
        <w:trPr>
          <w:trHeight w:val="1210" w:hRule="atLeast"/>
        </w:trPr>
        <w:tc>
          <w:tcPr>
            <w:tcW w:w="47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88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生物修复法</w:t>
            </w:r>
          </w:p>
        </w:tc>
        <w:tc>
          <w:tcPr>
            <w:tcW w:w="417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包括植物修复和微生物修复，通过植物富集作用修复被污染土壤</w:t>
            </w:r>
          </w:p>
        </w:tc>
        <w:tc>
          <w:tcPr>
            <w:tcW w:w="3253"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生物量小，生长速度缓慢，受环境因素影响大、修复时间长，因此修复效果不够理想。且尚未发现适合本地区生长的修复植物。未具体应用到大面积土壤修复</w:t>
            </w:r>
          </w:p>
        </w:tc>
        <w:tc>
          <w:tcPr>
            <w:tcW w:w="1416"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富集植株或微生物菌株</w:t>
            </w:r>
          </w:p>
        </w:tc>
        <w:tc>
          <w:tcPr>
            <w:tcW w:w="22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18"/>
                <w:szCs w:val="18"/>
              </w:rPr>
            </w:pPr>
            <w:r>
              <w:rPr>
                <w:rFonts w:ascii="Times New Roman" w:hAnsi="Times New Roman" w:cs="Times New Roman"/>
                <w:kern w:val="0"/>
                <w:sz w:val="18"/>
                <w:szCs w:val="18"/>
              </w:rPr>
              <w:t>操作人员不直接接触污染物，且无二次污染</w:t>
            </w:r>
          </w:p>
        </w:tc>
        <w:tc>
          <w:tcPr>
            <w:tcW w:w="1112"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8 年以上</w:t>
            </w:r>
          </w:p>
        </w:tc>
        <w:tc>
          <w:tcPr>
            <w:tcW w:w="1043"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 xml:space="preserve"> 110 元/t</w:t>
            </w:r>
          </w:p>
        </w:tc>
      </w:tr>
    </w:tbl>
    <w:p>
      <w:pPr>
        <w:rPr>
          <w:rFonts w:ascii="Times New Roman" w:hAnsi="Times New Roman" w:cs="Times New Roman"/>
        </w:rPr>
        <w:sectPr>
          <w:pgSz w:w="16838" w:h="11906" w:orient="landscape"/>
          <w:pgMar w:top="1797" w:right="1440" w:bottom="1797" w:left="1440" w:header="851" w:footer="992" w:gutter="0"/>
          <w:pgNumType w:fmt="decimal"/>
          <w:cols w:space="425" w:num="1"/>
          <w:docGrid w:linePitch="326" w:charSpace="0"/>
        </w:sectPr>
      </w:pPr>
    </w:p>
    <w:p>
      <w:pPr>
        <w:pStyle w:val="2"/>
        <w:wordWrap w:val="0"/>
        <w:topLinePunct/>
        <w:adjustRightInd w:val="0"/>
        <w:snapToGrid w:val="0"/>
        <w:spacing w:before="120" w:beforeLines="50" w:after="120" w:afterLines="50" w:line="520" w:lineRule="exact"/>
        <w:rPr>
          <w:rFonts w:ascii="Times New Roman" w:hAnsi="Times New Roman" w:cs="Times New Roman" w:eastAsiaTheme="minorEastAsia"/>
          <w:color w:val="000000" w:themeColor="text1"/>
        </w:rPr>
      </w:pPr>
      <w:bookmarkStart w:id="45" w:name="_Toc482661583"/>
      <w:r>
        <w:rPr>
          <w:rFonts w:ascii="Times New Roman" w:hAnsi="Times New Roman" w:cs="Times New Roman" w:eastAsiaTheme="minorEastAsia"/>
          <w:color w:val="000000" w:themeColor="text1"/>
        </w:rPr>
        <w:t>6 治理与修复工程方案</w:t>
      </w:r>
      <w:bookmarkEnd w:id="45"/>
    </w:p>
    <w:p>
      <w:pPr>
        <w:pStyle w:val="3"/>
        <w:rPr>
          <w:rFonts w:ascii="Times New Roman" w:hAnsi="Times New Roman" w:cs="Times New Roman" w:eastAsiaTheme="minorEastAsia"/>
        </w:rPr>
      </w:pPr>
      <w:bookmarkStart w:id="46" w:name="_Toc482661584"/>
      <w:r>
        <w:rPr>
          <w:rFonts w:ascii="Times New Roman" w:hAnsi="Times New Roman" w:cs="Times New Roman" w:eastAsiaTheme="minorEastAsia"/>
        </w:rPr>
        <w:t>6.1工艺设计</w:t>
      </w:r>
      <w:bookmarkEnd w:id="46"/>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由上述的治理与修复技术方案比选可知，本项目推荐采用焚烧技术进行污染土壤的处置。本项目污染废土量较大，要在短时间内对其安全处置有一定难度，需进行技术、设备与经济分析后综合确定。通过表6-1中各方案优缺点对比分析建议采用方案4（新建隧道窑全部焚烧废土）。</w:t>
      </w:r>
    </w:p>
    <w:p>
      <w:pPr>
        <w:jc w:val="center"/>
        <w:rPr>
          <w:rFonts w:ascii="Times New Roman" w:hAnsi="Times New Roman" w:cs="Times New Roman"/>
          <w:sz w:val="28"/>
          <w:szCs w:val="28"/>
        </w:rPr>
      </w:pPr>
      <w:r>
        <w:rPr>
          <w:rFonts w:ascii="Times New Roman" w:hAnsi="Times New Roman" w:cs="Times New Roman"/>
          <w:b/>
          <w:sz w:val="21"/>
          <w:szCs w:val="21"/>
        </w:rPr>
        <w:t>表</w:t>
      </w:r>
      <w:r>
        <w:rPr>
          <w:rFonts w:hint="eastAsia" w:ascii="Times New Roman" w:hAnsi="Times New Roman" w:cs="Times New Roman"/>
          <w:b/>
          <w:sz w:val="21"/>
          <w:szCs w:val="21"/>
        </w:rPr>
        <w:t>6</w:t>
      </w:r>
      <w:r>
        <w:rPr>
          <w:rFonts w:ascii="Times New Roman" w:hAnsi="Times New Roman" w:cs="Times New Roman"/>
          <w:b/>
          <w:sz w:val="21"/>
          <w:szCs w:val="21"/>
        </w:rPr>
        <w:t xml:space="preserve">-1 </w:t>
      </w:r>
      <w:r>
        <w:rPr>
          <w:rFonts w:hint="eastAsia" w:ascii="Times New Roman" w:hAnsi="Times New Roman" w:cs="Times New Roman"/>
          <w:b/>
          <w:sz w:val="21"/>
          <w:szCs w:val="21"/>
        </w:rPr>
        <w:t>具体实施方案比选</w:t>
      </w:r>
    </w:p>
    <w:tbl>
      <w:tblPr>
        <w:tblStyle w:val="33"/>
        <w:tblW w:w="9540" w:type="dxa"/>
        <w:jc w:val="center"/>
        <w:tblInd w:w="93" w:type="dxa"/>
        <w:tblLayout w:type="fixed"/>
        <w:tblCellMar>
          <w:top w:w="0" w:type="dxa"/>
          <w:left w:w="108" w:type="dxa"/>
          <w:bottom w:w="0" w:type="dxa"/>
          <w:right w:w="108" w:type="dxa"/>
        </w:tblCellMar>
      </w:tblPr>
      <w:tblGrid>
        <w:gridCol w:w="680"/>
        <w:gridCol w:w="1080"/>
        <w:gridCol w:w="960"/>
        <w:gridCol w:w="1080"/>
        <w:gridCol w:w="1100"/>
        <w:gridCol w:w="2200"/>
        <w:gridCol w:w="2440"/>
      </w:tblGrid>
      <w:tr>
        <w:tblPrEx>
          <w:tblLayout w:type="fixed"/>
          <w:tblCellMar>
            <w:top w:w="0" w:type="dxa"/>
            <w:left w:w="108" w:type="dxa"/>
            <w:bottom w:w="0" w:type="dxa"/>
            <w:right w:w="108" w:type="dxa"/>
          </w:tblCellMar>
        </w:tblPrEx>
        <w:trPr>
          <w:trHeight w:val="765"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序号</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方案</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依托企业</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加入位置</w:t>
            </w:r>
          </w:p>
        </w:tc>
        <w:tc>
          <w:tcPr>
            <w:tcW w:w="11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所需时间</w:t>
            </w:r>
          </w:p>
        </w:tc>
        <w:tc>
          <w:tcPr>
            <w:tcW w:w="22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优点</w:t>
            </w:r>
          </w:p>
        </w:tc>
        <w:tc>
          <w:tcPr>
            <w:tcW w:w="24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缺点</w:t>
            </w:r>
          </w:p>
        </w:tc>
      </w:tr>
      <w:tr>
        <w:tblPrEx>
          <w:tblLayout w:type="fixed"/>
          <w:tblCellMar>
            <w:top w:w="0" w:type="dxa"/>
            <w:left w:w="108" w:type="dxa"/>
            <w:bottom w:w="0" w:type="dxa"/>
            <w:right w:w="108" w:type="dxa"/>
          </w:tblCellMar>
        </w:tblPrEx>
        <w:trPr>
          <w:trHeight w:val="1620" w:hRule="atLeast"/>
          <w:jc w:val="center"/>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中空干法窑配制水泥</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当地水泥厂</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随石灰石一同破碎加入原料</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15个月</w:t>
            </w:r>
          </w:p>
        </w:tc>
        <w:tc>
          <w:tcPr>
            <w:tcW w:w="220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铲车加入原料，无需分拣、包装，距离近。参照其他地方处理结果，各类有机物去除效率高。直接资源化利用，处理费用低。</w:t>
            </w:r>
          </w:p>
        </w:tc>
        <w:tc>
          <w:tcPr>
            <w:tcW w:w="244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能力小，处置时间长。</w:t>
            </w:r>
          </w:p>
        </w:tc>
      </w:tr>
      <w:tr>
        <w:tblPrEx>
          <w:tblLayout w:type="fixed"/>
          <w:tblCellMar>
            <w:top w:w="0" w:type="dxa"/>
            <w:left w:w="108" w:type="dxa"/>
            <w:bottom w:w="0" w:type="dxa"/>
            <w:right w:w="108" w:type="dxa"/>
          </w:tblCellMar>
        </w:tblPrEx>
        <w:trPr>
          <w:trHeight w:val="1065" w:hRule="atLeast"/>
          <w:jc w:val="center"/>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新型干法窑配制水泥</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当地水泥厂</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加入窑尾烟室</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10-12个月</w:t>
            </w:r>
          </w:p>
        </w:tc>
        <w:tc>
          <w:tcPr>
            <w:tcW w:w="220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kern w:val="0"/>
                <w:sz w:val="18"/>
                <w:szCs w:val="18"/>
              </w:rPr>
            </w:pPr>
            <w:r>
              <w:rPr>
                <w:rFonts w:ascii="Times New Roman" w:hAnsi="Times New Roman" w:cs="Times New Roman"/>
                <w:kern w:val="0"/>
                <w:sz w:val="18"/>
                <w:szCs w:val="18"/>
              </w:rPr>
              <w:t>处置时间短，设备先进，生产过程自动化控制。</w:t>
            </w:r>
          </w:p>
        </w:tc>
        <w:tc>
          <w:tcPr>
            <w:tcW w:w="244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kern w:val="0"/>
                <w:sz w:val="18"/>
                <w:szCs w:val="18"/>
              </w:rPr>
            </w:pPr>
            <w:r>
              <w:rPr>
                <w:rFonts w:ascii="Times New Roman" w:hAnsi="Times New Roman" w:cs="Times New Roman"/>
                <w:kern w:val="0"/>
                <w:sz w:val="18"/>
                <w:szCs w:val="18"/>
              </w:rPr>
              <w:t>窑尾开设投料口，对燃烧工况及能耗势必产生影响，不好控制，影响正常生产。人工包装难度大。</w:t>
            </w:r>
          </w:p>
        </w:tc>
      </w:tr>
      <w:tr>
        <w:tblPrEx>
          <w:tblLayout w:type="fixed"/>
          <w:tblCellMar>
            <w:top w:w="0" w:type="dxa"/>
            <w:left w:w="108" w:type="dxa"/>
            <w:bottom w:w="0" w:type="dxa"/>
            <w:right w:w="108" w:type="dxa"/>
          </w:tblCellMar>
        </w:tblPrEx>
        <w:trPr>
          <w:trHeight w:val="1050" w:hRule="atLeast"/>
          <w:jc w:val="center"/>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中空干制水泥部烧土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当地水泥厂</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全部为废土，从窑尾加入</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5-6个月</w:t>
            </w:r>
          </w:p>
        </w:tc>
        <w:tc>
          <w:tcPr>
            <w:tcW w:w="220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kern w:val="0"/>
                <w:sz w:val="18"/>
                <w:szCs w:val="18"/>
              </w:rPr>
            </w:pPr>
            <w:r>
              <w:rPr>
                <w:rFonts w:ascii="Times New Roman" w:hAnsi="Times New Roman" w:cs="Times New Roman"/>
                <w:kern w:val="0"/>
                <w:sz w:val="18"/>
                <w:szCs w:val="18"/>
              </w:rPr>
              <w:t>处置时间短，有现成设备。</w:t>
            </w:r>
          </w:p>
        </w:tc>
        <w:tc>
          <w:tcPr>
            <w:tcW w:w="244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kern w:val="0"/>
                <w:sz w:val="18"/>
                <w:szCs w:val="18"/>
              </w:rPr>
            </w:pPr>
            <w:r>
              <w:rPr>
                <w:rFonts w:ascii="Times New Roman" w:hAnsi="Times New Roman" w:cs="Times New Roman"/>
                <w:kern w:val="0"/>
                <w:sz w:val="18"/>
                <w:szCs w:val="18"/>
              </w:rPr>
              <w:t>需清除大块杂质，减少含水量。可能破坏窑皮与耐火砖，甚至烧透窑体。技术有待进一步论证</w:t>
            </w:r>
          </w:p>
        </w:tc>
      </w:tr>
      <w:tr>
        <w:tblPrEx>
          <w:tblLayout w:type="fixed"/>
          <w:tblCellMar>
            <w:top w:w="0" w:type="dxa"/>
            <w:left w:w="108" w:type="dxa"/>
            <w:bottom w:w="0" w:type="dxa"/>
            <w:right w:w="108" w:type="dxa"/>
          </w:tblCellMar>
        </w:tblPrEx>
        <w:trPr>
          <w:trHeight w:val="1245" w:hRule="atLeast"/>
          <w:jc w:val="center"/>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4</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新建隧道窑全部焚烧废土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新建</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窑尾进入</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b/>
                <w:kern w:val="0"/>
                <w:sz w:val="18"/>
                <w:szCs w:val="18"/>
              </w:rPr>
            </w:pPr>
            <w:r>
              <w:rPr>
                <w:rFonts w:ascii="Times New Roman" w:hAnsi="Times New Roman" w:cs="Times New Roman"/>
                <w:b/>
                <w:kern w:val="0"/>
                <w:sz w:val="18"/>
                <w:szCs w:val="18"/>
              </w:rPr>
              <w:t>6-8个月</w:t>
            </w:r>
          </w:p>
        </w:tc>
        <w:tc>
          <w:tcPr>
            <w:tcW w:w="220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b/>
                <w:kern w:val="0"/>
                <w:sz w:val="18"/>
                <w:szCs w:val="18"/>
              </w:rPr>
            </w:pPr>
            <w:r>
              <w:rPr>
                <w:rFonts w:ascii="Times New Roman" w:hAnsi="Times New Roman" w:cs="Times New Roman"/>
                <w:b/>
                <w:kern w:val="0"/>
                <w:sz w:val="18"/>
                <w:szCs w:val="18"/>
              </w:rPr>
              <w:t>煤气焚烧，停留时间与温度可调性较大，处理能力大。</w:t>
            </w:r>
          </w:p>
        </w:tc>
        <w:tc>
          <w:tcPr>
            <w:tcW w:w="244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b/>
                <w:kern w:val="0"/>
                <w:sz w:val="18"/>
                <w:szCs w:val="18"/>
              </w:rPr>
            </w:pPr>
            <w:r>
              <w:rPr>
                <w:rFonts w:ascii="Times New Roman" w:hAnsi="Times New Roman" w:cs="Times New Roman"/>
                <w:b/>
                <w:kern w:val="0"/>
                <w:sz w:val="18"/>
                <w:szCs w:val="18"/>
              </w:rPr>
              <w:t>一次性投资200万元，处理费用60万元。设备制造安装需2个月。温度过高会造成烧结，破坏窑车。</w:t>
            </w:r>
          </w:p>
        </w:tc>
      </w:tr>
      <w:tr>
        <w:tblPrEx>
          <w:tblLayout w:type="fixed"/>
          <w:tblCellMar>
            <w:top w:w="0" w:type="dxa"/>
            <w:left w:w="108" w:type="dxa"/>
            <w:bottom w:w="0" w:type="dxa"/>
            <w:right w:w="108" w:type="dxa"/>
          </w:tblCellMar>
        </w:tblPrEx>
        <w:trPr>
          <w:trHeight w:val="990" w:hRule="atLeast"/>
          <w:jc w:val="center"/>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隧道窑配制烧砖</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当地水泥厂</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随原料加入</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8-10个月</w:t>
            </w:r>
          </w:p>
        </w:tc>
        <w:tc>
          <w:tcPr>
            <w:tcW w:w="220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kern w:val="0"/>
                <w:sz w:val="18"/>
                <w:szCs w:val="18"/>
              </w:rPr>
            </w:pPr>
            <w:r>
              <w:rPr>
                <w:rFonts w:ascii="Times New Roman" w:hAnsi="Times New Roman" w:cs="Times New Roman"/>
                <w:kern w:val="0"/>
                <w:sz w:val="18"/>
                <w:szCs w:val="18"/>
              </w:rPr>
              <w:t>处置时间短，费用低，能力有保障，直接资源化利用。</w:t>
            </w:r>
          </w:p>
        </w:tc>
        <w:tc>
          <w:tcPr>
            <w:tcW w:w="244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kern w:val="0"/>
                <w:sz w:val="18"/>
                <w:szCs w:val="18"/>
              </w:rPr>
            </w:pPr>
            <w:r>
              <w:rPr>
                <w:rFonts w:ascii="Times New Roman" w:hAnsi="Times New Roman" w:cs="Times New Roman"/>
                <w:kern w:val="0"/>
                <w:sz w:val="18"/>
                <w:szCs w:val="18"/>
              </w:rPr>
              <w:t>在筛分、破碎、制坯、干燥过程有害物质将挥发出来，有一定的二次污染。</w:t>
            </w:r>
          </w:p>
        </w:tc>
      </w:tr>
      <w:tr>
        <w:tblPrEx>
          <w:tblLayout w:type="fixed"/>
          <w:tblCellMar>
            <w:top w:w="0" w:type="dxa"/>
            <w:left w:w="108" w:type="dxa"/>
            <w:bottom w:w="0" w:type="dxa"/>
            <w:right w:w="108" w:type="dxa"/>
          </w:tblCellMar>
        </w:tblPrEx>
        <w:trPr>
          <w:trHeight w:val="765" w:hRule="atLeast"/>
          <w:jc w:val="center"/>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新建专业设备焚烧废土</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新建</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窑尾</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kern w:val="0"/>
                <w:sz w:val="18"/>
                <w:szCs w:val="18"/>
              </w:rPr>
            </w:pPr>
            <w:r>
              <w:rPr>
                <w:rFonts w:ascii="Times New Roman" w:hAnsi="Times New Roman" w:cs="Times New Roman"/>
                <w:kern w:val="0"/>
                <w:sz w:val="18"/>
                <w:szCs w:val="18"/>
              </w:rPr>
              <w:t>根据购买装置处理能力确定</w:t>
            </w:r>
          </w:p>
        </w:tc>
        <w:tc>
          <w:tcPr>
            <w:tcW w:w="220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kern w:val="0"/>
                <w:sz w:val="18"/>
                <w:szCs w:val="18"/>
              </w:rPr>
            </w:pPr>
            <w:r>
              <w:rPr>
                <w:rFonts w:ascii="Times New Roman" w:hAnsi="Times New Roman" w:cs="Times New Roman"/>
                <w:kern w:val="0"/>
                <w:sz w:val="18"/>
                <w:szCs w:val="18"/>
              </w:rPr>
              <w:t>技术成熟可靠，按500t/日计算，10个多月。</w:t>
            </w:r>
          </w:p>
        </w:tc>
        <w:tc>
          <w:tcPr>
            <w:tcW w:w="2440" w:type="dxa"/>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Times New Roman" w:hAnsi="Times New Roman" w:cs="Times New Roman"/>
                <w:kern w:val="0"/>
                <w:sz w:val="18"/>
                <w:szCs w:val="18"/>
              </w:rPr>
            </w:pPr>
            <w:r>
              <w:rPr>
                <w:rFonts w:ascii="Times New Roman" w:hAnsi="Times New Roman" w:cs="Times New Roman"/>
                <w:kern w:val="0"/>
                <w:sz w:val="18"/>
                <w:szCs w:val="18"/>
              </w:rPr>
              <w:t>一次性投资600万元，处理费用200-300万元。设备制造安装需4个月。</w:t>
            </w:r>
          </w:p>
        </w:tc>
      </w:tr>
    </w:tbl>
    <w:p>
      <w:pPr>
        <w:pStyle w:val="3"/>
        <w:rPr>
          <w:rFonts w:ascii="Times New Roman" w:hAnsi="Times New Roman" w:cs="Times New Roman" w:eastAsiaTheme="minorEastAsia"/>
        </w:rPr>
      </w:pPr>
      <w:bookmarkStart w:id="47" w:name="_Toc482661585"/>
      <w:r>
        <w:rPr>
          <w:rFonts w:ascii="Times New Roman" w:hAnsi="Times New Roman" w:cs="Times New Roman" w:eastAsiaTheme="minorEastAsia"/>
        </w:rPr>
        <w:t>6.2主体工程方案</w:t>
      </w:r>
      <w:bookmarkEnd w:id="47"/>
    </w:p>
    <w:p>
      <w:pPr>
        <w:rPr>
          <w:rFonts w:ascii="Times New Roman" w:hAnsi="Times New Roman" w:cs="Times New Roman"/>
        </w:rPr>
      </w:pPr>
      <w:r>
        <w:rPr>
          <w:rFonts w:ascii="Times New Roman" w:hAnsi="Times New Roman" w:cs="Times New Roman"/>
        </w:rPr>
        <w:t>6.2.1污染地块污染土壤清运</w:t>
      </w:r>
    </w:p>
    <w:p>
      <w:pPr>
        <w:pStyle w:val="5"/>
        <w:wordWrap w:val="0"/>
        <w:topLinePunct/>
        <w:adjustRightInd w:val="0"/>
        <w:snapToGrid w:val="0"/>
        <w:spacing w:after="120" w:afterLines="50" w:line="520" w:lineRule="exact"/>
        <w:rPr>
          <w:rFonts w:ascii="Times New Roman" w:hAnsi="Times New Roman" w:cs="Times New Roman" w:eastAsiaTheme="minorEastAsia"/>
          <w:b w:val="0"/>
          <w:bCs w:val="0"/>
          <w:color w:val="000000" w:themeColor="text1"/>
          <w:szCs w:val="22"/>
        </w:rPr>
      </w:pPr>
      <w:r>
        <w:rPr>
          <w:rFonts w:ascii="Times New Roman" w:hAnsi="Times New Roman" w:cs="Times New Roman" w:eastAsiaTheme="minorEastAsia"/>
          <w:b w:val="0"/>
          <w:bCs w:val="0"/>
          <w:color w:val="000000" w:themeColor="text1"/>
          <w:szCs w:val="22"/>
        </w:rPr>
        <w:t>6.2.1.1 场地杂物清理</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对污染地块地表进行清理，总清理范围18315m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。对场地污染范围内的草本植被、小灌木等杂物进行清除，依据现场实际情况确定清理的深度和范围，清理垃圾运至当地政府指定的弃土场或者堆场</w:t>
      </w:r>
      <w:r>
        <w:rPr>
          <w:rFonts w:hint="eastAsia" w:ascii="Times New Roman" w:hAnsi="Times New Roman" w:cs="Times New Roman"/>
          <w:color w:val="000000" w:themeColor="text1"/>
        </w:rPr>
        <w:t>。</w:t>
      </w:r>
    </w:p>
    <w:p>
      <w:pPr>
        <w:pStyle w:val="5"/>
        <w:wordWrap w:val="0"/>
        <w:topLinePunct/>
        <w:adjustRightInd w:val="0"/>
        <w:snapToGrid w:val="0"/>
        <w:spacing w:after="120" w:afterLines="50" w:line="520" w:lineRule="exact"/>
        <w:rPr>
          <w:rFonts w:ascii="Times New Roman" w:hAnsi="Times New Roman" w:cs="Times New Roman" w:eastAsiaTheme="minorEastAsia"/>
          <w:b w:val="0"/>
          <w:bCs w:val="0"/>
          <w:color w:val="000000" w:themeColor="text1"/>
          <w:szCs w:val="22"/>
        </w:rPr>
      </w:pPr>
      <w:r>
        <w:rPr>
          <w:rFonts w:ascii="Times New Roman" w:hAnsi="Times New Roman" w:cs="Times New Roman" w:eastAsiaTheme="minorEastAsia"/>
          <w:b w:val="0"/>
          <w:bCs w:val="0"/>
          <w:color w:val="000000" w:themeColor="text1"/>
          <w:szCs w:val="22"/>
        </w:rPr>
        <w:t>6.2.1.2 场内临时道路建设</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目前治理区状况较好，地块外部四周除北侧外均有市政道路相通。建议土壤运输通道从西侧关公路进出。场区内因荒弃时间较长，原道路均已被坏，需要在厂区内分别建设两条各长约400 m长的临时道路。</w:t>
      </w:r>
    </w:p>
    <w:p>
      <w:pPr>
        <w:pStyle w:val="5"/>
        <w:wordWrap w:val="0"/>
        <w:topLinePunct/>
        <w:adjustRightInd w:val="0"/>
        <w:snapToGrid w:val="0"/>
        <w:spacing w:after="120" w:afterLines="50" w:line="520" w:lineRule="exact"/>
        <w:rPr>
          <w:rFonts w:ascii="Times New Roman" w:hAnsi="Times New Roman" w:cs="Times New Roman" w:eastAsiaTheme="minorEastAsia"/>
          <w:b w:val="0"/>
          <w:szCs w:val="24"/>
        </w:rPr>
      </w:pPr>
      <w:r>
        <w:rPr>
          <w:rFonts w:ascii="Times New Roman" w:hAnsi="Times New Roman" w:cs="Times New Roman" w:eastAsiaTheme="minorEastAsia"/>
          <w:b w:val="0"/>
          <w:bCs w:val="0"/>
          <w:color w:val="000000" w:themeColor="text1"/>
          <w:szCs w:val="22"/>
        </w:rPr>
        <w:t>6.2.1</w:t>
      </w:r>
      <w:r>
        <w:rPr>
          <w:rFonts w:ascii="Times New Roman" w:hAnsi="Times New Roman" w:cs="Times New Roman" w:eastAsiaTheme="minorEastAsia"/>
          <w:b w:val="0"/>
          <w:szCs w:val="24"/>
        </w:rPr>
        <w:t>.3含有机物污染土壤清运</w:t>
      </w:r>
    </w:p>
    <w:p>
      <w:pPr>
        <w:ind w:firstLine="480" w:firstLineChars="200"/>
        <w:rPr>
          <w:rFonts w:ascii="Times New Roman" w:hAnsi="Times New Roman" w:cs="Times New Roman"/>
        </w:rPr>
      </w:pPr>
      <w:r>
        <w:rPr>
          <w:rFonts w:ascii="Times New Roman" w:hAnsi="Times New Roman" w:cs="Times New Roman"/>
        </w:rPr>
        <w:t>（1）含有机物污染土壤清理</w:t>
      </w:r>
    </w:p>
    <w:p>
      <w:pPr>
        <w:topLinePunct/>
        <w:adjustRightInd w:val="0"/>
        <w:snapToGrid w:val="0"/>
        <w:ind w:firstLine="480" w:firstLineChars="200"/>
        <w:jc w:val="both"/>
        <w:rPr>
          <w:rFonts w:ascii="Times New Roman" w:hAnsi="Times New Roman" w:cs="Times New Roman"/>
          <w:color w:val="000000" w:themeColor="text1"/>
        </w:rPr>
      </w:pPr>
      <w:r>
        <w:rPr>
          <w:rFonts w:ascii="Times New Roman" w:hAnsi="Times New Roman" w:cs="Times New Roman"/>
          <w:color w:val="000000" w:themeColor="text1"/>
        </w:rPr>
        <w:t>场地清理过程中使用PID光离子化污染源在线VOC监测仪进行污染土染的现场识别。</w:t>
      </w:r>
      <w:r>
        <w:rPr>
          <w:rFonts w:ascii="Times New Roman" w:hAnsi="Times New Roman" w:cs="Times New Roman"/>
          <w:szCs w:val="24"/>
        </w:rPr>
        <w:t>本地块的污染物为各类有机物，</w:t>
      </w:r>
      <w:r>
        <w:rPr>
          <w:rFonts w:ascii="Times New Roman" w:hAnsi="Times New Roman" w:cs="Times New Roman"/>
          <w:color w:val="000000" w:themeColor="text1"/>
        </w:rPr>
        <w:t>根据调查过程中PID读数和实际化学分析指标值的关系，并结合现场污染情况对各类污染物进行分类处置：将PID读数小于1.2ppm (含1.2ppm)的土壤视为无污染土壤，依据现场实际情况确定清理的深度和范围，清理垃圾运至当地政府指定的弃土场或者堆场。PID读数在 1.2ppm到10ppm (含10ppm)之间的污染土染作为低污染土壤进行卫生填埋处置；将PID读数在10ppm以上的污染土染作为作为危险废物进行焚烧处置。</w:t>
      </w:r>
    </w:p>
    <w:p>
      <w:pPr>
        <w:ind w:firstLine="480" w:firstLineChars="200"/>
        <w:jc w:val="both"/>
        <w:rPr>
          <w:rFonts w:ascii="Times New Roman" w:hAnsi="Times New Roman" w:cs="Times New Roman"/>
          <w:color w:val="000000" w:themeColor="text1"/>
        </w:rPr>
      </w:pPr>
      <w:r>
        <w:rPr>
          <w:rFonts w:ascii="Times New Roman" w:hAnsi="Times New Roman" w:cs="Times New Roman"/>
          <w:color w:val="000000" w:themeColor="text1"/>
        </w:rPr>
        <w:t>从国内已进行的农药厂污染地块治理与修复测情况来看，有机物污染土壤 PID读数和其化学分析指标值之间具备较好的关联性，利用 PID仪并结合现场观察辨识能快速、有效地对各类有机物污染土壤进行分类，有助于修复工程的顺利推进，大幅度降低成本，缩短工期。</w:t>
      </w:r>
    </w:p>
    <w:p>
      <w:pPr>
        <w:ind w:firstLine="480" w:firstLineChars="200"/>
        <w:jc w:val="both"/>
        <w:rPr>
          <w:rFonts w:ascii="Times New Roman" w:hAnsi="Times New Roman" w:cs="Times New Roman"/>
          <w:color w:val="000000" w:themeColor="text1"/>
        </w:rPr>
      </w:pPr>
      <w:r>
        <w:rPr>
          <w:rFonts w:ascii="Times New Roman" w:hAnsi="Times New Roman" w:cs="Times New Roman"/>
          <w:color w:val="000000" w:themeColor="text1"/>
        </w:rPr>
        <w:t>清运施工原则上遵循按顺序分块作业，先治理污染重的区域，后治理污染轻的区域，并根据具体污染和施工情况做相应调整。施工过程中，通过对污染土染进行PID仪测试和人工观察辨别，其中无污染污染土染用型号200的挖掘机进行挖掘，直接装入15吨自卸车运送至场地临时堆放处，低污染污染土染直接用型号200的挖掘机进行挖掘，并装入15吨自卸车；其他高污染的废物则用型号 120的挖掘机进行挖掘并装入太空袋 (其中流体状危险废物装入铁桶密封包装 )。危险废物严格执行转移联单制度，每趟车队配备一名经过专业培训的押运人员，专门负责将污染废物安全押送至处置地，并做好相应废物交接记录工作。</w:t>
      </w:r>
    </w:p>
    <w:p>
      <w:pPr>
        <w:wordWrap w:val="0"/>
        <w:topLinePunct/>
        <w:adjustRightInd w:val="0"/>
        <w:snapToGrid w:val="0"/>
        <w:ind w:firstLine="480" w:firstLineChars="200"/>
        <w:rPr>
          <w:rFonts w:ascii="Times New Roman" w:hAnsi="Times New Roman" w:cs="Times New Roman"/>
          <w:szCs w:val="24"/>
        </w:rPr>
      </w:pPr>
      <w:r>
        <w:rPr>
          <w:rFonts w:ascii="Times New Roman" w:hAnsi="Times New Roman" w:cs="Times New Roman"/>
          <w:szCs w:val="24"/>
        </w:rPr>
        <w:t>挖掘过程中应注意以下事项：</w:t>
      </w:r>
    </w:p>
    <w:p>
      <w:pPr>
        <w:wordWrap w:val="0"/>
        <w:topLinePunct/>
        <w:adjustRightInd w:val="0"/>
        <w:snapToGrid w:val="0"/>
        <w:ind w:firstLine="480" w:firstLineChars="200"/>
        <w:rPr>
          <w:rFonts w:ascii="Times New Roman" w:hAnsi="Times New Roman" w:cs="Times New Roman"/>
          <w:szCs w:val="24"/>
        </w:rPr>
      </w:pPr>
      <w:r>
        <w:rPr>
          <w:rFonts w:hint="eastAsia" w:ascii="宋体" w:hAnsi="宋体" w:eastAsia="宋体" w:cs="宋体"/>
          <w:szCs w:val="24"/>
        </w:rPr>
        <w:t>①</w:t>
      </w:r>
      <w:r>
        <w:rPr>
          <w:rFonts w:ascii="Times New Roman" w:hAnsi="Times New Roman" w:cs="Times New Roman"/>
          <w:szCs w:val="24"/>
        </w:rPr>
        <w:t>挖掘前做好杂物清理工作、</w:t>
      </w:r>
      <w:r>
        <w:rPr>
          <w:rFonts w:hint="eastAsia" w:ascii="宋体" w:hAnsi="宋体" w:eastAsia="宋体" w:cs="宋体"/>
          <w:szCs w:val="24"/>
        </w:rPr>
        <w:t>②</w:t>
      </w:r>
      <w:r>
        <w:rPr>
          <w:rFonts w:ascii="Times New Roman" w:hAnsi="Times New Roman" w:cs="Times New Roman"/>
          <w:szCs w:val="24"/>
        </w:rPr>
        <w:t>有地表水的区域，尤其是污染地块中部的集水池，对地表积水应先进行妥善处理，并尽可能隔断外部水源、</w:t>
      </w:r>
      <w:r>
        <w:rPr>
          <w:rFonts w:hint="eastAsia" w:ascii="宋体" w:hAnsi="宋体" w:eastAsia="宋体" w:cs="宋体"/>
          <w:szCs w:val="24"/>
        </w:rPr>
        <w:t>③</w:t>
      </w:r>
      <w:r>
        <w:rPr>
          <w:rFonts w:ascii="Times New Roman" w:hAnsi="Times New Roman" w:cs="Times New Roman"/>
          <w:szCs w:val="24"/>
        </w:rPr>
        <w:t>雨天尽量不要施工，并做好雨水导排工作，避免积水。</w:t>
      </w:r>
    </w:p>
    <w:p>
      <w:pPr>
        <w:ind w:firstLine="480" w:firstLineChars="200"/>
        <w:rPr>
          <w:rFonts w:ascii="Times New Roman" w:hAnsi="Times New Roman" w:cs="Times New Roman"/>
          <w:b/>
        </w:rPr>
      </w:pPr>
      <w:r>
        <w:rPr>
          <w:rFonts w:ascii="Times New Roman" w:hAnsi="Times New Roman" w:cs="Times New Roman"/>
        </w:rPr>
        <w:t>（2）含有机物污染土壤运输</w:t>
      </w:r>
    </w:p>
    <w:p>
      <w:pPr>
        <w:topLinePunct/>
        <w:adjustRightInd w:val="0"/>
        <w:snapToGrid w:val="0"/>
        <w:ind w:firstLine="480" w:firstLineChars="200"/>
        <w:jc w:val="both"/>
        <w:rPr>
          <w:rFonts w:ascii="Times New Roman" w:hAnsi="Times New Roman" w:cs="Times New Roman"/>
          <w:szCs w:val="24"/>
        </w:rPr>
      </w:pPr>
      <w:r>
        <w:rPr>
          <w:rFonts w:ascii="Times New Roman" w:hAnsi="Times New Roman" w:cs="Times New Roman"/>
          <w:szCs w:val="24"/>
        </w:rPr>
        <w:t>本方案建议</w:t>
      </w:r>
      <w:r>
        <w:rPr>
          <w:rFonts w:ascii="Times New Roman" w:hAnsi="Times New Roman" w:cs="Times New Roman"/>
          <w:color w:val="000000" w:themeColor="text1"/>
        </w:rPr>
        <w:t>新建隧道窑位于益阳市垃圾焚烧场内。</w:t>
      </w:r>
      <w:r>
        <w:rPr>
          <w:rFonts w:ascii="Times New Roman" w:hAnsi="Times New Roman" w:cs="Times New Roman"/>
          <w:szCs w:val="24"/>
        </w:rPr>
        <w:t>采用自卸式汽车将清理的污染土壤运至该场地进行安全处置，运距为15km。总的运输量为</w:t>
      </w:r>
      <w:r>
        <w:rPr>
          <w:rFonts w:hint="eastAsia" w:ascii="Times New Roman" w:hAnsi="Times New Roman" w:cs="Times New Roman"/>
          <w:szCs w:val="24"/>
        </w:rPr>
        <w:t>4</w:t>
      </w:r>
      <w:r>
        <w:rPr>
          <w:rFonts w:ascii="Times New Roman" w:hAnsi="Times New Roman" w:cs="Times New Roman"/>
          <w:szCs w:val="24"/>
        </w:rPr>
        <w:t>万m</w:t>
      </w:r>
      <w:r>
        <w:rPr>
          <w:rFonts w:ascii="Times New Roman" w:hAnsi="Times New Roman" w:cs="Times New Roman"/>
          <w:szCs w:val="24"/>
          <w:vertAlign w:val="superscript"/>
        </w:rPr>
        <w:t>3</w:t>
      </w:r>
      <w:r>
        <w:rPr>
          <w:rFonts w:ascii="Times New Roman" w:hAnsi="Times New Roman" w:cs="Times New Roman"/>
          <w:szCs w:val="24"/>
        </w:rPr>
        <w:t>。</w:t>
      </w:r>
    </w:p>
    <w:p>
      <w:pPr>
        <w:wordWrap w:val="0"/>
        <w:topLinePunct/>
        <w:adjustRightInd w:val="0"/>
        <w:snapToGrid w:val="0"/>
        <w:ind w:firstLine="480" w:firstLineChars="200"/>
        <w:jc w:val="both"/>
        <w:rPr>
          <w:rFonts w:ascii="Times New Roman" w:hAnsi="Times New Roman" w:cs="Times New Roman"/>
          <w:szCs w:val="24"/>
        </w:rPr>
      </w:pPr>
      <w:r>
        <w:rPr>
          <w:rFonts w:ascii="Times New Roman" w:hAnsi="Times New Roman" w:cs="Times New Roman"/>
          <w:szCs w:val="24"/>
        </w:rPr>
        <w:t>项目区地处城市中心地带，人流和车流等复杂，在以上路段，需引起格外注意，避免遗撒、遗漏，防止二次污染。在运输过程中采取的主要措施将包括：</w:t>
      </w:r>
    </w:p>
    <w:p>
      <w:pPr>
        <w:topLinePunct/>
        <w:adjustRightInd w:val="0"/>
        <w:snapToGrid w:val="0"/>
        <w:ind w:firstLine="480" w:firstLineChars="200"/>
        <w:jc w:val="both"/>
        <w:rPr>
          <w:rFonts w:ascii="Times New Roman" w:hAnsi="Times New Roman" w:cs="Times New Roman"/>
          <w:szCs w:val="24"/>
        </w:rPr>
      </w:pPr>
      <w:r>
        <w:rPr>
          <w:rFonts w:ascii="Times New Roman" w:hAnsi="Times New Roman" w:cs="Times New Roman"/>
          <w:szCs w:val="24"/>
        </w:rPr>
        <w:t>集中运输：采用集中运输方式，避免分散运输带来管理不便问题。</w:t>
      </w:r>
    </w:p>
    <w:p>
      <w:pPr>
        <w:topLinePunct/>
        <w:adjustRightInd w:val="0"/>
        <w:snapToGrid w:val="0"/>
        <w:ind w:firstLine="480" w:firstLineChars="200"/>
        <w:jc w:val="both"/>
        <w:rPr>
          <w:rFonts w:ascii="Times New Roman" w:hAnsi="Times New Roman" w:cs="Times New Roman"/>
          <w:szCs w:val="24"/>
        </w:rPr>
      </w:pPr>
      <w:r>
        <w:rPr>
          <w:rFonts w:ascii="Times New Roman" w:hAnsi="Times New Roman" w:cs="Times New Roman"/>
          <w:szCs w:val="24"/>
        </w:rPr>
        <w:t>运输联单制度：在运输过程中采用联单制度，每车次一个联单，即施工单位、监理、司机分别在联单签字核实运量、车牌号。集中运输过程中监理随车。</w:t>
      </w:r>
    </w:p>
    <w:p>
      <w:pPr>
        <w:topLinePunct/>
        <w:adjustRightInd w:val="0"/>
        <w:snapToGrid w:val="0"/>
        <w:ind w:firstLine="480" w:firstLineChars="200"/>
        <w:jc w:val="both"/>
        <w:rPr>
          <w:rFonts w:ascii="Times New Roman" w:hAnsi="Times New Roman" w:cs="Times New Roman"/>
          <w:szCs w:val="24"/>
        </w:rPr>
      </w:pPr>
      <w:r>
        <w:rPr>
          <w:rFonts w:ascii="Times New Roman" w:hAnsi="Times New Roman" w:cs="Times New Roman"/>
          <w:szCs w:val="24"/>
        </w:rPr>
        <w:t>待运污染土壤包装：待运废物采用吨袋包装，封闭式货车运输，避免遗撒遗漏。</w:t>
      </w:r>
    </w:p>
    <w:p>
      <w:pPr>
        <w:topLinePunct/>
        <w:adjustRightInd w:val="0"/>
        <w:snapToGrid w:val="0"/>
        <w:ind w:firstLine="480" w:firstLineChars="200"/>
        <w:jc w:val="both"/>
        <w:rPr>
          <w:rFonts w:ascii="Times New Roman" w:hAnsi="Times New Roman" w:cs="Times New Roman"/>
          <w:szCs w:val="24"/>
        </w:rPr>
      </w:pPr>
      <w:r>
        <w:rPr>
          <w:rFonts w:ascii="Times New Roman" w:hAnsi="Times New Roman" w:cs="Times New Roman"/>
          <w:szCs w:val="24"/>
        </w:rPr>
        <w:t>崎岖山路路段运输：部分不平坦路段首先进行平整，运输过程中控制最大车速20公里/小时。</w:t>
      </w:r>
    </w:p>
    <w:p>
      <w:pPr>
        <w:topLinePunct/>
        <w:adjustRightInd w:val="0"/>
        <w:snapToGrid w:val="0"/>
        <w:ind w:firstLine="480" w:firstLineChars="200"/>
        <w:jc w:val="both"/>
        <w:rPr>
          <w:rFonts w:ascii="Times New Roman" w:hAnsi="Times New Roman" w:cs="Times New Roman"/>
          <w:szCs w:val="24"/>
        </w:rPr>
      </w:pPr>
      <w:r>
        <w:rPr>
          <w:rFonts w:ascii="Times New Roman" w:hAnsi="Times New Roman" w:cs="Times New Roman"/>
          <w:szCs w:val="24"/>
        </w:rPr>
        <w:t>敏感路段运输：注意控制车速，敏感路段控制最大车速为40公里/小时。严格遵守交通秩序，避免交通事故。</w:t>
      </w:r>
    </w:p>
    <w:p>
      <w:pPr>
        <w:pStyle w:val="5"/>
        <w:wordWrap w:val="0"/>
        <w:topLinePunct/>
        <w:adjustRightInd w:val="0"/>
        <w:snapToGrid w:val="0"/>
        <w:spacing w:after="120" w:afterLines="50" w:line="520" w:lineRule="exact"/>
        <w:rPr>
          <w:rFonts w:ascii="Times New Roman" w:hAnsi="Times New Roman" w:cs="Times New Roman" w:eastAsiaTheme="minorEastAsia"/>
          <w:b w:val="0"/>
          <w:szCs w:val="24"/>
        </w:rPr>
      </w:pPr>
      <w:r>
        <w:rPr>
          <w:rFonts w:ascii="Times New Roman" w:hAnsi="Times New Roman" w:cs="Times New Roman" w:eastAsiaTheme="minorEastAsia"/>
          <w:b w:val="0"/>
          <w:bCs w:val="0"/>
          <w:color w:val="000000" w:themeColor="text1"/>
          <w:szCs w:val="22"/>
        </w:rPr>
        <w:t>6.2.1</w:t>
      </w:r>
      <w:r>
        <w:rPr>
          <w:rFonts w:ascii="Times New Roman" w:hAnsi="Times New Roman" w:cs="Times New Roman" w:eastAsiaTheme="minorEastAsia"/>
          <w:b w:val="0"/>
          <w:szCs w:val="24"/>
        </w:rPr>
        <w:t>.</w:t>
      </w:r>
      <w:r>
        <w:rPr>
          <w:rFonts w:hint="eastAsia" w:ascii="Times New Roman" w:hAnsi="Times New Roman" w:cs="Times New Roman" w:eastAsiaTheme="minorEastAsia"/>
          <w:b w:val="0"/>
          <w:szCs w:val="24"/>
        </w:rPr>
        <w:t>4</w:t>
      </w:r>
      <w:r>
        <w:rPr>
          <w:rFonts w:ascii="Times New Roman" w:hAnsi="Times New Roman" w:cs="Times New Roman" w:eastAsiaTheme="minorEastAsia"/>
          <w:b w:val="0"/>
          <w:szCs w:val="24"/>
        </w:rPr>
        <w:t>污染地块整理后的回填工程</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污染场地污染物清运后，采用机械加人工的方式对原场地进行修复。采用清洁的土壤对原场地进行填实，土壤可就近采用其他道路施工的弃方。具体实施时，要避免暴雨天作业。如遇雨天作业时采取临时在场地旁堆置1.8m高的箱形石笼垛、挖临时排水沟、塑料薄膜覆盖等措施，并随挖随运随压，以减少水土流失。挖排水沟时应形成一定坡度，以利排水。临时排水沟在路线两侧距路基坡脚1.5m外开挖，沟宽0.5~1.0m，深0.5m，必要时每隔20~30m挖宽0.3m深0.2m横向排水沟，沟内填塑料薄膜。开挖时尽量不破坏两侧的原状土，若不可避免时，则必须用原土夯实平整。</w:t>
      </w:r>
    </w:p>
    <w:p>
      <w:pPr>
        <w:rPr>
          <w:rFonts w:ascii="Times New Roman" w:hAnsi="Times New Roman" w:cs="Times New Roman"/>
        </w:rPr>
      </w:pPr>
      <w:r>
        <w:rPr>
          <w:rFonts w:ascii="Times New Roman" w:hAnsi="Times New Roman" w:cs="Times New Roman"/>
        </w:rPr>
        <w:t>6.2.2污染土壤焚烧处理站</w:t>
      </w:r>
    </w:p>
    <w:p>
      <w:pPr>
        <w:ind w:firstLine="360" w:firstLineChars="150"/>
        <w:rPr>
          <w:rFonts w:ascii="Times New Roman" w:hAnsi="Times New Roman" w:cs="Times New Roman"/>
          <w:szCs w:val="24"/>
        </w:rPr>
      </w:pPr>
      <w:r>
        <w:rPr>
          <w:rFonts w:ascii="Times New Roman" w:hAnsi="Times New Roman" w:cs="Times New Roman"/>
          <w:szCs w:val="24"/>
        </w:rPr>
        <w:t>（1）处理工艺及规模</w:t>
      </w:r>
    </w:p>
    <w:p>
      <w:pPr>
        <w:ind w:firstLine="480" w:firstLineChars="200"/>
        <w:rPr>
          <w:rFonts w:ascii="Times New Roman" w:hAnsi="Times New Roman" w:cs="Times New Roman"/>
          <w:szCs w:val="24"/>
        </w:rPr>
      </w:pPr>
      <w:r>
        <w:rPr>
          <w:rFonts w:ascii="Times New Roman" w:hAnsi="Times New Roman" w:cs="Times New Roman"/>
          <w:szCs w:val="24"/>
        </w:rPr>
        <w:t>处理工艺：隧道窑高温焚烧工艺</w:t>
      </w:r>
    </w:p>
    <w:p>
      <w:pPr>
        <w:ind w:firstLine="480" w:firstLineChars="200"/>
        <w:rPr>
          <w:rFonts w:ascii="Times New Roman" w:hAnsi="Times New Roman" w:cs="Times New Roman"/>
          <w:szCs w:val="24"/>
        </w:rPr>
      </w:pPr>
      <w:r>
        <w:rPr>
          <w:rFonts w:ascii="Times New Roman" w:hAnsi="Times New Roman" w:cs="Times New Roman"/>
          <w:szCs w:val="24"/>
        </w:rPr>
        <w:t>设备选型：改型隧道窑，窑口宽1.5米，高0.5米。</w:t>
      </w:r>
    </w:p>
    <w:p>
      <w:pPr>
        <w:ind w:firstLine="480" w:firstLineChars="200"/>
        <w:rPr>
          <w:rFonts w:ascii="Times New Roman" w:hAnsi="Times New Roman" w:cs="Times New Roman"/>
          <w:szCs w:val="24"/>
        </w:rPr>
      </w:pPr>
      <w:r>
        <w:rPr>
          <w:rFonts w:ascii="Times New Roman" w:hAnsi="Times New Roman" w:cs="Times New Roman"/>
          <w:szCs w:val="24"/>
        </w:rPr>
        <w:t>处理规模：日处理污染土壤400t-500t。</w:t>
      </w:r>
    </w:p>
    <w:p>
      <w:pPr>
        <w:ind w:firstLine="480" w:firstLineChars="200"/>
        <w:rPr>
          <w:rFonts w:ascii="Times New Roman" w:hAnsi="Times New Roman" w:cs="Times New Roman"/>
          <w:szCs w:val="24"/>
        </w:rPr>
      </w:pPr>
      <w:r>
        <w:rPr>
          <w:rFonts w:ascii="Times New Roman" w:hAnsi="Times New Roman" w:cs="Times New Roman"/>
          <w:szCs w:val="24"/>
        </w:rPr>
        <w:t>投料方式：土壤破碎之后提升+螺旋自动给料</w:t>
      </w:r>
    </w:p>
    <w:p>
      <w:pPr>
        <w:ind w:firstLine="480" w:firstLineChars="200"/>
        <w:rPr>
          <w:rFonts w:ascii="Times New Roman" w:hAnsi="Times New Roman" w:cs="Times New Roman"/>
          <w:szCs w:val="24"/>
        </w:rPr>
      </w:pPr>
      <w:r>
        <w:rPr>
          <w:rFonts w:ascii="Times New Roman" w:hAnsi="Times New Roman" w:cs="Times New Roman"/>
          <w:szCs w:val="24"/>
        </w:rPr>
        <w:t>供热方式：采用煤为原料，经煤气发生炉制煤气喷燃</w:t>
      </w:r>
    </w:p>
    <w:p>
      <w:pPr>
        <w:ind w:firstLine="480" w:firstLineChars="200"/>
        <w:rPr>
          <w:rFonts w:ascii="Times New Roman" w:hAnsi="Times New Roman" w:cs="Times New Roman"/>
          <w:szCs w:val="24"/>
        </w:rPr>
      </w:pPr>
      <w:r>
        <w:rPr>
          <w:rFonts w:ascii="Times New Roman" w:hAnsi="Times New Roman" w:cs="Times New Roman"/>
          <w:szCs w:val="24"/>
        </w:rPr>
        <w:t>燃烧温度：培烧高温区850±50</w:t>
      </w:r>
      <w:r>
        <w:rPr>
          <w:rFonts w:hint="eastAsia" w:ascii="宋体" w:hAnsi="宋体" w:eastAsia="宋体" w:cs="宋体"/>
          <w:szCs w:val="24"/>
        </w:rPr>
        <w:t>℃</w:t>
      </w:r>
      <w:r>
        <w:rPr>
          <w:rFonts w:ascii="Times New Roman" w:hAnsi="Times New Roman" w:cs="Times New Roman"/>
          <w:szCs w:val="24"/>
        </w:rPr>
        <w:t>，二燃室1100</w:t>
      </w:r>
      <w:r>
        <w:rPr>
          <w:rFonts w:hint="eastAsia" w:ascii="宋体" w:hAnsi="宋体" w:eastAsia="宋体" w:cs="宋体"/>
          <w:szCs w:val="24"/>
        </w:rPr>
        <w:t>℃</w:t>
      </w:r>
    </w:p>
    <w:p>
      <w:pPr>
        <w:ind w:firstLine="360" w:firstLineChars="150"/>
        <w:rPr>
          <w:rFonts w:ascii="Times New Roman" w:hAnsi="Times New Roman" w:cs="Times New Roman"/>
          <w:szCs w:val="24"/>
        </w:rPr>
      </w:pPr>
      <w:r>
        <w:rPr>
          <w:rFonts w:ascii="Times New Roman" w:hAnsi="Times New Roman" w:cs="Times New Roman"/>
          <w:szCs w:val="24"/>
        </w:rPr>
        <w:t>（2）处理流程</w:t>
      </w:r>
    </w:p>
    <w:p>
      <w:pPr>
        <w:ind w:firstLine="460" w:firstLineChars="192"/>
        <w:rPr>
          <w:rFonts w:ascii="Times New Roman" w:hAnsi="Times New Roman" w:cs="Times New Roman"/>
          <w:szCs w:val="24"/>
        </w:rPr>
      </w:pPr>
      <w:r>
        <w:rPr>
          <w:rFonts w:hint="eastAsia" w:ascii="宋体" w:hAnsi="宋体" w:eastAsia="宋体" w:cs="宋体"/>
          <w:szCs w:val="24"/>
        </w:rPr>
        <w:t>①</w:t>
      </w:r>
      <w:r>
        <w:rPr>
          <w:rFonts w:ascii="Times New Roman" w:hAnsi="Times New Roman" w:cs="Times New Roman"/>
          <w:szCs w:val="24"/>
        </w:rPr>
        <w:t>污染场地挖出的含有机物污染土壤由汽车运送至处理厂原料堆放场暂时堆存。</w:t>
      </w:r>
    </w:p>
    <w:p>
      <w:pPr>
        <w:ind w:firstLine="460" w:firstLineChars="192"/>
        <w:rPr>
          <w:rFonts w:ascii="Times New Roman" w:hAnsi="Times New Roman" w:cs="Times New Roman"/>
          <w:szCs w:val="24"/>
        </w:rPr>
      </w:pPr>
      <w:r>
        <w:rPr>
          <w:rFonts w:hint="eastAsia" w:ascii="宋体" w:hAnsi="宋体" w:eastAsia="宋体" w:cs="宋体"/>
          <w:szCs w:val="24"/>
        </w:rPr>
        <w:t>②</w:t>
      </w:r>
      <w:r>
        <w:rPr>
          <w:rFonts w:ascii="Times New Roman" w:hAnsi="Times New Roman" w:cs="Times New Roman"/>
          <w:szCs w:val="24"/>
        </w:rPr>
        <w:t>用铲车将存放在原料堆场的土壤加入到进料口，由皮带输送机加入到窑车上的盒钵内，盒钵内物料的堆放高度25-30cm。</w:t>
      </w:r>
    </w:p>
    <w:p>
      <w:pPr>
        <w:ind w:firstLine="460" w:firstLineChars="192"/>
        <w:rPr>
          <w:rFonts w:ascii="Times New Roman" w:hAnsi="Times New Roman" w:cs="Times New Roman"/>
          <w:szCs w:val="24"/>
        </w:rPr>
      </w:pPr>
      <w:r>
        <w:rPr>
          <w:rFonts w:hint="eastAsia" w:ascii="宋体" w:hAnsi="宋体" w:eastAsia="宋体" w:cs="宋体"/>
          <w:szCs w:val="24"/>
        </w:rPr>
        <w:t>③</w:t>
      </w:r>
      <w:r>
        <w:rPr>
          <w:rFonts w:ascii="Times New Roman" w:hAnsi="Times New Roman" w:cs="Times New Roman"/>
          <w:szCs w:val="24"/>
        </w:rPr>
        <w:t>装载有机物污染土壤的窑车从窑进口端依次进入，与窑内气流相对运动，窑车在轨道上行进，经12米预热带（40-400</w:t>
      </w:r>
      <w:r>
        <w:rPr>
          <w:rFonts w:hint="eastAsia" w:ascii="宋体" w:hAnsi="宋体" w:eastAsia="宋体" w:cs="宋体"/>
          <w:szCs w:val="24"/>
        </w:rPr>
        <w:t>℃</w:t>
      </w:r>
      <w:r>
        <w:rPr>
          <w:rFonts w:ascii="Times New Roman" w:hAnsi="Times New Roman" w:cs="Times New Roman"/>
          <w:szCs w:val="24"/>
        </w:rPr>
        <w:t>）、10米焙烧带加热到最高温度（850±50</w:t>
      </w:r>
      <w:r>
        <w:rPr>
          <w:rFonts w:hint="eastAsia" w:ascii="宋体" w:hAnsi="宋体" w:eastAsia="宋体" w:cs="宋体"/>
          <w:szCs w:val="24"/>
        </w:rPr>
        <w:t>℃</w:t>
      </w:r>
      <w:r>
        <w:rPr>
          <w:rFonts w:ascii="Times New Roman" w:hAnsi="Times New Roman" w:cs="Times New Roman"/>
          <w:szCs w:val="24"/>
        </w:rPr>
        <w:t>），在焙烧带停留25分钟，保证污染性土壤中的有机物挥发分解，再经过冷却带出窑。</w:t>
      </w:r>
    </w:p>
    <w:p>
      <w:pPr>
        <w:ind w:firstLine="460" w:firstLineChars="192"/>
        <w:rPr>
          <w:rFonts w:ascii="Times New Roman" w:hAnsi="Times New Roman" w:cs="Times New Roman"/>
          <w:szCs w:val="24"/>
        </w:rPr>
      </w:pPr>
      <w:r>
        <w:rPr>
          <w:rFonts w:hint="eastAsia" w:ascii="宋体" w:hAnsi="宋体" w:eastAsia="宋体" w:cs="宋体"/>
          <w:szCs w:val="24"/>
        </w:rPr>
        <w:t>④</w:t>
      </w:r>
      <w:r>
        <w:rPr>
          <w:rFonts w:ascii="Times New Roman" w:hAnsi="Times New Roman" w:cs="Times New Roman"/>
          <w:szCs w:val="24"/>
        </w:rPr>
        <w:t>焚烧过后土壤中的有机物均高温分解去除，污染土壤得到安全处置，卸入隧道窑出口料坑中，由皮带输送至车厢，外运堆存或综合利用。</w:t>
      </w:r>
    </w:p>
    <w:p>
      <w:pPr>
        <w:ind w:firstLine="460" w:firstLineChars="192"/>
        <w:rPr>
          <w:rFonts w:ascii="Times New Roman" w:hAnsi="Times New Roman" w:cs="Times New Roman"/>
          <w:szCs w:val="24"/>
        </w:rPr>
      </w:pPr>
      <w:r>
        <w:rPr>
          <w:rFonts w:hint="eastAsia" w:ascii="宋体" w:hAnsi="宋体" w:eastAsia="宋体" w:cs="宋体"/>
          <w:szCs w:val="24"/>
        </w:rPr>
        <w:t>⑤</w:t>
      </w:r>
      <w:r>
        <w:rPr>
          <w:rFonts w:ascii="Times New Roman" w:hAnsi="Times New Roman" w:cs="Times New Roman"/>
          <w:szCs w:val="24"/>
        </w:rPr>
        <w:t>煤气发生炉送来的煤气从焙烧带两侧的烧嘴，进入窑内燃烧加热升温，燃烧后的废气从预热带经排出，之后进入二燃室，在 1100 度、滞留时间大于 2s 条件下充分燃烧，燃烧效率达99.9%以上。</w:t>
      </w:r>
    </w:p>
    <w:p>
      <w:pPr>
        <w:ind w:firstLine="480" w:firstLineChars="200"/>
        <w:rPr>
          <w:rFonts w:ascii="Times New Roman" w:hAnsi="Times New Roman" w:cs="Times New Roman"/>
          <w:szCs w:val="24"/>
        </w:rPr>
      </w:pPr>
      <w:r>
        <w:rPr>
          <w:rFonts w:hint="eastAsia" w:ascii="宋体" w:hAnsi="宋体" w:eastAsia="宋体" w:cs="宋体"/>
          <w:szCs w:val="24"/>
        </w:rPr>
        <w:t>⑥</w:t>
      </w:r>
      <w:r>
        <w:rPr>
          <w:rFonts w:ascii="Times New Roman" w:hAnsi="Times New Roman" w:cs="Times New Roman"/>
          <w:szCs w:val="24"/>
        </w:rPr>
        <w:t>二燃室出来的高温烟气约 1100 度通过双水冷旋风除尘器除去烟气中的余留盐粉和颗粒粉尘，同时把高温烟气降至 800 度左右，并可回收大量热水，水冷旋风除尘器通过自然蒸发冷却，既降低耗水量又能有效的控制半干塔的入口温度，减少半干喷水量。</w:t>
      </w:r>
    </w:p>
    <w:p>
      <w:pPr>
        <w:ind w:firstLine="480" w:firstLineChars="200"/>
        <w:rPr>
          <w:rFonts w:ascii="Times New Roman" w:hAnsi="Times New Roman" w:cs="Times New Roman"/>
          <w:szCs w:val="24"/>
        </w:rPr>
      </w:pPr>
      <w:r>
        <w:rPr>
          <w:rFonts w:hint="eastAsia" w:ascii="宋体" w:hAnsi="宋体" w:eastAsia="宋体" w:cs="宋体"/>
          <w:szCs w:val="24"/>
        </w:rPr>
        <w:t>⑦</w:t>
      </w:r>
      <w:r>
        <w:rPr>
          <w:rFonts w:ascii="Times New Roman" w:hAnsi="Times New Roman" w:cs="Times New Roman"/>
          <w:szCs w:val="24"/>
        </w:rPr>
        <w:t>随后干燥的过热烟气进入干式除酸及二恶英吸收装置，喷入炭石灰（活性碳及消石灰）去除烟气中二恶英及残留的HCl、NOx等有毒有害气体。</w:t>
      </w:r>
    </w:p>
    <w:p>
      <w:pPr>
        <w:ind w:firstLine="480" w:firstLineChars="200"/>
        <w:rPr>
          <w:rFonts w:ascii="Times New Roman" w:hAnsi="Times New Roman" w:cs="Times New Roman"/>
          <w:szCs w:val="24"/>
        </w:rPr>
      </w:pPr>
      <w:r>
        <w:rPr>
          <w:rFonts w:hint="eastAsia" w:ascii="宋体" w:hAnsi="宋体" w:eastAsia="宋体" w:cs="宋体"/>
          <w:szCs w:val="24"/>
        </w:rPr>
        <w:t>⑧</w:t>
      </w:r>
      <w:r>
        <w:rPr>
          <w:rFonts w:ascii="Times New Roman" w:hAnsi="Times New Roman" w:cs="Times New Roman"/>
          <w:szCs w:val="24"/>
        </w:rPr>
        <w:t>最后由布袋除尘器去除烟气中的细微粉尘，和烟气中游离的重金属成份，以达到严格的粉尘排放要求65mg/m</w:t>
      </w:r>
      <w:r>
        <w:rPr>
          <w:rFonts w:ascii="Times New Roman" w:hAnsi="Times New Roman" w:cs="Times New Roman"/>
          <w:szCs w:val="24"/>
          <w:vertAlign w:val="superscript"/>
        </w:rPr>
        <w:t>3</w:t>
      </w:r>
      <w:r>
        <w:rPr>
          <w:rFonts w:ascii="Times New Roman" w:hAnsi="Times New Roman" w:cs="Times New Roman"/>
          <w:szCs w:val="24"/>
        </w:rPr>
        <w:t>以下。</w:t>
      </w:r>
    </w:p>
    <w:p>
      <w:pPr>
        <w:ind w:firstLine="480" w:firstLineChars="200"/>
        <w:rPr>
          <w:rFonts w:ascii="Times New Roman" w:hAnsi="Times New Roman" w:cs="Times New Roman"/>
          <w:szCs w:val="24"/>
        </w:rPr>
      </w:pPr>
      <w:r>
        <w:rPr>
          <w:rFonts w:hint="eastAsia" w:ascii="宋体" w:hAnsi="宋体" w:eastAsia="宋体" w:cs="宋体"/>
          <w:szCs w:val="24"/>
        </w:rPr>
        <w:t>⑨</w:t>
      </w:r>
      <w:r>
        <w:rPr>
          <w:rFonts w:ascii="Times New Roman" w:hAnsi="Times New Roman" w:cs="Times New Roman"/>
          <w:szCs w:val="24"/>
        </w:rPr>
        <w:t>干净烟气经排风机进入烟囱排放至大气。</w:t>
      </w:r>
    </w:p>
    <w:p>
      <w:pPr>
        <w:spacing w:after="240" w:afterLines="100"/>
        <w:ind w:firstLine="480" w:firstLineChars="200"/>
        <w:rPr>
          <w:rFonts w:ascii="Times New Roman" w:hAnsi="Times New Roman" w:cs="Times New Roman"/>
          <w:szCs w:val="24"/>
        </w:rPr>
      </w:pPr>
      <w:r>
        <w:rPr>
          <w:rFonts w:ascii="Times New Roman" w:hAnsi="Times New Roman" w:cs="Times New Roman"/>
          <w:szCs w:val="24"/>
        </w:rPr>
        <w:t>改型隧道窑处理全部污染废土工艺流程见图6-1。</w:t>
      </w:r>
    </w:p>
    <w:p>
      <w:pPr>
        <w:jc w:val="center"/>
        <w:rPr>
          <w:rFonts w:ascii="Times New Roman" w:hAnsi="Times New Roman" w:cs="Times New Roman"/>
          <w:szCs w:val="24"/>
        </w:rPr>
      </w:pPr>
      <w:r>
        <w:rPr>
          <w:rFonts w:ascii="Times New Roman" w:hAnsi="Times New Roman" w:cs="Times New Roman"/>
          <w:szCs w:val="24"/>
        </w:rPr>
        <w:object>
          <v:shape id="_x0000_i1025" o:spt="75" alt="" type="#_x0000_t75" style="height:246.55pt;width:409.6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r:id="rId17">
            <o:LockedField>false</o:LockedField>
          </o:OLEObject>
        </w:object>
      </w:r>
      <w:bookmarkStart w:id="48" w:name="_Toc241406179"/>
      <w:r>
        <w:rPr>
          <w:rFonts w:ascii="Times New Roman" w:hAnsi="Times New Roman" w:cs="Times New Roman"/>
          <w:szCs w:val="24"/>
        </w:rPr>
        <w:t>图6-1   新建改型隧道窑全部处理污染废土工艺流程框图</w:t>
      </w:r>
    </w:p>
    <w:p>
      <w:pPr>
        <w:pStyle w:val="3"/>
        <w:rPr>
          <w:rFonts w:ascii="Times New Roman" w:hAnsi="Times New Roman" w:cs="Times New Roman" w:eastAsiaTheme="minorEastAsia"/>
        </w:rPr>
      </w:pPr>
      <w:bookmarkStart w:id="49" w:name="_Toc482661586"/>
      <w:r>
        <w:rPr>
          <w:rFonts w:ascii="Times New Roman" w:hAnsi="Times New Roman" w:cs="Times New Roman" w:eastAsiaTheme="minorEastAsia"/>
        </w:rPr>
        <w:t>6.3配套工程</w:t>
      </w:r>
      <w:bookmarkEnd w:id="49"/>
    </w:p>
    <w:p>
      <w:pPr>
        <w:rPr>
          <w:rFonts w:ascii="Times New Roman" w:hAnsi="Times New Roman" w:cs="Times New Roman"/>
        </w:rPr>
      </w:pPr>
      <w:r>
        <w:rPr>
          <w:rFonts w:ascii="Times New Roman" w:hAnsi="Times New Roman" w:cs="Times New Roman"/>
        </w:rPr>
        <w:t>6.3.1施工围挡</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施工围挡主要是保证施工场地的安全，防止非相关人员的进入，同时减少对场地周边环境的影响。</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本项目施工围挡采用施工安装简便的组合式全封闭施工围挡，围挡全部采用防锈材料，围挡高度约2m，可以根据场地的形状进行自由组合。</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场地施工完毕后围挡可拆除并重复利用。</w:t>
      </w:r>
    </w:p>
    <w:p>
      <w:pPr>
        <w:rPr>
          <w:rFonts w:ascii="Times New Roman" w:hAnsi="Times New Roman" w:cs="Times New Roman"/>
        </w:rPr>
      </w:pPr>
      <w:r>
        <w:rPr>
          <w:rFonts w:ascii="Times New Roman" w:hAnsi="Times New Roman" w:cs="Times New Roman"/>
        </w:rPr>
        <w:t>6.3.2 供水</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经实地勘察，项目区有自来水管网，周边水资源丰富，供水有保障。</w:t>
      </w:r>
    </w:p>
    <w:p>
      <w:pPr>
        <w:rPr>
          <w:rFonts w:ascii="Times New Roman" w:hAnsi="Times New Roman" w:cs="Times New Roman"/>
        </w:rPr>
      </w:pPr>
      <w:r>
        <w:rPr>
          <w:rFonts w:ascii="Times New Roman" w:hAnsi="Times New Roman" w:cs="Times New Roman"/>
        </w:rPr>
        <w:t>6.3.3安全供电</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本项目建设过程中拟配备自动切换的双回路电源，以防止停电所造成的重大危险。</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设置接零、接地保护系统、安全漏电保护器；利用绝缘材料，进行电气隔离；设置屏护，规定安全距离，实行连锁保护等。</w:t>
      </w:r>
    </w:p>
    <w:p>
      <w:pPr>
        <w:ind w:firstLine="480" w:firstLineChars="200"/>
        <w:rPr>
          <w:rFonts w:ascii="Times New Roman" w:hAnsi="Times New Roman" w:cs="Times New Roman"/>
          <w:szCs w:val="24"/>
        </w:rPr>
      </w:pPr>
      <w:r>
        <w:rPr>
          <w:rFonts w:ascii="Times New Roman" w:hAnsi="Times New Roman" w:cs="Times New Roman"/>
          <w:color w:val="000000" w:themeColor="text1"/>
        </w:rPr>
        <w:t>给出“禁止入内”的标识，设置必要的信号灯、警示标志、护桩等。夜间设置足够的照明；室外作业时，遇大风、大雨等恶劣天气，应停止作业；运输作业时必须按额定负荷降低20%进行使用。</w:t>
      </w:r>
    </w:p>
    <w:bookmarkEnd w:id="48"/>
    <w:p>
      <w:pPr>
        <w:pStyle w:val="3"/>
        <w:rPr>
          <w:rFonts w:ascii="Times New Roman" w:hAnsi="Times New Roman" w:cs="Times New Roman" w:eastAsiaTheme="minorEastAsia"/>
          <w:szCs w:val="24"/>
        </w:rPr>
      </w:pPr>
      <w:bookmarkStart w:id="50" w:name="_Toc482661587"/>
      <w:r>
        <w:rPr>
          <w:rFonts w:ascii="Times New Roman" w:hAnsi="Times New Roman" w:cs="Times New Roman" w:eastAsiaTheme="minorEastAsia"/>
        </w:rPr>
        <w:t>6.4主要设备</w:t>
      </w:r>
      <w:bookmarkEnd w:id="50"/>
    </w:p>
    <w:p>
      <w:pPr>
        <w:ind w:firstLine="480" w:firstLineChars="200"/>
        <w:rPr>
          <w:rFonts w:ascii="Times New Roman" w:hAnsi="Times New Roman" w:cs="Times New Roman"/>
          <w:szCs w:val="24"/>
        </w:rPr>
      </w:pPr>
      <w:r>
        <w:rPr>
          <w:rFonts w:ascii="Times New Roman" w:hAnsi="Times New Roman" w:cs="Times New Roman"/>
          <w:szCs w:val="24"/>
        </w:rPr>
        <w:t>加料配套设备：破碎机、螺旋搅拌机、皮带输送机、</w:t>
      </w:r>
    </w:p>
    <w:p>
      <w:pPr>
        <w:ind w:firstLine="480" w:firstLineChars="200"/>
        <w:rPr>
          <w:rFonts w:ascii="Times New Roman" w:hAnsi="Times New Roman" w:cs="Times New Roman"/>
          <w:szCs w:val="24"/>
        </w:rPr>
      </w:pPr>
      <w:r>
        <w:rPr>
          <w:rFonts w:ascii="Times New Roman" w:hAnsi="Times New Roman" w:cs="Times New Roman"/>
          <w:szCs w:val="24"/>
        </w:rPr>
        <w:t>隧道窑设备：隧道窑一座（窑口宽1.5米，高0.5米），包括进出口窑门、推车机、窑车、轨道、保温层等</w:t>
      </w:r>
    </w:p>
    <w:p>
      <w:pPr>
        <w:ind w:firstLine="480" w:firstLineChars="200"/>
        <w:rPr>
          <w:rFonts w:ascii="Times New Roman" w:hAnsi="Times New Roman" w:cs="Times New Roman"/>
          <w:szCs w:val="24"/>
        </w:rPr>
      </w:pPr>
      <w:r>
        <w:rPr>
          <w:rFonts w:ascii="Times New Roman" w:hAnsi="Times New Roman" w:cs="Times New Roman"/>
          <w:szCs w:val="24"/>
        </w:rPr>
        <w:t>隧道窑设备</w:t>
      </w:r>
      <w:r>
        <w:rPr>
          <w:rFonts w:ascii="Times New Roman" w:hAnsi="Times New Roman" w:cs="Times New Roman"/>
          <w:b/>
          <w:szCs w:val="24"/>
        </w:rPr>
        <w:t>：</w:t>
      </w:r>
      <w:r>
        <w:rPr>
          <w:rFonts w:ascii="Times New Roman" w:hAnsi="Times New Roman" w:cs="Times New Roman"/>
          <w:szCs w:val="24"/>
        </w:rPr>
        <w:t>煤气发生炉、排烟风机、二燃室、半干喷雾碱液吸收塔、布袋除尘器、引风机、加压泵、循环泵、烟囱等。</w:t>
      </w:r>
    </w:p>
    <w:p>
      <w:pPr>
        <w:ind w:firstLine="527" w:firstLineChars="250"/>
        <w:jc w:val="center"/>
        <w:rPr>
          <w:rFonts w:ascii="Times New Roman" w:hAnsi="Times New Roman" w:cs="Times New Roman"/>
          <w:b/>
          <w:sz w:val="21"/>
          <w:szCs w:val="21"/>
        </w:rPr>
      </w:pPr>
      <w:r>
        <w:rPr>
          <w:rFonts w:ascii="Times New Roman" w:hAnsi="Times New Roman" w:cs="Times New Roman"/>
          <w:b/>
          <w:sz w:val="21"/>
          <w:szCs w:val="21"/>
        </w:rPr>
        <w:t>表6-2新建隧道窑主要设备一览表</w:t>
      </w:r>
    </w:p>
    <w:tbl>
      <w:tblPr>
        <w:tblStyle w:val="33"/>
        <w:tblW w:w="82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1966"/>
        <w:gridCol w:w="3432"/>
        <w:gridCol w:w="1092"/>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序号</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设备名称</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规格型号</w:t>
            </w: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数量</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一</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焚烧设备</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66"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破碎机</w:t>
            </w:r>
          </w:p>
        </w:tc>
        <w:tc>
          <w:tcPr>
            <w:tcW w:w="3432" w:type="dxa"/>
            <w:vAlign w:val="center"/>
          </w:tcPr>
          <w:p>
            <w:pPr>
              <w:spacing w:line="276" w:lineRule="auto"/>
              <w:jc w:val="center"/>
              <w:rPr>
                <w:rFonts w:ascii="Times New Roman" w:hAnsi="Times New Roman" w:cs="Times New Roman"/>
                <w:sz w:val="18"/>
                <w:szCs w:val="18"/>
              </w:rPr>
            </w:pPr>
          </w:p>
        </w:tc>
        <w:tc>
          <w:tcPr>
            <w:tcW w:w="10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1台</w:t>
            </w:r>
          </w:p>
        </w:tc>
        <w:tc>
          <w:tcPr>
            <w:tcW w:w="1146"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皮带输送机</w:t>
            </w:r>
          </w:p>
        </w:tc>
        <w:tc>
          <w:tcPr>
            <w:tcW w:w="343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定制</w:t>
            </w:r>
          </w:p>
        </w:tc>
        <w:tc>
          <w:tcPr>
            <w:tcW w:w="10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1套</w:t>
            </w:r>
          </w:p>
        </w:tc>
        <w:tc>
          <w:tcPr>
            <w:tcW w:w="1146"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隧道窑</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宽1.5米，高0.5米，长32米，</w:t>
            </w:r>
          </w:p>
        </w:tc>
        <w:tc>
          <w:tcPr>
            <w:tcW w:w="10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1座</w:t>
            </w:r>
          </w:p>
        </w:tc>
        <w:tc>
          <w:tcPr>
            <w:tcW w:w="1146"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窑车</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宽1.5米，长2米</w:t>
            </w: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40台</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二次配风机</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离心风机</w:t>
            </w: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2台</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煤气发生炉</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单段式，直径1.5米，煤气发生量1600Nm</w:t>
            </w:r>
            <w:r>
              <w:rPr>
                <w:rFonts w:ascii="Times New Roman" w:hAnsi="Times New Roman" w:cs="Times New Roman"/>
                <w:sz w:val="18"/>
                <w:szCs w:val="18"/>
                <w:vertAlign w:val="superscript"/>
              </w:rPr>
              <w:t>3</w:t>
            </w:r>
            <w:r>
              <w:rPr>
                <w:rFonts w:ascii="Times New Roman" w:hAnsi="Times New Roman" w:cs="Times New Roman"/>
                <w:sz w:val="18"/>
                <w:szCs w:val="18"/>
              </w:rPr>
              <w:t>/h</w:t>
            </w: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1台</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二</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烟气净化装置</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二燃室</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V=10m</w:t>
            </w:r>
            <w:r>
              <w:rPr>
                <w:rFonts w:ascii="Times New Roman" w:hAnsi="Times New Roman" w:cs="Times New Roman"/>
                <w:sz w:val="18"/>
                <w:szCs w:val="18"/>
                <w:vertAlign w:val="superscript"/>
              </w:rPr>
              <w:t>3</w:t>
            </w:r>
            <w:r>
              <w:rPr>
                <w:rFonts w:ascii="Times New Roman" w:hAnsi="Times New Roman" w:cs="Times New Roman"/>
                <w:sz w:val="18"/>
                <w:szCs w:val="18"/>
              </w:rPr>
              <w:t>，长5米，宽1.5米，高1.5米</w:t>
            </w: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1座</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水冷旋风除尘器</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1座</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半干喷雾急冷吸收塔</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1台</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干式除酸吸收塔</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1台</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耐高温脉冲布袋除尘器</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MC-60-</w:t>
            </w:r>
            <w:r>
              <w:rPr>
                <w:rFonts w:hint="eastAsia" w:ascii="宋体" w:hAnsi="宋体" w:eastAsia="宋体" w:cs="宋体"/>
                <w:sz w:val="18"/>
                <w:szCs w:val="18"/>
              </w:rPr>
              <w:t>Ⅱ</w:t>
            </w:r>
            <w:r>
              <w:rPr>
                <w:rFonts w:ascii="Times New Roman" w:hAnsi="Times New Roman" w:cs="Times New Roman"/>
                <w:sz w:val="18"/>
                <w:szCs w:val="18"/>
              </w:rPr>
              <w:t>型，过滤面积45m</w:t>
            </w:r>
            <w:r>
              <w:rPr>
                <w:rFonts w:ascii="Times New Roman" w:hAnsi="Times New Roman" w:cs="Times New Roman"/>
                <w:sz w:val="18"/>
                <w:szCs w:val="18"/>
                <w:vertAlign w:val="superscript"/>
              </w:rPr>
              <w:t>2</w:t>
            </w: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1套</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储料搅拌槽</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1台</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自制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加压泵</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2台</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耐高温型引风机</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风量5400-10000Nm</w:t>
            </w:r>
            <w:r>
              <w:rPr>
                <w:rFonts w:ascii="Times New Roman" w:hAnsi="Times New Roman" w:cs="Times New Roman"/>
                <w:sz w:val="18"/>
                <w:szCs w:val="18"/>
                <w:vertAlign w:val="superscript"/>
              </w:rPr>
              <w:t>3</w:t>
            </w:r>
            <w:r>
              <w:rPr>
                <w:rFonts w:ascii="Times New Roman" w:hAnsi="Times New Roman" w:cs="Times New Roman"/>
                <w:sz w:val="18"/>
                <w:szCs w:val="18"/>
              </w:rPr>
              <w:t>/h</w:t>
            </w: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1台</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省内购买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atLeast"/>
          <w:jc w:val="center"/>
        </w:trPr>
        <w:tc>
          <w:tcPr>
            <w:tcW w:w="588"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196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烟囱</w:t>
            </w:r>
          </w:p>
        </w:tc>
        <w:tc>
          <w:tcPr>
            <w:tcW w:w="343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出口直径0.5米，高35米</w:t>
            </w:r>
          </w:p>
        </w:tc>
        <w:tc>
          <w:tcPr>
            <w:tcW w:w="1092"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1座</w:t>
            </w:r>
          </w:p>
        </w:tc>
        <w:tc>
          <w:tcPr>
            <w:tcW w:w="1146" w:type="dxa"/>
            <w:vAlign w:val="center"/>
          </w:tcPr>
          <w:p>
            <w:pPr>
              <w:tabs>
                <w:tab w:val="left" w:pos="2310"/>
              </w:tabs>
              <w:adjustRightInd w:val="0"/>
              <w:snapToGrid w:val="0"/>
              <w:spacing w:line="276" w:lineRule="auto"/>
              <w:jc w:val="center"/>
              <w:rPr>
                <w:rFonts w:ascii="Times New Roman" w:hAnsi="Times New Roman" w:cs="Times New Roman"/>
                <w:sz w:val="18"/>
                <w:szCs w:val="18"/>
              </w:rPr>
            </w:pPr>
            <w:r>
              <w:rPr>
                <w:rFonts w:ascii="Times New Roman" w:hAnsi="Times New Roman" w:cs="Times New Roman"/>
                <w:sz w:val="18"/>
                <w:szCs w:val="18"/>
              </w:rPr>
              <w:t>可利用现有</w:t>
            </w:r>
          </w:p>
        </w:tc>
      </w:tr>
    </w:tbl>
    <w:p>
      <w:pPr>
        <w:spacing w:before="240" w:beforeLines="100"/>
        <w:ind w:firstLine="480" w:firstLineChars="200"/>
        <w:rPr>
          <w:rFonts w:ascii="Times New Roman" w:hAnsi="Times New Roman" w:cs="Times New Roman"/>
          <w:kern w:val="0"/>
          <w:szCs w:val="24"/>
        </w:rPr>
      </w:pPr>
      <w:r>
        <w:rPr>
          <w:rFonts w:ascii="Times New Roman" w:hAnsi="Times New Roman" w:cs="Times New Roman"/>
          <w:kern w:val="0"/>
          <w:szCs w:val="24"/>
        </w:rPr>
        <w:t>主要设备说明：</w:t>
      </w:r>
    </w:p>
    <w:p>
      <w:pPr>
        <w:ind w:firstLine="480" w:firstLineChars="200"/>
        <w:rPr>
          <w:rFonts w:ascii="Times New Roman" w:hAnsi="Times New Roman" w:cs="Times New Roman"/>
          <w:kern w:val="0"/>
          <w:szCs w:val="24"/>
        </w:rPr>
      </w:pPr>
      <w:r>
        <w:rPr>
          <w:rFonts w:hint="eastAsia" w:ascii="宋体" w:hAnsi="宋体" w:eastAsia="宋体" w:cs="宋体"/>
          <w:kern w:val="0"/>
          <w:szCs w:val="24"/>
        </w:rPr>
        <w:t>①</w:t>
      </w:r>
      <w:r>
        <w:rPr>
          <w:rFonts w:ascii="Times New Roman" w:hAnsi="Times New Roman" w:cs="Times New Roman"/>
          <w:kern w:val="0"/>
          <w:szCs w:val="24"/>
        </w:rPr>
        <w:t>隧道窑：</w:t>
      </w:r>
    </w:p>
    <w:p>
      <w:pPr>
        <w:ind w:firstLine="480" w:firstLineChars="200"/>
        <w:rPr>
          <w:rFonts w:ascii="Times New Roman" w:hAnsi="Times New Roman" w:cs="Times New Roman"/>
          <w:kern w:val="0"/>
          <w:szCs w:val="24"/>
        </w:rPr>
      </w:pPr>
      <w:r>
        <w:rPr>
          <w:rFonts w:ascii="Times New Roman" w:hAnsi="Times New Roman" w:cs="Times New Roman"/>
          <w:kern w:val="0"/>
          <w:szCs w:val="24"/>
        </w:rPr>
        <w:t>整个窑炉主要包括窑炉主体结构、窑头封闭气幕及排烟系统、燃烧系统、窑尾冷却系统、窑车、温度、窑压控制系统等。本方案未考虑余热利用系统。</w:t>
      </w:r>
    </w:p>
    <w:p>
      <w:pPr>
        <w:ind w:firstLine="480" w:firstLineChars="200"/>
        <w:rPr>
          <w:rFonts w:ascii="Times New Roman" w:hAnsi="Times New Roman" w:cs="Times New Roman"/>
          <w:kern w:val="0"/>
          <w:szCs w:val="24"/>
        </w:rPr>
      </w:pPr>
      <w:r>
        <w:rPr>
          <w:rFonts w:ascii="Times New Roman" w:hAnsi="Times New Roman" w:cs="Times New Roman"/>
          <w:kern w:val="0"/>
          <w:szCs w:val="24"/>
        </w:rPr>
        <w:t>该隧道窑为明焰间隙燃烧、间歇进车，全窑长度32m，窑内宽度1.5m，窑车台面至窑顶高度0.65/0.50m，窑内容车16辆，每辆窑车装填污染土不超过0.3m，按平均装填0.25m计算，每个窑车装土约0.9t。焚烧温度850+50</w:t>
      </w:r>
      <w:r>
        <w:rPr>
          <w:rFonts w:hint="eastAsia" w:ascii="宋体" w:hAnsi="宋体" w:eastAsia="宋体" w:cs="宋体"/>
          <w:kern w:val="0"/>
          <w:szCs w:val="24"/>
        </w:rPr>
        <w:t>℃</w:t>
      </w:r>
      <w:r>
        <w:rPr>
          <w:rFonts w:ascii="Times New Roman" w:hAnsi="Times New Roman" w:cs="Times New Roman"/>
          <w:kern w:val="0"/>
          <w:szCs w:val="24"/>
        </w:rPr>
        <w:t>，烧成周期46h，燃料为煤气，能耗为1500kcal/kg。</w:t>
      </w:r>
    </w:p>
    <w:p>
      <w:pPr>
        <w:ind w:firstLine="480" w:firstLineChars="200"/>
        <w:rPr>
          <w:rFonts w:ascii="Times New Roman" w:hAnsi="Times New Roman" w:cs="Times New Roman"/>
          <w:kern w:val="0"/>
          <w:szCs w:val="24"/>
        </w:rPr>
      </w:pPr>
      <w:r>
        <w:rPr>
          <w:rFonts w:hint="eastAsia" w:ascii="宋体" w:hAnsi="宋体" w:eastAsia="宋体" w:cs="宋体"/>
          <w:kern w:val="0"/>
          <w:szCs w:val="24"/>
        </w:rPr>
        <w:t>②</w:t>
      </w:r>
      <w:r>
        <w:rPr>
          <w:rFonts w:ascii="Times New Roman" w:hAnsi="Times New Roman" w:cs="Times New Roman"/>
          <w:kern w:val="0"/>
          <w:szCs w:val="24"/>
        </w:rPr>
        <w:t>单段式煤气发生炉</w:t>
      </w:r>
    </w:p>
    <w:p>
      <w:pPr>
        <w:ind w:firstLine="480" w:firstLineChars="200"/>
        <w:rPr>
          <w:rStyle w:val="36"/>
          <w:rFonts w:ascii="Times New Roman" w:hAnsi="Times New Roman" w:cs="Times New Roman"/>
          <w:b w:val="0"/>
          <w:bCs/>
          <w:szCs w:val="24"/>
        </w:rPr>
      </w:pPr>
      <w:r>
        <w:rPr>
          <w:rStyle w:val="36"/>
          <w:rFonts w:ascii="Times New Roman" w:hAnsi="Times New Roman" w:cs="Times New Roman"/>
          <w:b w:val="0"/>
          <w:bCs/>
          <w:szCs w:val="24"/>
        </w:rPr>
        <w:t>单段式煤气发生炉，是以空气和水蒸气混合为气化剂的煤气发生炉。全水套结构，自产蒸汽可直接通入单段式煤气发生炉做气化剂使用。双钟罩加煤，自动加煤机及液压驱动上插板下钟罩结构，蜗轮蜗杆形式，湿式出灰。</w:t>
      </w:r>
    </w:p>
    <w:p>
      <w:pPr>
        <w:ind w:firstLine="480" w:firstLineChars="200"/>
        <w:rPr>
          <w:rStyle w:val="36"/>
          <w:rFonts w:ascii="Times New Roman" w:hAnsi="Times New Roman" w:cs="Times New Roman"/>
          <w:b w:val="0"/>
          <w:bCs/>
          <w:szCs w:val="24"/>
        </w:rPr>
      </w:pPr>
      <w:r>
        <w:rPr>
          <w:rStyle w:val="36"/>
          <w:rFonts w:hint="eastAsia" w:ascii="宋体" w:hAnsi="宋体" w:eastAsia="宋体" w:cs="宋体"/>
          <w:b w:val="0"/>
          <w:bCs/>
          <w:szCs w:val="24"/>
        </w:rPr>
        <w:t>③</w:t>
      </w:r>
      <w:r>
        <w:rPr>
          <w:rFonts w:ascii="Times New Roman" w:hAnsi="Times New Roman" w:cs="Times New Roman"/>
          <w:szCs w:val="24"/>
        </w:rPr>
        <w:t>烟气净化装置</w:t>
      </w:r>
    </w:p>
    <w:p>
      <w:pPr>
        <w:autoSpaceDE w:val="0"/>
        <w:autoSpaceDN w:val="0"/>
        <w:adjustRightInd w:val="0"/>
        <w:ind w:firstLine="480" w:firstLineChars="200"/>
        <w:rPr>
          <w:rFonts w:ascii="Times New Roman" w:hAnsi="Times New Roman" w:cs="Times New Roman"/>
          <w:szCs w:val="24"/>
        </w:rPr>
      </w:pPr>
      <w:r>
        <w:rPr>
          <w:rFonts w:ascii="Times New Roman" w:hAnsi="Times New Roman" w:cs="Times New Roman"/>
          <w:szCs w:val="24"/>
        </w:rPr>
        <w:t>烟气净化装置包括</w:t>
      </w:r>
      <w:r>
        <w:rPr>
          <w:rStyle w:val="36"/>
          <w:rFonts w:ascii="Times New Roman" w:hAnsi="Times New Roman" w:cs="Times New Roman"/>
          <w:b w:val="0"/>
          <w:bCs/>
          <w:szCs w:val="24"/>
        </w:rPr>
        <w:t>二燃室、</w:t>
      </w:r>
      <w:r>
        <w:rPr>
          <w:rFonts w:ascii="Times New Roman" w:hAnsi="Times New Roman" w:cs="Times New Roman"/>
          <w:kern w:val="0"/>
          <w:szCs w:val="24"/>
        </w:rPr>
        <w:t>双水冷旋风除尘器、半干喷雾急冷吸收塔、干式除酸吸收塔、布袋除尘器、烟囱等。</w:t>
      </w:r>
    </w:p>
    <w:p>
      <w:pPr>
        <w:autoSpaceDE w:val="0"/>
        <w:autoSpaceDN w:val="0"/>
        <w:adjustRightInd w:val="0"/>
        <w:ind w:firstLine="480" w:firstLineChars="200"/>
        <w:rPr>
          <w:rFonts w:ascii="Times New Roman" w:hAnsi="Times New Roman" w:cs="Times New Roman"/>
          <w:kern w:val="0"/>
          <w:szCs w:val="24"/>
        </w:rPr>
      </w:pPr>
      <w:r>
        <w:rPr>
          <w:rFonts w:ascii="Times New Roman" w:hAnsi="Times New Roman" w:cs="Times New Roman"/>
          <w:szCs w:val="24"/>
        </w:rPr>
        <w:t>尾气引</w:t>
      </w:r>
      <w:r>
        <w:rPr>
          <w:rFonts w:ascii="Times New Roman" w:hAnsi="Times New Roman" w:cs="Times New Roman"/>
          <w:kern w:val="0"/>
          <w:szCs w:val="24"/>
        </w:rPr>
        <w:t>入二燃炉在1100</w:t>
      </w:r>
      <w:r>
        <w:rPr>
          <w:rFonts w:hint="eastAsia" w:ascii="宋体" w:hAnsi="宋体" w:eastAsia="宋体" w:cs="宋体"/>
          <w:kern w:val="0"/>
          <w:szCs w:val="24"/>
        </w:rPr>
        <w:t>℃</w:t>
      </w:r>
      <w:r>
        <w:rPr>
          <w:rFonts w:ascii="Times New Roman" w:hAnsi="Times New Roman" w:cs="Times New Roman"/>
          <w:kern w:val="0"/>
          <w:szCs w:val="24"/>
        </w:rPr>
        <w:t>、滞留时间大于2s条件下充分燃烧，燃烧效率可达99.9%，高温烟气通过双水冷旋风除尘器除去烟气中的余留盐粉和颗粒粉尘，同时降温至800</w:t>
      </w:r>
      <w:r>
        <w:rPr>
          <w:rFonts w:hint="eastAsia" w:ascii="宋体" w:hAnsi="宋体" w:eastAsia="宋体" w:cs="宋体"/>
          <w:kern w:val="0"/>
          <w:szCs w:val="24"/>
        </w:rPr>
        <w:t>℃</w:t>
      </w:r>
      <w:r>
        <w:rPr>
          <w:rFonts w:ascii="Times New Roman" w:hAnsi="Times New Roman" w:cs="Times New Roman"/>
          <w:kern w:val="0"/>
          <w:szCs w:val="24"/>
        </w:rPr>
        <w:t>左右，后烟气再进入半干喷雾急冷吸收塔，以一定浓度的NaOH溶液喷入反应塔内，与烟气中的酸性物质穿发生中和反应，并急速降低烟气温度至200</w:t>
      </w:r>
      <w:r>
        <w:rPr>
          <w:rFonts w:hint="eastAsia" w:ascii="宋体" w:hAnsi="宋体" w:eastAsia="宋体" w:cs="宋体"/>
          <w:kern w:val="0"/>
          <w:szCs w:val="24"/>
        </w:rPr>
        <w:t>℃</w:t>
      </w:r>
      <w:r>
        <w:rPr>
          <w:rFonts w:ascii="Times New Roman" w:hAnsi="Times New Roman" w:cs="Times New Roman"/>
          <w:kern w:val="0"/>
          <w:szCs w:val="24"/>
        </w:rPr>
        <w:t>。随后烟气进入干式除酸及二恶英吸收装置，喷入炭石灰（活性碳及消石灰）去除烟气中二恶英及残留的HCl、NOx 等有毒有害气体；最后由布袋除尘器去除烟气中的细微粉尘，和烟气中游离的重金属成份，以达到粉尘排放要求。</w:t>
      </w:r>
    </w:p>
    <w:p>
      <w:pPr>
        <w:pStyle w:val="3"/>
        <w:rPr>
          <w:rFonts w:ascii="Times New Roman" w:hAnsi="Times New Roman" w:cs="Times New Roman" w:eastAsiaTheme="minorEastAsia"/>
        </w:rPr>
      </w:pPr>
      <w:bookmarkStart w:id="51" w:name="_Toc482661588"/>
      <w:r>
        <w:rPr>
          <w:rFonts w:ascii="Times New Roman" w:hAnsi="Times New Roman" w:cs="Times New Roman" w:eastAsiaTheme="minorEastAsia"/>
        </w:rPr>
        <w:t>6.5环境监测计划</w:t>
      </w:r>
      <w:bookmarkEnd w:id="51"/>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本项目面积较大，工程施工过程中需要多点、多次、批量取样，对项目范围内的废渣、土壤、水体中重金属含量等进行检测，以便客观评价项目实施的成效，控制环境风险。对项目的实施提供全程的监测、监督和监察，防范施工过程中的环境风险，及时对项目实施的成效进行阶段性评估，为项目的环保验收提供过程依据。</w:t>
      </w:r>
    </w:p>
    <w:p>
      <w:pPr>
        <w:rPr>
          <w:rFonts w:ascii="Times New Roman" w:hAnsi="Times New Roman" w:cs="Times New Roman"/>
        </w:rPr>
      </w:pPr>
      <w:r>
        <w:rPr>
          <w:rFonts w:ascii="Times New Roman" w:hAnsi="Times New Roman" w:cs="Times New Roman"/>
        </w:rPr>
        <w:t>6.5.1 施工过程监督和监测</w:t>
      </w:r>
    </w:p>
    <w:p>
      <w:pPr>
        <w:ind w:firstLine="480" w:firstLineChars="200"/>
        <w:rPr>
          <w:rFonts w:ascii="Times New Roman" w:hAnsi="Times New Roman" w:cs="Times New Roman"/>
        </w:rPr>
      </w:pPr>
      <w:r>
        <w:rPr>
          <w:rFonts w:ascii="Times New Roman" w:hAnsi="Times New Roman" w:cs="Times New Roman"/>
        </w:rPr>
        <w:t>（1）施工过程中污染场地及边界土壤监测</w:t>
      </w:r>
    </w:p>
    <w:p>
      <w:pPr>
        <w:ind w:firstLine="480" w:firstLineChars="200"/>
        <w:rPr>
          <w:rFonts w:ascii="Times New Roman" w:hAnsi="Times New Roman" w:cs="Times New Roman"/>
        </w:rPr>
      </w:pPr>
      <w:r>
        <w:rPr>
          <w:rFonts w:ascii="Times New Roman" w:hAnsi="Times New Roman" w:cs="Times New Roman"/>
        </w:rPr>
        <w:t>在施工过程中，为确保工程实施不会对周边的环境造成二次污染，项目将重点对周边场地进行环境监测。样品检测和采样分析方法按《环境监测技术规范》的相关要求进行。在污染场地外边界布设1个监测点，每周取样监测2次，对采集的每一个土壤样品做好记录，监测指标为pH、VOCs、</w:t>
      </w:r>
      <w:r>
        <w:rPr>
          <w:rFonts w:ascii="Times New Roman" w:hAnsi="Times New Roman" w:cs="Times New Roman"/>
          <w:bCs/>
        </w:rPr>
        <w:t>六六六、滴滴涕、甲苯、二甲苯、</w:t>
      </w:r>
      <w:r>
        <w:rPr>
          <w:rFonts w:ascii="Times New Roman" w:hAnsi="Times New Roman" w:cs="Times New Roman"/>
        </w:rPr>
        <w:t>二氯乙烷等。</w:t>
      </w:r>
    </w:p>
    <w:p>
      <w:pPr>
        <w:ind w:firstLine="480" w:firstLineChars="200"/>
        <w:rPr>
          <w:rFonts w:ascii="Times New Roman" w:hAnsi="Times New Roman" w:cs="Times New Roman"/>
        </w:rPr>
      </w:pPr>
      <w:r>
        <w:rPr>
          <w:rFonts w:ascii="Times New Roman" w:hAnsi="Times New Roman" w:cs="Times New Roman"/>
        </w:rPr>
        <w:t>（2）地表水及地下水监测</w:t>
      </w:r>
    </w:p>
    <w:p>
      <w:pPr>
        <w:ind w:firstLine="480" w:firstLineChars="200"/>
        <w:rPr>
          <w:rFonts w:ascii="Times New Roman" w:hAnsi="Times New Roman" w:cs="Times New Roman"/>
          <w:u w:val="single"/>
        </w:rPr>
      </w:pPr>
      <w:r>
        <w:rPr>
          <w:rFonts w:ascii="Times New Roman" w:hAnsi="Times New Roman" w:cs="Times New Roman"/>
        </w:rPr>
        <w:t>在施工前，在污染场地周边设置监测井，在地下水的上、下游分别布点取样，监测施工前地下水水质。施工过程中，每30天对两个监测井进行采样检测。对溪沟的地表水进行监测，监测频率为1次/周。样品检测和采样分析方法按《环境监测技术规范》、《地表水和污水监测技术规范》以及《地下水监测技术规范》的相关要求进行。对采集的每一个水样，做好记录，并在采样瓶上贴好标签，低温保存运送至实验室进行分析。监测指标为pH、VOCs</w:t>
      </w:r>
      <w:r>
        <w:rPr>
          <w:rFonts w:ascii="Times New Roman" w:hAnsi="Times New Roman" w:cs="Times New Roman"/>
          <w:bCs/>
        </w:rPr>
        <w:t>六六六、滴滴涕、甲苯、二甲苯、</w:t>
      </w:r>
      <w:r>
        <w:rPr>
          <w:rFonts w:ascii="Times New Roman" w:hAnsi="Times New Roman" w:cs="Times New Roman"/>
        </w:rPr>
        <w:t>二氯乙烷等。</w:t>
      </w:r>
    </w:p>
    <w:p>
      <w:pPr>
        <w:ind w:firstLine="480" w:firstLineChars="200"/>
        <w:rPr>
          <w:rFonts w:ascii="Times New Roman" w:hAnsi="Times New Roman" w:cs="Times New Roman"/>
        </w:rPr>
      </w:pPr>
      <w:r>
        <w:rPr>
          <w:rFonts w:ascii="Times New Roman" w:hAnsi="Times New Roman" w:cs="Times New Roman"/>
        </w:rPr>
        <w:t>（3）噪声监测</w:t>
      </w:r>
    </w:p>
    <w:p>
      <w:pPr>
        <w:ind w:firstLine="480" w:firstLineChars="200"/>
        <w:rPr>
          <w:rFonts w:ascii="Times New Roman" w:hAnsi="Times New Roman" w:cs="Times New Roman"/>
        </w:rPr>
      </w:pPr>
      <w:r>
        <w:rPr>
          <w:rFonts w:ascii="Times New Roman" w:hAnsi="Times New Roman" w:cs="Times New Roman"/>
        </w:rPr>
        <w:t>在施工过程中，机械作业产生的噪声需要定期进行监测。测量时尽量选择无雨、无雪、风力6级以下的天气，且选在地势平坦、无大型反射物场地中进行监测。噪声的监测方法按照《建筑施工场界环境噪声排放标准》（GB12523-2011）中的相关要求进行。噪声监测围绕场地边界线上选择离敏感区最近4个采样点，每个采样点位置设在高度1.2m以上的噪声敏感处。</w:t>
      </w:r>
    </w:p>
    <w:p>
      <w:pPr>
        <w:ind w:firstLine="480" w:firstLineChars="200"/>
        <w:rPr>
          <w:rFonts w:ascii="Times New Roman" w:hAnsi="Times New Roman" w:cs="Times New Roman"/>
        </w:rPr>
      </w:pPr>
      <w:r>
        <w:rPr>
          <w:rFonts w:ascii="Times New Roman" w:hAnsi="Times New Roman" w:cs="Times New Roman"/>
        </w:rPr>
        <w:t>（4）全程环境监测布点统计</w:t>
      </w:r>
    </w:p>
    <w:p>
      <w:pPr>
        <w:ind w:firstLine="480" w:firstLineChars="200"/>
        <w:rPr>
          <w:rFonts w:ascii="Times New Roman" w:hAnsi="Times New Roman" w:cs="Times New Roman"/>
        </w:rPr>
      </w:pPr>
      <w:r>
        <w:rPr>
          <w:rFonts w:ascii="Times New Roman" w:hAnsi="Times New Roman" w:cs="Times New Roman"/>
        </w:rPr>
        <w:t>场地全程环境监测及验收的布点统计、监测频率见表6-</w:t>
      </w:r>
      <w:r>
        <w:rPr>
          <w:rFonts w:hint="eastAsia" w:ascii="Times New Roman" w:hAnsi="Times New Roman" w:cs="Times New Roman"/>
        </w:rPr>
        <w:t>3</w:t>
      </w:r>
      <w:r>
        <w:rPr>
          <w:rFonts w:ascii="Times New Roman" w:hAnsi="Times New Roman" w:cs="Times New Roman"/>
        </w:rPr>
        <w:t>，现场监测将采用快速检测仪及实验室检测两种形式。</w:t>
      </w:r>
    </w:p>
    <w:p>
      <w:pPr>
        <w:topLinePunct/>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表6-</w:t>
      </w:r>
      <w:r>
        <w:rPr>
          <w:rFonts w:hint="eastAsia" w:ascii="Times New Roman" w:hAnsi="Times New Roman" w:cs="Times New Roman"/>
          <w:b/>
          <w:color w:val="000000"/>
          <w:sz w:val="21"/>
          <w:szCs w:val="21"/>
        </w:rPr>
        <w:t>3</w:t>
      </w:r>
      <w:r>
        <w:rPr>
          <w:rFonts w:ascii="Times New Roman" w:hAnsi="Times New Roman" w:cs="Times New Roman"/>
          <w:b/>
          <w:color w:val="000000"/>
          <w:sz w:val="21"/>
          <w:szCs w:val="21"/>
        </w:rPr>
        <w:t>场地全程监测及验收因子汇总表</w:t>
      </w:r>
    </w:p>
    <w:tbl>
      <w:tblPr>
        <w:tblStyle w:val="33"/>
        <w:tblW w:w="8374" w:type="dxa"/>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13"/>
        <w:gridCol w:w="2067"/>
        <w:gridCol w:w="2419"/>
        <w:gridCol w:w="23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32" w:hRule="atLeast"/>
        </w:trPr>
        <w:tc>
          <w:tcPr>
            <w:tcW w:w="1513"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监测种类</w:t>
            </w:r>
          </w:p>
        </w:tc>
        <w:tc>
          <w:tcPr>
            <w:tcW w:w="2067"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采样和监测规范</w:t>
            </w:r>
          </w:p>
        </w:tc>
        <w:tc>
          <w:tcPr>
            <w:tcW w:w="2419"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监测频率</w:t>
            </w:r>
          </w:p>
        </w:tc>
        <w:tc>
          <w:tcPr>
            <w:tcW w:w="2375"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监测指标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974" w:hRule="atLeast"/>
        </w:trPr>
        <w:tc>
          <w:tcPr>
            <w:tcW w:w="1513"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土壤</w:t>
            </w:r>
          </w:p>
        </w:tc>
        <w:tc>
          <w:tcPr>
            <w:tcW w:w="2067"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《环境监测技术规范》</w:t>
            </w:r>
          </w:p>
        </w:tc>
        <w:tc>
          <w:tcPr>
            <w:tcW w:w="2419"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在污染场地外边界布设1个监测点，每周取样监测2次</w:t>
            </w:r>
          </w:p>
        </w:tc>
        <w:tc>
          <w:tcPr>
            <w:tcW w:w="2375"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pH、VOCs</w:t>
            </w:r>
            <w:r>
              <w:rPr>
                <w:rFonts w:hint="eastAsia" w:ascii="Times New Roman" w:hAnsi="Times New Roman" w:cs="Times New Roman"/>
                <w:color w:val="000000"/>
                <w:sz w:val="18"/>
                <w:szCs w:val="18"/>
              </w:rPr>
              <w:t>、</w:t>
            </w:r>
            <w:r>
              <w:rPr>
                <w:rFonts w:ascii="Times New Roman" w:hAnsi="Times New Roman" w:cs="Times New Roman"/>
                <w:color w:val="000000"/>
                <w:sz w:val="18"/>
                <w:szCs w:val="18"/>
              </w:rPr>
              <w:t>六六六、滴滴涕、甲苯、二甲苯、二氯乙烷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1775" w:hRule="atLeast"/>
        </w:trPr>
        <w:tc>
          <w:tcPr>
            <w:tcW w:w="1513"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地表水与地下水</w:t>
            </w:r>
          </w:p>
        </w:tc>
        <w:tc>
          <w:tcPr>
            <w:tcW w:w="2067"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《环境监测技术规范》、《地表水和污水监测技术规范》、《地下水监测技术规范》</w:t>
            </w:r>
          </w:p>
        </w:tc>
        <w:tc>
          <w:tcPr>
            <w:tcW w:w="2419"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施工前，在场地的上下游共设置两个监测点位，各监测1次；施工中，每30天对两个监测井进行采样检测，对场地地表水进行监测，监测频率为每周1次。</w:t>
            </w:r>
          </w:p>
        </w:tc>
        <w:tc>
          <w:tcPr>
            <w:tcW w:w="2375"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pH、VOCs</w:t>
            </w:r>
            <w:r>
              <w:rPr>
                <w:rFonts w:hint="eastAsia" w:ascii="Times New Roman" w:hAnsi="Times New Roman" w:cs="Times New Roman"/>
                <w:color w:val="000000"/>
                <w:sz w:val="18"/>
                <w:szCs w:val="18"/>
              </w:rPr>
              <w:t>、</w:t>
            </w:r>
            <w:r>
              <w:rPr>
                <w:rFonts w:ascii="Times New Roman" w:hAnsi="Times New Roman" w:cs="Times New Roman"/>
                <w:color w:val="000000"/>
                <w:sz w:val="18"/>
                <w:szCs w:val="18"/>
              </w:rPr>
              <w:t>六六六、滴滴涕、甲苯、二甲苯、二氯乙烷等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771" w:hRule="atLeast"/>
        </w:trPr>
        <w:tc>
          <w:tcPr>
            <w:tcW w:w="1513"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噪声</w:t>
            </w:r>
          </w:p>
        </w:tc>
        <w:tc>
          <w:tcPr>
            <w:tcW w:w="2067"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《建筑施工场界环境噪声排放标准》</w:t>
            </w:r>
          </w:p>
        </w:tc>
        <w:tc>
          <w:tcPr>
            <w:tcW w:w="2419"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场地周边共4个，每个采样点位置设在高度1.2m以上的噪声敏感处</w:t>
            </w:r>
          </w:p>
        </w:tc>
        <w:tc>
          <w:tcPr>
            <w:tcW w:w="2375" w:type="dxa"/>
            <w:vAlign w:val="center"/>
          </w:tcPr>
          <w:p>
            <w:pPr>
              <w:topLinePunct/>
              <w:adjustRightInd w:val="0"/>
              <w:snapToGrid w:val="0"/>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昼夜等效声级</w:t>
            </w:r>
          </w:p>
        </w:tc>
      </w:tr>
    </w:tbl>
    <w:p>
      <w:pPr>
        <w:rPr>
          <w:rFonts w:ascii="Times New Roman" w:hAnsi="Times New Roman" w:cs="Times New Roman"/>
        </w:rPr>
      </w:pPr>
      <w:r>
        <w:rPr>
          <w:rFonts w:ascii="Times New Roman" w:hAnsi="Times New Roman" w:cs="Times New Roman"/>
        </w:rPr>
        <w:t>6.5.2跟踪监测</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（1）周边土壤跟踪监测</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本项目完工后，委托有相应资质的第三方检测公司对污染场地周边土壤进行跟踪监测。项目验收12个月后，对污染场地周边土壤中监测因子总量进行一次监测，评估项目治理与恢复的长期效果。</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（2）场地周边水体跟踪监测</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项目验收后3年内，项目建设单位应委托有资质的监测单位对治理后的场地周边地表水和地下水进行长期监测，采样点设在场地区域周边的地下水水流上、下游监测井，以及场地周边地表水体的上游和下游，共设置地下水监测井3个，地表水监测点3个。每年按枯平丰水期进行，每期一次。</w:t>
      </w:r>
      <w:bookmarkEnd w:id="27"/>
      <w:bookmarkEnd w:id="28"/>
      <w:bookmarkEnd w:id="29"/>
      <w:bookmarkEnd w:id="30"/>
      <w:bookmarkEnd w:id="31"/>
    </w:p>
    <w:p>
      <w:pPr>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表6-</w:t>
      </w:r>
      <w:r>
        <w:rPr>
          <w:rFonts w:hint="eastAsia" w:ascii="Times New Roman" w:hAnsi="Times New Roman" w:cs="Times New Roman"/>
          <w:b/>
          <w:color w:val="000000" w:themeColor="text1"/>
          <w:sz w:val="21"/>
          <w:szCs w:val="21"/>
        </w:rPr>
        <w:t>4</w:t>
      </w:r>
      <w:r>
        <w:rPr>
          <w:rFonts w:ascii="Times New Roman" w:hAnsi="Times New Roman" w:cs="Times New Roman"/>
          <w:b/>
          <w:color w:val="000000" w:themeColor="text1"/>
          <w:sz w:val="21"/>
          <w:szCs w:val="21"/>
        </w:rPr>
        <w:t>项目后期跟踪监测项目表</w:t>
      </w:r>
    </w:p>
    <w:tbl>
      <w:tblPr>
        <w:tblStyle w:val="34"/>
        <w:tblW w:w="78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6"/>
        <w:gridCol w:w="1106"/>
        <w:gridCol w:w="3154"/>
        <w:gridCol w:w="1389"/>
        <w:gridCol w:w="1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3" w:hRule="atLeast"/>
          <w:jc w:val="center"/>
        </w:trPr>
        <w:tc>
          <w:tcPr>
            <w:tcW w:w="61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序号</w:t>
            </w:r>
          </w:p>
        </w:tc>
        <w:tc>
          <w:tcPr>
            <w:tcW w:w="110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监测类别</w:t>
            </w:r>
          </w:p>
        </w:tc>
        <w:tc>
          <w:tcPr>
            <w:tcW w:w="3154"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监测因子</w:t>
            </w:r>
          </w:p>
        </w:tc>
        <w:tc>
          <w:tcPr>
            <w:tcW w:w="1389"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监测点位</w:t>
            </w:r>
          </w:p>
        </w:tc>
        <w:tc>
          <w:tcPr>
            <w:tcW w:w="157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监测期限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19" w:hRule="atLeast"/>
          <w:jc w:val="center"/>
        </w:trPr>
        <w:tc>
          <w:tcPr>
            <w:tcW w:w="61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1</w:t>
            </w:r>
          </w:p>
        </w:tc>
        <w:tc>
          <w:tcPr>
            <w:tcW w:w="110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污染场地周边土壤</w:t>
            </w:r>
          </w:p>
        </w:tc>
        <w:tc>
          <w:tcPr>
            <w:tcW w:w="3154"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sz w:val="18"/>
                <w:szCs w:val="18"/>
              </w:rPr>
              <w:t>pH、VOCs六六六、滴滴涕、甲苯、二甲苯、二氯乙烷等</w:t>
            </w:r>
          </w:p>
        </w:tc>
        <w:tc>
          <w:tcPr>
            <w:tcW w:w="1389"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在污染场地周边土壤布设1个监测点</w:t>
            </w:r>
          </w:p>
        </w:tc>
        <w:tc>
          <w:tcPr>
            <w:tcW w:w="157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验收12个月后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68" w:hRule="atLeast"/>
          <w:jc w:val="center"/>
        </w:trPr>
        <w:tc>
          <w:tcPr>
            <w:tcW w:w="61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2</w:t>
            </w:r>
          </w:p>
        </w:tc>
        <w:tc>
          <w:tcPr>
            <w:tcW w:w="110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场地周边地表水</w:t>
            </w:r>
          </w:p>
        </w:tc>
        <w:tc>
          <w:tcPr>
            <w:tcW w:w="3154"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sz w:val="18"/>
                <w:szCs w:val="18"/>
              </w:rPr>
              <w:t>pH、色度、悬浮物、COD、BOD</w:t>
            </w:r>
            <w:r>
              <w:rPr>
                <w:rFonts w:ascii="Times New Roman" w:hAnsi="Times New Roman" w:cs="Times New Roman" w:eastAsiaTheme="minorEastAsia"/>
                <w:color w:val="000000"/>
                <w:sz w:val="18"/>
                <w:szCs w:val="18"/>
                <w:vertAlign w:val="subscript"/>
              </w:rPr>
              <w:t>5</w:t>
            </w:r>
            <w:r>
              <w:rPr>
                <w:rFonts w:ascii="Times New Roman" w:hAnsi="Times New Roman" w:cs="Times New Roman" w:eastAsiaTheme="minorEastAsia"/>
                <w:color w:val="000000"/>
                <w:sz w:val="18"/>
                <w:szCs w:val="18"/>
              </w:rPr>
              <w:t>、氨氮、六六六、滴滴涕、甲苯、二甲苯、二氯乙烷等</w:t>
            </w:r>
          </w:p>
        </w:tc>
        <w:tc>
          <w:tcPr>
            <w:tcW w:w="1389"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在资江及污水处理厂设置3个监测点</w:t>
            </w:r>
          </w:p>
        </w:tc>
        <w:tc>
          <w:tcPr>
            <w:tcW w:w="157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验收后3年内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91" w:hRule="atLeast"/>
          <w:jc w:val="center"/>
        </w:trPr>
        <w:tc>
          <w:tcPr>
            <w:tcW w:w="61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3</w:t>
            </w:r>
          </w:p>
        </w:tc>
        <w:tc>
          <w:tcPr>
            <w:tcW w:w="110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场地周边地下水</w:t>
            </w:r>
          </w:p>
        </w:tc>
        <w:tc>
          <w:tcPr>
            <w:tcW w:w="3154"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sz w:val="18"/>
                <w:szCs w:val="18"/>
              </w:rPr>
              <w:t>pH、色度、悬浮物、COD、BOD</w:t>
            </w:r>
            <w:r>
              <w:rPr>
                <w:rFonts w:ascii="Times New Roman" w:hAnsi="Times New Roman" w:cs="Times New Roman" w:eastAsiaTheme="minorEastAsia"/>
                <w:color w:val="000000"/>
                <w:sz w:val="18"/>
                <w:szCs w:val="18"/>
                <w:vertAlign w:val="subscript"/>
              </w:rPr>
              <w:t>5</w:t>
            </w:r>
            <w:r>
              <w:rPr>
                <w:rFonts w:ascii="Times New Roman" w:hAnsi="Times New Roman" w:cs="Times New Roman" w:eastAsiaTheme="minorEastAsia"/>
                <w:color w:val="000000"/>
                <w:sz w:val="18"/>
                <w:szCs w:val="18"/>
              </w:rPr>
              <w:t>、氨氮、VOCs</w:t>
            </w:r>
            <w:r>
              <w:rPr>
                <w:rFonts w:hint="eastAsia" w:ascii="Times New Roman" w:hAnsi="Times New Roman" w:cs="Times New Roman" w:eastAsiaTheme="minorEastAsia"/>
                <w:color w:val="000000"/>
                <w:sz w:val="18"/>
                <w:szCs w:val="18"/>
              </w:rPr>
              <w:t>、</w:t>
            </w:r>
            <w:r>
              <w:rPr>
                <w:rFonts w:ascii="Times New Roman" w:hAnsi="Times New Roman" w:cs="Times New Roman" w:eastAsiaTheme="minorEastAsia"/>
                <w:color w:val="000000"/>
                <w:sz w:val="18"/>
                <w:szCs w:val="18"/>
              </w:rPr>
              <w:t>六六六、滴滴涕、甲苯、二甲苯、二氯乙烷等</w:t>
            </w:r>
          </w:p>
        </w:tc>
        <w:tc>
          <w:tcPr>
            <w:tcW w:w="1389"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在污染场地北部、南部设置2个监测井</w:t>
            </w:r>
          </w:p>
        </w:tc>
        <w:tc>
          <w:tcPr>
            <w:tcW w:w="1576" w:type="dxa"/>
            <w:vAlign w:val="center"/>
          </w:tcPr>
          <w:p>
            <w:pPr>
              <w:spacing w:line="240" w:lineRule="auto"/>
              <w:jc w:val="center"/>
              <w:rPr>
                <w:rFonts w:ascii="Times New Roman" w:hAnsi="Times New Roman" w:cs="Times New Roman" w:eastAsiaTheme="minorEastAsia"/>
                <w:color w:val="000000" w:themeColor="text1"/>
                <w:sz w:val="18"/>
                <w:szCs w:val="18"/>
              </w:rPr>
            </w:pPr>
            <w:r>
              <w:rPr>
                <w:rFonts w:ascii="Times New Roman" w:hAnsi="Times New Roman" w:cs="Times New Roman" w:eastAsiaTheme="minorEastAsia"/>
                <w:color w:val="000000" w:themeColor="text1"/>
                <w:sz w:val="18"/>
                <w:szCs w:val="18"/>
              </w:rPr>
              <w:t>验收后3年内</w:t>
            </w:r>
          </w:p>
        </w:tc>
      </w:tr>
    </w:tbl>
    <w:p>
      <w:pPr>
        <w:rPr>
          <w:rFonts w:ascii="Times New Roman" w:hAnsi="Times New Roman" w:cs="Times New Roman"/>
        </w:rPr>
        <w:sectPr>
          <w:pgSz w:w="11906" w:h="16838"/>
          <w:pgMar w:top="1440" w:right="1797" w:bottom="1440" w:left="1797" w:header="851" w:footer="992" w:gutter="0"/>
          <w:pgNumType w:fmt="decimal"/>
          <w:cols w:space="425" w:num="1"/>
          <w:docGrid w:linePitch="326" w:charSpace="0"/>
        </w:sectPr>
      </w:pPr>
    </w:p>
    <w:p>
      <w:pPr>
        <w:pStyle w:val="2"/>
        <w:wordWrap w:val="0"/>
        <w:topLinePunct/>
        <w:adjustRightInd w:val="0"/>
        <w:snapToGrid w:val="0"/>
        <w:spacing w:before="156" w:beforeLines="50" w:after="156" w:afterLines="50" w:line="520" w:lineRule="exact"/>
        <w:rPr>
          <w:rFonts w:ascii="Times New Roman" w:hAnsi="Times New Roman" w:cs="Times New Roman" w:eastAsiaTheme="minorEastAsia"/>
          <w:kern w:val="0"/>
          <w:sz w:val="36"/>
          <w:szCs w:val="36"/>
        </w:rPr>
      </w:pPr>
      <w:bookmarkStart w:id="52" w:name="_Toc482661589"/>
      <w:r>
        <w:rPr>
          <w:rFonts w:ascii="Times New Roman" w:hAnsi="Times New Roman" w:cs="Times New Roman" w:eastAsiaTheme="minorEastAsia"/>
          <w:color w:val="000000" w:themeColor="text1"/>
        </w:rPr>
        <w:t>7</w:t>
      </w:r>
      <w:r>
        <w:rPr>
          <w:rFonts w:ascii="Times New Roman" w:hAnsi="Times New Roman" w:cs="Times New Roman" w:eastAsiaTheme="minorEastAsia"/>
          <w:kern w:val="0"/>
          <w:sz w:val="36"/>
          <w:szCs w:val="36"/>
        </w:rPr>
        <w:t>项目管理与组织实施</w:t>
      </w:r>
      <w:bookmarkEnd w:id="52"/>
    </w:p>
    <w:p>
      <w:pPr>
        <w:pStyle w:val="3"/>
        <w:ind w:right="480"/>
        <w:rPr>
          <w:rFonts w:ascii="Times New Roman" w:hAnsi="Times New Roman" w:cs="Times New Roman" w:eastAsiaTheme="minorEastAsia"/>
          <w:b w:val="0"/>
          <w:color w:val="000000" w:themeColor="text1"/>
        </w:rPr>
      </w:pPr>
      <w:bookmarkStart w:id="53" w:name="_Toc482661590"/>
      <w:r>
        <w:rPr>
          <w:rFonts w:ascii="Times New Roman" w:hAnsi="Times New Roman" w:cs="Times New Roman" w:eastAsiaTheme="minorEastAsia"/>
          <w:b w:val="0"/>
          <w:color w:val="000000" w:themeColor="text1"/>
        </w:rPr>
        <w:t>7.1项目管理、组织机构与职责</w:t>
      </w:r>
      <w:bookmarkEnd w:id="53"/>
    </w:p>
    <w:p>
      <w:pPr>
        <w:rPr>
          <w:rFonts w:ascii="Times New Roman" w:hAnsi="Times New Roman" w:cs="Times New Roman"/>
        </w:rPr>
      </w:pPr>
      <w:r>
        <w:rPr>
          <w:rFonts w:ascii="Times New Roman" w:hAnsi="Times New Roman" w:cs="Times New Roman"/>
        </w:rPr>
        <w:t>7.1.1 项目管理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为按时保质保量完成综合治理项目，建立项目负责制，责权利相结合，采取严格措施，加强对项目的领导和支持。</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（1）加强监督，严格计划财务管理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相关负责人员必须自觉维护治理计划的严肃性，严格按照计划组织施工，不得擅自变更建设规模、标准和主要建设内容。项目资金严格按照计划和工程进度使用，实行专户管理、专款专用，不得以任何理由挤占和挪用。</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（2）加强项目质量管理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实施项目于监督制，强化工程质量监督，落实项目质量责任制，明确各方面责任。</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（3）施工组织意见</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要根据工程具体情况，合理组织，抓住重点，加强项目组织管理，强化工程质量管理，加强计划财务管理与监督，已达到确保质量、缩短工期、控制造价、保证安全，特别是要协调好施工与周围环境保护的要求。充分利用当地资源，减少物资运输量，尽量避免二次搬运，降低运输成本，节省工程投资，作好安全防范措施，杜绝工程事故的发生。</w:t>
      </w:r>
    </w:p>
    <w:p>
      <w:pPr>
        <w:rPr>
          <w:rFonts w:ascii="Times New Roman" w:hAnsi="Times New Roman" w:cs="Times New Roman"/>
        </w:rPr>
      </w:pPr>
      <w:r>
        <w:rPr>
          <w:rFonts w:ascii="Times New Roman" w:hAnsi="Times New Roman" w:cs="Times New Roman"/>
        </w:rPr>
        <w:t>7.1.2 组织机构与职责</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为了保证本项目的实施，项目前期工作由环保局、发改局等部门组成的治理小组承担，建设期由具备资质的单位实施。</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为了顺利实施本建设工程，由项目实施单位组建项目部负责工程建设，项目部下设五个职能部门。</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a）行政管理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负责办公室日常行政工作以及项目履行单位的接待、联络等工作。</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b）计划财务</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负责项目的财务计划和实施计划安排，与项目履行单位办理合同协议等手续，以及资金使用安排及收支手续。</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c）施工管理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负责项目的土建施工。设备安装的协调与指挥，施工进度计划与管理，同时负责施工质量与施工安全的监督检查以及工程的验收手续。</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d）设备材料管理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负责设备材料订货、采购、保管、调拨等工作。</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e）技术管理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负责项目的技术文件、技术档案的管理工作，处理有关工程技术问题，组织技术考核等工作。</w:t>
      </w:r>
    </w:p>
    <w:p>
      <w:pPr>
        <w:pStyle w:val="3"/>
        <w:ind w:right="480"/>
        <w:rPr>
          <w:rFonts w:ascii="Times New Roman" w:hAnsi="Times New Roman" w:cs="Times New Roman" w:eastAsiaTheme="minorEastAsia"/>
          <w:b w:val="0"/>
          <w:color w:val="000000" w:themeColor="text1"/>
        </w:rPr>
      </w:pPr>
      <w:bookmarkStart w:id="54" w:name="_Toc482661591"/>
      <w:r>
        <w:rPr>
          <w:rFonts w:ascii="Times New Roman" w:hAnsi="Times New Roman" w:cs="Times New Roman" w:eastAsiaTheme="minorEastAsia"/>
          <w:b w:val="0"/>
          <w:color w:val="000000" w:themeColor="text1"/>
        </w:rPr>
        <w:t>7.2 组织实施与进度安排</w:t>
      </w:r>
      <w:bookmarkEnd w:id="54"/>
    </w:p>
    <w:p>
      <w:pPr>
        <w:rPr>
          <w:rFonts w:ascii="Times New Roman" w:hAnsi="Times New Roman" w:cs="Times New Roman"/>
        </w:rPr>
      </w:pPr>
      <w:r>
        <w:rPr>
          <w:rFonts w:ascii="Times New Roman" w:hAnsi="Times New Roman" w:cs="Times New Roman"/>
        </w:rPr>
        <w:t>7.2.1 组织实施</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为了保障本次项目的顺利实施，会同县采取切实有力的措施进行统筹安排，由主管环保工作的领导牵头组织环保局、财政局、科技局、国土局等部门和单位成立专门领导小组负责实施此工程项目。</w:t>
      </w:r>
    </w:p>
    <w:p>
      <w:pPr>
        <w:rPr>
          <w:rFonts w:ascii="Times New Roman" w:hAnsi="Times New Roman" w:cs="Times New Roman"/>
        </w:rPr>
      </w:pPr>
      <w:r>
        <w:rPr>
          <w:rFonts w:ascii="Times New Roman" w:hAnsi="Times New Roman" w:cs="Times New Roman"/>
        </w:rPr>
        <w:t>7.2.2 项目的安排进度</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根据该项目实施内容和实施条件要求，该项目总计划工期为12个月，从2017年6月至2018年5月。具体实施进度计划见表7-1。</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2017年6月-2017年7月，决策阶段，编制项目建议书和可行性研究报告。</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2017年8月-2017年10月，设计阶段，编制初步设计、技术设计和施工图设计内容。</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2017年10月-2018年4月，施工阶段。按照技术方案要求对土壤进行处理。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2018年4月-2018年5月，项目竣工验收。</w:t>
      </w:r>
    </w:p>
    <w:p>
      <w:pPr>
        <w:wordWrap w:val="0"/>
        <w:topLinePunct/>
        <w:adjustRightInd w:val="0"/>
        <w:snapToGrid w:val="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表7-1项目进度表</w:t>
      </w:r>
    </w:p>
    <w:tbl>
      <w:tblPr>
        <w:tblStyle w:val="33"/>
        <w:tblW w:w="8403" w:type="dxa"/>
        <w:tblInd w:w="93" w:type="dxa"/>
        <w:tblLayout w:type="fixed"/>
        <w:tblCellMar>
          <w:top w:w="0" w:type="dxa"/>
          <w:left w:w="108" w:type="dxa"/>
          <w:bottom w:w="0" w:type="dxa"/>
          <w:right w:w="108" w:type="dxa"/>
        </w:tblCellMar>
      </w:tblPr>
      <w:tblGrid>
        <w:gridCol w:w="796"/>
        <w:gridCol w:w="1319"/>
        <w:gridCol w:w="524"/>
        <w:gridCol w:w="524"/>
        <w:gridCol w:w="524"/>
        <w:gridCol w:w="524"/>
        <w:gridCol w:w="524"/>
        <w:gridCol w:w="524"/>
        <w:gridCol w:w="524"/>
        <w:gridCol w:w="524"/>
        <w:gridCol w:w="524"/>
        <w:gridCol w:w="524"/>
        <w:gridCol w:w="524"/>
        <w:gridCol w:w="524"/>
      </w:tblGrid>
      <w:tr>
        <w:tblPrEx>
          <w:tblLayout w:type="fixed"/>
          <w:tblCellMar>
            <w:top w:w="0" w:type="dxa"/>
            <w:left w:w="108" w:type="dxa"/>
            <w:bottom w:w="0" w:type="dxa"/>
            <w:right w:w="108" w:type="dxa"/>
          </w:tblCellMar>
        </w:tblPrEx>
        <w:trPr>
          <w:trHeight w:val="287" w:hRule="atLeast"/>
        </w:trPr>
        <w:tc>
          <w:tcPr>
            <w:tcW w:w="7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序号</w:t>
            </w:r>
          </w:p>
        </w:tc>
        <w:tc>
          <w:tcPr>
            <w:tcW w:w="1319" w:type="dxa"/>
            <w:vMerge w:val="restart"/>
            <w:tcBorders>
              <w:top w:val="single" w:color="auto" w:sz="4" w:space="0"/>
              <w:left w:val="nil"/>
              <w:right w:val="single" w:color="auto" w:sz="4" w:space="0"/>
              <w:tl2br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时间/月份</w:t>
            </w:r>
          </w:p>
          <w:p>
            <w:pPr>
              <w:spacing w:line="240" w:lineRule="auto"/>
              <w:jc w:val="center"/>
              <w:rPr>
                <w:rFonts w:ascii="Times New Roman" w:hAnsi="Times New Roman" w:cs="Times New Roman"/>
                <w:color w:val="000000"/>
                <w:kern w:val="0"/>
                <w:sz w:val="21"/>
                <w:szCs w:val="21"/>
              </w:rPr>
            </w:pPr>
          </w:p>
          <w:p>
            <w:pPr>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项目</w:t>
            </w:r>
          </w:p>
        </w:tc>
        <w:tc>
          <w:tcPr>
            <w:tcW w:w="3668"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2017年</w:t>
            </w:r>
          </w:p>
        </w:tc>
        <w:tc>
          <w:tcPr>
            <w:tcW w:w="2620"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2018年</w:t>
            </w:r>
          </w:p>
        </w:tc>
      </w:tr>
      <w:tr>
        <w:tblPrEx>
          <w:tblLayout w:type="fixed"/>
          <w:tblCellMar>
            <w:top w:w="0" w:type="dxa"/>
            <w:left w:w="108" w:type="dxa"/>
            <w:bottom w:w="0" w:type="dxa"/>
            <w:right w:w="108" w:type="dxa"/>
          </w:tblCellMar>
        </w:tblPrEx>
        <w:trPr>
          <w:trHeight w:val="649" w:hRule="atLeast"/>
        </w:trPr>
        <w:tc>
          <w:tcPr>
            <w:tcW w:w="7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319" w:type="dxa"/>
            <w:vMerge w:val="continue"/>
            <w:tcBorders>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r>
      <w:tr>
        <w:tblPrEx>
          <w:tblLayout w:type="fixed"/>
          <w:tblCellMar>
            <w:top w:w="0" w:type="dxa"/>
            <w:left w:w="108" w:type="dxa"/>
            <w:bottom w:w="0" w:type="dxa"/>
            <w:right w:w="108" w:type="dxa"/>
          </w:tblCellMar>
        </w:tblPrEx>
        <w:trPr>
          <w:trHeight w:val="28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131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决策阶段</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r>
        <w:tblPrEx>
          <w:tblLayout w:type="fixed"/>
          <w:tblCellMar>
            <w:top w:w="0" w:type="dxa"/>
            <w:left w:w="108" w:type="dxa"/>
            <w:bottom w:w="0" w:type="dxa"/>
            <w:right w:w="108" w:type="dxa"/>
          </w:tblCellMar>
        </w:tblPrEx>
        <w:trPr>
          <w:trHeight w:val="28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131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设计阶段</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r>
        <w:tblPrEx>
          <w:tblLayout w:type="fixed"/>
          <w:tblCellMar>
            <w:top w:w="0" w:type="dxa"/>
            <w:left w:w="108" w:type="dxa"/>
            <w:bottom w:w="0" w:type="dxa"/>
            <w:right w:w="108" w:type="dxa"/>
          </w:tblCellMar>
        </w:tblPrEx>
        <w:trPr>
          <w:trHeight w:val="28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131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施工阶段</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r>
        <w:tblPrEx>
          <w:tblLayout w:type="fixed"/>
          <w:tblCellMar>
            <w:top w:w="0" w:type="dxa"/>
            <w:left w:w="108" w:type="dxa"/>
            <w:bottom w:w="0" w:type="dxa"/>
            <w:right w:w="108" w:type="dxa"/>
          </w:tblCellMar>
        </w:tblPrEx>
        <w:trPr>
          <w:trHeight w:val="28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131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竣工验收</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24" w:type="dxa"/>
            <w:tcBorders>
              <w:top w:val="nil"/>
              <w:left w:val="nil"/>
              <w:bottom w:val="single" w:color="auto" w:sz="4" w:space="0"/>
              <w:right w:val="single" w:color="auto" w:sz="4" w:space="0"/>
            </w:tcBorders>
            <w:shd w:val="clear" w:color="000000" w:fill="00B0F0"/>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bl>
    <w:p>
      <w:pPr>
        <w:pStyle w:val="3"/>
        <w:ind w:right="480"/>
        <w:rPr>
          <w:rFonts w:ascii="Times New Roman" w:hAnsi="Times New Roman" w:cs="Times New Roman" w:eastAsiaTheme="minorEastAsia"/>
          <w:b w:val="0"/>
          <w:color w:val="000000" w:themeColor="text1"/>
        </w:rPr>
      </w:pPr>
      <w:bookmarkStart w:id="55" w:name="_Toc482661592"/>
      <w:r>
        <w:rPr>
          <w:rFonts w:ascii="Times New Roman" w:hAnsi="Times New Roman" w:cs="Times New Roman" w:eastAsiaTheme="minorEastAsia"/>
          <w:b w:val="0"/>
          <w:color w:val="000000" w:themeColor="text1"/>
        </w:rPr>
        <w:t>7.3 项目招标</w:t>
      </w:r>
      <w:bookmarkEnd w:id="55"/>
    </w:p>
    <w:p>
      <w:pPr>
        <w:rPr>
          <w:rFonts w:ascii="Times New Roman" w:hAnsi="Times New Roman" w:cs="Times New Roman"/>
        </w:rPr>
      </w:pPr>
      <w:r>
        <w:rPr>
          <w:rFonts w:ascii="Times New Roman" w:hAnsi="Times New Roman" w:cs="Times New Roman"/>
        </w:rPr>
        <w:t>7.3.1 编制依据</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（1）《中华人民共和国招标投标法》（2000年1月1日）</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（2）国家计委发布的《工程建设项目招标范围和规模标准规定》</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（3）国家计委计政策（2001）1400号关于进一步贯彻《中华人民共和国招标投标法》的通知</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（4）中华人民共和国国家发展计划委员会第96号《建设项目可研性研究报告增加招标内容以及核准招标事项暂行规定》</w:t>
      </w:r>
    </w:p>
    <w:p>
      <w:pPr>
        <w:rPr>
          <w:rFonts w:ascii="Times New Roman" w:hAnsi="Times New Roman" w:cs="Times New Roman"/>
        </w:rPr>
      </w:pPr>
      <w:bookmarkStart w:id="56" w:name="_Toc476666974"/>
      <w:r>
        <w:rPr>
          <w:rFonts w:ascii="Times New Roman" w:hAnsi="Times New Roman" w:cs="Times New Roman"/>
        </w:rPr>
        <w:t>7.3.2 项目招标管理</w:t>
      </w:r>
      <w:bookmarkEnd w:id="56"/>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根据《中华人民共和国招标投标法》及湖南发展与改革委员会制定的《湖南工程建设项目可行性报告增加招标内容和核准招标事项暂行规定》，本项目建设严格按有关规定程序进行招标，做到公开、公平、公正竞争。</w:t>
      </w:r>
    </w:p>
    <w:p>
      <w:pPr>
        <w:rPr>
          <w:rFonts w:ascii="Times New Roman" w:hAnsi="Times New Roman" w:cs="Times New Roman"/>
        </w:rPr>
      </w:pPr>
      <w:bookmarkStart w:id="57" w:name="_Toc476666975"/>
      <w:r>
        <w:rPr>
          <w:rFonts w:ascii="Times New Roman" w:hAnsi="Times New Roman" w:cs="Times New Roman"/>
        </w:rPr>
        <w:t>7.3.3 招标范围和招标的规模</w:t>
      </w:r>
      <w:bookmarkEnd w:id="57"/>
    </w:p>
    <w:p>
      <w:pPr>
        <w:rPr>
          <w:rFonts w:ascii="Times New Roman" w:hAnsi="Times New Roman" w:cs="Times New Roman"/>
        </w:rPr>
      </w:pPr>
      <w:r>
        <w:rPr>
          <w:rFonts w:ascii="Times New Roman" w:hAnsi="Times New Roman" w:cs="Times New Roman"/>
        </w:rPr>
        <w:t>7.3.3.1 招标范围</w:t>
      </w:r>
    </w:p>
    <w:p>
      <w:pPr>
        <w:pStyle w:val="18"/>
        <w:spacing w:after="0" w:line="360" w:lineRule="auto"/>
        <w:ind w:left="0" w:leftChars="0" w:firstLine="480" w:firstLineChars="200"/>
        <w:rPr>
          <w:rFonts w:ascii="Times New Roman" w:hAnsi="Times New Roman" w:eastAsiaTheme="minorEastAsia"/>
          <w:color w:val="000000" w:themeColor="text1"/>
        </w:rPr>
      </w:pPr>
      <w:r>
        <w:rPr>
          <w:rFonts w:ascii="Times New Roman" w:hAnsi="Times New Roman" w:eastAsiaTheme="minorEastAsia"/>
          <w:kern w:val="0"/>
          <w:sz w:val="24"/>
        </w:rPr>
        <w:t>根据1999年8月公布的《中华人民共和国招标投标法》规定中华人民共和国境内进行勘察、设计、施工、监理及与工程建设有关的重要设备、材料采购，必须进行招标：（1）大型基础设施、公用事业等关系社会公共利益与公众安全的项目；（2）全部或者部分使用国有资金投资或国家融资的项目；（3）使用国际组织或外国政府贷款、援助资金的项目</w:t>
      </w:r>
      <w:r>
        <w:rPr>
          <w:rFonts w:ascii="Times New Roman" w:hAnsi="Times New Roman" w:eastAsiaTheme="minorEastAsia"/>
          <w:color w:val="000000" w:themeColor="text1"/>
        </w:rPr>
        <w:t>。</w:t>
      </w:r>
    </w:p>
    <w:p>
      <w:pPr>
        <w:rPr>
          <w:rFonts w:ascii="Times New Roman" w:hAnsi="Times New Roman" w:cs="Times New Roman"/>
        </w:rPr>
      </w:pPr>
      <w:r>
        <w:rPr>
          <w:rFonts w:ascii="Times New Roman" w:hAnsi="Times New Roman" w:cs="Times New Roman"/>
          <w:color w:val="000000" w:themeColor="text1"/>
        </w:rPr>
        <w:t>7</w:t>
      </w:r>
      <w:r>
        <w:rPr>
          <w:rFonts w:ascii="Times New Roman" w:hAnsi="Times New Roman" w:cs="Times New Roman"/>
        </w:rPr>
        <w:t>.3.3.2 招标规模</w:t>
      </w:r>
    </w:p>
    <w:p>
      <w:pPr>
        <w:pStyle w:val="18"/>
        <w:spacing w:after="0" w:line="360" w:lineRule="auto"/>
        <w:ind w:left="0" w:leftChars="0" w:firstLine="480" w:firstLineChars="200"/>
        <w:rPr>
          <w:rFonts w:ascii="Times New Roman" w:hAnsi="Times New Roman" w:eastAsiaTheme="minorEastAsia"/>
          <w:color w:val="000000" w:themeColor="text1"/>
        </w:rPr>
      </w:pPr>
      <w:r>
        <w:rPr>
          <w:rFonts w:ascii="Times New Roman" w:hAnsi="Times New Roman" w:eastAsiaTheme="minorEastAsia"/>
          <w:kern w:val="0"/>
          <w:sz w:val="24"/>
          <w:szCs w:val="24"/>
        </w:rPr>
        <w:t>按照《工程建设项目招标范围和规模标准规定》，必须招标范围内的各类工程建设项目，达到下列标准之一的。必须招标：（1）施工单项合同估算价在人民币200万元以上的；（2）重要设备、材料等货物的采购，单项合同估算价在人民币100万以上的（3）勘察、设计、监理等服务的采购，单项合同估算价在人民币50万元以上的；（4）单项合同估算价低于（1）（2）（3）项规定的标准，但项目总投资在人民币3000万元以上的。</w:t>
      </w:r>
    </w:p>
    <w:p>
      <w:pPr>
        <w:rPr>
          <w:rFonts w:ascii="Times New Roman" w:hAnsi="Times New Roman" w:cs="Times New Roman"/>
        </w:rPr>
      </w:pPr>
      <w:bookmarkStart w:id="58" w:name="_Toc476666976"/>
      <w:r>
        <w:rPr>
          <w:rFonts w:ascii="Times New Roman" w:hAnsi="Times New Roman" w:cs="Times New Roman"/>
        </w:rPr>
        <w:t>7.3.4 招标</w:t>
      </w:r>
      <w:bookmarkEnd w:id="58"/>
      <w:r>
        <w:rPr>
          <w:rFonts w:ascii="Times New Roman" w:hAnsi="Times New Roman" w:cs="Times New Roman"/>
        </w:rPr>
        <w:t>组织</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根据项目具体情况，项目招标工作委托具有招标资格的机构进行招标。</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鉴于建设单位的实际情况，对照湖南省发展计划委员会印发的《湖南省工程建设项目自行招标试行办法》中对自行招标作出的规定：</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（1）具有项目法人资格（或者法人资格）；</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（2）具有与招标项目规模和复杂程度相适合的工程技术、概预算、财务和工程管理等方面的专业技术力量；</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（3）有从事同类工程建设项目招标的经验；</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（4）设有专门的招标机构或者拥有3名以上专职招标业务人员；</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（5）熟悉和掌握《中华人民共和国招标投标法》及有关法规规章。</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委托招标中《招标投标法实施条例》规定，招投标代理机构应当具备下列条件：</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（1）有从事招标代理业务的营业场所和相应资金；</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（2）有能够编制招标文件和组织评标的相应专业力量；</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（3）有符合法定条件、可以作为评标委员会成员人选的技术、经济等方面的专家库。</w:t>
      </w:r>
    </w:p>
    <w:p>
      <w:pPr>
        <w:rPr>
          <w:rFonts w:ascii="Times New Roman" w:hAnsi="Times New Roman" w:cs="Times New Roman"/>
        </w:rPr>
      </w:pPr>
      <w:bookmarkStart w:id="59" w:name="_Toc476666977"/>
      <w:r>
        <w:rPr>
          <w:rFonts w:ascii="Times New Roman" w:hAnsi="Times New Roman" w:cs="Times New Roman"/>
        </w:rPr>
        <w:t>7.3.5 招标内容</w:t>
      </w:r>
      <w:bookmarkEnd w:id="59"/>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szCs w:val="24"/>
        </w:rPr>
        <w:t>根据项目招标范围和招标规模，项目勘察、设计、建筑工程、安装工程、监理、重要设备及材料采购均应采用公开、委托招标组织形式，见表7-2和表7-3所示。</w:t>
      </w:r>
    </w:p>
    <w:p>
      <w:pPr>
        <w:pStyle w:val="18"/>
        <w:spacing w:line="360" w:lineRule="auto"/>
        <w:ind w:left="480" w:firstLine="480" w:firstLineChars="200"/>
        <w:rPr>
          <w:rFonts w:ascii="Times New Roman" w:hAnsi="Times New Roman" w:eastAsiaTheme="minorEastAsia"/>
          <w:kern w:val="0"/>
          <w:sz w:val="24"/>
        </w:rPr>
        <w:sectPr>
          <w:pgSz w:w="11906" w:h="16838"/>
          <w:pgMar w:top="1440" w:right="1800" w:bottom="1440" w:left="1800" w:header="851" w:footer="992" w:gutter="0"/>
          <w:pgNumType w:fmt="decimal"/>
          <w:cols w:space="425" w:num="1"/>
          <w:docGrid w:type="lines" w:linePitch="312" w:charSpace="0"/>
        </w:sectPr>
      </w:pPr>
    </w:p>
    <w:p>
      <w:pPr>
        <w:pStyle w:val="18"/>
        <w:spacing w:line="360" w:lineRule="auto"/>
        <w:ind w:left="480"/>
        <w:jc w:val="center"/>
        <w:rPr>
          <w:rFonts w:ascii="Times New Roman" w:hAnsi="Times New Roman" w:eastAsiaTheme="minorEastAsia"/>
          <w:kern w:val="0"/>
          <w:szCs w:val="21"/>
        </w:rPr>
      </w:pPr>
      <w:r>
        <w:rPr>
          <w:rFonts w:ascii="Times New Roman" w:hAnsi="Times New Roman" w:eastAsiaTheme="minorEastAsia"/>
          <w:b/>
          <w:color w:val="000000"/>
          <w:szCs w:val="21"/>
        </w:rPr>
        <w:t>表7-2招标基本情况表</w:t>
      </w:r>
    </w:p>
    <w:tbl>
      <w:tblPr>
        <w:tblStyle w:val="33"/>
        <w:tblW w:w="141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6"/>
        <w:gridCol w:w="1409"/>
        <w:gridCol w:w="1406"/>
        <w:gridCol w:w="1409"/>
        <w:gridCol w:w="1406"/>
        <w:gridCol w:w="1409"/>
        <w:gridCol w:w="1406"/>
        <w:gridCol w:w="1409"/>
        <w:gridCol w:w="1678"/>
        <w:gridCol w:w="12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Merge w:val="restart"/>
            <w:vAlign w:val="center"/>
          </w:tcPr>
          <w:p>
            <w:pPr>
              <w:adjustRightInd w:val="0"/>
              <w:spacing w:line="240" w:lineRule="auto"/>
              <w:jc w:val="center"/>
              <w:rPr>
                <w:rFonts w:ascii="Times New Roman" w:hAnsi="Times New Roman" w:cs="Times New Roman"/>
                <w:b/>
                <w:color w:val="000000"/>
              </w:rPr>
            </w:pPr>
            <w:r>
              <w:rPr>
                <w:rFonts w:ascii="Times New Roman" w:hAnsi="Times New Roman" w:cs="Times New Roman"/>
                <w:color w:val="000000"/>
                <w:szCs w:val="24"/>
              </w:rPr>
              <w:t>内容</w:t>
            </w:r>
          </w:p>
        </w:tc>
        <w:tc>
          <w:tcPr>
            <w:tcW w:w="2815" w:type="dxa"/>
            <w:gridSpan w:val="2"/>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招标范围</w:t>
            </w:r>
          </w:p>
        </w:tc>
        <w:tc>
          <w:tcPr>
            <w:tcW w:w="2815" w:type="dxa"/>
            <w:gridSpan w:val="2"/>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招标组织形式</w:t>
            </w:r>
          </w:p>
        </w:tc>
        <w:tc>
          <w:tcPr>
            <w:tcW w:w="2815" w:type="dxa"/>
            <w:gridSpan w:val="2"/>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招标方式</w:t>
            </w:r>
          </w:p>
        </w:tc>
        <w:tc>
          <w:tcPr>
            <w:tcW w:w="1409" w:type="dxa"/>
            <w:vMerge w:val="restart"/>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不采用</w:t>
            </w:r>
          </w:p>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招标方式</w:t>
            </w:r>
          </w:p>
        </w:tc>
        <w:tc>
          <w:tcPr>
            <w:tcW w:w="1678" w:type="dxa"/>
            <w:vMerge w:val="restart"/>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投资估算金额</w:t>
            </w:r>
          </w:p>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（万元）</w:t>
            </w:r>
          </w:p>
        </w:tc>
        <w:tc>
          <w:tcPr>
            <w:tcW w:w="1236" w:type="dxa"/>
            <w:vMerge w:val="restart"/>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Merge w:val="continue"/>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全部招标</w:t>
            </w: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部分招标</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自行招标</w:t>
            </w: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委托招标</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公开招标</w:t>
            </w: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邀请招标</w:t>
            </w:r>
          </w:p>
        </w:tc>
        <w:tc>
          <w:tcPr>
            <w:tcW w:w="1409" w:type="dxa"/>
            <w:vMerge w:val="continue"/>
            <w:vAlign w:val="center"/>
          </w:tcPr>
          <w:p>
            <w:pPr>
              <w:adjustRightInd w:val="0"/>
              <w:spacing w:line="240" w:lineRule="auto"/>
              <w:jc w:val="center"/>
              <w:rPr>
                <w:rFonts w:ascii="Times New Roman" w:hAnsi="Times New Roman" w:cs="Times New Roman"/>
                <w:color w:val="000000"/>
              </w:rPr>
            </w:pPr>
          </w:p>
        </w:tc>
        <w:tc>
          <w:tcPr>
            <w:tcW w:w="1678" w:type="dxa"/>
            <w:vMerge w:val="continue"/>
            <w:vAlign w:val="center"/>
          </w:tcPr>
          <w:p>
            <w:pPr>
              <w:adjustRightInd w:val="0"/>
              <w:spacing w:line="240" w:lineRule="auto"/>
              <w:jc w:val="center"/>
              <w:rPr>
                <w:rFonts w:ascii="Times New Roman" w:hAnsi="Times New Roman" w:cs="Times New Roman"/>
                <w:color w:val="000000"/>
              </w:rPr>
            </w:pPr>
          </w:p>
        </w:tc>
        <w:tc>
          <w:tcPr>
            <w:tcW w:w="1236" w:type="dxa"/>
            <w:vMerge w:val="continue"/>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勘察</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678" w:type="dxa"/>
            <w:vAlign w:val="center"/>
          </w:tcPr>
          <w:p>
            <w:pPr>
              <w:adjustRightInd w:val="0"/>
              <w:spacing w:line="240" w:lineRule="auto"/>
              <w:jc w:val="center"/>
              <w:rPr>
                <w:rFonts w:ascii="Times New Roman" w:hAnsi="Times New Roman" w:cs="Times New Roman"/>
                <w:color w:val="000000"/>
              </w:rPr>
            </w:pPr>
          </w:p>
        </w:tc>
        <w:tc>
          <w:tcPr>
            <w:tcW w:w="1236" w:type="dxa"/>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设计</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678" w:type="dxa"/>
            <w:vAlign w:val="center"/>
          </w:tcPr>
          <w:p>
            <w:pPr>
              <w:adjustRightInd w:val="0"/>
              <w:spacing w:line="240" w:lineRule="auto"/>
              <w:jc w:val="center"/>
              <w:rPr>
                <w:rFonts w:ascii="Times New Roman" w:hAnsi="Times New Roman" w:cs="Times New Roman"/>
                <w:color w:val="000000"/>
              </w:rPr>
            </w:pPr>
          </w:p>
        </w:tc>
        <w:tc>
          <w:tcPr>
            <w:tcW w:w="1236" w:type="dxa"/>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建筑工程</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678" w:type="dxa"/>
            <w:vAlign w:val="center"/>
          </w:tcPr>
          <w:p>
            <w:pPr>
              <w:adjustRightInd w:val="0"/>
              <w:spacing w:line="240" w:lineRule="auto"/>
              <w:jc w:val="center"/>
              <w:rPr>
                <w:rFonts w:ascii="Times New Roman" w:hAnsi="Times New Roman" w:cs="Times New Roman"/>
                <w:color w:val="000000"/>
              </w:rPr>
            </w:pPr>
          </w:p>
        </w:tc>
        <w:tc>
          <w:tcPr>
            <w:tcW w:w="1236" w:type="dxa"/>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安装工程</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678" w:type="dxa"/>
            <w:vAlign w:val="center"/>
          </w:tcPr>
          <w:p>
            <w:pPr>
              <w:adjustRightInd w:val="0"/>
              <w:spacing w:line="240" w:lineRule="auto"/>
              <w:jc w:val="center"/>
              <w:rPr>
                <w:rFonts w:ascii="Times New Roman" w:hAnsi="Times New Roman" w:cs="Times New Roman"/>
                <w:color w:val="000000"/>
              </w:rPr>
            </w:pPr>
          </w:p>
        </w:tc>
        <w:tc>
          <w:tcPr>
            <w:tcW w:w="1236" w:type="dxa"/>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监理</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678" w:type="dxa"/>
            <w:vAlign w:val="center"/>
          </w:tcPr>
          <w:p>
            <w:pPr>
              <w:adjustRightInd w:val="0"/>
              <w:spacing w:line="240" w:lineRule="auto"/>
              <w:jc w:val="center"/>
              <w:rPr>
                <w:rFonts w:ascii="Times New Roman" w:hAnsi="Times New Roman" w:cs="Times New Roman"/>
                <w:color w:val="000000"/>
              </w:rPr>
            </w:pPr>
          </w:p>
        </w:tc>
        <w:tc>
          <w:tcPr>
            <w:tcW w:w="1236" w:type="dxa"/>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重要设备</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678" w:type="dxa"/>
            <w:vAlign w:val="center"/>
          </w:tcPr>
          <w:p>
            <w:pPr>
              <w:adjustRightInd w:val="0"/>
              <w:spacing w:line="240" w:lineRule="auto"/>
              <w:jc w:val="center"/>
              <w:rPr>
                <w:rFonts w:ascii="Times New Roman" w:hAnsi="Times New Roman" w:cs="Times New Roman"/>
                <w:color w:val="000000"/>
              </w:rPr>
            </w:pPr>
          </w:p>
        </w:tc>
        <w:tc>
          <w:tcPr>
            <w:tcW w:w="1236" w:type="dxa"/>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trPr>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材料</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9"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w:t>
            </w: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678" w:type="dxa"/>
            <w:vAlign w:val="center"/>
          </w:tcPr>
          <w:p>
            <w:pPr>
              <w:adjustRightInd w:val="0"/>
              <w:spacing w:line="240" w:lineRule="auto"/>
              <w:jc w:val="center"/>
              <w:rPr>
                <w:rFonts w:ascii="Times New Roman" w:hAnsi="Times New Roman" w:cs="Times New Roman"/>
                <w:color w:val="000000"/>
              </w:rPr>
            </w:pPr>
          </w:p>
        </w:tc>
        <w:tc>
          <w:tcPr>
            <w:tcW w:w="1236" w:type="dxa"/>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trPr>
        <w:tc>
          <w:tcPr>
            <w:tcW w:w="1406" w:type="dxa"/>
            <w:vAlign w:val="center"/>
          </w:tcPr>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其他</w:t>
            </w: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406" w:type="dxa"/>
            <w:vAlign w:val="center"/>
          </w:tcPr>
          <w:p>
            <w:pPr>
              <w:adjustRightInd w:val="0"/>
              <w:spacing w:line="240" w:lineRule="auto"/>
              <w:jc w:val="center"/>
              <w:rPr>
                <w:rFonts w:ascii="Times New Roman" w:hAnsi="Times New Roman" w:cs="Times New Roman"/>
                <w:color w:val="000000"/>
              </w:rPr>
            </w:pPr>
          </w:p>
        </w:tc>
        <w:tc>
          <w:tcPr>
            <w:tcW w:w="1409" w:type="dxa"/>
            <w:vAlign w:val="center"/>
          </w:tcPr>
          <w:p>
            <w:pPr>
              <w:adjustRightInd w:val="0"/>
              <w:spacing w:line="240" w:lineRule="auto"/>
              <w:jc w:val="center"/>
              <w:rPr>
                <w:rFonts w:ascii="Times New Roman" w:hAnsi="Times New Roman" w:cs="Times New Roman"/>
                <w:color w:val="000000"/>
              </w:rPr>
            </w:pPr>
          </w:p>
        </w:tc>
        <w:tc>
          <w:tcPr>
            <w:tcW w:w="1678" w:type="dxa"/>
            <w:vAlign w:val="center"/>
          </w:tcPr>
          <w:p>
            <w:pPr>
              <w:adjustRightInd w:val="0"/>
              <w:spacing w:line="240" w:lineRule="auto"/>
              <w:jc w:val="center"/>
              <w:rPr>
                <w:rFonts w:ascii="Times New Roman" w:hAnsi="Times New Roman" w:cs="Times New Roman"/>
                <w:color w:val="000000"/>
              </w:rPr>
            </w:pPr>
          </w:p>
        </w:tc>
        <w:tc>
          <w:tcPr>
            <w:tcW w:w="1236" w:type="dxa"/>
            <w:vAlign w:val="center"/>
          </w:tcPr>
          <w:p>
            <w:pPr>
              <w:adjustRightInd w:val="0"/>
              <w:spacing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72" w:hRule="atLeast"/>
        </w:trPr>
        <w:tc>
          <w:tcPr>
            <w:tcW w:w="14174" w:type="dxa"/>
            <w:gridSpan w:val="10"/>
            <w:vAlign w:val="center"/>
          </w:tcPr>
          <w:p>
            <w:pPr>
              <w:adjustRightInd w:val="0"/>
              <w:spacing w:line="240" w:lineRule="auto"/>
              <w:rPr>
                <w:rFonts w:ascii="Times New Roman" w:hAnsi="Times New Roman" w:cs="Times New Roman"/>
                <w:color w:val="000000"/>
              </w:rPr>
            </w:pPr>
            <w:r>
              <w:rPr>
                <w:rFonts w:ascii="Times New Roman" w:hAnsi="Times New Roman" w:cs="Times New Roman"/>
                <w:color w:val="000000"/>
                <w:szCs w:val="24"/>
              </w:rPr>
              <w:t>情况说明：</w:t>
            </w:r>
          </w:p>
          <w:p>
            <w:pPr>
              <w:adjustRightInd w:val="0"/>
              <w:spacing w:line="240" w:lineRule="auto"/>
              <w:rPr>
                <w:rFonts w:ascii="Times New Roman" w:hAnsi="Times New Roman" w:cs="Times New Roman"/>
                <w:color w:val="000000"/>
              </w:rPr>
            </w:pPr>
          </w:p>
          <w:p>
            <w:pPr>
              <w:adjustRightInd w:val="0"/>
              <w:spacing w:line="240" w:lineRule="auto"/>
              <w:rPr>
                <w:rFonts w:ascii="Times New Roman" w:hAnsi="Times New Roman" w:cs="Times New Roman"/>
                <w:color w:val="000000"/>
              </w:rPr>
            </w:pPr>
          </w:p>
          <w:p>
            <w:pPr>
              <w:adjustRightInd w:val="0"/>
              <w:spacing w:line="240" w:lineRule="auto"/>
              <w:rPr>
                <w:rFonts w:ascii="Times New Roman" w:hAnsi="Times New Roman" w:cs="Times New Roman"/>
                <w:color w:val="000000"/>
              </w:rPr>
            </w:pPr>
          </w:p>
          <w:p>
            <w:pPr>
              <w:adjustRightInd w:val="0"/>
              <w:spacing w:line="240" w:lineRule="auto"/>
              <w:rPr>
                <w:rFonts w:ascii="Times New Roman" w:hAnsi="Times New Roman" w:cs="Times New Roman"/>
                <w:color w:val="000000"/>
              </w:rPr>
            </w:pPr>
          </w:p>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建设单位盖章</w:t>
            </w:r>
          </w:p>
          <w:p>
            <w:pPr>
              <w:adjustRightInd w:val="0"/>
              <w:spacing w:line="240" w:lineRule="auto"/>
              <w:jc w:val="center"/>
              <w:rPr>
                <w:rFonts w:ascii="Times New Roman" w:hAnsi="Times New Roman" w:cs="Times New Roman"/>
                <w:color w:val="000000"/>
              </w:rPr>
            </w:pPr>
            <w:r>
              <w:rPr>
                <w:rFonts w:ascii="Times New Roman" w:hAnsi="Times New Roman" w:cs="Times New Roman"/>
                <w:color w:val="000000"/>
                <w:szCs w:val="24"/>
              </w:rPr>
              <w:t>年月日</w:t>
            </w:r>
          </w:p>
        </w:tc>
      </w:tr>
    </w:tbl>
    <w:p>
      <w:pPr>
        <w:pStyle w:val="18"/>
        <w:spacing w:after="0" w:line="360" w:lineRule="auto"/>
        <w:ind w:left="0" w:leftChars="0" w:firstLine="480" w:firstLineChars="200"/>
        <w:jc w:val="left"/>
        <w:rPr>
          <w:rFonts w:ascii="Times New Roman" w:hAnsi="Times New Roman" w:eastAsiaTheme="minorEastAsia"/>
          <w:color w:val="000000"/>
          <w:sz w:val="24"/>
        </w:rPr>
      </w:pPr>
      <w:r>
        <w:rPr>
          <w:rFonts w:ascii="Times New Roman" w:hAnsi="Times New Roman" w:eastAsiaTheme="minorEastAsia"/>
          <w:color w:val="000000"/>
          <w:sz w:val="24"/>
          <w:szCs w:val="24"/>
        </w:rPr>
        <w:t>注：情况说明在表内填写不下，可附另页。</w:t>
      </w:r>
    </w:p>
    <w:p>
      <w:pPr>
        <w:adjustRightInd w:val="0"/>
        <w:ind w:firstLine="200" w:firstLineChars="83"/>
        <w:jc w:val="center"/>
        <w:rPr>
          <w:rFonts w:ascii="Times New Roman" w:hAnsi="Times New Roman" w:cs="Times New Roman"/>
          <w:b/>
          <w:color w:val="000000"/>
          <w:szCs w:val="21"/>
        </w:rPr>
      </w:pPr>
    </w:p>
    <w:p>
      <w:pPr>
        <w:adjustRightInd w:val="0"/>
        <w:spacing w:line="240" w:lineRule="auto"/>
        <w:jc w:val="center"/>
        <w:rPr>
          <w:rFonts w:ascii="Times New Roman" w:hAnsi="Times New Roman" w:cs="Times New Roman"/>
          <w:b/>
          <w:color w:val="000000"/>
          <w:sz w:val="21"/>
          <w:szCs w:val="21"/>
        </w:rPr>
      </w:pPr>
      <w:r>
        <w:rPr>
          <w:rFonts w:ascii="Times New Roman" w:hAnsi="Times New Roman" w:cs="Times New Roman"/>
          <w:b/>
          <w:color w:val="000000"/>
          <w:sz w:val="21"/>
          <w:szCs w:val="21"/>
        </w:rPr>
        <w:t>表7-3审批部门审核意见</w:t>
      </w:r>
    </w:p>
    <w:tbl>
      <w:tblPr>
        <w:tblStyle w:val="33"/>
        <w:tblW w:w="14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1772"/>
        <w:gridCol w:w="1772"/>
        <w:gridCol w:w="1772"/>
        <w:gridCol w:w="1770"/>
        <w:gridCol w:w="1771"/>
        <w:gridCol w:w="1772"/>
        <w:gridCol w:w="1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trPr>
        <w:tc>
          <w:tcPr>
            <w:tcW w:w="1774" w:type="dxa"/>
            <w:vMerge w:val="restart"/>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内容</w:t>
            </w:r>
          </w:p>
        </w:tc>
        <w:tc>
          <w:tcPr>
            <w:tcW w:w="3544" w:type="dxa"/>
            <w:gridSpan w:val="2"/>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招标范围</w:t>
            </w:r>
          </w:p>
        </w:tc>
        <w:tc>
          <w:tcPr>
            <w:tcW w:w="3542" w:type="dxa"/>
            <w:gridSpan w:val="2"/>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招标组织形式</w:t>
            </w:r>
          </w:p>
        </w:tc>
        <w:tc>
          <w:tcPr>
            <w:tcW w:w="3543" w:type="dxa"/>
            <w:gridSpan w:val="2"/>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招标方式</w:t>
            </w:r>
          </w:p>
        </w:tc>
        <w:tc>
          <w:tcPr>
            <w:tcW w:w="1771" w:type="dxa"/>
            <w:vMerge w:val="restart"/>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不采用</w:t>
            </w:r>
          </w:p>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招标方式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trPr>
        <w:tc>
          <w:tcPr>
            <w:tcW w:w="1774" w:type="dxa"/>
            <w:vMerge w:val="continue"/>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全部招标</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部分招标</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自行招标</w:t>
            </w:r>
          </w:p>
        </w:tc>
        <w:tc>
          <w:tcPr>
            <w:tcW w:w="1770"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委托招标</w:t>
            </w:r>
          </w:p>
        </w:tc>
        <w:tc>
          <w:tcPr>
            <w:tcW w:w="1771"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公开招标</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邀请招标</w:t>
            </w:r>
          </w:p>
        </w:tc>
        <w:tc>
          <w:tcPr>
            <w:tcW w:w="1771" w:type="dxa"/>
            <w:vMerge w:val="continue"/>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774"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勘察</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0"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1"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774"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设计</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0"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1"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774"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建筑工程</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0"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1"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774"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安装工程</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0"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1"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774"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监理</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0"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1"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774"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设备</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0"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1"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774"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重要材料</w:t>
            </w:r>
          </w:p>
        </w:tc>
        <w:tc>
          <w:tcPr>
            <w:tcW w:w="1772"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0"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1"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772"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774" w:type="dxa"/>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其他</w:t>
            </w: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0"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c>
          <w:tcPr>
            <w:tcW w:w="1772" w:type="dxa"/>
            <w:vAlign w:val="center"/>
          </w:tcPr>
          <w:p>
            <w:pPr>
              <w:adjustRightInd w:val="0"/>
              <w:jc w:val="center"/>
              <w:rPr>
                <w:rFonts w:ascii="Times New Roman" w:hAnsi="Times New Roman" w:cs="Times New Roman"/>
                <w:color w:val="000000"/>
                <w:sz w:val="21"/>
                <w:szCs w:val="21"/>
              </w:rPr>
            </w:pPr>
          </w:p>
        </w:tc>
        <w:tc>
          <w:tcPr>
            <w:tcW w:w="1771" w:type="dxa"/>
            <w:vAlign w:val="center"/>
          </w:tcPr>
          <w:p>
            <w:pPr>
              <w:adjustRightInd w:val="0"/>
              <w:jc w:val="center"/>
              <w:rPr>
                <w:rFonts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7" w:hRule="atLeast"/>
        </w:trPr>
        <w:tc>
          <w:tcPr>
            <w:tcW w:w="14174" w:type="dxa"/>
            <w:gridSpan w:val="8"/>
            <w:vAlign w:val="center"/>
          </w:tcPr>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审批部门核准意见说明：</w:t>
            </w:r>
          </w:p>
          <w:p>
            <w:pPr>
              <w:adjustRightInd w:val="0"/>
              <w:jc w:val="center"/>
              <w:rPr>
                <w:rFonts w:ascii="Times New Roman" w:hAnsi="Times New Roman" w:cs="Times New Roman"/>
                <w:color w:val="000000"/>
                <w:sz w:val="21"/>
                <w:szCs w:val="21"/>
              </w:rPr>
            </w:pPr>
          </w:p>
          <w:p>
            <w:pPr>
              <w:adjustRightInd w:val="0"/>
              <w:jc w:val="center"/>
              <w:rPr>
                <w:rFonts w:ascii="Times New Roman" w:hAnsi="Times New Roman" w:cs="Times New Roman"/>
                <w:color w:val="000000"/>
                <w:sz w:val="21"/>
                <w:szCs w:val="21"/>
              </w:rPr>
            </w:pPr>
          </w:p>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审批部门盖章</w:t>
            </w:r>
          </w:p>
          <w:p>
            <w:pPr>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年月日</w:t>
            </w:r>
          </w:p>
        </w:tc>
      </w:tr>
    </w:tbl>
    <w:p>
      <w:pPr>
        <w:pStyle w:val="18"/>
        <w:spacing w:after="0" w:line="360" w:lineRule="auto"/>
        <w:ind w:left="0" w:leftChars="0" w:firstLine="420" w:firstLineChars="200"/>
        <w:jc w:val="left"/>
        <w:rPr>
          <w:rFonts w:ascii="Times New Roman" w:hAnsi="Times New Roman" w:eastAsiaTheme="minorEastAsia"/>
          <w:kern w:val="0"/>
          <w:szCs w:val="21"/>
        </w:rPr>
      </w:pPr>
      <w:r>
        <w:rPr>
          <w:rFonts w:ascii="Times New Roman" w:hAnsi="Times New Roman" w:eastAsiaTheme="minorEastAsia"/>
          <w:color w:val="000000"/>
          <w:szCs w:val="21"/>
        </w:rPr>
        <w:t>注：审批部门在空格注明“核准”或“不予核准”。</w:t>
      </w:r>
    </w:p>
    <w:p>
      <w:pPr>
        <w:pStyle w:val="18"/>
        <w:spacing w:line="360" w:lineRule="auto"/>
        <w:ind w:left="0" w:leftChars="0"/>
        <w:rPr>
          <w:rFonts w:ascii="Times New Roman" w:hAnsi="Times New Roman" w:eastAsiaTheme="minorEastAsia"/>
          <w:kern w:val="0"/>
          <w:sz w:val="24"/>
        </w:rPr>
        <w:sectPr>
          <w:type w:val="continuous"/>
          <w:pgSz w:w="16838" w:h="11906" w:orient="landscape"/>
          <w:pgMar w:top="1800" w:right="1440" w:bottom="1800" w:left="1440" w:header="851" w:footer="992" w:gutter="0"/>
          <w:pgNumType w:fmt="decimal"/>
          <w:cols w:space="425" w:num="1"/>
          <w:docGrid w:type="lines" w:linePitch="312" w:charSpace="0"/>
        </w:sectPr>
      </w:pPr>
    </w:p>
    <w:p>
      <w:pPr>
        <w:pStyle w:val="3"/>
        <w:ind w:right="480"/>
        <w:rPr>
          <w:rFonts w:ascii="Times New Roman" w:hAnsi="Times New Roman" w:cs="Times New Roman" w:eastAsiaTheme="minorEastAsia"/>
          <w:b w:val="0"/>
          <w:color w:val="000000" w:themeColor="text1"/>
        </w:rPr>
      </w:pPr>
      <w:bookmarkStart w:id="60" w:name="_Toc482661593"/>
      <w:r>
        <w:rPr>
          <w:rFonts w:ascii="Times New Roman" w:hAnsi="Times New Roman" w:cs="Times New Roman" w:eastAsiaTheme="minorEastAsia"/>
          <w:b w:val="0"/>
          <w:color w:val="000000" w:themeColor="text1"/>
        </w:rPr>
        <w:t>7.4 项目监理</w:t>
      </w:r>
      <w:bookmarkEnd w:id="60"/>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工程监理具有服务性、科学性、独立性、公平性几个特点。根据《建设工程质量管理条例》的规定，实行监理的建设工程，建设单位应当委托具有相应资质等级的工程监理单位进行监理，也可以委托具有工程监理相应资质等级并与被监理工程的施工承包单位没有隶属关系或者其他厉害关系的该工程的设计单位进行监理。下列建设工程必须实行监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（1）国家重点建设工程；</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（2）大中型公用事业工程；</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（3）成片开发建设的住宅小区工程；</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（4）利用外国政府或者国际组织贷款、援助资金的工程；</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（5）国家规定必须实行监理的其他工程。</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其中（5）国家规定必须实行监理的其他工程中：</w:t>
      </w:r>
      <w:r>
        <w:rPr>
          <w:rFonts w:hint="eastAsia" w:ascii="宋体" w:hAnsi="宋体" w:cs="宋体"/>
          <w:kern w:val="0"/>
          <w:sz w:val="24"/>
        </w:rPr>
        <w:t>①</w:t>
      </w:r>
      <w:r>
        <w:rPr>
          <w:rFonts w:ascii="Times New Roman" w:hAnsi="Times New Roman" w:eastAsiaTheme="minorEastAsia"/>
          <w:kern w:val="0"/>
          <w:sz w:val="24"/>
        </w:rPr>
        <w:t>项目总投资额在1500万元以上关系社会公共利益、公众安全的下列基础设施项目：a．煤炭、石油、化工、天然气、电力、新能源等项目；b．铁路、公路、管道、水运、民航以及其他交通运输业等项目；c．邮政、电信枢纽、通信、信息网络等项目；d．防洪、灌溉、排涝、发电、引（供）水、滩涂治理、水资源保护、水土保持等水利建设项目；e．道路、桥梁、地铁和轻轨交通、污水排放及处理、垃圾处理、地下管道、公共停车场等城市基础设施项目；f．生态环境保护项目g．其他基础设施项目。</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本项目为矿渣风险管控项目，属于第（5）条中的</w:t>
      </w:r>
      <w:r>
        <w:rPr>
          <w:rFonts w:hint="eastAsia" w:ascii="宋体" w:hAnsi="宋体" w:cs="宋体"/>
          <w:kern w:val="0"/>
          <w:sz w:val="24"/>
        </w:rPr>
        <w:t>①</w:t>
      </w:r>
      <w:r>
        <w:rPr>
          <w:rFonts w:ascii="Times New Roman" w:hAnsi="Times New Roman" w:eastAsiaTheme="minorEastAsia"/>
          <w:kern w:val="0"/>
          <w:sz w:val="24"/>
        </w:rPr>
        <w:t>f生态环境保护项目，按要求需实行工程监理。</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工程监理由监理方组织参加施工的各施工单位按合同标准进行建设，并对形成质量的诸因素进行检测、核验，对差异提出调整，纠正措施的监督管理过程。通过风险预测，重点、难点分析，事前控制等动态管理措施，保证本工程实现以下目标：</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1、工期目标：严格按照总进度计划，对照实际进度进行分析解剖，提出监理措施并监督落实，确保工程项目按合同工期交付使用。</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2、质量目标：通过实施监理规划、监理细则、监理旁站方案、工程创优措施等文件结合公司的考核检查控制监理人员的工作质量，通过提高监理工作质量来确保工程实体质量。</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3、造价控制目标：在满足质量和进度要求的前提下，严格合同管理，控制设计变更和现场签证，防止索赔现象发生，认真把好工程计量关，做到预算按投标价、定额，调整按投标承诺、合同、政策，付款有凭据，索赔按合同，达到计划目标，确保业主满意。</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4、安全文明施工控制目标：强化安全意识，重视和加强安全文明施工的管理工作，严格执行国家、湖南省、益阳市有关安全文明施工的法规、条例及规定，督促承包单位完善安全保证体系和工作制度，使安全文明施工规范化、标准化和制度化；坚决杜绝重大事故，减少一般安全事故。</w:t>
      </w:r>
    </w:p>
    <w:p>
      <w:pPr>
        <w:ind w:firstLine="200"/>
        <w:rPr>
          <w:rFonts w:ascii="Times New Roman" w:hAnsi="Times New Roman" w:cs="Times New Roman"/>
        </w:rPr>
      </w:pPr>
      <w:r>
        <w:rPr>
          <w:rFonts w:ascii="Times New Roman" w:hAnsi="Times New Roman" w:cs="Times New Roman"/>
          <w:kern w:val="0"/>
        </w:rPr>
        <w:t>5、信息管理目标：运用现代管理模式，有组织的收集、整理、储存和传递工程信息，确保沟通渠道的畅通，使参建各方能够及时、准确地获取所需的信息。</w:t>
      </w:r>
    </w:p>
    <w:p>
      <w:pPr>
        <w:rPr>
          <w:rFonts w:ascii="Times New Roman" w:hAnsi="Times New Roman" w:cs="Times New Roman"/>
        </w:rPr>
      </w:pPr>
    </w:p>
    <w:p>
      <w:pPr>
        <w:rPr>
          <w:rFonts w:ascii="Times New Roman" w:hAnsi="Times New Roman" w:cs="Times New Roman"/>
        </w:rPr>
        <w:sectPr>
          <w:pgSz w:w="11906" w:h="16838"/>
          <w:pgMar w:top="1440" w:right="1797" w:bottom="1440" w:left="1797" w:header="851" w:footer="992" w:gutter="0"/>
          <w:pgNumType w:fmt="decimal"/>
          <w:cols w:space="425" w:num="1"/>
          <w:docGrid w:linePitch="326" w:charSpace="0"/>
        </w:sectPr>
      </w:pPr>
    </w:p>
    <w:p>
      <w:pPr>
        <w:pStyle w:val="2"/>
        <w:wordWrap w:val="0"/>
        <w:topLinePunct/>
        <w:adjustRightInd w:val="0"/>
        <w:snapToGrid w:val="0"/>
        <w:spacing w:before="120" w:beforeLines="50" w:after="120" w:afterLines="50" w:line="520" w:lineRule="exact"/>
        <w:rPr>
          <w:rFonts w:ascii="Times New Roman" w:hAnsi="Times New Roman" w:cs="Times New Roman" w:eastAsiaTheme="minorEastAsia"/>
          <w:color w:val="000000" w:themeColor="text1"/>
        </w:rPr>
      </w:pPr>
      <w:bookmarkStart w:id="61" w:name="_Toc457427193"/>
      <w:bookmarkStart w:id="62" w:name="_Toc482661594"/>
      <w:r>
        <w:rPr>
          <w:rFonts w:ascii="Times New Roman" w:hAnsi="Times New Roman" w:cs="Times New Roman" w:eastAsiaTheme="minorEastAsia"/>
          <w:color w:val="000000" w:themeColor="text1"/>
        </w:rPr>
        <w:t>8</w:t>
      </w:r>
      <w:bookmarkEnd w:id="61"/>
      <w:r>
        <w:rPr>
          <w:rFonts w:ascii="Times New Roman" w:hAnsi="Times New Roman" w:cs="Times New Roman" w:eastAsiaTheme="minorEastAsia"/>
          <w:color w:val="000000" w:themeColor="text1"/>
        </w:rPr>
        <w:t>经费估算与资金筹措</w:t>
      </w:r>
      <w:bookmarkEnd w:id="62"/>
    </w:p>
    <w:p>
      <w:pPr>
        <w:pStyle w:val="3"/>
        <w:ind w:right="480"/>
        <w:rPr>
          <w:rFonts w:ascii="Times New Roman" w:hAnsi="Times New Roman" w:cs="Times New Roman" w:eastAsiaTheme="minorEastAsia"/>
          <w:b w:val="0"/>
          <w:color w:val="000000" w:themeColor="text1"/>
        </w:rPr>
      </w:pPr>
      <w:bookmarkStart w:id="63" w:name="_Toc482661595"/>
      <w:bookmarkStart w:id="64" w:name="_Toc480474372"/>
      <w:bookmarkStart w:id="65" w:name="_Toc457427194"/>
      <w:r>
        <w:rPr>
          <w:rFonts w:ascii="Times New Roman" w:hAnsi="Times New Roman" w:cs="Times New Roman" w:eastAsiaTheme="minorEastAsia"/>
          <w:b w:val="0"/>
          <w:color w:val="000000" w:themeColor="text1"/>
        </w:rPr>
        <w:t>8.1经费估算</w:t>
      </w:r>
      <w:bookmarkEnd w:id="63"/>
      <w:bookmarkEnd w:id="64"/>
    </w:p>
    <w:p>
      <w:pPr>
        <w:rPr>
          <w:rFonts w:ascii="Times New Roman" w:hAnsi="Times New Roman" w:cs="Times New Roman"/>
        </w:rPr>
      </w:pPr>
      <w:bookmarkStart w:id="66" w:name="_Toc480474373"/>
      <w:r>
        <w:rPr>
          <w:rFonts w:ascii="Times New Roman" w:hAnsi="Times New Roman" w:cs="Times New Roman"/>
        </w:rPr>
        <w:t>8.1.1编制依据</w:t>
      </w:r>
      <w:bookmarkEnd w:id="66"/>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（1）《市政工程投资估算指标》（2007年版）；</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（2）《湖南省市政工程消耗量标准》（2006年）；</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（3）《湖南省安装工程消耗量标准》（2006年）；</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（4）《湖南省装饰工程消耗量标准》（2006年）；</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（5）财建[2002]394号、计标（85）352号、建标[2007]670号、建标[2007]164号、计价格[2002]10号、计价格[2002]1980号等文件关于工程计价、综合费﹑利润﹑人工费﹑机械费调整等各项费用取费标准；</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（6）《建设项目经济评价方法与参数（第三版）》。</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（7）本公司各专业提供的有关资料；</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（8）类似工程的概预算及技术经济指标；</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（9）现行有关其它费用定额、指标及价格。</w:t>
      </w:r>
    </w:p>
    <w:p>
      <w:pPr>
        <w:rPr>
          <w:rFonts w:ascii="Times New Roman" w:hAnsi="Times New Roman" w:cs="Times New Roman"/>
        </w:rPr>
      </w:pPr>
      <w:bookmarkStart w:id="67" w:name="_Toc480474374"/>
      <w:r>
        <w:rPr>
          <w:rFonts w:ascii="Times New Roman" w:hAnsi="Times New Roman" w:cs="Times New Roman"/>
        </w:rPr>
        <w:t>8.1.2总投资组成及取费</w:t>
      </w:r>
      <w:bookmarkEnd w:id="67"/>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本项目的总投资1991.747万元，全部估算费用包括：第一部分设备购置费、第二部分工程费、第三部分工程建设其他费、第四部分预备费，无建设期利息和铺底流动资金。</w:t>
      </w:r>
    </w:p>
    <w:p>
      <w:pPr>
        <w:ind w:firstLine="480" w:firstLineChars="200"/>
        <w:rPr>
          <w:rFonts w:ascii="Times New Roman" w:hAnsi="Times New Roman" w:cs="Times New Roman"/>
          <w:color w:val="FF0000"/>
        </w:rPr>
      </w:pPr>
      <w:r>
        <w:rPr>
          <w:rFonts w:ascii="Times New Roman" w:hAnsi="Times New Roman" w:cs="Times New Roman"/>
          <w:color w:val="000000" w:themeColor="text1"/>
        </w:rPr>
        <w:t>第一部分设备采购费；主要为</w:t>
      </w:r>
      <w:r>
        <w:rPr>
          <w:rFonts w:ascii="Times New Roman" w:hAnsi="Times New Roman" w:cs="Times New Roman"/>
          <w:szCs w:val="24"/>
        </w:rPr>
        <w:t>加料配套设备、隧道窑设备及隧道窑设备，按目前市场价格估算为500万元整（含设备运输、安装及前期调试费，不含土建费）。</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第二部分工程费为1246.46万元；其中焚烧处理部建设工程费391.94万元，污染场地建设工程费74.52万元；污染土壤处理费780万元。</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第三部分工程建设其他费为150.442元，其中建设单位管理费为14.957万，按照第二部分工程费的1.2%计（财建[2002]394号文）；工程建设监理费18.697万元，按照第一部分工程费的1.5%计（国家发改委、建设部发改价格[2007]670号）；可行性研究费20万元；环评及其他前期工作费（场调报告及实施方案除外）</w:t>
      </w:r>
      <w:bookmarkStart w:id="86" w:name="_GoBack"/>
      <w:bookmarkEnd w:id="86"/>
      <w:r>
        <w:rPr>
          <w:rFonts w:ascii="Times New Roman" w:hAnsi="Times New Roman" w:cs="Times New Roman"/>
          <w:color w:val="000000" w:themeColor="text1"/>
        </w:rPr>
        <w:t>20万元；工程勘察费18.697万元，按照第一部分工程费的1.5%计（计价格[2002]10号文）；工程设计费48.363万元，按照第一部分工程费的3.88%计（计价格[2002]10号文）；施工图预算编制费4.363万元，按照第一部分工程费的0.35%计（湘价服【2009】81号）；施工图审查费1.496万元，按照第一部分工程费的0.12%计（湘价服[2012] 76号）；竣工图编制费3.869万元，按照设计费的8%计（计价格[2002]10号文）。</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第三部分预备费</w:t>
      </w:r>
      <w:r>
        <w:rPr>
          <w:rFonts w:ascii="Times New Roman" w:hAnsi="Times New Roman" w:cs="Times New Roman"/>
          <w:color w:val="000000" w:themeColor="text1"/>
          <w:szCs w:val="21"/>
        </w:rPr>
        <w:t>94.8541</w:t>
      </w:r>
      <w:r>
        <w:rPr>
          <w:rFonts w:ascii="Times New Roman" w:hAnsi="Times New Roman" w:cs="Times New Roman"/>
          <w:color w:val="000000" w:themeColor="text1"/>
        </w:rPr>
        <w:t>万元，其中基本预备费</w:t>
      </w:r>
      <w:r>
        <w:rPr>
          <w:rFonts w:ascii="Times New Roman" w:hAnsi="Times New Roman" w:cs="Times New Roman"/>
          <w:color w:val="000000" w:themeColor="text1"/>
          <w:szCs w:val="21"/>
        </w:rPr>
        <w:t>94.8541</w:t>
      </w:r>
      <w:r>
        <w:rPr>
          <w:rFonts w:ascii="Times New Roman" w:hAnsi="Times New Roman" w:cs="Times New Roman"/>
          <w:color w:val="000000" w:themeColor="text1"/>
        </w:rPr>
        <w:t>万元，按照第一部分设备购置费、第二部分工程费用和第三部分工程建设其他费之和的5%计。详见表8-2。</w:t>
      </w:r>
    </w:p>
    <w:p>
      <w:pPr>
        <w:ind w:firstLine="422" w:firstLineChars="20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表8-1 工程费用估算表</w:t>
      </w:r>
    </w:p>
    <w:tbl>
      <w:tblPr>
        <w:tblStyle w:val="33"/>
        <w:tblW w:w="8700" w:type="dxa"/>
        <w:tblInd w:w="93" w:type="dxa"/>
        <w:tblLayout w:type="fixed"/>
        <w:tblCellMar>
          <w:top w:w="0" w:type="dxa"/>
          <w:left w:w="108" w:type="dxa"/>
          <w:bottom w:w="0" w:type="dxa"/>
          <w:right w:w="108" w:type="dxa"/>
        </w:tblCellMar>
      </w:tblPr>
      <w:tblGrid>
        <w:gridCol w:w="860"/>
        <w:gridCol w:w="1080"/>
        <w:gridCol w:w="1080"/>
        <w:gridCol w:w="1360"/>
        <w:gridCol w:w="1080"/>
        <w:gridCol w:w="1080"/>
        <w:gridCol w:w="1080"/>
        <w:gridCol w:w="1080"/>
      </w:tblGrid>
      <w:tr>
        <w:tblPrEx>
          <w:tblLayout w:type="fixed"/>
          <w:tblCellMar>
            <w:top w:w="0" w:type="dxa"/>
            <w:left w:w="108" w:type="dxa"/>
            <w:bottom w:w="0" w:type="dxa"/>
            <w:right w:w="108" w:type="dxa"/>
          </w:tblCellMar>
        </w:tblPrEx>
        <w:trPr>
          <w:trHeight w:val="525" w:hRule="atLeast"/>
        </w:trPr>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序号</w:t>
            </w:r>
          </w:p>
        </w:tc>
        <w:tc>
          <w:tcPr>
            <w:tcW w:w="216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项目名称</w:t>
            </w:r>
          </w:p>
        </w:tc>
        <w:tc>
          <w:tcPr>
            <w:tcW w:w="13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工程内容</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工程量</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单价</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分项费用（元）</w:t>
            </w:r>
          </w:p>
        </w:tc>
        <w:tc>
          <w:tcPr>
            <w:tcW w:w="10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备注</w:t>
            </w:r>
          </w:p>
        </w:tc>
      </w:tr>
      <w:tr>
        <w:tblPrEx>
          <w:tblLayout w:type="fixed"/>
          <w:tblCellMar>
            <w:top w:w="0" w:type="dxa"/>
            <w:left w:w="108" w:type="dxa"/>
            <w:bottom w:w="0" w:type="dxa"/>
            <w:right w:w="108" w:type="dxa"/>
          </w:tblCellMar>
        </w:tblPrEx>
        <w:trPr>
          <w:trHeight w:val="795" w:hRule="atLeast"/>
        </w:trPr>
        <w:tc>
          <w:tcPr>
            <w:tcW w:w="8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焚烧处理站与污染土清运工程</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窑炉建设工程</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地基施工</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200m</w:t>
            </w:r>
            <w:r>
              <w:rPr>
                <w:rFonts w:ascii="Times New Roman" w:hAnsi="Times New Roman" w:cs="Times New Roman"/>
                <w:color w:val="000000"/>
                <w:kern w:val="0"/>
                <w:sz w:val="21"/>
                <w:szCs w:val="21"/>
                <w:vertAlign w:val="superscript"/>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800元/m</w:t>
            </w:r>
            <w:r>
              <w:rPr>
                <w:rFonts w:ascii="Times New Roman" w:hAnsi="Times New Roman" w:cs="Times New Roman"/>
                <w:color w:val="000000"/>
                <w:kern w:val="0"/>
                <w:sz w:val="21"/>
                <w:szCs w:val="21"/>
                <w:vertAlign w:val="superscript"/>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34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构筑物施工</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3200m</w:t>
            </w:r>
            <w:r>
              <w:rPr>
                <w:rFonts w:ascii="Times New Roman" w:hAnsi="Times New Roman" w:cs="Times New Roman"/>
                <w:color w:val="000000"/>
                <w:kern w:val="0"/>
                <w:sz w:val="21"/>
                <w:szCs w:val="21"/>
                <w:vertAlign w:val="superscript"/>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400元/m</w:t>
            </w:r>
            <w:r>
              <w:rPr>
                <w:rFonts w:ascii="Times New Roman" w:hAnsi="Times New Roman" w:cs="Times New Roman"/>
                <w:color w:val="000000"/>
                <w:kern w:val="0"/>
                <w:sz w:val="21"/>
                <w:szCs w:val="21"/>
                <w:vertAlign w:val="superscript"/>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1280000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34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污染场地开挖、运输</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表层土清理</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34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污染土开挖</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r>
        <w:tblPrEx>
          <w:tblLayout w:type="fixed"/>
          <w:tblCellMar>
            <w:top w:w="0" w:type="dxa"/>
            <w:left w:w="108" w:type="dxa"/>
            <w:bottom w:w="0" w:type="dxa"/>
            <w:right w:w="108" w:type="dxa"/>
          </w:tblCellMar>
        </w:tblPrEx>
        <w:trPr>
          <w:trHeight w:val="34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污染土运输</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运距15km</w:t>
            </w:r>
          </w:p>
        </w:tc>
      </w:tr>
      <w:tr>
        <w:tblPrEx>
          <w:tblLayout w:type="fixed"/>
          <w:tblCellMar>
            <w:top w:w="0" w:type="dxa"/>
            <w:left w:w="108" w:type="dxa"/>
            <w:bottom w:w="0" w:type="dxa"/>
            <w:right w:w="108" w:type="dxa"/>
          </w:tblCellMar>
        </w:tblPrEx>
        <w:trPr>
          <w:trHeight w:val="34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污染场卫生防治</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前处理大棚</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18000m</w:t>
            </w:r>
            <w:r>
              <w:rPr>
                <w:rFonts w:ascii="Times New Roman" w:hAnsi="Times New Roman" w:cs="Times New Roman"/>
                <w:color w:val="000000"/>
                <w:kern w:val="0"/>
                <w:sz w:val="21"/>
                <w:szCs w:val="21"/>
                <w:vertAlign w:val="superscript"/>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55元/m</w:t>
            </w:r>
            <w:r>
              <w:rPr>
                <w:rFonts w:ascii="Times New Roman" w:hAnsi="Times New Roman" w:cs="Times New Roman"/>
                <w:color w:val="000000"/>
                <w:kern w:val="0"/>
                <w:sz w:val="21"/>
                <w:szCs w:val="21"/>
                <w:vertAlign w:val="superscript"/>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990000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330"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废渣场内运输</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7.2元/m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288000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76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污染场地建设工程</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污染场地防渗层建设</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天然粘土回填、平整及压实</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20400m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10.5元/m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214200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1110"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恢复工程</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阻隔层覆土</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5400m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15元/m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81000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0.3m厚、污染场地完成面约18000m</w:t>
            </w:r>
            <w:r>
              <w:rPr>
                <w:rFonts w:ascii="Times New Roman" w:hAnsi="Times New Roman" w:cs="Times New Roman"/>
                <w:color w:val="000000"/>
                <w:kern w:val="0"/>
                <w:sz w:val="21"/>
                <w:szCs w:val="21"/>
                <w:vertAlign w:val="superscript"/>
              </w:rPr>
              <w:t>2</w:t>
            </w:r>
          </w:p>
        </w:tc>
      </w:tr>
      <w:tr>
        <w:tblPrEx>
          <w:tblLayout w:type="fixed"/>
          <w:tblCellMar>
            <w:top w:w="0" w:type="dxa"/>
            <w:left w:w="108" w:type="dxa"/>
            <w:bottom w:w="0" w:type="dxa"/>
            <w:right w:w="108" w:type="dxa"/>
          </w:tblCellMar>
        </w:tblPrEx>
        <w:trPr>
          <w:trHeight w:val="52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污染场地绿化工程</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18000m</w:t>
            </w:r>
            <w:r>
              <w:rPr>
                <w:rFonts w:ascii="Times New Roman" w:hAnsi="Times New Roman" w:cs="Times New Roman"/>
                <w:color w:val="000000"/>
                <w:kern w:val="0"/>
                <w:sz w:val="21"/>
                <w:szCs w:val="21"/>
                <w:vertAlign w:val="superscript"/>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10元/m</w:t>
            </w:r>
            <w:r>
              <w:rPr>
                <w:rFonts w:ascii="Times New Roman" w:hAnsi="Times New Roman" w:cs="Times New Roman"/>
                <w:color w:val="000000"/>
                <w:kern w:val="0"/>
                <w:sz w:val="21"/>
                <w:szCs w:val="21"/>
                <w:vertAlign w:val="superscript"/>
              </w:rPr>
              <w:t>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植草+种植灌木</w:t>
            </w:r>
          </w:p>
        </w:tc>
      </w:tr>
      <w:tr>
        <w:tblPrEx>
          <w:tblLayout w:type="fixed"/>
          <w:tblCellMar>
            <w:top w:w="0" w:type="dxa"/>
            <w:left w:w="108" w:type="dxa"/>
            <w:bottom w:w="0" w:type="dxa"/>
            <w:right w:w="108" w:type="dxa"/>
          </w:tblCellMar>
        </w:tblPrEx>
        <w:trPr>
          <w:trHeight w:val="660"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地表水</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污染场地外围截洪沟建设</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400m</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450元/m</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720"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导排工程</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污染场地内排水沟建设</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300m</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300元/m</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28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5680" w:type="dxa"/>
            <w:gridSpan w:val="5"/>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小计</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4664600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330" w:hRule="atLeast"/>
        </w:trPr>
        <w:tc>
          <w:tcPr>
            <w:tcW w:w="8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21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污染土壤处理费</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场内卫生防治</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330"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21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焚烧治理</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180元/m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7200000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345" w:hRule="atLeast"/>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21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Times New Roman" w:hAnsi="Times New Roman" w:cs="Times New Roman"/>
                <w:color w:val="000000"/>
                <w:kern w:val="0"/>
                <w:sz w:val="21"/>
                <w:szCs w:val="21"/>
              </w:rPr>
            </w:pP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废渣清运</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40000m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10元/m</w:t>
            </w:r>
            <w:r>
              <w:rPr>
                <w:rFonts w:ascii="Times New Roman" w:hAnsi="Times New Roman" w:cs="Times New Roman"/>
                <w:color w:val="000000"/>
                <w:kern w:val="0"/>
                <w:sz w:val="21"/>
                <w:szCs w:val="21"/>
                <w:vertAlign w:val="superscript"/>
              </w:rPr>
              <w:t>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400000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运距8km</w:t>
            </w:r>
          </w:p>
        </w:tc>
      </w:tr>
      <w:tr>
        <w:tblPrEx>
          <w:tblLayout w:type="fixed"/>
          <w:tblCellMar>
            <w:top w:w="0" w:type="dxa"/>
            <w:left w:w="108" w:type="dxa"/>
            <w:bottom w:w="0" w:type="dxa"/>
            <w:right w:w="108" w:type="dxa"/>
          </w:tblCellMar>
        </w:tblPrEx>
        <w:trPr>
          <w:trHeight w:val="28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680" w:type="dxa"/>
            <w:gridSpan w:val="5"/>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小计</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7800000</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r>
        <w:tblPrEx>
          <w:tblLayout w:type="fixed"/>
          <w:tblCellMar>
            <w:top w:w="0" w:type="dxa"/>
            <w:left w:w="108" w:type="dxa"/>
            <w:bottom w:w="0" w:type="dxa"/>
            <w:right w:w="108" w:type="dxa"/>
          </w:tblCellMar>
        </w:tblPrEx>
        <w:trPr>
          <w:trHeight w:val="285" w:hRule="atLeast"/>
        </w:trPr>
        <w:tc>
          <w:tcPr>
            <w:tcW w:w="654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总计</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12464600</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rPr>
                <w:rFonts w:ascii="Times New Roman" w:hAnsi="Times New Roman" w:cs="Times New Roman"/>
                <w:kern w:val="0"/>
                <w:sz w:val="20"/>
                <w:szCs w:val="20"/>
              </w:rPr>
            </w:pPr>
            <w:r>
              <w:rPr>
                <w:rFonts w:ascii="Times New Roman" w:hAnsi="Times New Roman" w:cs="Times New Roman"/>
                <w:kern w:val="0"/>
                <w:sz w:val="20"/>
                <w:szCs w:val="20"/>
              </w:rPr>
              <w:t>　</w:t>
            </w:r>
          </w:p>
        </w:tc>
      </w:tr>
    </w:tbl>
    <w:p>
      <w:pPr>
        <w:ind w:firstLine="482" w:firstLineChars="200"/>
        <w:jc w:val="center"/>
        <w:rPr>
          <w:rFonts w:ascii="Times New Roman" w:hAnsi="Times New Roman" w:cs="Times New Roman"/>
          <w:b/>
          <w:color w:val="000000" w:themeColor="text1"/>
        </w:rPr>
        <w:sectPr>
          <w:pgSz w:w="11906" w:h="16838"/>
          <w:pgMar w:top="1440" w:right="1797" w:bottom="1440" w:left="1797" w:header="851" w:footer="992" w:gutter="0"/>
          <w:pgNumType w:fmt="decimal"/>
          <w:cols w:space="425" w:num="1"/>
          <w:docGrid w:linePitch="326" w:charSpace="0"/>
        </w:sectPr>
      </w:pPr>
    </w:p>
    <w:p>
      <w:pPr>
        <w:ind w:firstLine="422" w:firstLineChars="20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表8-2工程费用估算表</w:t>
      </w:r>
    </w:p>
    <w:tbl>
      <w:tblPr>
        <w:tblStyle w:val="33"/>
        <w:tblW w:w="13755" w:type="dxa"/>
        <w:tblInd w:w="93" w:type="dxa"/>
        <w:tblLayout w:type="fixed"/>
        <w:tblCellMar>
          <w:top w:w="0" w:type="dxa"/>
          <w:left w:w="108" w:type="dxa"/>
          <w:bottom w:w="0" w:type="dxa"/>
          <w:right w:w="108" w:type="dxa"/>
        </w:tblCellMar>
      </w:tblPr>
      <w:tblGrid>
        <w:gridCol w:w="1389"/>
        <w:gridCol w:w="3162"/>
        <w:gridCol w:w="7009"/>
        <w:gridCol w:w="2195"/>
      </w:tblGrid>
      <w:tr>
        <w:tblPrEx>
          <w:tblLayout w:type="fixed"/>
          <w:tblCellMar>
            <w:top w:w="0" w:type="dxa"/>
            <w:left w:w="108" w:type="dxa"/>
            <w:bottom w:w="0" w:type="dxa"/>
            <w:right w:w="108" w:type="dxa"/>
          </w:tblCellMar>
        </w:tblPrEx>
        <w:trPr>
          <w:trHeight w:val="297" w:hRule="atLeast"/>
        </w:trPr>
        <w:tc>
          <w:tcPr>
            <w:tcW w:w="1389" w:type="dxa"/>
            <w:tcBorders>
              <w:top w:val="single" w:color="auto" w:sz="12" w:space="0"/>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序号</w:t>
            </w:r>
          </w:p>
        </w:tc>
        <w:tc>
          <w:tcPr>
            <w:tcW w:w="3162" w:type="dxa"/>
            <w:tcBorders>
              <w:top w:val="single" w:color="auto" w:sz="12" w:space="0"/>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项目名称</w:t>
            </w:r>
          </w:p>
        </w:tc>
        <w:tc>
          <w:tcPr>
            <w:tcW w:w="7009" w:type="dxa"/>
            <w:tcBorders>
              <w:top w:val="single" w:color="auto" w:sz="12" w:space="0"/>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具体项目内容</w:t>
            </w:r>
          </w:p>
        </w:tc>
        <w:tc>
          <w:tcPr>
            <w:tcW w:w="2195" w:type="dxa"/>
            <w:tcBorders>
              <w:top w:val="single" w:color="auto" w:sz="12" w:space="0"/>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合计（万元）</w:t>
            </w:r>
          </w:p>
        </w:tc>
      </w:tr>
      <w:tr>
        <w:tblPrEx>
          <w:tblLayout w:type="fixed"/>
          <w:tblCellMar>
            <w:top w:w="0" w:type="dxa"/>
            <w:left w:w="108" w:type="dxa"/>
            <w:bottom w:w="0" w:type="dxa"/>
            <w:right w:w="108" w:type="dxa"/>
          </w:tblCellMar>
        </w:tblPrEx>
        <w:trPr>
          <w:trHeight w:val="297" w:hRule="atLeast"/>
        </w:trPr>
        <w:tc>
          <w:tcPr>
            <w:tcW w:w="11560" w:type="dxa"/>
            <w:gridSpan w:val="3"/>
            <w:tcBorders>
              <w:top w:val="single" w:color="auto" w:sz="8" w:space="0"/>
              <w:left w:val="single" w:color="auto" w:sz="12" w:space="0"/>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第一部分设备购置费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w:t>
            </w:r>
          </w:p>
        </w:tc>
        <w:tc>
          <w:tcPr>
            <w:tcW w:w="316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设备购置费</w:t>
            </w:r>
          </w:p>
        </w:tc>
        <w:tc>
          <w:tcPr>
            <w:tcW w:w="700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包括设备购置、运输、安装、调试、保险等</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w:t>
            </w:r>
          </w:p>
        </w:tc>
      </w:tr>
      <w:tr>
        <w:tblPrEx>
          <w:tblLayout w:type="fixed"/>
          <w:tblCellMar>
            <w:top w:w="0" w:type="dxa"/>
            <w:left w:w="108" w:type="dxa"/>
            <w:bottom w:w="0" w:type="dxa"/>
            <w:right w:w="108" w:type="dxa"/>
          </w:tblCellMar>
        </w:tblPrEx>
        <w:trPr>
          <w:trHeight w:val="297" w:hRule="atLeast"/>
        </w:trPr>
        <w:tc>
          <w:tcPr>
            <w:tcW w:w="11560" w:type="dxa"/>
            <w:gridSpan w:val="3"/>
            <w:tcBorders>
              <w:top w:val="single" w:color="auto" w:sz="8" w:space="0"/>
              <w:left w:val="single" w:color="auto" w:sz="12" w:space="0"/>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第二部分工程费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1246.46</w:t>
            </w:r>
          </w:p>
        </w:tc>
      </w:tr>
      <w:tr>
        <w:tblPrEx>
          <w:tblLayout w:type="fixed"/>
          <w:tblCellMar>
            <w:top w:w="0" w:type="dxa"/>
            <w:left w:w="108" w:type="dxa"/>
            <w:bottom w:w="0" w:type="dxa"/>
            <w:right w:w="108" w:type="dxa"/>
          </w:tblCellMar>
        </w:tblPrEx>
        <w:trPr>
          <w:trHeight w:val="625"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2.1</w:t>
            </w:r>
          </w:p>
        </w:tc>
        <w:tc>
          <w:tcPr>
            <w:tcW w:w="316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焚烧处理站与污染土清运工程</w:t>
            </w:r>
          </w:p>
        </w:tc>
        <w:tc>
          <w:tcPr>
            <w:tcW w:w="700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包括窑炉建设工程、污染场地开挖、运输、污染场卫生防治等</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391.94</w:t>
            </w:r>
          </w:p>
        </w:tc>
      </w:tr>
      <w:tr>
        <w:tblPrEx>
          <w:tblLayout w:type="fixed"/>
          <w:tblCellMar>
            <w:top w:w="0" w:type="dxa"/>
            <w:left w:w="108" w:type="dxa"/>
            <w:bottom w:w="0" w:type="dxa"/>
            <w:right w:w="108" w:type="dxa"/>
          </w:tblCellMar>
        </w:tblPrEx>
        <w:trPr>
          <w:trHeight w:val="543"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2.2</w:t>
            </w:r>
          </w:p>
        </w:tc>
        <w:tc>
          <w:tcPr>
            <w:tcW w:w="316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污染场地建设工程</w:t>
            </w:r>
          </w:p>
        </w:tc>
        <w:tc>
          <w:tcPr>
            <w:tcW w:w="700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包括污染场地防渗层建设、恢复工程、地表水、导排工程</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74.52</w:t>
            </w:r>
          </w:p>
        </w:tc>
      </w:tr>
      <w:tr>
        <w:tblPrEx>
          <w:tblLayout w:type="fixed"/>
          <w:tblCellMar>
            <w:top w:w="0" w:type="dxa"/>
            <w:left w:w="108" w:type="dxa"/>
            <w:bottom w:w="0" w:type="dxa"/>
            <w:right w:w="108" w:type="dxa"/>
          </w:tblCellMar>
        </w:tblPrEx>
        <w:trPr>
          <w:trHeight w:val="409"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w:t>
            </w:r>
          </w:p>
        </w:tc>
        <w:tc>
          <w:tcPr>
            <w:tcW w:w="316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污染土壤处理费</w:t>
            </w:r>
          </w:p>
        </w:tc>
        <w:tc>
          <w:tcPr>
            <w:tcW w:w="700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场内卫生防治、焚烧治理、废渣清运</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780</w:t>
            </w:r>
          </w:p>
        </w:tc>
      </w:tr>
      <w:tr>
        <w:tblPrEx>
          <w:tblLayout w:type="fixed"/>
          <w:tblCellMar>
            <w:top w:w="0" w:type="dxa"/>
            <w:left w:w="108" w:type="dxa"/>
            <w:bottom w:w="0" w:type="dxa"/>
            <w:right w:w="108" w:type="dxa"/>
          </w:tblCellMar>
        </w:tblPrEx>
        <w:trPr>
          <w:trHeight w:val="297" w:hRule="atLeast"/>
        </w:trPr>
        <w:tc>
          <w:tcPr>
            <w:tcW w:w="11560" w:type="dxa"/>
            <w:gridSpan w:val="3"/>
            <w:tcBorders>
              <w:top w:val="single" w:color="auto" w:sz="8" w:space="0"/>
              <w:left w:val="single" w:color="auto" w:sz="12" w:space="0"/>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第三部分工程建设其他费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150.442</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3.1</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建设单位管理费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14.957</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工程建设监理费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18.697</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可行性研究费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3.4</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环评及其他前期工作费（场调报告及实施方案除外）</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工程勘察费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18.697</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3.6</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工程设计费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48.363</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3.7</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施工图预算编制费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4.363</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施工图审查费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1.496</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3.9</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竣工图编制费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3.869</w:t>
            </w:r>
          </w:p>
        </w:tc>
      </w:tr>
      <w:tr>
        <w:tblPrEx>
          <w:tblLayout w:type="fixed"/>
          <w:tblCellMar>
            <w:top w:w="0" w:type="dxa"/>
            <w:left w:w="108" w:type="dxa"/>
            <w:bottom w:w="0" w:type="dxa"/>
            <w:right w:w="108" w:type="dxa"/>
          </w:tblCellMar>
        </w:tblPrEx>
        <w:trPr>
          <w:trHeight w:val="297" w:hRule="atLeast"/>
        </w:trPr>
        <w:tc>
          <w:tcPr>
            <w:tcW w:w="11560" w:type="dxa"/>
            <w:gridSpan w:val="3"/>
            <w:tcBorders>
              <w:top w:val="single" w:color="auto" w:sz="8" w:space="0"/>
              <w:left w:val="single" w:color="auto" w:sz="12" w:space="0"/>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第四部分预备费</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94.8451</w:t>
            </w:r>
          </w:p>
        </w:tc>
      </w:tr>
      <w:tr>
        <w:tblPrEx>
          <w:tblLayout w:type="fixed"/>
          <w:tblCellMar>
            <w:top w:w="0" w:type="dxa"/>
            <w:left w:w="108" w:type="dxa"/>
            <w:bottom w:w="0" w:type="dxa"/>
            <w:right w:w="108" w:type="dxa"/>
          </w:tblCellMar>
        </w:tblPrEx>
        <w:trPr>
          <w:trHeight w:val="297" w:hRule="atLeast"/>
        </w:trPr>
        <w:tc>
          <w:tcPr>
            <w:tcW w:w="1389" w:type="dxa"/>
            <w:tcBorders>
              <w:top w:val="nil"/>
              <w:left w:val="single" w:color="auto" w:sz="12" w:space="0"/>
              <w:bottom w:val="single" w:color="auto" w:sz="8" w:space="0"/>
              <w:right w:val="single" w:color="auto"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4.1</w:t>
            </w:r>
          </w:p>
        </w:tc>
        <w:tc>
          <w:tcPr>
            <w:tcW w:w="10171" w:type="dxa"/>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基本预备费（ (一)+(二)+(三)）×5%</w:t>
            </w:r>
          </w:p>
        </w:tc>
        <w:tc>
          <w:tcPr>
            <w:tcW w:w="2195" w:type="dxa"/>
            <w:tcBorders>
              <w:top w:val="nil"/>
              <w:left w:val="nil"/>
              <w:bottom w:val="single" w:color="auto" w:sz="8"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94.8451</w:t>
            </w:r>
          </w:p>
        </w:tc>
      </w:tr>
      <w:tr>
        <w:tblPrEx>
          <w:tblLayout w:type="fixed"/>
          <w:tblCellMar>
            <w:top w:w="0" w:type="dxa"/>
            <w:left w:w="108" w:type="dxa"/>
            <w:bottom w:w="0" w:type="dxa"/>
            <w:right w:w="108" w:type="dxa"/>
          </w:tblCellMar>
        </w:tblPrEx>
        <w:trPr>
          <w:trHeight w:val="297" w:hRule="atLeast"/>
        </w:trPr>
        <w:tc>
          <w:tcPr>
            <w:tcW w:w="11560" w:type="dxa"/>
            <w:gridSpan w:val="3"/>
            <w:tcBorders>
              <w:top w:val="single" w:color="auto" w:sz="8" w:space="0"/>
              <w:left w:val="single" w:color="auto" w:sz="12" w:space="0"/>
              <w:bottom w:val="single" w:color="auto" w:sz="12" w:space="0"/>
              <w:right w:val="single" w:color="000000" w:sz="8"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第四部分工程概算总投资  (一)+(二)+(三)+(四)</w:t>
            </w:r>
          </w:p>
        </w:tc>
        <w:tc>
          <w:tcPr>
            <w:tcW w:w="2195" w:type="dxa"/>
            <w:tcBorders>
              <w:top w:val="nil"/>
              <w:left w:val="nil"/>
              <w:bottom w:val="single" w:color="auto" w:sz="12" w:space="0"/>
              <w:right w:val="single" w:color="auto" w:sz="12" w:space="0"/>
            </w:tcBorders>
            <w:shd w:val="clear" w:color="auto" w:fill="auto"/>
            <w:vAlign w:val="center"/>
          </w:tcPr>
          <w:p>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1991.747</w:t>
            </w:r>
          </w:p>
        </w:tc>
      </w:tr>
    </w:tbl>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sectPr>
          <w:pgSz w:w="16838" w:h="11906" w:orient="landscape"/>
          <w:pgMar w:top="1797" w:right="1440" w:bottom="1797" w:left="1440" w:header="851" w:footer="992" w:gutter="0"/>
          <w:pgNumType w:fmt="decimal"/>
          <w:cols w:space="425" w:num="1"/>
          <w:docGrid w:linePitch="326" w:charSpace="0"/>
        </w:sectPr>
      </w:pPr>
    </w:p>
    <w:p>
      <w:pPr>
        <w:pStyle w:val="3"/>
        <w:ind w:right="480"/>
        <w:rPr>
          <w:rFonts w:ascii="Times New Roman" w:hAnsi="Times New Roman" w:cs="Times New Roman" w:eastAsiaTheme="minorEastAsia"/>
          <w:b w:val="0"/>
          <w:color w:val="000000" w:themeColor="text1"/>
        </w:rPr>
      </w:pPr>
      <w:bookmarkStart w:id="68" w:name="_Toc480474375"/>
      <w:bookmarkStart w:id="69" w:name="_Toc482661596"/>
      <w:r>
        <w:rPr>
          <w:rFonts w:ascii="Times New Roman" w:hAnsi="Times New Roman" w:cs="Times New Roman" w:eastAsiaTheme="minorEastAsia"/>
          <w:b w:val="0"/>
          <w:color w:val="000000" w:themeColor="text1"/>
        </w:rPr>
        <w:t>8.2资金筹措</w:t>
      </w:r>
      <w:bookmarkEnd w:id="68"/>
      <w:bookmarkEnd w:id="69"/>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本项目为益阳市润慷宝化工有限公司（原益阳市农药厂）污染场地土壤治理与修复项目，项目总投资</w:t>
      </w:r>
      <w:r>
        <w:rPr>
          <w:rFonts w:ascii="Times New Roman" w:hAnsi="Times New Roman" w:cs="Times New Roman"/>
          <w:color w:val="000000"/>
          <w:kern w:val="0"/>
          <w:szCs w:val="24"/>
        </w:rPr>
        <w:t>1991.747</w:t>
      </w:r>
      <w:r>
        <w:rPr>
          <w:rFonts w:ascii="Times New Roman" w:hAnsi="Times New Roman" w:cs="Times New Roman"/>
          <w:color w:val="000000" w:themeColor="text1"/>
        </w:rPr>
        <w:t>万元。</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项目资金来源：全部申请中央土壤专项资金。</w:t>
      </w:r>
    </w:p>
    <w:p>
      <w:pPr>
        <w:pStyle w:val="3"/>
        <w:ind w:right="480"/>
        <w:rPr>
          <w:rFonts w:ascii="Times New Roman" w:hAnsi="Times New Roman" w:cs="Times New Roman" w:eastAsiaTheme="minorEastAsia"/>
          <w:b w:val="0"/>
          <w:color w:val="000000" w:themeColor="text1"/>
        </w:rPr>
        <w:sectPr>
          <w:pgSz w:w="11906" w:h="16838"/>
          <w:pgMar w:top="1440" w:right="1797" w:bottom="1440" w:left="1797" w:header="851" w:footer="992" w:gutter="0"/>
          <w:pgNumType w:fmt="decimal"/>
          <w:cols w:space="425" w:num="1"/>
          <w:docGrid w:linePitch="326" w:charSpace="0"/>
        </w:sectPr>
      </w:pPr>
    </w:p>
    <w:p>
      <w:pPr>
        <w:pStyle w:val="2"/>
        <w:wordWrap w:val="0"/>
        <w:topLinePunct/>
        <w:adjustRightInd w:val="0"/>
        <w:snapToGrid w:val="0"/>
        <w:spacing w:before="120" w:beforeLines="50" w:after="120" w:afterLines="50" w:line="520" w:lineRule="exact"/>
        <w:rPr>
          <w:rFonts w:ascii="Times New Roman" w:hAnsi="Times New Roman" w:cs="Times New Roman" w:eastAsiaTheme="minorEastAsia"/>
        </w:rPr>
      </w:pPr>
      <w:bookmarkStart w:id="70" w:name="_Toc480474371"/>
      <w:bookmarkStart w:id="71" w:name="_Toc482661597"/>
      <w:r>
        <w:rPr>
          <w:rFonts w:ascii="Times New Roman" w:hAnsi="Times New Roman" w:cs="Times New Roman" w:eastAsiaTheme="minorEastAsia"/>
        </w:rPr>
        <w:t xml:space="preserve">9  </w:t>
      </w:r>
      <w:bookmarkEnd w:id="70"/>
      <w:r>
        <w:rPr>
          <w:rFonts w:ascii="Times New Roman" w:hAnsi="Times New Roman" w:cs="Times New Roman" w:eastAsiaTheme="minorEastAsia"/>
        </w:rPr>
        <w:t>效益分析</w:t>
      </w:r>
      <w:bookmarkEnd w:id="71"/>
    </w:p>
    <w:p>
      <w:pPr>
        <w:pStyle w:val="3"/>
        <w:ind w:right="480"/>
        <w:rPr>
          <w:rFonts w:ascii="Times New Roman" w:hAnsi="Times New Roman" w:cs="Times New Roman" w:eastAsiaTheme="minorEastAsia"/>
          <w:b w:val="0"/>
          <w:color w:val="000000" w:themeColor="text1"/>
        </w:rPr>
      </w:pPr>
      <w:bookmarkStart w:id="72" w:name="_Toc482661598"/>
      <w:bookmarkStart w:id="73" w:name="_Toc480474377"/>
      <w:r>
        <w:rPr>
          <w:rFonts w:ascii="Times New Roman" w:hAnsi="Times New Roman" w:cs="Times New Roman" w:eastAsiaTheme="minorEastAsia"/>
          <w:b w:val="0"/>
          <w:color w:val="000000" w:themeColor="text1"/>
        </w:rPr>
        <w:t>9.1 环境效益</w:t>
      </w:r>
      <w:bookmarkEnd w:id="72"/>
      <w:bookmarkEnd w:id="73"/>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本项目通过对益阳市润慷宝化工有限公司（原益阳市农药厂）污染场地进行治理与修复，处理有机物污染土壤</w:t>
      </w:r>
      <w:r>
        <w:rPr>
          <w:rFonts w:ascii="Times New Roman" w:hAnsi="Times New Roman"/>
          <w:sz w:val="24"/>
          <w:szCs w:val="24"/>
        </w:rPr>
        <w:t>39228.5</w:t>
      </w:r>
      <w:r>
        <w:rPr>
          <w:rFonts w:ascii="Times New Roman" w:hAnsi="Times New Roman" w:eastAsiaTheme="minorEastAsia"/>
          <w:kern w:val="0"/>
          <w:sz w:val="24"/>
        </w:rPr>
        <w:t>m</w:t>
      </w:r>
      <w:r>
        <w:rPr>
          <w:rFonts w:ascii="Times New Roman" w:hAnsi="Times New Roman" w:eastAsiaTheme="minorEastAsia"/>
          <w:kern w:val="0"/>
          <w:sz w:val="24"/>
          <w:vertAlign w:val="superscript"/>
        </w:rPr>
        <w:t>3</w:t>
      </w:r>
      <w:r>
        <w:rPr>
          <w:rFonts w:ascii="Times New Roman" w:hAnsi="Times New Roman" w:eastAsiaTheme="minorEastAsia"/>
          <w:kern w:val="0"/>
          <w:sz w:val="24"/>
        </w:rPr>
        <w:t>，治理污染面积约27.5亩，能有效地防治润慷宝化工有限公司（原益阳市农药厂）对当地土壤环境造成的安全隐患。同时消除原益阳市农药厂历史遗留问题对资江水体环境质量的污染，改善水体质量，保障河流下游地区人民用水安全。同时从源头上管控农药等有机物的污染，推进资江——洞庭湖流域的水污染防治工作的开展。通过开展露天污染场地的治理与修复工作，能有效地改善当地生态环境现状，改善城市居住环境，促进当地经济发展提供了环境保证。</w:t>
      </w:r>
    </w:p>
    <w:p>
      <w:pPr>
        <w:pStyle w:val="3"/>
        <w:ind w:right="480"/>
        <w:rPr>
          <w:rFonts w:ascii="Times New Roman" w:hAnsi="Times New Roman" w:cs="Times New Roman" w:eastAsiaTheme="minorEastAsia"/>
          <w:b w:val="0"/>
          <w:color w:val="000000" w:themeColor="text1"/>
        </w:rPr>
      </w:pPr>
      <w:bookmarkStart w:id="74" w:name="_Toc480474378"/>
      <w:bookmarkStart w:id="75" w:name="_Toc482661599"/>
      <w:r>
        <w:rPr>
          <w:rFonts w:ascii="Times New Roman" w:hAnsi="Times New Roman" w:cs="Times New Roman" w:eastAsiaTheme="minorEastAsia"/>
          <w:b w:val="0"/>
          <w:color w:val="000000" w:themeColor="text1"/>
        </w:rPr>
        <w:t>9.2 社会效益</w:t>
      </w:r>
      <w:bookmarkEnd w:id="74"/>
      <w:bookmarkEnd w:id="75"/>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本项目的社会效益表现为：</w:t>
      </w:r>
    </w:p>
    <w:p>
      <w:pPr>
        <w:pStyle w:val="18"/>
        <w:numPr>
          <w:ilvl w:val="0"/>
          <w:numId w:val="4"/>
        </w:numPr>
        <w:spacing w:after="0" w:line="360" w:lineRule="auto"/>
        <w:ind w:left="0" w:leftChars="0" w:firstLine="480"/>
        <w:rPr>
          <w:rFonts w:ascii="Times New Roman" w:hAnsi="Times New Roman" w:eastAsiaTheme="minorEastAsia"/>
          <w:kern w:val="0"/>
          <w:sz w:val="24"/>
        </w:rPr>
      </w:pPr>
      <w:r>
        <w:rPr>
          <w:rFonts w:ascii="Times New Roman" w:hAnsi="Times New Roman" w:eastAsiaTheme="minorEastAsia"/>
          <w:kern w:val="0"/>
          <w:sz w:val="24"/>
        </w:rPr>
        <w:t>消除污染场地遗留问题带来的土壤和水体污染隐患，保障饮水安全，保障当地居民居住环境安全，促进当地经济发展，保障人民群众身心健康。通过污染土壤的清运，生态修复等措施，可以有效恢复植被，改善中心城区的生态环境，促进当地生态文明城市建设，为发展当地经济创造条件。</w:t>
      </w:r>
    </w:p>
    <w:p>
      <w:pPr>
        <w:pStyle w:val="18"/>
        <w:numPr>
          <w:ilvl w:val="0"/>
          <w:numId w:val="4"/>
        </w:numPr>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益阳市润慷宝化工有限公司（原益阳市农药厂）污染场地问题在当地为民众所关注，对其进行积极治理，是当地行政主体履行职权义务，为民请命的体现。本项目的实施是取信于民，为民服务的良好契机，项目开展有利保障当地社会环境的团结安定，为促进城市经济发展、生活水平提高营造良好环境。</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3）一定程度上增加当地就业。工程建设过程中将投入大量的资金，工期为一年，能为项目所在地区群众提供就业机会。剩余劳动力就地谋生，即降低了当地居民就业成本，又对当地社会环境的稳定、促进当地经济的发展等起到一定的作用，也为政府减轻了就业压力和经济负担；工程建设也将刺激当地的经济需求，带动当地和周边地区的经济发展，加速当地的经济发展。因此，工程的建设具有良好的社会效益。</w:t>
      </w:r>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4）起到环保宣传作用。通过润慷宝化工有限公司（原益阳市农药厂）污染场地的治理和修复工作，可以起到环保宣传作用，引起当地人民对土壤污染整治的认识，增强民众环保意识，提高环保素养，为今后环境保护工作的储备软实力，营造良好社会氛围。</w:t>
      </w:r>
    </w:p>
    <w:p>
      <w:pPr>
        <w:pStyle w:val="3"/>
        <w:ind w:right="480"/>
        <w:rPr>
          <w:rFonts w:ascii="Times New Roman" w:hAnsi="Times New Roman" w:cs="Times New Roman" w:eastAsiaTheme="minorEastAsia"/>
          <w:b w:val="0"/>
          <w:color w:val="000000" w:themeColor="text1"/>
        </w:rPr>
      </w:pPr>
      <w:bookmarkStart w:id="76" w:name="_Toc480474379"/>
      <w:bookmarkStart w:id="77" w:name="_Toc482661600"/>
      <w:r>
        <w:rPr>
          <w:rFonts w:ascii="Times New Roman" w:hAnsi="Times New Roman" w:cs="Times New Roman" w:eastAsiaTheme="minorEastAsia"/>
          <w:b w:val="0"/>
          <w:color w:val="000000" w:themeColor="text1"/>
        </w:rPr>
        <w:t>9.3 经济效益</w:t>
      </w:r>
      <w:bookmarkEnd w:id="76"/>
      <w:bookmarkEnd w:id="77"/>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项目实施后，可减少流域农药类有机物的污染程度，杜绝有机物污染水土环境和土壤环境污染，改善当地的生态环境和农业生产条件，增加粮食、、蔬菜等农产品的产量，提高农产品质量，从而推动当地农村经济的可持续发展。随着治理方案的实施，附近生态环境和流域生态的均得到明显改善，一定程度上为当地经济的发展提供良好自然和社会环境条件，有利于促进经济发展。通过增加就业，增加当地居民收入。</w:t>
      </w:r>
    </w:p>
    <w:p>
      <w:pPr>
        <w:rPr>
          <w:rFonts w:ascii="Times New Roman" w:hAnsi="Times New Roman" w:cs="Times New Roman"/>
        </w:rPr>
      </w:pPr>
    </w:p>
    <w:p>
      <w:pPr>
        <w:pStyle w:val="3"/>
        <w:ind w:right="480"/>
        <w:rPr>
          <w:rFonts w:ascii="Times New Roman" w:hAnsi="Times New Roman" w:cs="Times New Roman" w:eastAsiaTheme="minorEastAsia"/>
          <w:b w:val="0"/>
          <w:color w:val="000000" w:themeColor="text1"/>
        </w:rPr>
      </w:pPr>
    </w:p>
    <w:p>
      <w:pPr>
        <w:pStyle w:val="3"/>
        <w:ind w:right="480"/>
        <w:rPr>
          <w:rFonts w:ascii="Times New Roman" w:hAnsi="Times New Roman" w:cs="Times New Roman" w:eastAsiaTheme="minorEastAsia"/>
          <w:b w:val="0"/>
          <w:color w:val="000000" w:themeColor="text1"/>
        </w:rPr>
      </w:pPr>
    </w:p>
    <w:p>
      <w:pPr>
        <w:pStyle w:val="3"/>
        <w:ind w:right="480"/>
        <w:rPr>
          <w:rFonts w:ascii="Times New Roman" w:hAnsi="Times New Roman" w:cs="Times New Roman" w:eastAsiaTheme="minorEastAsia"/>
          <w:b w:val="0"/>
          <w:color w:val="000000" w:themeColor="text1"/>
        </w:rPr>
      </w:pPr>
    </w:p>
    <w:p>
      <w:pPr>
        <w:pStyle w:val="3"/>
        <w:ind w:right="480"/>
        <w:rPr>
          <w:rFonts w:ascii="Times New Roman" w:hAnsi="Times New Roman" w:cs="Times New Roman" w:eastAsiaTheme="minorEastAsia"/>
          <w:b w:val="0"/>
          <w:color w:val="000000" w:themeColor="text1"/>
        </w:rPr>
      </w:pPr>
    </w:p>
    <w:p>
      <w:pPr>
        <w:pStyle w:val="3"/>
        <w:ind w:right="480"/>
        <w:rPr>
          <w:rFonts w:ascii="Times New Roman" w:hAnsi="Times New Roman" w:cs="Times New Roman" w:eastAsiaTheme="minorEastAsia"/>
          <w:b w:val="0"/>
          <w:color w:val="000000" w:themeColor="text1"/>
        </w:rPr>
      </w:pPr>
    </w:p>
    <w:bookmarkEnd w:id="65"/>
    <w:p>
      <w:pPr>
        <w:pStyle w:val="2"/>
        <w:rPr>
          <w:rFonts w:ascii="Times New Roman" w:hAnsi="Times New Roman" w:cs="Times New Roman" w:eastAsiaTheme="minorEastAsia"/>
          <w:color w:val="000000" w:themeColor="text1"/>
        </w:rPr>
        <w:sectPr>
          <w:pgSz w:w="11906" w:h="16838"/>
          <w:pgMar w:top="1440" w:right="1797" w:bottom="1440" w:left="1797" w:header="851" w:footer="992" w:gutter="0"/>
          <w:pgNumType w:fmt="decimal"/>
          <w:cols w:space="425" w:num="1"/>
          <w:docGrid w:linePitch="326" w:charSpace="0"/>
        </w:sectPr>
      </w:pPr>
    </w:p>
    <w:p>
      <w:pPr>
        <w:pStyle w:val="2"/>
        <w:rPr>
          <w:rFonts w:ascii="Times New Roman" w:hAnsi="Times New Roman" w:cs="Times New Roman" w:eastAsiaTheme="minorEastAsia"/>
          <w:color w:val="000000" w:themeColor="text1"/>
        </w:rPr>
      </w:pPr>
      <w:bookmarkStart w:id="78" w:name="_Toc482661601"/>
      <w:r>
        <w:rPr>
          <w:rFonts w:ascii="Times New Roman" w:hAnsi="Times New Roman" w:cs="Times New Roman" w:eastAsiaTheme="minorEastAsia"/>
          <w:color w:val="000000" w:themeColor="text1"/>
        </w:rPr>
        <w:t>10项目分险分析</w:t>
      </w:r>
      <w:bookmarkEnd w:id="78"/>
    </w:p>
    <w:p>
      <w:pPr>
        <w:pStyle w:val="3"/>
        <w:ind w:right="480"/>
        <w:rPr>
          <w:rFonts w:ascii="Times New Roman" w:hAnsi="Times New Roman" w:cs="Times New Roman" w:eastAsiaTheme="minorEastAsia"/>
          <w:b w:val="0"/>
          <w:color w:val="000000" w:themeColor="text1"/>
        </w:rPr>
      </w:pPr>
      <w:bookmarkStart w:id="79" w:name="_Toc482661602"/>
      <w:r>
        <w:rPr>
          <w:rFonts w:ascii="Times New Roman" w:hAnsi="Times New Roman" w:cs="Times New Roman" w:eastAsiaTheme="minorEastAsia"/>
          <w:b w:val="0"/>
          <w:color w:val="000000" w:themeColor="text1"/>
        </w:rPr>
        <w:t>10.1 政策风险</w:t>
      </w:r>
      <w:bookmarkEnd w:id="79"/>
    </w:p>
    <w:p>
      <w:pPr>
        <w:pStyle w:val="29"/>
        <w:spacing w:line="360" w:lineRule="auto"/>
        <w:ind w:firstLine="480" w:firstLineChars="200"/>
        <w:textAlignment w:val="baseline"/>
        <w:rPr>
          <w:rFonts w:ascii="Times New Roman" w:hAnsi="Times New Roman"/>
          <w:szCs w:val="22"/>
        </w:rPr>
      </w:pPr>
      <w:r>
        <w:rPr>
          <w:rFonts w:ascii="Times New Roman" w:hAnsi="Times New Roman"/>
          <w:szCs w:val="22"/>
        </w:rPr>
        <w:t>我国土壤环境形势日益严峻，经济社会发展带来的土壤环境保护压力持续加大。近年来，湖南省省委、省政府高度重视土壤环境保护工作，开展了《湘江流域重金属污染治理实施方案工作方案(2012~2015年)》等工作。省环保厅积极开展土壤污染状况调查，加大土壤污染防治投入力度，有效推进土壤污染治理与修复研究及试点工作，为全省土壤环境管理及综合治理工作奠定了基础。随着政府对土壤环境保护力度的加强，土壤治理项目将更有利于开展。</w:t>
      </w:r>
    </w:p>
    <w:p>
      <w:pPr>
        <w:pStyle w:val="29"/>
        <w:spacing w:line="360" w:lineRule="auto"/>
        <w:ind w:firstLine="480" w:firstLineChars="200"/>
        <w:textAlignment w:val="baseline"/>
        <w:rPr>
          <w:rFonts w:ascii="Times New Roman" w:hAnsi="Times New Roman"/>
          <w:szCs w:val="22"/>
        </w:rPr>
      </w:pPr>
      <w:r>
        <w:rPr>
          <w:rFonts w:ascii="Times New Roman" w:hAnsi="Times New Roman"/>
          <w:szCs w:val="22"/>
        </w:rPr>
        <w:t>但是，土壤污染防治涉及环保、发改、科技、工信、财政、国土、住建、农业等部门，但目前仍未建立部门协调工作机制。大多数地方规划部门在编制城乡规划时，尚未将地块土壤环境质量作为规划用途的重要考量因素；建设部门发放选址意见书、国土部门用地预审环节，尚未充分考虑用地的土壤环境状况。各级地方政府对本辖区土壤环境质量负责、依法公开环境信息等职责落实不到位。很多重污染企业尚未采取有效措施保护用地土壤环境，没有切实履行公开环境信息的义务。土壤污染防治工作的公众参与机制不健全，很多公众不知道如何参与，对污染土壤的环境违法行为难以发挥有效监督作用。</w:t>
      </w:r>
    </w:p>
    <w:p>
      <w:pPr>
        <w:pStyle w:val="29"/>
        <w:spacing w:line="360" w:lineRule="auto"/>
        <w:ind w:firstLine="480" w:firstLineChars="200"/>
        <w:textAlignment w:val="baseline"/>
        <w:rPr>
          <w:rFonts w:ascii="Times New Roman" w:hAnsi="Times New Roman"/>
          <w:sz w:val="28"/>
          <w:szCs w:val="28"/>
        </w:rPr>
      </w:pPr>
      <w:r>
        <w:rPr>
          <w:rFonts w:ascii="Times New Roman" w:hAnsi="Times New Roman"/>
          <w:szCs w:val="22"/>
        </w:rPr>
        <w:t>综上可知，本项目得到政府支持的概率非常高，但仍面临政府各部门间配合不足的政策风险。</w:t>
      </w:r>
    </w:p>
    <w:p>
      <w:pPr>
        <w:pStyle w:val="3"/>
        <w:ind w:right="480"/>
        <w:rPr>
          <w:rFonts w:ascii="Times New Roman" w:hAnsi="Times New Roman" w:cs="Times New Roman" w:eastAsiaTheme="minorEastAsia"/>
          <w:b w:val="0"/>
          <w:color w:val="000000" w:themeColor="text1"/>
        </w:rPr>
      </w:pPr>
      <w:bookmarkStart w:id="80" w:name="_Toc482661603"/>
      <w:r>
        <w:rPr>
          <w:rFonts w:ascii="Times New Roman" w:hAnsi="Times New Roman" w:cs="Times New Roman" w:eastAsiaTheme="minorEastAsia"/>
          <w:b w:val="0"/>
          <w:color w:val="000000" w:themeColor="text1"/>
        </w:rPr>
        <w:t>10.2 技术风险</w:t>
      </w:r>
      <w:bookmarkEnd w:id="80"/>
    </w:p>
    <w:p>
      <w:pPr>
        <w:ind w:firstLine="480" w:firstLineChars="200"/>
        <w:rPr>
          <w:rFonts w:ascii="Times New Roman" w:hAnsi="Times New Roman" w:cs="Times New Roman"/>
        </w:rPr>
      </w:pPr>
      <w:r>
        <w:rPr>
          <w:rFonts w:ascii="Times New Roman" w:hAnsi="Times New Roman" w:cs="Times New Roman"/>
        </w:rPr>
        <w:t>土壤污染往往比较隐蔽，需要通过土壤样品分析、农产品检测，甚至人畜健康的影响研究才能确定，被形象地称作看不见的污染。土壤污染从产生到发生危害通常时间较长，具有滞后性。另外，土壤污染具有扩散慢和易于累积的特点。与大气、水污染相比，污染物在土壤中更难迁移、扩散和稀释。因此，各类污染物容易在土壤中不断累积，会通过作物吸收、食物链、皮肤接触和呼吸等途径，产生农产品超标、人体健康损害等危害特征。因此，本项目的实施将存在较大的技术风险，主要表现为：</w:t>
      </w:r>
    </w:p>
    <w:p>
      <w:pPr>
        <w:ind w:firstLine="480" w:firstLineChars="200"/>
        <w:rPr>
          <w:rFonts w:ascii="Times New Roman" w:hAnsi="Times New Roman" w:cs="Times New Roman"/>
        </w:rPr>
      </w:pPr>
      <w:r>
        <w:rPr>
          <w:rFonts w:ascii="Times New Roman" w:hAnsi="Times New Roman" w:cs="Times New Roman"/>
        </w:rPr>
        <w:t>（1）污染物的不确定性</w:t>
      </w:r>
    </w:p>
    <w:p>
      <w:pPr>
        <w:ind w:firstLine="480" w:firstLineChars="200"/>
        <w:rPr>
          <w:rFonts w:ascii="Times New Roman" w:hAnsi="Times New Roman" w:cs="Times New Roman"/>
        </w:rPr>
      </w:pPr>
      <w:r>
        <w:rPr>
          <w:rFonts w:ascii="Times New Roman" w:hAnsi="Times New Roman" w:cs="Times New Roman"/>
        </w:rPr>
        <w:t>本项目场地的农药生产时间长达35年，生产的农药产品也不断的变化。虽然污染场地经过详细的调查，但仍存在污染物种类不确定、污染物浓度不确定等风险，给项目的治理带来的较大的困扰。</w:t>
      </w:r>
    </w:p>
    <w:p>
      <w:pPr>
        <w:ind w:firstLine="480" w:firstLineChars="200"/>
        <w:rPr>
          <w:rFonts w:ascii="Times New Roman" w:hAnsi="Times New Roman" w:cs="Times New Roman"/>
        </w:rPr>
      </w:pPr>
      <w:r>
        <w:rPr>
          <w:rFonts w:ascii="Times New Roman" w:hAnsi="Times New Roman" w:cs="Times New Roman"/>
        </w:rPr>
        <w:t>（2）污染区域的不确定性</w:t>
      </w:r>
    </w:p>
    <w:p>
      <w:pPr>
        <w:ind w:firstLine="480" w:firstLineChars="200"/>
        <w:rPr>
          <w:rFonts w:ascii="Times New Roman" w:hAnsi="Times New Roman" w:cs="Times New Roman"/>
        </w:rPr>
      </w:pPr>
      <w:r>
        <w:rPr>
          <w:rFonts w:ascii="Times New Roman" w:hAnsi="Times New Roman" w:cs="Times New Roman"/>
        </w:rPr>
        <w:t>在相当长时间里，原农药厂因粗放的经营模式和环保观念的落后，污染物的治理一直未得到重视，在生产过程中，由于设备管道的质量问题，有跑冒滴漏(跑气，冒水，滴液，漏液)的现象。因此本项目的污染区域仍不确定。本项目的治理范围仅限于原农药厂的厂界内，厂界外东、南、西侧均已为城市道路，北侧已成为益阳市城市棚户区安置区，因此无法对厂界附近的地块进行完整的污染调查。以上的区域仍存在被农药厂污染的可能性。</w:t>
      </w:r>
    </w:p>
    <w:p>
      <w:pPr>
        <w:ind w:firstLine="480" w:firstLineChars="200"/>
        <w:rPr>
          <w:rFonts w:ascii="Times New Roman" w:hAnsi="Times New Roman" w:cs="Times New Roman"/>
        </w:rPr>
      </w:pPr>
      <w:r>
        <w:rPr>
          <w:rFonts w:ascii="Times New Roman" w:hAnsi="Times New Roman" w:cs="Times New Roman"/>
        </w:rPr>
        <w:t>（3）项目实施过程中的不确定性</w:t>
      </w:r>
    </w:p>
    <w:p>
      <w:pPr>
        <w:ind w:firstLine="480"/>
        <w:rPr>
          <w:rFonts w:ascii="Times New Roman" w:hAnsi="Times New Roman" w:cs="Times New Roman"/>
        </w:rPr>
      </w:pPr>
      <w:r>
        <w:rPr>
          <w:rFonts w:ascii="Times New Roman" w:hAnsi="Times New Roman" w:cs="Times New Roman"/>
        </w:rPr>
        <w:t>结合国内已有的农药厂污染地块的治理情况，在实施过程中，将不可避免的遇到许多技术问题。如治理过程中，大体量的翻土修复作业所挥发的气体可能会让周边的居民无法忍受而引起市民的投诉等。</w:t>
      </w:r>
    </w:p>
    <w:p>
      <w:pPr>
        <w:pStyle w:val="3"/>
        <w:ind w:right="480"/>
        <w:rPr>
          <w:rFonts w:ascii="Times New Roman" w:hAnsi="Times New Roman" w:cs="Times New Roman" w:eastAsiaTheme="minorEastAsia"/>
          <w:b w:val="0"/>
          <w:color w:val="000000" w:themeColor="text1"/>
        </w:rPr>
      </w:pPr>
      <w:bookmarkStart w:id="81" w:name="_Toc482661604"/>
      <w:r>
        <w:rPr>
          <w:rFonts w:ascii="Times New Roman" w:hAnsi="Times New Roman" w:cs="Times New Roman" w:eastAsiaTheme="minorEastAsia"/>
          <w:b w:val="0"/>
          <w:color w:val="000000" w:themeColor="text1"/>
        </w:rPr>
        <w:t>10.3 资金风险</w:t>
      </w:r>
      <w:bookmarkEnd w:id="81"/>
    </w:p>
    <w:p>
      <w:pPr>
        <w:pStyle w:val="18"/>
        <w:spacing w:after="0" w:line="360" w:lineRule="auto"/>
        <w:ind w:left="0" w:leftChars="0" w:firstLine="480" w:firstLineChars="200"/>
        <w:rPr>
          <w:rFonts w:ascii="Times New Roman" w:hAnsi="Times New Roman" w:eastAsiaTheme="minorEastAsia"/>
          <w:kern w:val="0"/>
          <w:sz w:val="24"/>
        </w:rPr>
      </w:pPr>
      <w:r>
        <w:rPr>
          <w:rFonts w:ascii="Times New Roman" w:hAnsi="Times New Roman" w:eastAsiaTheme="minorEastAsia"/>
          <w:kern w:val="0"/>
          <w:sz w:val="24"/>
        </w:rPr>
        <w:t>项目实施资金由政府全额拨付，不存在风险。</w:t>
      </w:r>
    </w:p>
    <w:p>
      <w:pPr>
        <w:pStyle w:val="3"/>
        <w:ind w:right="480"/>
        <w:rPr>
          <w:rFonts w:ascii="Times New Roman" w:hAnsi="Times New Roman" w:cs="Times New Roman" w:eastAsiaTheme="minorEastAsia"/>
          <w:b w:val="0"/>
          <w:color w:val="000000" w:themeColor="text1"/>
        </w:rPr>
      </w:pPr>
      <w:bookmarkStart w:id="82" w:name="_Toc482661605"/>
      <w:r>
        <w:rPr>
          <w:rFonts w:ascii="Times New Roman" w:hAnsi="Times New Roman" w:cs="Times New Roman" w:eastAsiaTheme="minorEastAsia"/>
          <w:b w:val="0"/>
          <w:color w:val="000000" w:themeColor="text1"/>
        </w:rPr>
        <w:t>10.4 项目管理风险</w:t>
      </w:r>
      <w:bookmarkEnd w:id="82"/>
    </w:p>
    <w:p>
      <w:pPr>
        <w:ind w:firstLine="480" w:firstLineChars="200"/>
        <w:rPr>
          <w:rFonts w:ascii="Times New Roman" w:hAnsi="Times New Roman" w:cs="Times New Roman"/>
        </w:rPr>
        <w:sectPr>
          <w:pgSz w:w="11906" w:h="16838"/>
          <w:pgMar w:top="1440" w:right="1797" w:bottom="1440" w:left="1797" w:header="851" w:footer="992" w:gutter="0"/>
          <w:pgNumType w:fmt="decimal"/>
          <w:cols w:space="425" w:num="1"/>
          <w:docGrid w:linePitch="326" w:charSpace="0"/>
        </w:sectPr>
      </w:pPr>
      <w:r>
        <w:rPr>
          <w:rFonts w:ascii="Times New Roman" w:hAnsi="Times New Roman" w:cs="Times New Roman"/>
        </w:rPr>
        <w:t>本项目实施过程中，通过施工单位的自身质量控制、监理单位的现场监理、政府环保局的现场监查，可以有效避免项目实施过程中的管理风险。</w:t>
      </w:r>
    </w:p>
    <w:p>
      <w:pPr>
        <w:pStyle w:val="2"/>
        <w:rPr>
          <w:rFonts w:ascii="Times New Roman" w:hAnsi="Times New Roman" w:cs="Times New Roman" w:eastAsiaTheme="minorEastAsia"/>
          <w:color w:val="000000" w:themeColor="text1"/>
        </w:rPr>
      </w:pPr>
      <w:bookmarkStart w:id="83" w:name="_Toc482661606"/>
      <w:r>
        <w:rPr>
          <w:rFonts w:ascii="Times New Roman" w:hAnsi="Times New Roman" w:cs="Times New Roman" w:eastAsiaTheme="minorEastAsia"/>
          <w:color w:val="000000" w:themeColor="text1"/>
        </w:rPr>
        <w:t>11附件与附图</w:t>
      </w:r>
      <w:bookmarkEnd w:id="83"/>
    </w:p>
    <w:p>
      <w:pPr>
        <w:pStyle w:val="3"/>
        <w:ind w:right="480"/>
        <w:rPr>
          <w:rFonts w:ascii="Times New Roman" w:hAnsi="Times New Roman" w:cs="Times New Roman" w:eastAsiaTheme="minorEastAsia"/>
          <w:b w:val="0"/>
          <w:color w:val="000000" w:themeColor="text1"/>
        </w:rPr>
      </w:pPr>
      <w:bookmarkStart w:id="84" w:name="_Toc482661607"/>
      <w:r>
        <w:rPr>
          <w:rFonts w:ascii="Times New Roman" w:hAnsi="Times New Roman" w:cs="Times New Roman" w:eastAsiaTheme="minorEastAsia"/>
          <w:b w:val="0"/>
          <w:color w:val="000000" w:themeColor="text1"/>
        </w:rPr>
        <w:t>11.1附件</w:t>
      </w:r>
      <w:bookmarkEnd w:id="84"/>
    </w:p>
    <w:p>
      <w:pPr>
        <w:ind w:left="384" w:leftChars="160" w:firstLine="120" w:firstLineChars="50"/>
        <w:rPr>
          <w:rFonts w:ascii="Times New Roman" w:hAnsi="Times New Roman" w:cs="Times New Roman"/>
          <w:kern w:val="0"/>
        </w:rPr>
      </w:pPr>
      <w:r>
        <w:rPr>
          <w:rFonts w:ascii="Times New Roman" w:hAnsi="Times New Roman" w:cs="Times New Roman"/>
          <w:color w:val="000000" w:themeColor="text1"/>
        </w:rPr>
        <w:t xml:space="preserve">附件1  </w:t>
      </w:r>
      <w:r>
        <w:rPr>
          <w:rFonts w:ascii="Times New Roman" w:hAnsi="Times New Roman" w:cs="Times New Roman"/>
          <w:kern w:val="0"/>
        </w:rPr>
        <w:t>益阳市润慷宝化工有限公司（原益阳市农药厂）污染场地监测报告</w:t>
      </w:r>
    </w:p>
    <w:p>
      <w:pPr>
        <w:ind w:firstLine="504" w:firstLineChars="210"/>
        <w:rPr>
          <w:rFonts w:ascii="Times New Roman" w:hAnsi="Times New Roman" w:cs="Times New Roman"/>
          <w:color w:val="000000" w:themeColor="text1"/>
        </w:rPr>
      </w:pPr>
      <w:r>
        <w:rPr>
          <w:rFonts w:ascii="Times New Roman" w:hAnsi="Times New Roman" w:cs="Times New Roman"/>
          <w:color w:val="000000" w:themeColor="text1"/>
        </w:rPr>
        <w:t xml:space="preserve">附件2  </w:t>
      </w:r>
      <w:r>
        <w:rPr>
          <w:rFonts w:ascii="Times New Roman" w:hAnsi="Times New Roman" w:cs="Times New Roman"/>
          <w:kern w:val="0"/>
        </w:rPr>
        <w:t>益阳市润慷宝化工有限公司（原益阳市农药厂）污染场地</w:t>
      </w:r>
      <w:r>
        <w:rPr>
          <w:rFonts w:ascii="Times New Roman" w:hAnsi="Times New Roman" w:cs="Times New Roman"/>
          <w:color w:val="000000" w:themeColor="text1"/>
        </w:rPr>
        <w:t>地质勘查报告</w:t>
      </w:r>
    </w:p>
    <w:p>
      <w:pPr>
        <w:pStyle w:val="3"/>
        <w:ind w:right="480"/>
        <w:rPr>
          <w:rFonts w:ascii="Times New Roman" w:hAnsi="Times New Roman" w:cs="Times New Roman" w:eastAsiaTheme="minorEastAsia"/>
          <w:b w:val="0"/>
          <w:color w:val="000000" w:themeColor="text1"/>
        </w:rPr>
      </w:pPr>
      <w:bookmarkStart w:id="85" w:name="_Toc482661608"/>
      <w:r>
        <w:rPr>
          <w:rFonts w:ascii="Times New Roman" w:hAnsi="Times New Roman" w:cs="Times New Roman" w:eastAsiaTheme="minorEastAsia"/>
          <w:b w:val="0"/>
          <w:color w:val="000000" w:themeColor="text1"/>
        </w:rPr>
        <w:t>11.2附图</w:t>
      </w:r>
      <w:bookmarkEnd w:id="85"/>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附图1  地理位置图</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 xml:space="preserve">附图2  </w:t>
      </w:r>
      <w:r>
        <w:rPr>
          <w:rFonts w:hint="eastAsia" w:ascii="Times New Roman" w:hAnsi="Times New Roman" w:cs="Times New Roman"/>
          <w:color w:val="000000" w:themeColor="text1"/>
        </w:rPr>
        <w:t>原农药厂厂区平面布置图</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 xml:space="preserve">附图3  </w:t>
      </w:r>
      <w:r>
        <w:rPr>
          <w:rFonts w:hint="eastAsia" w:ascii="Times New Roman" w:hAnsi="Times New Roman" w:cs="Times New Roman"/>
          <w:color w:val="000000" w:themeColor="text1"/>
        </w:rPr>
        <w:t>污染场地周边敏感目标分布图</w:t>
      </w:r>
    </w:p>
    <w:p>
      <w:pPr>
        <w:ind w:firstLine="480" w:firstLineChars="200"/>
        <w:rPr>
          <w:rFonts w:ascii="Times New Roman" w:hAnsi="Times New Roman" w:cs="Times New Roman"/>
          <w:color w:val="000000" w:themeColor="text1"/>
        </w:rPr>
      </w:pPr>
      <w:r>
        <w:rPr>
          <w:rFonts w:ascii="Times New Roman" w:hAnsi="Times New Roman" w:cs="Times New Roman"/>
          <w:color w:val="000000" w:themeColor="text1"/>
        </w:rPr>
        <w:t>附图4  现场照片</w:t>
      </w:r>
    </w:p>
    <w:p>
      <w:pPr>
        <w:ind w:firstLine="480" w:firstLineChars="200"/>
        <w:rPr>
          <w:rFonts w:ascii="Times New Roman" w:hAnsi="Times New Roman" w:cs="Times New Roman"/>
          <w:color w:val="000000" w:themeColor="text1"/>
        </w:rPr>
      </w:pPr>
      <w:r>
        <w:rPr>
          <w:rFonts w:hint="eastAsia" w:ascii="Times New Roman" w:hAnsi="Times New Roman" w:cs="Times New Roman"/>
          <w:color w:val="000000" w:themeColor="text1"/>
        </w:rPr>
        <w:t>附图5  益阳市中心城区土地利用规划图</w:t>
      </w:r>
    </w:p>
    <w:p>
      <w:pPr>
        <w:ind w:firstLine="480" w:firstLineChars="200"/>
        <w:rPr>
          <w:rFonts w:ascii="Times New Roman" w:hAnsi="Times New Roman" w:cs="Times New Roman"/>
          <w:color w:val="000000" w:themeColor="text1"/>
        </w:rPr>
      </w:pPr>
      <w:r>
        <w:rPr>
          <w:rFonts w:hint="eastAsia" w:ascii="Times New Roman" w:hAnsi="Times New Roman" w:cs="Times New Roman"/>
          <w:color w:val="000000" w:themeColor="text1"/>
        </w:rPr>
        <w:t>附图6  90年代前原农药厂的主排污管线</w:t>
      </w:r>
    </w:p>
    <w:p>
      <w:pPr>
        <w:ind w:firstLine="480" w:firstLineChars="200"/>
        <w:rPr>
          <w:rFonts w:ascii="Times New Roman" w:hAnsi="Times New Roman" w:cs="Times New Roman"/>
          <w:color w:val="000000" w:themeColor="text1"/>
        </w:rPr>
      </w:pPr>
      <w:r>
        <w:rPr>
          <w:rFonts w:hint="eastAsia" w:ascii="Times New Roman" w:hAnsi="Times New Roman" w:cs="Times New Roman"/>
          <w:color w:val="000000" w:themeColor="text1"/>
        </w:rPr>
        <w:t>附图7  益阳润慷宝化工有限公司废水主排污管线</w:t>
      </w:r>
    </w:p>
    <w:p>
      <w:pPr>
        <w:ind w:firstLine="480" w:firstLineChars="200"/>
        <w:rPr>
          <w:rFonts w:ascii="Times New Roman" w:hAnsi="Times New Roman" w:cs="Times New Roman"/>
          <w:color w:val="000000" w:themeColor="text1"/>
        </w:rPr>
      </w:pPr>
      <w:r>
        <w:rPr>
          <w:rFonts w:hint="eastAsia" w:ascii="Times New Roman" w:hAnsi="Times New Roman" w:cs="Times New Roman"/>
          <w:color w:val="000000" w:themeColor="text1"/>
        </w:rPr>
        <w:t xml:space="preserve">附图8  </w:t>
      </w:r>
      <w:r>
        <w:rPr>
          <w:rFonts w:ascii="Times New Roman" w:hAnsi="Times New Roman" w:cs="Times New Roman"/>
          <w:color w:val="000000" w:themeColor="text1"/>
        </w:rPr>
        <w:t>土壤采样点布设示意图</w:t>
      </w:r>
    </w:p>
    <w:p>
      <w:pPr>
        <w:ind w:firstLine="480" w:firstLineChars="200"/>
        <w:rPr>
          <w:rFonts w:ascii="Times New Roman" w:hAnsi="Times New Roman" w:cs="Times New Roman"/>
          <w:color w:val="000000" w:themeColor="text1"/>
        </w:rPr>
      </w:pPr>
      <w:r>
        <w:rPr>
          <w:rFonts w:hint="eastAsia" w:ascii="Times New Roman" w:hAnsi="Times New Roman" w:cs="Times New Roman"/>
          <w:color w:val="000000" w:themeColor="text1"/>
        </w:rPr>
        <w:t xml:space="preserve">附图9  </w:t>
      </w:r>
      <w:r>
        <w:rPr>
          <w:rFonts w:ascii="Times New Roman" w:hAnsi="Times New Roman" w:cs="Times New Roman"/>
          <w:color w:val="000000" w:themeColor="text1"/>
        </w:rPr>
        <w:t>地下水、地表水监测点布设示意图</w:t>
      </w:r>
    </w:p>
    <w:p>
      <w:pPr>
        <w:ind w:firstLine="480" w:firstLineChars="200"/>
        <w:rPr>
          <w:rFonts w:ascii="Times New Roman" w:hAnsi="Times New Roman" w:cs="Times New Roman"/>
          <w:color w:val="000000" w:themeColor="text1"/>
        </w:rPr>
      </w:pPr>
      <w:r>
        <w:rPr>
          <w:rFonts w:hint="eastAsia" w:ascii="Times New Roman" w:hAnsi="Times New Roman" w:cs="Times New Roman"/>
          <w:color w:val="000000" w:themeColor="text1"/>
        </w:rPr>
        <w:t xml:space="preserve">附图10 </w:t>
      </w:r>
      <w:r>
        <w:rPr>
          <w:rFonts w:ascii="Times New Roman" w:hAnsi="Times New Roman" w:cs="Times New Roman"/>
          <w:color w:val="000000" w:themeColor="text1"/>
        </w:rPr>
        <w:t>底泥</w:t>
      </w:r>
      <w:r>
        <w:rPr>
          <w:rFonts w:hint="eastAsia" w:ascii="Times New Roman" w:hAnsi="Times New Roman" w:cs="Times New Roman"/>
          <w:color w:val="000000" w:themeColor="text1"/>
        </w:rPr>
        <w:t>及周边居民点土壤</w:t>
      </w:r>
      <w:r>
        <w:rPr>
          <w:rFonts w:ascii="Times New Roman" w:hAnsi="Times New Roman" w:cs="Times New Roman"/>
          <w:color w:val="000000" w:themeColor="text1"/>
        </w:rPr>
        <w:t>监测点布设示意图</w:t>
      </w:r>
    </w:p>
    <w:p>
      <w:pPr>
        <w:ind w:firstLine="480" w:firstLineChars="200"/>
        <w:rPr>
          <w:rFonts w:ascii="Times New Roman" w:hAnsi="Times New Roman" w:cs="Times New Roman"/>
          <w:color w:val="000000" w:themeColor="text1"/>
        </w:rPr>
      </w:pPr>
      <w:r>
        <w:rPr>
          <w:rFonts w:hint="eastAsia" w:ascii="Times New Roman" w:hAnsi="Times New Roman" w:cs="Times New Roman"/>
          <w:color w:val="000000" w:themeColor="text1"/>
        </w:rPr>
        <w:t>附图11 地勘现场取样图</w:t>
      </w:r>
    </w:p>
    <w:p>
      <w:pPr>
        <w:ind w:firstLine="480" w:firstLineChars="200"/>
        <w:rPr>
          <w:rFonts w:ascii="Times New Roman" w:hAnsi="Times New Roman" w:cs="Times New Roman"/>
          <w:color w:val="000000" w:themeColor="text1"/>
        </w:rPr>
      </w:pPr>
    </w:p>
    <w:sectPr>
      <w:pgSz w:w="11906" w:h="16838"/>
      <w:pgMar w:top="1440" w:right="1797" w:bottom="1440" w:left="1797" w:header="851" w:footer="992" w:gutter="0"/>
      <w:pgNumType w:fmt="decimal"/>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monospace">
    <w:altName w:val="AMGD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w:pict>
        <v:shape id="_x0000_s2052" o:spid="_x0000_s205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文本框 1" o:spid="_x0000_s2050"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">
          <v:path arrowok="t"/>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文本框 2"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">
          <v:path arrowok="t"/>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1"/>
      <w:numFmt w:val="decimal"/>
      <w:suff w:val="nothing"/>
      <w:lvlText w:val="%1、"/>
      <w:lvlJc w:val="left"/>
    </w:lvl>
  </w:abstractNum>
  <w:abstractNum w:abstractNumId="1">
    <w:nsid w:val="58F617D2"/>
    <w:multiLevelType w:val="singleLevel"/>
    <w:tmpl w:val="58F617D2"/>
    <w:lvl w:ilvl="0" w:tentative="0">
      <w:start w:val="1"/>
      <w:numFmt w:val="decimal"/>
      <w:suff w:val="nothing"/>
      <w:lvlText w:val="（%1）"/>
      <w:lvlJc w:val="left"/>
    </w:lvl>
  </w:abstractNum>
  <w:abstractNum w:abstractNumId="2">
    <w:nsid w:val="58F61BC1"/>
    <w:multiLevelType w:val="singleLevel"/>
    <w:tmpl w:val="58F61BC1"/>
    <w:lvl w:ilvl="0" w:tentative="0">
      <w:start w:val="1"/>
      <w:numFmt w:val="decimal"/>
      <w:suff w:val="nothing"/>
      <w:lvlText w:val="（%1）"/>
      <w:lvlJc w:val="left"/>
    </w:lvl>
  </w:abstractNum>
  <w:abstractNum w:abstractNumId="3">
    <w:nsid w:val="58F652B2"/>
    <w:multiLevelType w:val="singleLevel"/>
    <w:tmpl w:val="58F652B2"/>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56B97"/>
    <w:rsid w:val="00000E17"/>
    <w:rsid w:val="00001A50"/>
    <w:rsid w:val="00002E85"/>
    <w:rsid w:val="00004169"/>
    <w:rsid w:val="00007663"/>
    <w:rsid w:val="00013859"/>
    <w:rsid w:val="000168A2"/>
    <w:rsid w:val="0002293F"/>
    <w:rsid w:val="00022EBF"/>
    <w:rsid w:val="00025F9B"/>
    <w:rsid w:val="00027133"/>
    <w:rsid w:val="0003024A"/>
    <w:rsid w:val="0003419B"/>
    <w:rsid w:val="0004336E"/>
    <w:rsid w:val="000433DB"/>
    <w:rsid w:val="0004353F"/>
    <w:rsid w:val="00044DD4"/>
    <w:rsid w:val="0005004C"/>
    <w:rsid w:val="000519BE"/>
    <w:rsid w:val="0005257F"/>
    <w:rsid w:val="000536D6"/>
    <w:rsid w:val="0005457F"/>
    <w:rsid w:val="00056C09"/>
    <w:rsid w:val="00061F94"/>
    <w:rsid w:val="00065FC7"/>
    <w:rsid w:val="00066FEB"/>
    <w:rsid w:val="00077669"/>
    <w:rsid w:val="000815BE"/>
    <w:rsid w:val="00083BD7"/>
    <w:rsid w:val="00084932"/>
    <w:rsid w:val="00085425"/>
    <w:rsid w:val="00085456"/>
    <w:rsid w:val="000900D5"/>
    <w:rsid w:val="00093742"/>
    <w:rsid w:val="0009481F"/>
    <w:rsid w:val="000A148B"/>
    <w:rsid w:val="000A591E"/>
    <w:rsid w:val="000A6751"/>
    <w:rsid w:val="000B39F1"/>
    <w:rsid w:val="000B5191"/>
    <w:rsid w:val="000B65EC"/>
    <w:rsid w:val="000B7FE2"/>
    <w:rsid w:val="000C489C"/>
    <w:rsid w:val="000D4E75"/>
    <w:rsid w:val="000E24B3"/>
    <w:rsid w:val="000E2B05"/>
    <w:rsid w:val="000E2DF8"/>
    <w:rsid w:val="000E4ACF"/>
    <w:rsid w:val="000E4D4C"/>
    <w:rsid w:val="000E58E9"/>
    <w:rsid w:val="000F029D"/>
    <w:rsid w:val="000F251D"/>
    <w:rsid w:val="000F3C33"/>
    <w:rsid w:val="00100BFC"/>
    <w:rsid w:val="00101078"/>
    <w:rsid w:val="001048E4"/>
    <w:rsid w:val="00111291"/>
    <w:rsid w:val="001118CB"/>
    <w:rsid w:val="00111A74"/>
    <w:rsid w:val="00112FC0"/>
    <w:rsid w:val="001133D1"/>
    <w:rsid w:val="00114D9D"/>
    <w:rsid w:val="001176F2"/>
    <w:rsid w:val="00120F00"/>
    <w:rsid w:val="00124027"/>
    <w:rsid w:val="00133E92"/>
    <w:rsid w:val="001342AF"/>
    <w:rsid w:val="00144792"/>
    <w:rsid w:val="00153A05"/>
    <w:rsid w:val="00154813"/>
    <w:rsid w:val="00160FB4"/>
    <w:rsid w:val="00172481"/>
    <w:rsid w:val="00173DE2"/>
    <w:rsid w:val="001760A7"/>
    <w:rsid w:val="00181618"/>
    <w:rsid w:val="00185D7A"/>
    <w:rsid w:val="001861DE"/>
    <w:rsid w:val="00187550"/>
    <w:rsid w:val="00190B81"/>
    <w:rsid w:val="001919CF"/>
    <w:rsid w:val="00191D75"/>
    <w:rsid w:val="001925D5"/>
    <w:rsid w:val="00194DB6"/>
    <w:rsid w:val="001956CB"/>
    <w:rsid w:val="00195D34"/>
    <w:rsid w:val="001A511D"/>
    <w:rsid w:val="001B03E7"/>
    <w:rsid w:val="001B0891"/>
    <w:rsid w:val="001B08D0"/>
    <w:rsid w:val="001B1D14"/>
    <w:rsid w:val="001B4B5C"/>
    <w:rsid w:val="001B6621"/>
    <w:rsid w:val="001C376C"/>
    <w:rsid w:val="001C522A"/>
    <w:rsid w:val="001C57BB"/>
    <w:rsid w:val="001C624A"/>
    <w:rsid w:val="001C6C72"/>
    <w:rsid w:val="001D00A8"/>
    <w:rsid w:val="001D0734"/>
    <w:rsid w:val="001D2303"/>
    <w:rsid w:val="001D25FB"/>
    <w:rsid w:val="001D3C08"/>
    <w:rsid w:val="001E0EE2"/>
    <w:rsid w:val="001E5BD7"/>
    <w:rsid w:val="001E64EE"/>
    <w:rsid w:val="001F2762"/>
    <w:rsid w:val="001F2D01"/>
    <w:rsid w:val="001F439D"/>
    <w:rsid w:val="001F634A"/>
    <w:rsid w:val="001F6817"/>
    <w:rsid w:val="001F6987"/>
    <w:rsid w:val="0020107C"/>
    <w:rsid w:val="00203EEC"/>
    <w:rsid w:val="00205E8B"/>
    <w:rsid w:val="002068BC"/>
    <w:rsid w:val="002156F8"/>
    <w:rsid w:val="0022527D"/>
    <w:rsid w:val="00226490"/>
    <w:rsid w:val="00230773"/>
    <w:rsid w:val="00240F56"/>
    <w:rsid w:val="0024208B"/>
    <w:rsid w:val="00243212"/>
    <w:rsid w:val="00245ED7"/>
    <w:rsid w:val="00246B70"/>
    <w:rsid w:val="00247B41"/>
    <w:rsid w:val="00251086"/>
    <w:rsid w:val="002538E2"/>
    <w:rsid w:val="00254AA2"/>
    <w:rsid w:val="00255D30"/>
    <w:rsid w:val="00257449"/>
    <w:rsid w:val="00257904"/>
    <w:rsid w:val="00265375"/>
    <w:rsid w:val="002659CB"/>
    <w:rsid w:val="002661AC"/>
    <w:rsid w:val="00266CF1"/>
    <w:rsid w:val="0027012D"/>
    <w:rsid w:val="0027119A"/>
    <w:rsid w:val="00271BDE"/>
    <w:rsid w:val="002726EE"/>
    <w:rsid w:val="002735D7"/>
    <w:rsid w:val="002743A5"/>
    <w:rsid w:val="00277B2E"/>
    <w:rsid w:val="00284BE3"/>
    <w:rsid w:val="00287E46"/>
    <w:rsid w:val="00294B32"/>
    <w:rsid w:val="002A4A68"/>
    <w:rsid w:val="002B0938"/>
    <w:rsid w:val="002B52AA"/>
    <w:rsid w:val="002B6688"/>
    <w:rsid w:val="002C10E4"/>
    <w:rsid w:val="002C12D5"/>
    <w:rsid w:val="002D0CE6"/>
    <w:rsid w:val="002D112D"/>
    <w:rsid w:val="002D4665"/>
    <w:rsid w:val="002E207D"/>
    <w:rsid w:val="002F3FC6"/>
    <w:rsid w:val="002F4075"/>
    <w:rsid w:val="002F6337"/>
    <w:rsid w:val="00304214"/>
    <w:rsid w:val="00305C51"/>
    <w:rsid w:val="00307D34"/>
    <w:rsid w:val="00310277"/>
    <w:rsid w:val="00310DF5"/>
    <w:rsid w:val="003124CD"/>
    <w:rsid w:val="00317513"/>
    <w:rsid w:val="003215C2"/>
    <w:rsid w:val="0032264A"/>
    <w:rsid w:val="00324C3C"/>
    <w:rsid w:val="00327049"/>
    <w:rsid w:val="00327D00"/>
    <w:rsid w:val="00330384"/>
    <w:rsid w:val="0033148D"/>
    <w:rsid w:val="003327D4"/>
    <w:rsid w:val="00333A78"/>
    <w:rsid w:val="0033551F"/>
    <w:rsid w:val="00336F9C"/>
    <w:rsid w:val="003404F2"/>
    <w:rsid w:val="00340BB5"/>
    <w:rsid w:val="00343CC3"/>
    <w:rsid w:val="003446E8"/>
    <w:rsid w:val="00344CC0"/>
    <w:rsid w:val="00347905"/>
    <w:rsid w:val="00352964"/>
    <w:rsid w:val="00352E82"/>
    <w:rsid w:val="00353BBC"/>
    <w:rsid w:val="00355D96"/>
    <w:rsid w:val="00357E27"/>
    <w:rsid w:val="0036745B"/>
    <w:rsid w:val="003677B6"/>
    <w:rsid w:val="00375AFA"/>
    <w:rsid w:val="0037634E"/>
    <w:rsid w:val="00377ADD"/>
    <w:rsid w:val="0038282B"/>
    <w:rsid w:val="0038577B"/>
    <w:rsid w:val="00392E4B"/>
    <w:rsid w:val="0039402B"/>
    <w:rsid w:val="00397B0C"/>
    <w:rsid w:val="003A1017"/>
    <w:rsid w:val="003A37B8"/>
    <w:rsid w:val="003A3FE2"/>
    <w:rsid w:val="003A5413"/>
    <w:rsid w:val="003A6072"/>
    <w:rsid w:val="003A76FA"/>
    <w:rsid w:val="003B3448"/>
    <w:rsid w:val="003C0225"/>
    <w:rsid w:val="003C022F"/>
    <w:rsid w:val="003C2D6D"/>
    <w:rsid w:val="003C40F2"/>
    <w:rsid w:val="003C62AD"/>
    <w:rsid w:val="003C6A4A"/>
    <w:rsid w:val="003D0B99"/>
    <w:rsid w:val="003D1C93"/>
    <w:rsid w:val="003D2084"/>
    <w:rsid w:val="003D3261"/>
    <w:rsid w:val="003D4FA7"/>
    <w:rsid w:val="003D6E2F"/>
    <w:rsid w:val="003E101A"/>
    <w:rsid w:val="003E14AB"/>
    <w:rsid w:val="003E1DB4"/>
    <w:rsid w:val="003E2EF3"/>
    <w:rsid w:val="003F0865"/>
    <w:rsid w:val="003F2683"/>
    <w:rsid w:val="003F276C"/>
    <w:rsid w:val="003F71BF"/>
    <w:rsid w:val="00400A92"/>
    <w:rsid w:val="00405458"/>
    <w:rsid w:val="00407215"/>
    <w:rsid w:val="0042287A"/>
    <w:rsid w:val="00424628"/>
    <w:rsid w:val="00430153"/>
    <w:rsid w:val="00430CB2"/>
    <w:rsid w:val="00442F2F"/>
    <w:rsid w:val="004449B6"/>
    <w:rsid w:val="00452CFE"/>
    <w:rsid w:val="00452DC2"/>
    <w:rsid w:val="00455CC5"/>
    <w:rsid w:val="00456B76"/>
    <w:rsid w:val="00457033"/>
    <w:rsid w:val="00460232"/>
    <w:rsid w:val="00461E82"/>
    <w:rsid w:val="00470C66"/>
    <w:rsid w:val="00480B98"/>
    <w:rsid w:val="0048420E"/>
    <w:rsid w:val="00493249"/>
    <w:rsid w:val="004966FF"/>
    <w:rsid w:val="004A1E11"/>
    <w:rsid w:val="004A27B2"/>
    <w:rsid w:val="004A5F7F"/>
    <w:rsid w:val="004B1C52"/>
    <w:rsid w:val="004B3F6C"/>
    <w:rsid w:val="004B712B"/>
    <w:rsid w:val="004C1C3B"/>
    <w:rsid w:val="004C573C"/>
    <w:rsid w:val="004C6A9F"/>
    <w:rsid w:val="004C6CA9"/>
    <w:rsid w:val="004C7D56"/>
    <w:rsid w:val="004D1F6F"/>
    <w:rsid w:val="004D6626"/>
    <w:rsid w:val="004D7A2E"/>
    <w:rsid w:val="004E2878"/>
    <w:rsid w:val="004E60CE"/>
    <w:rsid w:val="004F0EEF"/>
    <w:rsid w:val="004F51F2"/>
    <w:rsid w:val="004F7080"/>
    <w:rsid w:val="0050242C"/>
    <w:rsid w:val="00504F0C"/>
    <w:rsid w:val="00506693"/>
    <w:rsid w:val="00520166"/>
    <w:rsid w:val="00526DD8"/>
    <w:rsid w:val="00531631"/>
    <w:rsid w:val="00531A8A"/>
    <w:rsid w:val="005451C7"/>
    <w:rsid w:val="00551462"/>
    <w:rsid w:val="0055599F"/>
    <w:rsid w:val="00560215"/>
    <w:rsid w:val="00562A7C"/>
    <w:rsid w:val="0056505D"/>
    <w:rsid w:val="005660C4"/>
    <w:rsid w:val="0056628E"/>
    <w:rsid w:val="00576690"/>
    <w:rsid w:val="005779D6"/>
    <w:rsid w:val="00582114"/>
    <w:rsid w:val="0059091E"/>
    <w:rsid w:val="005936A9"/>
    <w:rsid w:val="00597FAF"/>
    <w:rsid w:val="005A06BE"/>
    <w:rsid w:val="005A2603"/>
    <w:rsid w:val="005A545E"/>
    <w:rsid w:val="005B2EA2"/>
    <w:rsid w:val="005B33FD"/>
    <w:rsid w:val="005B654F"/>
    <w:rsid w:val="005B75B7"/>
    <w:rsid w:val="005C1D85"/>
    <w:rsid w:val="005C2635"/>
    <w:rsid w:val="005C71CD"/>
    <w:rsid w:val="005D0CCA"/>
    <w:rsid w:val="005D1A4E"/>
    <w:rsid w:val="005D33CC"/>
    <w:rsid w:val="005D4851"/>
    <w:rsid w:val="005D4CBC"/>
    <w:rsid w:val="005D79B3"/>
    <w:rsid w:val="005E6348"/>
    <w:rsid w:val="005E7439"/>
    <w:rsid w:val="005E7C9A"/>
    <w:rsid w:val="005F0714"/>
    <w:rsid w:val="005F33DD"/>
    <w:rsid w:val="005F4B43"/>
    <w:rsid w:val="005F56B4"/>
    <w:rsid w:val="005F69C8"/>
    <w:rsid w:val="00603D28"/>
    <w:rsid w:val="00605530"/>
    <w:rsid w:val="00605C6A"/>
    <w:rsid w:val="006104B8"/>
    <w:rsid w:val="00612980"/>
    <w:rsid w:val="006134B6"/>
    <w:rsid w:val="00616BB0"/>
    <w:rsid w:val="0062041F"/>
    <w:rsid w:val="00621244"/>
    <w:rsid w:val="0062140D"/>
    <w:rsid w:val="00622FCD"/>
    <w:rsid w:val="00624871"/>
    <w:rsid w:val="00624ECF"/>
    <w:rsid w:val="00633DBC"/>
    <w:rsid w:val="00636B08"/>
    <w:rsid w:val="00637710"/>
    <w:rsid w:val="006418B6"/>
    <w:rsid w:val="00665FD6"/>
    <w:rsid w:val="006821FE"/>
    <w:rsid w:val="00683237"/>
    <w:rsid w:val="00684F2C"/>
    <w:rsid w:val="00690637"/>
    <w:rsid w:val="00694E76"/>
    <w:rsid w:val="00697D75"/>
    <w:rsid w:val="006A0DAD"/>
    <w:rsid w:val="006A4819"/>
    <w:rsid w:val="006B04E9"/>
    <w:rsid w:val="006B2D2B"/>
    <w:rsid w:val="006B41D7"/>
    <w:rsid w:val="006B65E6"/>
    <w:rsid w:val="006C31E5"/>
    <w:rsid w:val="006C4097"/>
    <w:rsid w:val="006C7E28"/>
    <w:rsid w:val="006D4324"/>
    <w:rsid w:val="006E1FC8"/>
    <w:rsid w:val="006E2A63"/>
    <w:rsid w:val="006E78C1"/>
    <w:rsid w:val="006F7545"/>
    <w:rsid w:val="0070532C"/>
    <w:rsid w:val="007056A4"/>
    <w:rsid w:val="007065EF"/>
    <w:rsid w:val="007103CE"/>
    <w:rsid w:val="00711BEA"/>
    <w:rsid w:val="0071389D"/>
    <w:rsid w:val="00720CE6"/>
    <w:rsid w:val="00737893"/>
    <w:rsid w:val="007400D2"/>
    <w:rsid w:val="007448CC"/>
    <w:rsid w:val="0075133B"/>
    <w:rsid w:val="00751AF3"/>
    <w:rsid w:val="00752C30"/>
    <w:rsid w:val="007572C0"/>
    <w:rsid w:val="0076062A"/>
    <w:rsid w:val="00763BC8"/>
    <w:rsid w:val="007663E6"/>
    <w:rsid w:val="00767204"/>
    <w:rsid w:val="00772C17"/>
    <w:rsid w:val="00783641"/>
    <w:rsid w:val="00786C25"/>
    <w:rsid w:val="007879A8"/>
    <w:rsid w:val="00791082"/>
    <w:rsid w:val="00795D7C"/>
    <w:rsid w:val="00796B14"/>
    <w:rsid w:val="007A28A7"/>
    <w:rsid w:val="007A74E8"/>
    <w:rsid w:val="007B0352"/>
    <w:rsid w:val="007B1D15"/>
    <w:rsid w:val="007B3CC6"/>
    <w:rsid w:val="007B42DB"/>
    <w:rsid w:val="007B6112"/>
    <w:rsid w:val="007C1048"/>
    <w:rsid w:val="007C17A1"/>
    <w:rsid w:val="007C30AC"/>
    <w:rsid w:val="007C3B1F"/>
    <w:rsid w:val="007C6609"/>
    <w:rsid w:val="007D4480"/>
    <w:rsid w:val="007E011C"/>
    <w:rsid w:val="007E1D1B"/>
    <w:rsid w:val="007F1534"/>
    <w:rsid w:val="007F3F5F"/>
    <w:rsid w:val="007F5FD9"/>
    <w:rsid w:val="007F62C4"/>
    <w:rsid w:val="008004EF"/>
    <w:rsid w:val="00801EAF"/>
    <w:rsid w:val="00801EC8"/>
    <w:rsid w:val="00803881"/>
    <w:rsid w:val="00810BA8"/>
    <w:rsid w:val="00811742"/>
    <w:rsid w:val="0081270D"/>
    <w:rsid w:val="00816B6E"/>
    <w:rsid w:val="00816D55"/>
    <w:rsid w:val="008410EB"/>
    <w:rsid w:val="00841A0F"/>
    <w:rsid w:val="00845630"/>
    <w:rsid w:val="0085072B"/>
    <w:rsid w:val="008513E4"/>
    <w:rsid w:val="008521C1"/>
    <w:rsid w:val="00852DCE"/>
    <w:rsid w:val="008537F5"/>
    <w:rsid w:val="0086117A"/>
    <w:rsid w:val="00862E02"/>
    <w:rsid w:val="00863F1F"/>
    <w:rsid w:val="0086514C"/>
    <w:rsid w:val="00867FF2"/>
    <w:rsid w:val="008808B7"/>
    <w:rsid w:val="00885A7D"/>
    <w:rsid w:val="00886633"/>
    <w:rsid w:val="008900C0"/>
    <w:rsid w:val="008950DF"/>
    <w:rsid w:val="008A7C5E"/>
    <w:rsid w:val="008B114C"/>
    <w:rsid w:val="008B1167"/>
    <w:rsid w:val="008B6235"/>
    <w:rsid w:val="008B7F76"/>
    <w:rsid w:val="008C141F"/>
    <w:rsid w:val="008C1E34"/>
    <w:rsid w:val="008C4C77"/>
    <w:rsid w:val="008C506E"/>
    <w:rsid w:val="008C6D1C"/>
    <w:rsid w:val="008D0629"/>
    <w:rsid w:val="008D1EE0"/>
    <w:rsid w:val="008D4021"/>
    <w:rsid w:val="008D5711"/>
    <w:rsid w:val="008D7681"/>
    <w:rsid w:val="008D7F5B"/>
    <w:rsid w:val="008E09E1"/>
    <w:rsid w:val="008E0BEE"/>
    <w:rsid w:val="008E1A9C"/>
    <w:rsid w:val="008E305A"/>
    <w:rsid w:val="008E479F"/>
    <w:rsid w:val="008E499F"/>
    <w:rsid w:val="008E4ED9"/>
    <w:rsid w:val="008E6819"/>
    <w:rsid w:val="008F1957"/>
    <w:rsid w:val="008F2E88"/>
    <w:rsid w:val="008F3E2A"/>
    <w:rsid w:val="00900FF6"/>
    <w:rsid w:val="00903E25"/>
    <w:rsid w:val="00904E57"/>
    <w:rsid w:val="00905E7D"/>
    <w:rsid w:val="00906A5F"/>
    <w:rsid w:val="00906F36"/>
    <w:rsid w:val="0091025E"/>
    <w:rsid w:val="00910856"/>
    <w:rsid w:val="0091216B"/>
    <w:rsid w:val="009131BB"/>
    <w:rsid w:val="00913C83"/>
    <w:rsid w:val="00916CE9"/>
    <w:rsid w:val="00923DF8"/>
    <w:rsid w:val="00925755"/>
    <w:rsid w:val="009266FB"/>
    <w:rsid w:val="00930210"/>
    <w:rsid w:val="00933120"/>
    <w:rsid w:val="009333DD"/>
    <w:rsid w:val="009379AC"/>
    <w:rsid w:val="0094005B"/>
    <w:rsid w:val="00943145"/>
    <w:rsid w:val="00944982"/>
    <w:rsid w:val="00945AF5"/>
    <w:rsid w:val="009466F4"/>
    <w:rsid w:val="00950FF7"/>
    <w:rsid w:val="0095549D"/>
    <w:rsid w:val="00955789"/>
    <w:rsid w:val="0095702A"/>
    <w:rsid w:val="00957430"/>
    <w:rsid w:val="009605E7"/>
    <w:rsid w:val="00962E72"/>
    <w:rsid w:val="00966E8A"/>
    <w:rsid w:val="009734AC"/>
    <w:rsid w:val="0097390C"/>
    <w:rsid w:val="009742BD"/>
    <w:rsid w:val="0097507C"/>
    <w:rsid w:val="00983D01"/>
    <w:rsid w:val="00983E95"/>
    <w:rsid w:val="009851F3"/>
    <w:rsid w:val="009901A1"/>
    <w:rsid w:val="009950D5"/>
    <w:rsid w:val="009A2258"/>
    <w:rsid w:val="009A37EC"/>
    <w:rsid w:val="009A3CF1"/>
    <w:rsid w:val="009B0094"/>
    <w:rsid w:val="009B3BF5"/>
    <w:rsid w:val="009B5F1D"/>
    <w:rsid w:val="009B761D"/>
    <w:rsid w:val="009C3171"/>
    <w:rsid w:val="009C4DCE"/>
    <w:rsid w:val="009C4E1E"/>
    <w:rsid w:val="009C4F29"/>
    <w:rsid w:val="009C7491"/>
    <w:rsid w:val="009D2070"/>
    <w:rsid w:val="009D2F54"/>
    <w:rsid w:val="009D35BA"/>
    <w:rsid w:val="009D525F"/>
    <w:rsid w:val="009E24BE"/>
    <w:rsid w:val="009E580D"/>
    <w:rsid w:val="009E75AC"/>
    <w:rsid w:val="009E7C49"/>
    <w:rsid w:val="009F072B"/>
    <w:rsid w:val="009F0CA0"/>
    <w:rsid w:val="009F3D4B"/>
    <w:rsid w:val="009F75C6"/>
    <w:rsid w:val="009F7649"/>
    <w:rsid w:val="00A016ED"/>
    <w:rsid w:val="00A03E92"/>
    <w:rsid w:val="00A05D00"/>
    <w:rsid w:val="00A11931"/>
    <w:rsid w:val="00A126EB"/>
    <w:rsid w:val="00A12FC2"/>
    <w:rsid w:val="00A15079"/>
    <w:rsid w:val="00A202B1"/>
    <w:rsid w:val="00A24CAF"/>
    <w:rsid w:val="00A256B5"/>
    <w:rsid w:val="00A25F09"/>
    <w:rsid w:val="00A27E93"/>
    <w:rsid w:val="00A31829"/>
    <w:rsid w:val="00A338D1"/>
    <w:rsid w:val="00A33ABF"/>
    <w:rsid w:val="00A33F26"/>
    <w:rsid w:val="00A3445F"/>
    <w:rsid w:val="00A37E29"/>
    <w:rsid w:val="00A37F63"/>
    <w:rsid w:val="00A37FA8"/>
    <w:rsid w:val="00A4041A"/>
    <w:rsid w:val="00A40CEA"/>
    <w:rsid w:val="00A43915"/>
    <w:rsid w:val="00A471A7"/>
    <w:rsid w:val="00A51FF4"/>
    <w:rsid w:val="00A521C6"/>
    <w:rsid w:val="00A56D41"/>
    <w:rsid w:val="00A60F12"/>
    <w:rsid w:val="00A662AA"/>
    <w:rsid w:val="00A67162"/>
    <w:rsid w:val="00A67DF7"/>
    <w:rsid w:val="00A70721"/>
    <w:rsid w:val="00A7139A"/>
    <w:rsid w:val="00A804A0"/>
    <w:rsid w:val="00A80702"/>
    <w:rsid w:val="00A95E3C"/>
    <w:rsid w:val="00A9711B"/>
    <w:rsid w:val="00AA169A"/>
    <w:rsid w:val="00AA16E4"/>
    <w:rsid w:val="00AA2292"/>
    <w:rsid w:val="00AA31F1"/>
    <w:rsid w:val="00AB02EB"/>
    <w:rsid w:val="00AB0673"/>
    <w:rsid w:val="00AB2599"/>
    <w:rsid w:val="00AB7215"/>
    <w:rsid w:val="00AC6E79"/>
    <w:rsid w:val="00AD2E7B"/>
    <w:rsid w:val="00AD4596"/>
    <w:rsid w:val="00AD7BF0"/>
    <w:rsid w:val="00AE27AC"/>
    <w:rsid w:val="00AE43FF"/>
    <w:rsid w:val="00AE7ABC"/>
    <w:rsid w:val="00AF3196"/>
    <w:rsid w:val="00AF3F2A"/>
    <w:rsid w:val="00B00FE5"/>
    <w:rsid w:val="00B02FC1"/>
    <w:rsid w:val="00B07E21"/>
    <w:rsid w:val="00B249FC"/>
    <w:rsid w:val="00B313B0"/>
    <w:rsid w:val="00B31675"/>
    <w:rsid w:val="00B337AB"/>
    <w:rsid w:val="00B340D3"/>
    <w:rsid w:val="00B36306"/>
    <w:rsid w:val="00B40D6B"/>
    <w:rsid w:val="00B42010"/>
    <w:rsid w:val="00B43341"/>
    <w:rsid w:val="00B45460"/>
    <w:rsid w:val="00B50210"/>
    <w:rsid w:val="00B5339D"/>
    <w:rsid w:val="00B53E14"/>
    <w:rsid w:val="00B54847"/>
    <w:rsid w:val="00B56B97"/>
    <w:rsid w:val="00B573BA"/>
    <w:rsid w:val="00B719B4"/>
    <w:rsid w:val="00B80BEF"/>
    <w:rsid w:val="00B814B0"/>
    <w:rsid w:val="00B876D9"/>
    <w:rsid w:val="00B90DC9"/>
    <w:rsid w:val="00B918FA"/>
    <w:rsid w:val="00B92F71"/>
    <w:rsid w:val="00BA32D6"/>
    <w:rsid w:val="00BA32F4"/>
    <w:rsid w:val="00BA4BA9"/>
    <w:rsid w:val="00BB0640"/>
    <w:rsid w:val="00BB0F4E"/>
    <w:rsid w:val="00BB4971"/>
    <w:rsid w:val="00BB4DEE"/>
    <w:rsid w:val="00BB58AE"/>
    <w:rsid w:val="00BC1FBA"/>
    <w:rsid w:val="00BD0515"/>
    <w:rsid w:val="00BD3E34"/>
    <w:rsid w:val="00BD6C04"/>
    <w:rsid w:val="00BE0CD3"/>
    <w:rsid w:val="00BE7799"/>
    <w:rsid w:val="00BF2F22"/>
    <w:rsid w:val="00BF425C"/>
    <w:rsid w:val="00BF4E09"/>
    <w:rsid w:val="00C003D2"/>
    <w:rsid w:val="00C128E9"/>
    <w:rsid w:val="00C12F1F"/>
    <w:rsid w:val="00C14A42"/>
    <w:rsid w:val="00C2023C"/>
    <w:rsid w:val="00C2473D"/>
    <w:rsid w:val="00C24C6D"/>
    <w:rsid w:val="00C25E3F"/>
    <w:rsid w:val="00C25FF4"/>
    <w:rsid w:val="00C325B7"/>
    <w:rsid w:val="00C35067"/>
    <w:rsid w:val="00C416BB"/>
    <w:rsid w:val="00C41C4A"/>
    <w:rsid w:val="00C43A12"/>
    <w:rsid w:val="00C453F0"/>
    <w:rsid w:val="00C472FD"/>
    <w:rsid w:val="00C56288"/>
    <w:rsid w:val="00C57C28"/>
    <w:rsid w:val="00C668A6"/>
    <w:rsid w:val="00C748C3"/>
    <w:rsid w:val="00C772BA"/>
    <w:rsid w:val="00C803D7"/>
    <w:rsid w:val="00C81E33"/>
    <w:rsid w:val="00C84359"/>
    <w:rsid w:val="00C9301C"/>
    <w:rsid w:val="00C94F29"/>
    <w:rsid w:val="00CA312C"/>
    <w:rsid w:val="00CA3A00"/>
    <w:rsid w:val="00CA76F9"/>
    <w:rsid w:val="00CB15F6"/>
    <w:rsid w:val="00CB3D25"/>
    <w:rsid w:val="00CB5476"/>
    <w:rsid w:val="00CB55D8"/>
    <w:rsid w:val="00CB5B46"/>
    <w:rsid w:val="00CB640F"/>
    <w:rsid w:val="00CB777A"/>
    <w:rsid w:val="00CC54F1"/>
    <w:rsid w:val="00CC5C2C"/>
    <w:rsid w:val="00CC6906"/>
    <w:rsid w:val="00CD1409"/>
    <w:rsid w:val="00CD1548"/>
    <w:rsid w:val="00CD6D30"/>
    <w:rsid w:val="00CE4CD2"/>
    <w:rsid w:val="00CF2D7D"/>
    <w:rsid w:val="00D009A9"/>
    <w:rsid w:val="00D0593B"/>
    <w:rsid w:val="00D07336"/>
    <w:rsid w:val="00D137A6"/>
    <w:rsid w:val="00D15514"/>
    <w:rsid w:val="00D15C64"/>
    <w:rsid w:val="00D25DAB"/>
    <w:rsid w:val="00D27C96"/>
    <w:rsid w:val="00D30B0D"/>
    <w:rsid w:val="00D310A8"/>
    <w:rsid w:val="00D31B7F"/>
    <w:rsid w:val="00D32A4D"/>
    <w:rsid w:val="00D350EB"/>
    <w:rsid w:val="00D41590"/>
    <w:rsid w:val="00D45FBF"/>
    <w:rsid w:val="00D47A33"/>
    <w:rsid w:val="00D5547A"/>
    <w:rsid w:val="00D57310"/>
    <w:rsid w:val="00D605D7"/>
    <w:rsid w:val="00D61FD6"/>
    <w:rsid w:val="00D634BD"/>
    <w:rsid w:val="00D64D2E"/>
    <w:rsid w:val="00D67193"/>
    <w:rsid w:val="00D673ED"/>
    <w:rsid w:val="00D70967"/>
    <w:rsid w:val="00D744F0"/>
    <w:rsid w:val="00D804EB"/>
    <w:rsid w:val="00D813E8"/>
    <w:rsid w:val="00D819A7"/>
    <w:rsid w:val="00D824A4"/>
    <w:rsid w:val="00D91D75"/>
    <w:rsid w:val="00D950C0"/>
    <w:rsid w:val="00DA28C3"/>
    <w:rsid w:val="00DA53E8"/>
    <w:rsid w:val="00DA6BD0"/>
    <w:rsid w:val="00DB1E58"/>
    <w:rsid w:val="00DB22E1"/>
    <w:rsid w:val="00DB2F2B"/>
    <w:rsid w:val="00DB543C"/>
    <w:rsid w:val="00DB7E71"/>
    <w:rsid w:val="00DB7EDA"/>
    <w:rsid w:val="00DC32EC"/>
    <w:rsid w:val="00DC5324"/>
    <w:rsid w:val="00DC732E"/>
    <w:rsid w:val="00DC7E27"/>
    <w:rsid w:val="00DD57F1"/>
    <w:rsid w:val="00DD5FBA"/>
    <w:rsid w:val="00DD614A"/>
    <w:rsid w:val="00DF0CA1"/>
    <w:rsid w:val="00DF2A86"/>
    <w:rsid w:val="00DF5DAB"/>
    <w:rsid w:val="00E01F0D"/>
    <w:rsid w:val="00E02306"/>
    <w:rsid w:val="00E02477"/>
    <w:rsid w:val="00E06756"/>
    <w:rsid w:val="00E15682"/>
    <w:rsid w:val="00E17053"/>
    <w:rsid w:val="00E256B8"/>
    <w:rsid w:val="00E2599F"/>
    <w:rsid w:val="00E25BC0"/>
    <w:rsid w:val="00E269AB"/>
    <w:rsid w:val="00E27F6E"/>
    <w:rsid w:val="00E445C8"/>
    <w:rsid w:val="00E52B6A"/>
    <w:rsid w:val="00E54504"/>
    <w:rsid w:val="00E55167"/>
    <w:rsid w:val="00E62523"/>
    <w:rsid w:val="00E64019"/>
    <w:rsid w:val="00E657D1"/>
    <w:rsid w:val="00E67DDD"/>
    <w:rsid w:val="00E71E84"/>
    <w:rsid w:val="00E84F5D"/>
    <w:rsid w:val="00E86688"/>
    <w:rsid w:val="00E91638"/>
    <w:rsid w:val="00E92440"/>
    <w:rsid w:val="00E92855"/>
    <w:rsid w:val="00E94837"/>
    <w:rsid w:val="00E94E1B"/>
    <w:rsid w:val="00E96B7C"/>
    <w:rsid w:val="00E97A27"/>
    <w:rsid w:val="00EA180F"/>
    <w:rsid w:val="00EA1831"/>
    <w:rsid w:val="00EA57AA"/>
    <w:rsid w:val="00EB22A9"/>
    <w:rsid w:val="00EC0FE8"/>
    <w:rsid w:val="00EC1877"/>
    <w:rsid w:val="00EC6448"/>
    <w:rsid w:val="00ED4433"/>
    <w:rsid w:val="00ED658F"/>
    <w:rsid w:val="00EE256B"/>
    <w:rsid w:val="00EE55C2"/>
    <w:rsid w:val="00EE6001"/>
    <w:rsid w:val="00EF3109"/>
    <w:rsid w:val="00EF3A02"/>
    <w:rsid w:val="00EF44C0"/>
    <w:rsid w:val="00F02CF2"/>
    <w:rsid w:val="00F04838"/>
    <w:rsid w:val="00F048D0"/>
    <w:rsid w:val="00F07982"/>
    <w:rsid w:val="00F12BCF"/>
    <w:rsid w:val="00F2043C"/>
    <w:rsid w:val="00F20757"/>
    <w:rsid w:val="00F21E88"/>
    <w:rsid w:val="00F23C01"/>
    <w:rsid w:val="00F27239"/>
    <w:rsid w:val="00F30B9D"/>
    <w:rsid w:val="00F36804"/>
    <w:rsid w:val="00F36AAF"/>
    <w:rsid w:val="00F41771"/>
    <w:rsid w:val="00F4494E"/>
    <w:rsid w:val="00F524DF"/>
    <w:rsid w:val="00F53126"/>
    <w:rsid w:val="00F53C23"/>
    <w:rsid w:val="00F56977"/>
    <w:rsid w:val="00F57C76"/>
    <w:rsid w:val="00F6378A"/>
    <w:rsid w:val="00F64D7B"/>
    <w:rsid w:val="00F66502"/>
    <w:rsid w:val="00F7035A"/>
    <w:rsid w:val="00F71CC3"/>
    <w:rsid w:val="00F76E85"/>
    <w:rsid w:val="00F77D18"/>
    <w:rsid w:val="00F80363"/>
    <w:rsid w:val="00F80467"/>
    <w:rsid w:val="00F816DC"/>
    <w:rsid w:val="00F900EF"/>
    <w:rsid w:val="00F91F56"/>
    <w:rsid w:val="00F948F0"/>
    <w:rsid w:val="00F96912"/>
    <w:rsid w:val="00FA0066"/>
    <w:rsid w:val="00FA0E7B"/>
    <w:rsid w:val="00FA5F1D"/>
    <w:rsid w:val="00FA78C6"/>
    <w:rsid w:val="00FB4E7E"/>
    <w:rsid w:val="00FB6278"/>
    <w:rsid w:val="00FB6E52"/>
    <w:rsid w:val="00FB770B"/>
    <w:rsid w:val="00FC2DA2"/>
    <w:rsid w:val="00FC4DB6"/>
    <w:rsid w:val="00FC704A"/>
    <w:rsid w:val="00FC7C28"/>
    <w:rsid w:val="00FD0F19"/>
    <w:rsid w:val="00FD18BE"/>
    <w:rsid w:val="00FD536B"/>
    <w:rsid w:val="00FD58D8"/>
    <w:rsid w:val="00FD76B6"/>
    <w:rsid w:val="00FE26E1"/>
    <w:rsid w:val="00FE413B"/>
    <w:rsid w:val="00FE52B1"/>
    <w:rsid w:val="00FE7080"/>
    <w:rsid w:val="00FF2786"/>
    <w:rsid w:val="00FF3F74"/>
    <w:rsid w:val="00FF4538"/>
    <w:rsid w:val="00FF4B91"/>
    <w:rsid w:val="00FF55AB"/>
    <w:rsid w:val="00FF5D37"/>
    <w:rsid w:val="00FF7649"/>
    <w:rsid w:val="00FF7D5C"/>
    <w:rsid w:val="02BF6473"/>
    <w:rsid w:val="04022D23"/>
    <w:rsid w:val="043035DC"/>
    <w:rsid w:val="051F2809"/>
    <w:rsid w:val="06450458"/>
    <w:rsid w:val="073B4EDA"/>
    <w:rsid w:val="081F610C"/>
    <w:rsid w:val="08313235"/>
    <w:rsid w:val="089B0C8A"/>
    <w:rsid w:val="08B94E65"/>
    <w:rsid w:val="090234CB"/>
    <w:rsid w:val="09F1153C"/>
    <w:rsid w:val="0C11555D"/>
    <w:rsid w:val="0C7C481B"/>
    <w:rsid w:val="0DF74878"/>
    <w:rsid w:val="0E6239D9"/>
    <w:rsid w:val="0E6278B6"/>
    <w:rsid w:val="0F2F4ADE"/>
    <w:rsid w:val="0F4C06CB"/>
    <w:rsid w:val="0FA669F8"/>
    <w:rsid w:val="112E3E46"/>
    <w:rsid w:val="12006E35"/>
    <w:rsid w:val="121613B1"/>
    <w:rsid w:val="14A17D9C"/>
    <w:rsid w:val="15220F7C"/>
    <w:rsid w:val="1534177F"/>
    <w:rsid w:val="15993FB9"/>
    <w:rsid w:val="16A46CB2"/>
    <w:rsid w:val="17382818"/>
    <w:rsid w:val="18000D65"/>
    <w:rsid w:val="18034394"/>
    <w:rsid w:val="18865BD2"/>
    <w:rsid w:val="18C03364"/>
    <w:rsid w:val="19195D1D"/>
    <w:rsid w:val="1A177006"/>
    <w:rsid w:val="1AC44635"/>
    <w:rsid w:val="1C260281"/>
    <w:rsid w:val="1C330C63"/>
    <w:rsid w:val="1D755EC7"/>
    <w:rsid w:val="1E032443"/>
    <w:rsid w:val="23A97C68"/>
    <w:rsid w:val="247E17BA"/>
    <w:rsid w:val="24E53256"/>
    <w:rsid w:val="2656566F"/>
    <w:rsid w:val="27DA737E"/>
    <w:rsid w:val="28696844"/>
    <w:rsid w:val="286F5451"/>
    <w:rsid w:val="287444F4"/>
    <w:rsid w:val="2958157B"/>
    <w:rsid w:val="295E49D4"/>
    <w:rsid w:val="29D66605"/>
    <w:rsid w:val="2A2C1C38"/>
    <w:rsid w:val="2A375524"/>
    <w:rsid w:val="2AC974DC"/>
    <w:rsid w:val="2FB727C6"/>
    <w:rsid w:val="2FCD6748"/>
    <w:rsid w:val="2FF7304A"/>
    <w:rsid w:val="30113A79"/>
    <w:rsid w:val="301F0F46"/>
    <w:rsid w:val="31196394"/>
    <w:rsid w:val="354D2355"/>
    <w:rsid w:val="35804B0D"/>
    <w:rsid w:val="358F38E5"/>
    <w:rsid w:val="36BA6DF4"/>
    <w:rsid w:val="3846163A"/>
    <w:rsid w:val="39602F6F"/>
    <w:rsid w:val="3AEF4F08"/>
    <w:rsid w:val="3B044FDB"/>
    <w:rsid w:val="3BD533C4"/>
    <w:rsid w:val="3C3B42D0"/>
    <w:rsid w:val="3D5C04D7"/>
    <w:rsid w:val="3E093248"/>
    <w:rsid w:val="3E4A2104"/>
    <w:rsid w:val="3FE727F4"/>
    <w:rsid w:val="3FFF00B6"/>
    <w:rsid w:val="40840DFB"/>
    <w:rsid w:val="41D43AD0"/>
    <w:rsid w:val="42FA0C8A"/>
    <w:rsid w:val="44633CFA"/>
    <w:rsid w:val="447E26F9"/>
    <w:rsid w:val="44872CBF"/>
    <w:rsid w:val="45963E60"/>
    <w:rsid w:val="46C2060D"/>
    <w:rsid w:val="4921487D"/>
    <w:rsid w:val="4B447D8F"/>
    <w:rsid w:val="4B741117"/>
    <w:rsid w:val="4B945ABA"/>
    <w:rsid w:val="4BA234F2"/>
    <w:rsid w:val="4FC71A58"/>
    <w:rsid w:val="4FF131F3"/>
    <w:rsid w:val="50F024DF"/>
    <w:rsid w:val="51601A7D"/>
    <w:rsid w:val="53CC3270"/>
    <w:rsid w:val="54ED6F38"/>
    <w:rsid w:val="55230B84"/>
    <w:rsid w:val="564D4C7B"/>
    <w:rsid w:val="56E07374"/>
    <w:rsid w:val="588774BE"/>
    <w:rsid w:val="5D8D14E9"/>
    <w:rsid w:val="5F47217F"/>
    <w:rsid w:val="619A6232"/>
    <w:rsid w:val="634F277A"/>
    <w:rsid w:val="646458F8"/>
    <w:rsid w:val="6489794F"/>
    <w:rsid w:val="64E26B32"/>
    <w:rsid w:val="65CC1E52"/>
    <w:rsid w:val="67C42FC5"/>
    <w:rsid w:val="67E6002A"/>
    <w:rsid w:val="67F215E8"/>
    <w:rsid w:val="6A184A32"/>
    <w:rsid w:val="6C901A3B"/>
    <w:rsid w:val="6CE84486"/>
    <w:rsid w:val="6E1A79C5"/>
    <w:rsid w:val="6E2B0661"/>
    <w:rsid w:val="6E6F5C4B"/>
    <w:rsid w:val="6F5451A1"/>
    <w:rsid w:val="6F8677F9"/>
    <w:rsid w:val="70E073A1"/>
    <w:rsid w:val="7142276E"/>
    <w:rsid w:val="717C7969"/>
    <w:rsid w:val="72AA1F49"/>
    <w:rsid w:val="7394697C"/>
    <w:rsid w:val="740010CA"/>
    <w:rsid w:val="76AE3BCA"/>
    <w:rsid w:val="773816E0"/>
    <w:rsid w:val="77621B67"/>
    <w:rsid w:val="7776079F"/>
    <w:rsid w:val="787C5539"/>
    <w:rsid w:val="78D76DD9"/>
    <w:rsid w:val="79CD651B"/>
    <w:rsid w:val="7A2D27A9"/>
    <w:rsid w:val="7AAF4B1A"/>
    <w:rsid w:val="7B8C3420"/>
    <w:rsid w:val="7C1B003D"/>
    <w:rsid w:val="7EE37F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uiPriority="99" w:semiHidden="0" w:name="HTML Preformatted"/>
    <w:lsdException w:qFormat="1" w:unhideWhenUsed="0" w:uiPriority="0" w:semiHidden="0" w:name="HTML Sample"/>
    <w:lsdException w:uiPriority="99" w:name="HTML Typewriter"/>
    <w:lsdException w:qFormat="1" w:unhideWhenUsed="0" w:uiPriority="0" w:semiHidden="0"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49"/>
    <w:qFormat/>
    <w:uiPriority w:val="0"/>
    <w:pPr>
      <w:jc w:val="center"/>
      <w:outlineLvl w:val="0"/>
    </w:pPr>
    <w:rPr>
      <w:rFonts w:eastAsia="楷体_GB2312"/>
      <w:b/>
      <w:bCs/>
      <w:kern w:val="44"/>
      <w:sz w:val="32"/>
      <w:szCs w:val="44"/>
    </w:rPr>
  </w:style>
  <w:style w:type="paragraph" w:styleId="3">
    <w:name w:val="heading 2"/>
    <w:basedOn w:val="1"/>
    <w:next w:val="1"/>
    <w:link w:val="48"/>
    <w:unhideWhenUsed/>
    <w:qFormat/>
    <w:uiPriority w:val="0"/>
    <w:pPr>
      <w:outlineLvl w:val="1"/>
    </w:pPr>
    <w:rPr>
      <w:rFonts w:eastAsia="楷体_GB2312" w:asciiTheme="majorHAnsi" w:hAnsiTheme="majorHAnsi" w:cstheme="majorBidi"/>
      <w:b/>
      <w:bCs/>
      <w:sz w:val="30"/>
      <w:szCs w:val="32"/>
    </w:rPr>
  </w:style>
  <w:style w:type="paragraph" w:styleId="4">
    <w:name w:val="heading 3"/>
    <w:basedOn w:val="1"/>
    <w:next w:val="1"/>
    <w:link w:val="50"/>
    <w:unhideWhenUsed/>
    <w:qFormat/>
    <w:uiPriority w:val="0"/>
    <w:pPr>
      <w:outlineLvl w:val="2"/>
    </w:pPr>
    <w:rPr>
      <w:rFonts w:eastAsia="楷体_GB2312"/>
      <w:b/>
      <w:bCs/>
      <w:sz w:val="28"/>
      <w:szCs w:val="32"/>
    </w:rPr>
  </w:style>
  <w:style w:type="paragraph" w:styleId="5">
    <w:name w:val="heading 4"/>
    <w:basedOn w:val="1"/>
    <w:next w:val="1"/>
    <w:link w:val="58"/>
    <w:unhideWhenUsed/>
    <w:qFormat/>
    <w:uiPriority w:val="9"/>
    <w:pPr>
      <w:outlineLvl w:val="3"/>
    </w:pPr>
    <w:rPr>
      <w:rFonts w:eastAsia="楷体_GB2312" w:asciiTheme="majorHAnsi" w:hAnsiTheme="majorHAnsi" w:cstheme="majorBidi"/>
      <w:b/>
      <w:bCs/>
      <w:szCs w:val="28"/>
    </w:rPr>
  </w:style>
  <w:style w:type="paragraph" w:styleId="6">
    <w:name w:val="heading 5"/>
    <w:basedOn w:val="1"/>
    <w:next w:val="1"/>
    <w:link w:val="59"/>
    <w:unhideWhenUsed/>
    <w:qFormat/>
    <w:uiPriority w:val="9"/>
    <w:pPr>
      <w:keepNext/>
      <w:keepLines/>
      <w:spacing w:before="280" w:after="290" w:line="376" w:lineRule="auto"/>
      <w:outlineLvl w:val="4"/>
    </w:pPr>
    <w:rPr>
      <w:b/>
      <w:bCs/>
      <w:sz w:val="28"/>
      <w:szCs w:val="28"/>
    </w:rPr>
  </w:style>
  <w:style w:type="character" w:default="1" w:styleId="35">
    <w:name w:val="Default Paragraph Font"/>
    <w:semiHidden/>
    <w:unhideWhenUsed/>
    <w:uiPriority w:val="1"/>
  </w:style>
  <w:style w:type="table" w:default="1" w:styleId="33">
    <w:name w:val="Normal Table"/>
    <w:semiHidden/>
    <w:unhideWhenUsed/>
    <w:uiPriority w:val="99"/>
    <w:tblPr>
      <w:tblLayout w:type="fixed"/>
      <w:tblCellMar>
        <w:top w:w="0" w:type="dxa"/>
        <w:left w:w="108" w:type="dxa"/>
        <w:bottom w:w="0" w:type="dxa"/>
        <w:right w:w="108" w:type="dxa"/>
      </w:tblCellMar>
    </w:tblPr>
  </w:style>
  <w:style w:type="paragraph" w:styleId="7">
    <w:name w:val="toc 7"/>
    <w:basedOn w:val="1"/>
    <w:next w:val="1"/>
    <w:unhideWhenUsed/>
    <w:uiPriority w:val="39"/>
    <w:pPr>
      <w:spacing w:line="240" w:lineRule="auto"/>
      <w:ind w:left="2520" w:leftChars="1200"/>
      <w:jc w:val="both"/>
    </w:pPr>
    <w:rPr>
      <w:sz w:val="21"/>
    </w:rPr>
  </w:style>
  <w:style w:type="paragraph" w:styleId="8">
    <w:name w:val="caption"/>
    <w:basedOn w:val="1"/>
    <w:next w:val="1"/>
    <w:semiHidden/>
    <w:unhideWhenUsed/>
    <w:qFormat/>
    <w:uiPriority w:val="35"/>
    <w:rPr>
      <w:rFonts w:eastAsia="黑体" w:asciiTheme="majorHAnsi" w:hAnsiTheme="majorHAnsi" w:cstheme="majorBidi"/>
      <w:sz w:val="20"/>
      <w:szCs w:val="20"/>
    </w:rPr>
  </w:style>
  <w:style w:type="paragraph" w:styleId="9">
    <w:name w:val="Document Map"/>
    <w:basedOn w:val="1"/>
    <w:link w:val="57"/>
    <w:unhideWhenUsed/>
    <w:qFormat/>
    <w:uiPriority w:val="0"/>
    <w:rPr>
      <w:rFonts w:ascii="宋体" w:eastAsia="宋体"/>
      <w:sz w:val="18"/>
      <w:szCs w:val="18"/>
    </w:rPr>
  </w:style>
  <w:style w:type="paragraph" w:styleId="10">
    <w:name w:val="annotation text"/>
    <w:basedOn w:val="1"/>
    <w:link w:val="70"/>
    <w:unhideWhenUsed/>
    <w:qFormat/>
    <w:uiPriority w:val="0"/>
  </w:style>
  <w:style w:type="paragraph" w:styleId="11">
    <w:name w:val="Body Text"/>
    <w:basedOn w:val="1"/>
    <w:link w:val="63"/>
    <w:unhideWhenUsed/>
    <w:qFormat/>
    <w:uiPriority w:val="99"/>
    <w:pPr>
      <w:spacing w:after="120"/>
    </w:pPr>
  </w:style>
  <w:style w:type="paragraph" w:styleId="12">
    <w:name w:val="Body Text Indent"/>
    <w:basedOn w:val="1"/>
    <w:link w:val="79"/>
    <w:semiHidden/>
    <w:unhideWhenUsed/>
    <w:uiPriority w:val="99"/>
    <w:pPr>
      <w:spacing w:after="120"/>
      <w:ind w:left="420" w:leftChars="200"/>
    </w:pPr>
  </w:style>
  <w:style w:type="paragraph" w:styleId="13">
    <w:name w:val="toc 5"/>
    <w:basedOn w:val="1"/>
    <w:next w:val="1"/>
    <w:unhideWhenUsed/>
    <w:uiPriority w:val="39"/>
    <w:pPr>
      <w:spacing w:line="240" w:lineRule="auto"/>
      <w:ind w:left="1680" w:leftChars="800"/>
      <w:jc w:val="both"/>
    </w:pPr>
    <w:rPr>
      <w:sz w:val="21"/>
    </w:rPr>
  </w:style>
  <w:style w:type="paragraph" w:styleId="14">
    <w:name w:val="toc 3"/>
    <w:basedOn w:val="1"/>
    <w:next w:val="1"/>
    <w:unhideWhenUsed/>
    <w:qFormat/>
    <w:uiPriority w:val="39"/>
    <w:pPr>
      <w:ind w:left="840" w:leftChars="400"/>
    </w:pPr>
  </w:style>
  <w:style w:type="paragraph" w:styleId="15">
    <w:name w:val="Plain Text"/>
    <w:basedOn w:val="1"/>
    <w:link w:val="95"/>
    <w:qFormat/>
    <w:uiPriority w:val="0"/>
    <w:pPr>
      <w:spacing w:line="240" w:lineRule="auto"/>
      <w:jc w:val="both"/>
    </w:pPr>
    <w:rPr>
      <w:rFonts w:ascii="宋体" w:hAnsi="Courier New"/>
      <w:kern w:val="0"/>
      <w:sz w:val="20"/>
      <w:szCs w:val="20"/>
    </w:rPr>
  </w:style>
  <w:style w:type="paragraph" w:styleId="16">
    <w:name w:val="toc 8"/>
    <w:basedOn w:val="1"/>
    <w:next w:val="1"/>
    <w:unhideWhenUsed/>
    <w:uiPriority w:val="39"/>
    <w:pPr>
      <w:spacing w:line="240" w:lineRule="auto"/>
      <w:ind w:left="2940" w:leftChars="1400"/>
      <w:jc w:val="both"/>
    </w:pPr>
    <w:rPr>
      <w:sz w:val="21"/>
    </w:rPr>
  </w:style>
  <w:style w:type="paragraph" w:styleId="17">
    <w:name w:val="Date"/>
    <w:basedOn w:val="1"/>
    <w:next w:val="1"/>
    <w:link w:val="99"/>
    <w:uiPriority w:val="0"/>
    <w:pPr>
      <w:adjustRightInd w:val="0"/>
      <w:spacing w:line="312" w:lineRule="atLeast"/>
      <w:jc w:val="both"/>
    </w:pPr>
    <w:rPr>
      <w:rFonts w:ascii="宋体"/>
      <w:w w:val="90"/>
      <w:kern w:val="0"/>
      <w:sz w:val="28"/>
      <w:szCs w:val="20"/>
    </w:rPr>
  </w:style>
  <w:style w:type="paragraph" w:styleId="18">
    <w:name w:val="Body Text Indent 2"/>
    <w:basedOn w:val="1"/>
    <w:link w:val="81"/>
    <w:unhideWhenUsed/>
    <w:qFormat/>
    <w:uiPriority w:val="0"/>
    <w:pPr>
      <w:spacing w:after="120" w:line="480" w:lineRule="auto"/>
      <w:ind w:left="420" w:leftChars="200"/>
      <w:jc w:val="both"/>
    </w:pPr>
    <w:rPr>
      <w:rFonts w:ascii="Calibri" w:hAnsi="Calibri" w:eastAsia="宋体" w:cs="Times New Roman"/>
      <w:sz w:val="21"/>
    </w:rPr>
  </w:style>
  <w:style w:type="paragraph" w:styleId="19">
    <w:name w:val="Balloon Text"/>
    <w:basedOn w:val="1"/>
    <w:link w:val="68"/>
    <w:unhideWhenUsed/>
    <w:qFormat/>
    <w:uiPriority w:val="0"/>
    <w:pPr>
      <w:spacing w:line="240" w:lineRule="auto"/>
    </w:pPr>
    <w:rPr>
      <w:sz w:val="18"/>
      <w:szCs w:val="18"/>
    </w:rPr>
  </w:style>
  <w:style w:type="paragraph" w:styleId="20">
    <w:name w:val="footer"/>
    <w:basedOn w:val="1"/>
    <w:link w:val="54"/>
    <w:unhideWhenUsed/>
    <w:qFormat/>
    <w:uiPriority w:val="99"/>
    <w:pPr>
      <w:tabs>
        <w:tab w:val="center" w:pos="4153"/>
        <w:tab w:val="right" w:pos="8306"/>
      </w:tabs>
      <w:snapToGrid w:val="0"/>
    </w:pPr>
    <w:rPr>
      <w:sz w:val="18"/>
      <w:szCs w:val="18"/>
    </w:rPr>
  </w:style>
  <w:style w:type="paragraph" w:styleId="21">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toc 4"/>
    <w:basedOn w:val="1"/>
    <w:next w:val="1"/>
    <w:unhideWhenUsed/>
    <w:uiPriority w:val="39"/>
    <w:pPr>
      <w:spacing w:line="240" w:lineRule="auto"/>
      <w:ind w:left="1260" w:leftChars="600"/>
      <w:jc w:val="both"/>
    </w:pPr>
    <w:rPr>
      <w:sz w:val="21"/>
    </w:rPr>
  </w:style>
  <w:style w:type="paragraph" w:styleId="24">
    <w:name w:val="Subtitle"/>
    <w:basedOn w:val="1"/>
    <w:next w:val="1"/>
    <w:link w:val="56"/>
    <w:qFormat/>
    <w:uiPriority w:val="0"/>
    <w:pPr>
      <w:outlineLvl w:val="3"/>
    </w:pPr>
    <w:rPr>
      <w:rFonts w:eastAsia="楷体_GB2312" w:asciiTheme="majorHAnsi" w:hAnsiTheme="majorHAnsi" w:cstheme="majorBidi"/>
      <w:b/>
      <w:bCs/>
      <w:kern w:val="28"/>
      <w:szCs w:val="32"/>
    </w:rPr>
  </w:style>
  <w:style w:type="paragraph" w:styleId="25">
    <w:name w:val="toc 6"/>
    <w:basedOn w:val="1"/>
    <w:next w:val="1"/>
    <w:unhideWhenUsed/>
    <w:uiPriority w:val="39"/>
    <w:pPr>
      <w:spacing w:line="240" w:lineRule="auto"/>
      <w:ind w:left="2100" w:leftChars="1000"/>
      <w:jc w:val="both"/>
    </w:pPr>
    <w:rPr>
      <w:sz w:val="21"/>
    </w:rPr>
  </w:style>
  <w:style w:type="paragraph" w:styleId="26">
    <w:name w:val="toc 2"/>
    <w:basedOn w:val="1"/>
    <w:next w:val="1"/>
    <w:unhideWhenUsed/>
    <w:qFormat/>
    <w:uiPriority w:val="39"/>
    <w:pPr>
      <w:ind w:left="420" w:leftChars="200"/>
    </w:pPr>
  </w:style>
  <w:style w:type="paragraph" w:styleId="27">
    <w:name w:val="toc 9"/>
    <w:basedOn w:val="1"/>
    <w:next w:val="1"/>
    <w:unhideWhenUsed/>
    <w:uiPriority w:val="39"/>
    <w:pPr>
      <w:spacing w:line="240" w:lineRule="auto"/>
      <w:ind w:left="3360" w:leftChars="1600"/>
      <w:jc w:val="both"/>
    </w:pPr>
    <w:rPr>
      <w:sz w:val="21"/>
    </w:rPr>
  </w:style>
  <w:style w:type="paragraph" w:styleId="28">
    <w:name w:val="HTML Preformatted"/>
    <w:basedOn w:val="1"/>
    <w:link w:val="105"/>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eastAsia="宋体" w:cs="宋体"/>
      <w:kern w:val="0"/>
      <w:szCs w:val="24"/>
    </w:rPr>
  </w:style>
  <w:style w:type="paragraph" w:styleId="29">
    <w:name w:val="Normal (Web)"/>
    <w:basedOn w:val="1"/>
    <w:qFormat/>
    <w:uiPriority w:val="99"/>
    <w:pPr>
      <w:spacing w:line="240" w:lineRule="auto"/>
    </w:pPr>
    <w:rPr>
      <w:rFonts w:cs="Times New Roman"/>
      <w:kern w:val="0"/>
      <w:szCs w:val="24"/>
    </w:rPr>
  </w:style>
  <w:style w:type="paragraph" w:styleId="30">
    <w:name w:val="Title"/>
    <w:basedOn w:val="1"/>
    <w:next w:val="1"/>
    <w:link w:val="55"/>
    <w:qFormat/>
    <w:uiPriority w:val="10"/>
    <w:pPr>
      <w:outlineLvl w:val="2"/>
    </w:pPr>
    <w:rPr>
      <w:rFonts w:eastAsia="楷体_GB2312" w:asciiTheme="majorHAnsi" w:hAnsiTheme="majorHAnsi" w:cstheme="majorBidi"/>
      <w:b/>
      <w:bCs/>
      <w:sz w:val="28"/>
      <w:szCs w:val="32"/>
    </w:rPr>
  </w:style>
  <w:style w:type="paragraph" w:styleId="31">
    <w:name w:val="annotation subject"/>
    <w:basedOn w:val="10"/>
    <w:next w:val="10"/>
    <w:link w:val="71"/>
    <w:unhideWhenUsed/>
    <w:qFormat/>
    <w:uiPriority w:val="0"/>
    <w:rPr>
      <w:b/>
      <w:bCs/>
    </w:rPr>
  </w:style>
  <w:style w:type="paragraph" w:styleId="32">
    <w:name w:val="Body Text First Indent"/>
    <w:basedOn w:val="11"/>
    <w:link w:val="64"/>
    <w:unhideWhenUsed/>
    <w:qFormat/>
    <w:uiPriority w:val="99"/>
    <w:pPr>
      <w:ind w:firstLine="420" w:firstLineChars="100"/>
    </w:pPr>
  </w:style>
  <w:style w:type="table" w:styleId="34">
    <w:name w:val="Table Grid"/>
    <w:basedOn w:val="33"/>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6">
    <w:name w:val="Strong"/>
    <w:basedOn w:val="35"/>
    <w:qFormat/>
    <w:uiPriority w:val="0"/>
    <w:rPr>
      <w:b/>
    </w:rPr>
  </w:style>
  <w:style w:type="character" w:styleId="37">
    <w:name w:val="page number"/>
    <w:basedOn w:val="35"/>
    <w:uiPriority w:val="0"/>
  </w:style>
  <w:style w:type="character" w:styleId="38">
    <w:name w:val="FollowedHyperlink"/>
    <w:basedOn w:val="35"/>
    <w:qFormat/>
    <w:uiPriority w:val="0"/>
    <w:rPr>
      <w:color w:val="333333"/>
      <w:u w:val="none"/>
    </w:rPr>
  </w:style>
  <w:style w:type="character" w:styleId="39">
    <w:name w:val="Emphasis"/>
    <w:basedOn w:val="35"/>
    <w:qFormat/>
    <w:uiPriority w:val="0"/>
  </w:style>
  <w:style w:type="character" w:styleId="40">
    <w:name w:val="HTML Definition"/>
    <w:basedOn w:val="35"/>
    <w:qFormat/>
    <w:uiPriority w:val="0"/>
  </w:style>
  <w:style w:type="character" w:styleId="41">
    <w:name w:val="HTML Variable"/>
    <w:basedOn w:val="35"/>
    <w:qFormat/>
    <w:uiPriority w:val="0"/>
  </w:style>
  <w:style w:type="character" w:styleId="42">
    <w:name w:val="Hyperlink"/>
    <w:basedOn w:val="35"/>
    <w:unhideWhenUsed/>
    <w:qFormat/>
    <w:uiPriority w:val="99"/>
    <w:rPr>
      <w:color w:val="0000FF" w:themeColor="hyperlink"/>
      <w:u w:val="single"/>
    </w:rPr>
  </w:style>
  <w:style w:type="character" w:styleId="43">
    <w:name w:val="HTML Code"/>
    <w:basedOn w:val="35"/>
    <w:uiPriority w:val="0"/>
    <w:rPr>
      <w:rFonts w:hint="default" w:ascii="monospace" w:hAnsi="monospace" w:eastAsia="monospace" w:cs="monospace"/>
      <w:sz w:val="21"/>
      <w:szCs w:val="21"/>
    </w:rPr>
  </w:style>
  <w:style w:type="character" w:styleId="44">
    <w:name w:val="annotation reference"/>
    <w:basedOn w:val="35"/>
    <w:unhideWhenUsed/>
    <w:qFormat/>
    <w:uiPriority w:val="0"/>
    <w:rPr>
      <w:sz w:val="21"/>
      <w:szCs w:val="21"/>
    </w:rPr>
  </w:style>
  <w:style w:type="character" w:styleId="45">
    <w:name w:val="HTML Cite"/>
    <w:basedOn w:val="35"/>
    <w:uiPriority w:val="0"/>
  </w:style>
  <w:style w:type="character" w:styleId="46">
    <w:name w:val="HTML Keyboard"/>
    <w:basedOn w:val="35"/>
    <w:uiPriority w:val="0"/>
    <w:rPr>
      <w:rFonts w:ascii="monospace" w:hAnsi="monospace" w:eastAsia="monospace" w:cs="monospace"/>
      <w:sz w:val="21"/>
      <w:szCs w:val="21"/>
    </w:rPr>
  </w:style>
  <w:style w:type="character" w:styleId="47">
    <w:name w:val="HTML Sample"/>
    <w:basedOn w:val="35"/>
    <w:qFormat/>
    <w:uiPriority w:val="0"/>
    <w:rPr>
      <w:rFonts w:hint="default" w:ascii="monospace" w:hAnsi="monospace" w:eastAsia="monospace" w:cs="monospace"/>
      <w:sz w:val="21"/>
      <w:szCs w:val="21"/>
    </w:rPr>
  </w:style>
  <w:style w:type="character" w:customStyle="1" w:styleId="48">
    <w:name w:val="标题 2 Char"/>
    <w:basedOn w:val="35"/>
    <w:link w:val="3"/>
    <w:qFormat/>
    <w:uiPriority w:val="0"/>
    <w:rPr>
      <w:rFonts w:eastAsia="楷体_GB2312" w:asciiTheme="majorHAnsi" w:hAnsiTheme="majorHAnsi" w:cstheme="majorBidi"/>
      <w:b/>
      <w:bCs/>
      <w:sz w:val="30"/>
      <w:szCs w:val="32"/>
    </w:rPr>
  </w:style>
  <w:style w:type="character" w:customStyle="1" w:styleId="49">
    <w:name w:val="标题 1 Char"/>
    <w:basedOn w:val="35"/>
    <w:link w:val="2"/>
    <w:qFormat/>
    <w:uiPriority w:val="0"/>
    <w:rPr>
      <w:rFonts w:eastAsia="楷体_GB2312"/>
      <w:b/>
      <w:bCs/>
      <w:kern w:val="44"/>
      <w:sz w:val="32"/>
      <w:szCs w:val="44"/>
    </w:rPr>
  </w:style>
  <w:style w:type="character" w:customStyle="1" w:styleId="50">
    <w:name w:val="标题 3 Char"/>
    <w:basedOn w:val="35"/>
    <w:link w:val="4"/>
    <w:qFormat/>
    <w:uiPriority w:val="0"/>
    <w:rPr>
      <w:rFonts w:eastAsia="楷体_GB2312"/>
      <w:b/>
      <w:bCs/>
      <w:sz w:val="28"/>
      <w:szCs w:val="32"/>
    </w:rPr>
  </w:style>
  <w:style w:type="paragraph" w:customStyle="1" w:styleId="51">
    <w:name w:val="图"/>
    <w:basedOn w:val="8"/>
    <w:link w:val="52"/>
    <w:qFormat/>
    <w:uiPriority w:val="0"/>
    <w:pPr>
      <w:spacing w:line="240" w:lineRule="auto"/>
      <w:jc w:val="center"/>
    </w:pPr>
    <w:rPr>
      <w:rFonts w:ascii="Arial" w:hAnsi="Arial" w:cs="Arial"/>
    </w:rPr>
  </w:style>
  <w:style w:type="character" w:customStyle="1" w:styleId="52">
    <w:name w:val="图 Char"/>
    <w:basedOn w:val="35"/>
    <w:link w:val="51"/>
    <w:uiPriority w:val="0"/>
    <w:rPr>
      <w:rFonts w:ascii="Arial" w:hAnsi="Arial" w:eastAsia="黑体" w:cs="Arial"/>
      <w:kern w:val="2"/>
    </w:rPr>
  </w:style>
  <w:style w:type="character" w:customStyle="1" w:styleId="53">
    <w:name w:val="页眉 Char"/>
    <w:basedOn w:val="35"/>
    <w:link w:val="21"/>
    <w:qFormat/>
    <w:uiPriority w:val="99"/>
    <w:rPr>
      <w:sz w:val="18"/>
      <w:szCs w:val="18"/>
    </w:rPr>
  </w:style>
  <w:style w:type="character" w:customStyle="1" w:styleId="54">
    <w:name w:val="页脚 Char"/>
    <w:basedOn w:val="35"/>
    <w:link w:val="20"/>
    <w:qFormat/>
    <w:uiPriority w:val="99"/>
    <w:rPr>
      <w:sz w:val="18"/>
      <w:szCs w:val="18"/>
    </w:rPr>
  </w:style>
  <w:style w:type="character" w:customStyle="1" w:styleId="55">
    <w:name w:val="标题 Char"/>
    <w:basedOn w:val="35"/>
    <w:link w:val="30"/>
    <w:qFormat/>
    <w:uiPriority w:val="10"/>
    <w:rPr>
      <w:rFonts w:eastAsia="楷体_GB2312" w:asciiTheme="majorHAnsi" w:hAnsiTheme="majorHAnsi" w:cstheme="majorBidi"/>
      <w:b/>
      <w:bCs/>
      <w:sz w:val="28"/>
      <w:szCs w:val="32"/>
    </w:rPr>
  </w:style>
  <w:style w:type="character" w:customStyle="1" w:styleId="56">
    <w:name w:val="副标题 Char"/>
    <w:basedOn w:val="35"/>
    <w:link w:val="24"/>
    <w:qFormat/>
    <w:uiPriority w:val="0"/>
    <w:rPr>
      <w:rFonts w:eastAsia="楷体_GB2312" w:asciiTheme="majorHAnsi" w:hAnsiTheme="majorHAnsi" w:cstheme="majorBidi"/>
      <w:b/>
      <w:bCs/>
      <w:kern w:val="28"/>
      <w:sz w:val="24"/>
      <w:szCs w:val="32"/>
    </w:rPr>
  </w:style>
  <w:style w:type="character" w:customStyle="1" w:styleId="57">
    <w:name w:val="文档结构图 Char"/>
    <w:basedOn w:val="35"/>
    <w:link w:val="9"/>
    <w:qFormat/>
    <w:uiPriority w:val="0"/>
    <w:rPr>
      <w:rFonts w:ascii="宋体" w:eastAsia="宋体"/>
      <w:sz w:val="18"/>
      <w:szCs w:val="18"/>
    </w:rPr>
  </w:style>
  <w:style w:type="character" w:customStyle="1" w:styleId="58">
    <w:name w:val="标题 4 Char"/>
    <w:basedOn w:val="35"/>
    <w:link w:val="5"/>
    <w:qFormat/>
    <w:uiPriority w:val="9"/>
    <w:rPr>
      <w:rFonts w:eastAsia="楷体_GB2312" w:asciiTheme="majorHAnsi" w:hAnsiTheme="majorHAnsi" w:cstheme="majorBidi"/>
      <w:b/>
      <w:bCs/>
      <w:sz w:val="24"/>
      <w:szCs w:val="28"/>
    </w:rPr>
  </w:style>
  <w:style w:type="character" w:customStyle="1" w:styleId="59">
    <w:name w:val="标题 5 Char"/>
    <w:basedOn w:val="35"/>
    <w:link w:val="6"/>
    <w:qFormat/>
    <w:uiPriority w:val="9"/>
    <w:rPr>
      <w:b/>
      <w:bCs/>
      <w:sz w:val="28"/>
      <w:szCs w:val="28"/>
    </w:rPr>
  </w:style>
  <w:style w:type="paragraph" w:customStyle="1" w:styleId="60">
    <w:name w:val="列出段落1"/>
    <w:basedOn w:val="1"/>
    <w:qFormat/>
    <w:uiPriority w:val="34"/>
    <w:pPr>
      <w:ind w:firstLine="420" w:firstLineChars="200"/>
    </w:pPr>
  </w:style>
  <w:style w:type="character" w:customStyle="1" w:styleId="61">
    <w:name w:val="表格文字 Char"/>
    <w:basedOn w:val="35"/>
    <w:link w:val="62"/>
    <w:qFormat/>
    <w:uiPriority w:val="0"/>
    <w:rPr>
      <w:rFonts w:ascii="Times New Roman" w:hAnsi="Times New Roman" w:eastAsia="宋体" w:cs="Times New Roman"/>
      <w:kern w:val="0"/>
      <w:sz w:val="24"/>
      <w:szCs w:val="20"/>
    </w:rPr>
  </w:style>
  <w:style w:type="paragraph" w:customStyle="1" w:styleId="62">
    <w:name w:val="表格文字"/>
    <w:basedOn w:val="1"/>
    <w:link w:val="61"/>
    <w:qFormat/>
    <w:uiPriority w:val="0"/>
    <w:pPr>
      <w:adjustRightInd w:val="0"/>
      <w:snapToGrid w:val="0"/>
      <w:spacing w:line="240" w:lineRule="auto"/>
      <w:jc w:val="center"/>
    </w:pPr>
    <w:rPr>
      <w:rFonts w:ascii="Times New Roman" w:hAnsi="Times New Roman" w:eastAsia="宋体" w:cs="Times New Roman"/>
      <w:kern w:val="0"/>
      <w:szCs w:val="20"/>
    </w:rPr>
  </w:style>
  <w:style w:type="character" w:customStyle="1" w:styleId="63">
    <w:name w:val="正文文本 Char"/>
    <w:basedOn w:val="35"/>
    <w:link w:val="11"/>
    <w:qFormat/>
    <w:uiPriority w:val="99"/>
    <w:rPr>
      <w:sz w:val="24"/>
    </w:rPr>
  </w:style>
  <w:style w:type="character" w:customStyle="1" w:styleId="64">
    <w:name w:val="正文首行缩进 Char"/>
    <w:basedOn w:val="63"/>
    <w:link w:val="32"/>
    <w:qFormat/>
    <w:uiPriority w:val="99"/>
    <w:rPr>
      <w:sz w:val="24"/>
    </w:rPr>
  </w:style>
  <w:style w:type="paragraph" w:customStyle="1" w:styleId="65">
    <w:name w:val="表格"/>
    <w:basedOn w:val="1"/>
    <w:qFormat/>
    <w:uiPriority w:val="0"/>
    <w:pPr>
      <w:spacing w:line="240" w:lineRule="auto"/>
      <w:jc w:val="center"/>
    </w:pPr>
    <w:rPr>
      <w:rFonts w:ascii="宋体" w:hAnsi="宋体" w:eastAsia="宋体" w:cs="宋体"/>
      <w:sz w:val="21"/>
      <w:szCs w:val="20"/>
    </w:rPr>
  </w:style>
  <w:style w:type="paragraph" w:customStyle="1" w:styleId="66">
    <w:name w:val="Char Char Char Char Char Char Char Char Char"/>
    <w:basedOn w:val="1"/>
    <w:qFormat/>
    <w:uiPriority w:val="0"/>
    <w:pPr>
      <w:spacing w:line="240" w:lineRule="auto"/>
      <w:jc w:val="both"/>
    </w:pPr>
    <w:rPr>
      <w:rFonts w:ascii="Times New Roman" w:hAnsi="Times New Roman" w:eastAsia="宋体" w:cs="Times New Roman"/>
      <w:sz w:val="30"/>
      <w:szCs w:val="20"/>
    </w:rPr>
  </w:style>
  <w:style w:type="paragraph" w:customStyle="1" w:styleId="67">
    <w:name w:val="样式 楷体_GB2312 小四 左 右侧:  0.08 厘米 行距: 1.5 倍行距"/>
    <w:basedOn w:val="1"/>
    <w:qFormat/>
    <w:uiPriority w:val="0"/>
    <w:pPr>
      <w:ind w:right="45" w:firstLine="480" w:firstLineChars="200"/>
    </w:pPr>
    <w:rPr>
      <w:rFonts w:ascii="楷体_GB2312" w:hAnsi="Calibri" w:eastAsia="宋体" w:cs="宋体"/>
      <w:szCs w:val="20"/>
    </w:rPr>
  </w:style>
  <w:style w:type="character" w:customStyle="1" w:styleId="68">
    <w:name w:val="批注框文本 Char"/>
    <w:basedOn w:val="35"/>
    <w:link w:val="19"/>
    <w:qFormat/>
    <w:uiPriority w:val="0"/>
    <w:rPr>
      <w:sz w:val="18"/>
      <w:szCs w:val="18"/>
    </w:rPr>
  </w:style>
  <w:style w:type="paragraph" w:customStyle="1" w:styleId="69">
    <w:name w:val="_Style 4"/>
    <w:basedOn w:val="1"/>
    <w:qFormat/>
    <w:uiPriority w:val="99"/>
    <w:pPr>
      <w:ind w:firstLine="420" w:firstLineChars="200"/>
    </w:pPr>
  </w:style>
  <w:style w:type="character" w:customStyle="1" w:styleId="70">
    <w:name w:val="批注文字 Char"/>
    <w:basedOn w:val="35"/>
    <w:link w:val="10"/>
    <w:qFormat/>
    <w:uiPriority w:val="0"/>
    <w:rPr>
      <w:kern w:val="2"/>
      <w:sz w:val="24"/>
      <w:szCs w:val="22"/>
    </w:rPr>
  </w:style>
  <w:style w:type="character" w:customStyle="1" w:styleId="71">
    <w:name w:val="批注主题 Char"/>
    <w:basedOn w:val="70"/>
    <w:link w:val="31"/>
    <w:qFormat/>
    <w:uiPriority w:val="0"/>
    <w:rPr>
      <w:kern w:val="2"/>
      <w:sz w:val="24"/>
      <w:szCs w:val="22"/>
    </w:rPr>
  </w:style>
  <w:style w:type="paragraph" w:customStyle="1" w:styleId="72">
    <w:name w:val="列出段落2"/>
    <w:basedOn w:val="1"/>
    <w:qFormat/>
    <w:uiPriority w:val="34"/>
    <w:pPr>
      <w:spacing w:line="240" w:lineRule="auto"/>
      <w:ind w:firstLine="420" w:firstLineChars="200"/>
      <w:jc w:val="both"/>
    </w:pPr>
    <w:rPr>
      <w:rFonts w:ascii="Calibri" w:hAnsi="Calibri" w:eastAsia="宋体" w:cs="Times New Roman"/>
      <w:sz w:val="21"/>
    </w:rPr>
  </w:style>
  <w:style w:type="paragraph" w:customStyle="1" w:styleId="73">
    <w:name w:val="正文（布）"/>
    <w:basedOn w:val="1"/>
    <w:link w:val="74"/>
    <w:qFormat/>
    <w:uiPriority w:val="0"/>
    <w:pPr>
      <w:spacing w:line="520" w:lineRule="exact"/>
      <w:ind w:firstLine="200" w:firstLineChars="200"/>
      <w:jc w:val="both"/>
    </w:pPr>
    <w:rPr>
      <w:rFonts w:ascii="Times New Roman" w:hAnsi="Times New Roman" w:eastAsia="仿宋_GB2312" w:cs="Times New Roman"/>
      <w:sz w:val="28"/>
      <w:szCs w:val="28"/>
    </w:rPr>
  </w:style>
  <w:style w:type="character" w:customStyle="1" w:styleId="74">
    <w:name w:val="正文（布） Char"/>
    <w:basedOn w:val="35"/>
    <w:link w:val="73"/>
    <w:qFormat/>
    <w:uiPriority w:val="0"/>
    <w:rPr>
      <w:rFonts w:ascii="Times New Roman" w:hAnsi="Times New Roman" w:eastAsia="仿宋_GB2312" w:cs="Times New Roman"/>
      <w:kern w:val="2"/>
      <w:sz w:val="28"/>
      <w:szCs w:val="28"/>
    </w:rPr>
  </w:style>
  <w:style w:type="character" w:customStyle="1" w:styleId="75">
    <w:name w:val="font41"/>
    <w:basedOn w:val="35"/>
    <w:qFormat/>
    <w:uiPriority w:val="0"/>
    <w:rPr>
      <w:rFonts w:hint="eastAsia" w:ascii="宋体" w:hAnsi="宋体" w:eastAsia="宋体" w:cs="宋体"/>
      <w:color w:val="000000"/>
      <w:sz w:val="18"/>
      <w:szCs w:val="18"/>
      <w:u w:val="none"/>
    </w:rPr>
  </w:style>
  <w:style w:type="character" w:customStyle="1" w:styleId="76">
    <w:name w:val="font31"/>
    <w:basedOn w:val="35"/>
    <w:qFormat/>
    <w:uiPriority w:val="0"/>
    <w:rPr>
      <w:rFonts w:hint="default" w:ascii="Times New Roman" w:hAnsi="Times New Roman" w:cs="Times New Roman"/>
      <w:color w:val="000000"/>
      <w:sz w:val="18"/>
      <w:szCs w:val="18"/>
      <w:u w:val="none"/>
    </w:rPr>
  </w:style>
  <w:style w:type="character" w:customStyle="1" w:styleId="77">
    <w:name w:val="font01"/>
    <w:basedOn w:val="35"/>
    <w:qFormat/>
    <w:uiPriority w:val="0"/>
    <w:rPr>
      <w:rFonts w:hint="default" w:ascii="Times New Roman" w:hAnsi="Times New Roman" w:cs="Times New Roman"/>
      <w:color w:val="000000"/>
      <w:sz w:val="21"/>
      <w:szCs w:val="21"/>
      <w:u w:val="none"/>
    </w:rPr>
  </w:style>
  <w:style w:type="character" w:customStyle="1" w:styleId="78">
    <w:name w:val="font21"/>
    <w:basedOn w:val="35"/>
    <w:qFormat/>
    <w:uiPriority w:val="0"/>
    <w:rPr>
      <w:rFonts w:hint="eastAsia" w:ascii="宋体" w:hAnsi="宋体" w:eastAsia="宋体" w:cs="宋体"/>
      <w:color w:val="000000"/>
      <w:sz w:val="21"/>
      <w:szCs w:val="21"/>
      <w:u w:val="none"/>
    </w:rPr>
  </w:style>
  <w:style w:type="character" w:customStyle="1" w:styleId="79">
    <w:name w:val="正文文本缩进 Char"/>
    <w:basedOn w:val="35"/>
    <w:link w:val="12"/>
    <w:semiHidden/>
    <w:uiPriority w:val="99"/>
    <w:rPr>
      <w:kern w:val="2"/>
      <w:sz w:val="24"/>
      <w:szCs w:val="22"/>
    </w:rPr>
  </w:style>
  <w:style w:type="paragraph" w:styleId="80">
    <w:name w:val="List Paragraph"/>
    <w:basedOn w:val="1"/>
    <w:qFormat/>
    <w:uiPriority w:val="99"/>
    <w:pPr>
      <w:spacing w:line="240" w:lineRule="auto"/>
      <w:ind w:firstLine="420" w:firstLineChars="200"/>
      <w:jc w:val="both"/>
    </w:pPr>
    <w:rPr>
      <w:rFonts w:ascii="Calibri" w:hAnsi="Calibri" w:eastAsia="宋体" w:cs="Times New Roman"/>
      <w:sz w:val="21"/>
    </w:rPr>
  </w:style>
  <w:style w:type="character" w:customStyle="1" w:styleId="81">
    <w:name w:val="正文文本缩进 2 Char"/>
    <w:basedOn w:val="35"/>
    <w:link w:val="18"/>
    <w:uiPriority w:val="0"/>
    <w:rPr>
      <w:rFonts w:ascii="Calibri" w:hAnsi="Calibri" w:eastAsia="宋体" w:cs="Times New Roman"/>
      <w:kern w:val="2"/>
      <w:sz w:val="21"/>
      <w:szCs w:val="22"/>
    </w:rPr>
  </w:style>
  <w:style w:type="character" w:customStyle="1" w:styleId="82">
    <w:name w:val="bds_more"/>
    <w:basedOn w:val="35"/>
    <w:qFormat/>
    <w:uiPriority w:val="0"/>
  </w:style>
  <w:style w:type="character" w:customStyle="1" w:styleId="83">
    <w:name w:val="bds_more1"/>
    <w:basedOn w:val="35"/>
    <w:uiPriority w:val="0"/>
    <w:rPr>
      <w:rFonts w:hint="eastAsia" w:ascii="宋体" w:hAnsi="宋体" w:eastAsia="宋体" w:cs="宋体"/>
    </w:rPr>
  </w:style>
  <w:style w:type="character" w:customStyle="1" w:styleId="84">
    <w:name w:val="bds_more2"/>
    <w:basedOn w:val="35"/>
    <w:qFormat/>
    <w:uiPriority w:val="0"/>
  </w:style>
  <w:style w:type="character" w:customStyle="1" w:styleId="85">
    <w:name w:val="bds_nopic"/>
    <w:basedOn w:val="35"/>
    <w:uiPriority w:val="0"/>
  </w:style>
  <w:style w:type="character" w:customStyle="1" w:styleId="86">
    <w:name w:val="bds_nopic1"/>
    <w:basedOn w:val="35"/>
    <w:qFormat/>
    <w:uiPriority w:val="0"/>
  </w:style>
  <w:style w:type="character" w:customStyle="1" w:styleId="87">
    <w:name w:val="bds_nopic2"/>
    <w:basedOn w:val="35"/>
    <w:qFormat/>
    <w:uiPriority w:val="0"/>
  </w:style>
  <w:style w:type="character" w:customStyle="1" w:styleId="88">
    <w:name w:val="fontborder"/>
    <w:basedOn w:val="35"/>
    <w:qFormat/>
    <w:uiPriority w:val="0"/>
    <w:rPr>
      <w:bdr w:val="single" w:color="000000" w:sz="6" w:space="0"/>
    </w:rPr>
  </w:style>
  <w:style w:type="character" w:customStyle="1" w:styleId="89">
    <w:name w:val="fontstrikethrough"/>
    <w:basedOn w:val="35"/>
    <w:uiPriority w:val="0"/>
    <w:rPr>
      <w:strike/>
    </w:rPr>
  </w:style>
  <w:style w:type="paragraph" w:customStyle="1" w:styleId="90">
    <w:name w:val="_Style 1"/>
    <w:basedOn w:val="1"/>
    <w:qFormat/>
    <w:uiPriority w:val="99"/>
    <w:pPr>
      <w:spacing w:line="240" w:lineRule="auto"/>
      <w:ind w:firstLine="420" w:firstLineChars="200"/>
      <w:jc w:val="both"/>
    </w:pPr>
    <w:rPr>
      <w:sz w:val="21"/>
      <w:szCs w:val="24"/>
    </w:rPr>
  </w:style>
  <w:style w:type="paragraph" w:customStyle="1" w:styleId="91">
    <w:name w:val="列出段落11"/>
    <w:basedOn w:val="1"/>
    <w:qFormat/>
    <w:uiPriority w:val="34"/>
    <w:pPr>
      <w:widowControl/>
      <w:ind w:firstLine="420" w:firstLineChars="200"/>
      <w:jc w:val="both"/>
    </w:pPr>
    <w:rPr>
      <w:rFonts w:ascii="Times New Roman" w:hAnsi="Times New Roman" w:eastAsia="宋体" w:cs="Times New Roman"/>
      <w:sz w:val="21"/>
      <w:szCs w:val="24"/>
    </w:rPr>
  </w:style>
  <w:style w:type="character" w:customStyle="1" w:styleId="92">
    <w:name w:val="副标题 Char1"/>
    <w:basedOn w:val="35"/>
    <w:uiPriority w:val="11"/>
    <w:rPr>
      <w:rFonts w:asciiTheme="majorHAnsi" w:hAnsiTheme="majorHAnsi" w:cstheme="majorBidi"/>
      <w:b/>
      <w:bCs/>
      <w:kern w:val="28"/>
      <w:sz w:val="32"/>
      <w:szCs w:val="32"/>
    </w:rPr>
  </w:style>
  <w:style w:type="character" w:customStyle="1" w:styleId="93">
    <w:name w:val="批注文字 Char1"/>
    <w:basedOn w:val="35"/>
    <w:uiPriority w:val="99"/>
    <w:rPr>
      <w:rFonts w:asciiTheme="minorHAnsi" w:hAnsiTheme="minorHAnsi" w:eastAsiaTheme="minorEastAsia" w:cstheme="minorBidi"/>
      <w:kern w:val="2"/>
      <w:sz w:val="21"/>
      <w:szCs w:val="24"/>
    </w:rPr>
  </w:style>
  <w:style w:type="character" w:customStyle="1" w:styleId="94">
    <w:name w:val="批注主题 Char1"/>
    <w:basedOn w:val="93"/>
    <w:uiPriority w:val="99"/>
    <w:rPr>
      <w:rFonts w:asciiTheme="minorHAnsi" w:hAnsiTheme="minorHAnsi" w:eastAsiaTheme="minorEastAsia" w:cstheme="minorBidi"/>
      <w:b/>
      <w:bCs/>
      <w:kern w:val="2"/>
      <w:sz w:val="21"/>
      <w:szCs w:val="24"/>
    </w:rPr>
  </w:style>
  <w:style w:type="character" w:customStyle="1" w:styleId="95">
    <w:name w:val="纯文本 Char"/>
    <w:basedOn w:val="35"/>
    <w:link w:val="15"/>
    <w:qFormat/>
    <w:uiPriority w:val="0"/>
    <w:rPr>
      <w:rFonts w:ascii="宋体" w:hAnsi="Courier New"/>
    </w:rPr>
  </w:style>
  <w:style w:type="character" w:customStyle="1" w:styleId="96">
    <w:name w:val="纯文本 Char1"/>
    <w:basedOn w:val="35"/>
    <w:qFormat/>
    <w:uiPriority w:val="99"/>
    <w:rPr>
      <w:rFonts w:ascii="宋体" w:hAnsi="Courier New" w:eastAsia="宋体" w:cs="Courier New"/>
      <w:kern w:val="2"/>
      <w:sz w:val="21"/>
      <w:szCs w:val="21"/>
    </w:rPr>
  </w:style>
  <w:style w:type="character" w:customStyle="1" w:styleId="97">
    <w:name w:val="段落 Char1 Char Char"/>
    <w:link w:val="98"/>
    <w:uiPriority w:val="0"/>
    <w:rPr>
      <w:rFonts w:hAnsi="宋体"/>
      <w:bCs/>
      <w:color w:val="000000"/>
      <w:spacing w:val="6"/>
      <w:sz w:val="24"/>
      <w:szCs w:val="28"/>
    </w:rPr>
  </w:style>
  <w:style w:type="paragraph" w:customStyle="1" w:styleId="98">
    <w:name w:val="段落 Char1"/>
    <w:basedOn w:val="1"/>
    <w:link w:val="97"/>
    <w:uiPriority w:val="0"/>
    <w:pPr>
      <w:tabs>
        <w:tab w:val="left" w:pos="1021"/>
      </w:tabs>
      <w:ind w:firstLine="504" w:firstLineChars="200"/>
      <w:jc w:val="both"/>
    </w:pPr>
    <w:rPr>
      <w:rFonts w:hAnsi="宋体"/>
      <w:bCs/>
      <w:color w:val="000000"/>
      <w:spacing w:val="6"/>
      <w:kern w:val="0"/>
      <w:szCs w:val="28"/>
    </w:rPr>
  </w:style>
  <w:style w:type="character" w:customStyle="1" w:styleId="99">
    <w:name w:val="日期 Char"/>
    <w:basedOn w:val="35"/>
    <w:link w:val="17"/>
    <w:uiPriority w:val="0"/>
    <w:rPr>
      <w:rFonts w:ascii="宋体"/>
      <w:w w:val="90"/>
      <w:sz w:val="28"/>
    </w:rPr>
  </w:style>
  <w:style w:type="character" w:customStyle="1" w:styleId="100">
    <w:name w:val="日期 Char1"/>
    <w:basedOn w:val="35"/>
    <w:uiPriority w:val="99"/>
    <w:rPr>
      <w:kern w:val="2"/>
      <w:sz w:val="24"/>
      <w:szCs w:val="22"/>
    </w:rPr>
  </w:style>
  <w:style w:type="character" w:customStyle="1" w:styleId="101">
    <w:name w:val="文档结构图 Char1"/>
    <w:basedOn w:val="35"/>
    <w:uiPriority w:val="99"/>
    <w:rPr>
      <w:rFonts w:ascii="宋体" w:hAnsiTheme="minorHAnsi" w:cstheme="minorBidi"/>
      <w:kern w:val="2"/>
      <w:sz w:val="18"/>
      <w:szCs w:val="18"/>
    </w:rPr>
  </w:style>
  <w:style w:type="paragraph" w:customStyle="1" w:styleId="102">
    <w:name w:val="样式 (中文) 楷体_GB2312 小四 行距: 1.5 倍行距1"/>
    <w:basedOn w:val="1"/>
    <w:next w:val="1"/>
    <w:qFormat/>
    <w:uiPriority w:val="0"/>
    <w:pPr>
      <w:ind w:firstLine="480" w:firstLineChars="200"/>
      <w:jc w:val="both"/>
    </w:pPr>
    <w:rPr>
      <w:rFonts w:ascii="Times New Roman" w:hAnsi="Times New Roman" w:eastAsia="楷体_GB2312" w:cs="宋体"/>
      <w:szCs w:val="24"/>
    </w:rPr>
  </w:style>
  <w:style w:type="paragraph" w:customStyle="1" w:styleId="103">
    <w:name w:val="TOC Heading"/>
    <w:basedOn w:val="2"/>
    <w:next w:val="1"/>
    <w:qFormat/>
    <w:uiPriority w:val="39"/>
    <w:pPr>
      <w:keepNext/>
      <w:keepLines/>
      <w:widowControl/>
      <w:spacing w:before="480" w:line="276" w:lineRule="auto"/>
      <w:jc w:val="left"/>
      <w:outlineLvl w:val="9"/>
    </w:pPr>
    <w:rPr>
      <w:rFonts w:ascii="Cambria" w:hAnsi="Cambria" w:eastAsia="宋体" w:cs="Times New Roman"/>
      <w:color w:val="365F91"/>
      <w:kern w:val="0"/>
      <w:sz w:val="28"/>
      <w:szCs w:val="28"/>
    </w:rPr>
  </w:style>
  <w:style w:type="paragraph" w:customStyle="1" w:styleId="104">
    <w:name w:val="大表内容"/>
    <w:uiPriority w:val="0"/>
    <w:pPr>
      <w:snapToGrid w:val="0"/>
      <w:jc w:val="center"/>
    </w:pPr>
    <w:rPr>
      <w:rFonts w:ascii="Times New Roman" w:hAnsi="Times New Roman" w:eastAsia="宋体" w:cs="Times New Roman"/>
      <w:sz w:val="21"/>
      <w:lang w:val="en-US" w:eastAsia="zh-CN" w:bidi="ar-SA"/>
    </w:rPr>
  </w:style>
  <w:style w:type="character" w:customStyle="1" w:styleId="105">
    <w:name w:val="HTML 预设格式 Char"/>
    <w:basedOn w:val="35"/>
    <w:link w:val="28"/>
    <w:uiPriority w:val="99"/>
    <w:rPr>
      <w:rFonts w:ascii="宋体" w:hAnsi="宋体" w:eastAsia="宋体" w:cs="宋体"/>
      <w:sz w:val="24"/>
      <w:szCs w:val="24"/>
    </w:rPr>
  </w:style>
  <w:style w:type="paragraph" w:customStyle="1" w:styleId="106">
    <w:name w:val="！正文"/>
    <w:basedOn w:val="1"/>
    <w:link w:val="107"/>
    <w:qFormat/>
    <w:uiPriority w:val="0"/>
    <w:pPr>
      <w:spacing w:line="240" w:lineRule="auto"/>
    </w:pPr>
    <w:rPr>
      <w:rFonts w:ascii="Times New Roman" w:hAnsi="Times New Roman" w:eastAsia="仿宋_GB2312" w:cs="Times New Roman"/>
      <w:sz w:val="28"/>
      <w:szCs w:val="28"/>
    </w:rPr>
  </w:style>
  <w:style w:type="character" w:customStyle="1" w:styleId="107">
    <w:name w:val="！正文 Char"/>
    <w:link w:val="106"/>
    <w:qFormat/>
    <w:uiPriority w:val="0"/>
    <w:rPr>
      <w:rFonts w:ascii="Times New Roman" w:hAnsi="Times New Roman" w:eastAsia="仿宋_GB2312" w:cs="Times New Roman"/>
      <w:kern w:val="2"/>
      <w:sz w:val="28"/>
      <w:szCs w:val="28"/>
    </w:rPr>
  </w:style>
  <w:style w:type="paragraph" w:customStyle="1" w:styleId="108">
    <w:name w:val="reader-word-layer"/>
    <w:basedOn w:val="1"/>
    <w:uiPriority w:val="0"/>
    <w:pPr>
      <w:widowControl/>
      <w:spacing w:before="100" w:beforeAutospacing="1" w:after="100" w:afterAutospacing="1" w:line="240" w:lineRule="auto"/>
    </w:pPr>
    <w:rPr>
      <w:rFonts w:ascii="宋体" w:hAnsi="宋体" w:eastAsia="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e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textRotate="1"/>
    <customShpInfo spid="_x0000_s2052" textRotate="1"/>
    <customShpInfo spid="_x0000_s2050"/>
    <customShpInfo spid="_x0000_s2049"/>
    <customShpInfo spid="_x0000_s1027"/>
    <customShpInfo spid="_x0000_s1028"/>
    <customShpInfo spid="_x0000_s1029"/>
    <customShpInfo spid="_x0000_s1030"/>
    <customShpInfo spid="_x0000_s1031"/>
    <customShpInfo spid="_x0000_s1026"/>
    <customShpInfo spid="_x0000_s1033"/>
    <customShpInfo spid="_x0000_s1034"/>
    <customShpInfo spid="_x0000_s1035"/>
    <customShpInfo spid="_x0000_s1036"/>
    <customShpInfo spid="_x0000_s1037"/>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AF73C5-9149-4F89-B0D0-B8B0006D2D4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5952</Words>
  <Characters>33930</Characters>
  <Lines>282</Lines>
  <Paragraphs>79</Paragraphs>
  <TotalTime>1</TotalTime>
  <ScaleCrop>false</ScaleCrop>
  <LinksUpToDate>false</LinksUpToDate>
  <CharactersWithSpaces>39803</CharactersWithSpaces>
  <Application>WPS Office_11.1.0.9058_F1E327BC-269C-435d-A152-05C5408002CA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2017-05-10T01:07:00Z</dcterms:created>
  <dc:creator>微软用户</dc:creator>
  <cp:lastModifiedBy>超人</cp:lastModifiedBy>
  <cp:lastPrinted>2019-09-06T01:15:04Z</cp:lastPrinted>
  <dcterms:modified xsi:type="dcterms:W3CDTF">2019-09-06T01:25:02Z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2052-11.1.0.9058</vt:lpwstr>
  </property>
</Properties>
</file>