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jc w:val="center"/>
        <w:rPr>
          <w:rFonts w:cs="Times New Roman"/>
          <w:sz w:val="44"/>
          <w:szCs w:val="44"/>
        </w:rPr>
      </w:pPr>
      <w:bookmarkStart w:id="0" w:name="_Toc39743381"/>
      <w:bookmarkStart w:id="1" w:name="_Toc39676545"/>
      <w:bookmarkStart w:id="2" w:name="_Toc39743308"/>
      <w:bookmarkStart w:id="3" w:name="_Toc39676761"/>
      <w:bookmarkStart w:id="4" w:name="_Toc39676992"/>
    </w:p>
    <w:p>
      <w:pPr>
        <w:spacing w:before="0" w:after="0"/>
        <w:jc w:val="center"/>
        <w:rPr>
          <w:rFonts w:cs="Times New Roman"/>
          <w:sz w:val="44"/>
          <w:szCs w:val="44"/>
        </w:rPr>
      </w:pPr>
    </w:p>
    <w:p>
      <w:pPr>
        <w:spacing w:before="0" w:after="0"/>
        <w:jc w:val="center"/>
        <w:rPr>
          <w:rFonts w:cs="Times New Roman"/>
          <w:sz w:val="44"/>
          <w:szCs w:val="44"/>
        </w:rPr>
      </w:pPr>
    </w:p>
    <w:p>
      <w:pPr>
        <w:spacing w:before="0" w:after="0"/>
        <w:jc w:val="center"/>
        <w:rPr>
          <w:rFonts w:cs="Times New Roman"/>
          <w:sz w:val="44"/>
          <w:szCs w:val="44"/>
        </w:rPr>
      </w:pPr>
    </w:p>
    <w:p>
      <w:pPr>
        <w:spacing w:before="0" w:after="0"/>
        <w:jc w:val="center"/>
        <w:rPr>
          <w:rFonts w:cs="Times New Roman"/>
          <w:sz w:val="44"/>
          <w:szCs w:val="44"/>
        </w:rPr>
      </w:pPr>
    </w:p>
    <w:p>
      <w:pPr>
        <w:spacing w:before="0" w:after="0"/>
        <w:jc w:val="center"/>
        <w:rPr>
          <w:rFonts w:cs="Times New Roman"/>
          <w:sz w:val="44"/>
          <w:szCs w:val="44"/>
        </w:rPr>
      </w:pPr>
      <w:r>
        <w:rPr>
          <w:rFonts w:hint="eastAsia" w:cs="Times New Roman"/>
          <w:sz w:val="44"/>
          <w:szCs w:val="44"/>
        </w:rPr>
        <w:t>益阳市2019年市级温室气体排放清单</w:t>
      </w:r>
    </w:p>
    <w:p>
      <w:pPr>
        <w:spacing w:before="0" w:after="0"/>
        <w:jc w:val="center"/>
        <w:rPr>
          <w:rFonts w:cs="Times New Roman"/>
          <w:sz w:val="44"/>
          <w:szCs w:val="44"/>
        </w:rPr>
      </w:pPr>
      <w:r>
        <w:rPr>
          <w:rFonts w:hint="eastAsia" w:cs="Times New Roman"/>
          <w:sz w:val="44"/>
          <w:szCs w:val="44"/>
        </w:rPr>
        <w:t>总报告</w:t>
      </w:r>
    </w:p>
    <w:p>
      <w:pPr>
        <w:spacing w:before="0" w:after="0"/>
        <w:jc w:val="center"/>
        <w:rPr>
          <w:rFonts w:cs="Times New Roman"/>
          <w:sz w:val="44"/>
          <w:szCs w:val="44"/>
        </w:rPr>
      </w:pPr>
    </w:p>
    <w:p>
      <w:pPr>
        <w:spacing w:before="0" w:after="0"/>
        <w:jc w:val="center"/>
        <w:rPr>
          <w:rFonts w:cs="Times New Roman"/>
          <w:sz w:val="44"/>
          <w:szCs w:val="44"/>
        </w:rPr>
      </w:pPr>
    </w:p>
    <w:p>
      <w:pPr>
        <w:spacing w:before="0" w:after="0"/>
        <w:jc w:val="center"/>
        <w:rPr>
          <w:rFonts w:cs="Times New Roman"/>
          <w:sz w:val="44"/>
          <w:szCs w:val="44"/>
        </w:rPr>
      </w:pPr>
    </w:p>
    <w:p>
      <w:pPr>
        <w:spacing w:before="0" w:after="0"/>
        <w:jc w:val="center"/>
        <w:rPr>
          <w:rFonts w:cs="Times New Roman"/>
          <w:sz w:val="44"/>
          <w:szCs w:val="44"/>
        </w:rPr>
      </w:pPr>
    </w:p>
    <w:p>
      <w:pPr>
        <w:spacing w:before="0" w:after="0"/>
        <w:jc w:val="center"/>
        <w:rPr>
          <w:rFonts w:cs="Times New Roman"/>
          <w:sz w:val="44"/>
          <w:szCs w:val="44"/>
        </w:rPr>
      </w:pPr>
    </w:p>
    <w:p>
      <w:pPr>
        <w:spacing w:before="0" w:after="0"/>
        <w:jc w:val="center"/>
        <w:rPr>
          <w:rFonts w:cs="Times New Roman"/>
          <w:sz w:val="44"/>
          <w:szCs w:val="44"/>
        </w:rPr>
      </w:pPr>
    </w:p>
    <w:p>
      <w:pPr>
        <w:spacing w:before="0" w:after="0"/>
        <w:jc w:val="center"/>
        <w:rPr>
          <w:rFonts w:cs="Times New Roman"/>
          <w:sz w:val="44"/>
          <w:szCs w:val="44"/>
        </w:rPr>
      </w:pPr>
    </w:p>
    <w:p>
      <w:pPr>
        <w:spacing w:before="0" w:after="0"/>
        <w:jc w:val="center"/>
        <w:rPr>
          <w:rFonts w:cs="Times New Roman"/>
          <w:sz w:val="44"/>
          <w:szCs w:val="44"/>
        </w:rPr>
      </w:pPr>
    </w:p>
    <w:p>
      <w:pPr>
        <w:spacing w:before="0" w:after="0"/>
        <w:jc w:val="center"/>
        <w:rPr>
          <w:rFonts w:cs="Times New Roman"/>
          <w:sz w:val="36"/>
          <w:szCs w:val="36"/>
        </w:rPr>
      </w:pPr>
      <w:r>
        <w:rPr>
          <w:rFonts w:cs="Times New Roman"/>
          <w:sz w:val="36"/>
          <w:szCs w:val="36"/>
        </w:rPr>
        <w:t>湖南省环境保护科学研究院</w:t>
      </w:r>
    </w:p>
    <w:p>
      <w:pPr>
        <w:spacing w:before="0" w:after="0"/>
        <w:jc w:val="center"/>
        <w:rPr>
          <w:rFonts w:cs="Times New Roman"/>
          <w:sz w:val="36"/>
          <w:szCs w:val="36"/>
        </w:rPr>
      </w:pPr>
      <w:r>
        <w:rPr>
          <w:rFonts w:cs="Times New Roman"/>
          <w:sz w:val="36"/>
          <w:szCs w:val="36"/>
        </w:rPr>
        <w:t>二〇二〇年</w:t>
      </w:r>
      <w:r>
        <w:rPr>
          <w:rFonts w:hint="eastAsia" w:cs="Times New Roman"/>
          <w:sz w:val="36"/>
          <w:szCs w:val="36"/>
        </w:rPr>
        <w:t>十二</w:t>
      </w:r>
      <w:r>
        <w:rPr>
          <w:rFonts w:cs="Times New Roman"/>
          <w:sz w:val="36"/>
          <w:szCs w:val="36"/>
        </w:rPr>
        <w:t>月</w:t>
      </w:r>
    </w:p>
    <w:p>
      <w:pPr>
        <w:spacing w:before="0" w:after="0"/>
        <w:jc w:val="center"/>
        <w:rPr>
          <w:rFonts w:cs="Times New Roman"/>
          <w:sz w:val="44"/>
          <w:szCs w:val="44"/>
        </w:rPr>
      </w:pPr>
    </w:p>
    <w:p>
      <w:pPr>
        <w:spacing w:before="0" w:after="0"/>
        <w:jc w:val="left"/>
        <w:rPr>
          <w:rFonts w:cs="Times New Roman"/>
          <w:sz w:val="36"/>
          <w:szCs w:val="36"/>
        </w:rPr>
        <w:sectPr>
          <w:footerReference r:id="rId5" w:type="first"/>
          <w:footerReference r:id="rId3" w:type="default"/>
          <w:footerReference r:id="rId4" w:type="even"/>
          <w:pgSz w:w="11906" w:h="16838"/>
          <w:pgMar w:top="1440" w:right="1800" w:bottom="1440" w:left="1800" w:header="851" w:footer="425" w:gutter="0"/>
          <w:cols w:space="425" w:num="1"/>
          <w:titlePg/>
          <w:docGrid w:type="lines" w:linePitch="326" w:charSpace="0"/>
        </w:sectPr>
      </w:pPr>
    </w:p>
    <w:p>
      <w:pPr>
        <w:spacing w:before="0" w:after="0"/>
        <w:jc w:val="left"/>
        <w:rPr>
          <w:rFonts w:cs="Times New Roman"/>
          <w:sz w:val="36"/>
          <w:szCs w:val="36"/>
        </w:rPr>
      </w:pPr>
      <w:r>
        <w:rPr>
          <w:rFonts w:hint="eastAsia" w:cs="Times New Roman"/>
          <w:sz w:val="36"/>
          <w:szCs w:val="36"/>
        </w:rPr>
        <w:t>课题总负责人：谭峥铮</w:t>
      </w:r>
    </w:p>
    <w:p>
      <w:pPr>
        <w:spacing w:before="0" w:after="0"/>
        <w:rPr>
          <w:rFonts w:cs="Times New Roman"/>
          <w:bCs/>
          <w:sz w:val="36"/>
          <w:szCs w:val="36"/>
        </w:rPr>
      </w:pPr>
      <w:r>
        <w:rPr>
          <w:rFonts w:hint="eastAsia" w:cs="Times New Roman"/>
          <w:sz w:val="36"/>
          <w:szCs w:val="36"/>
        </w:rPr>
        <w:t>参与人员：谭峥铮、李彩艳、</w:t>
      </w:r>
      <w:r>
        <w:rPr>
          <w:rFonts w:hint="eastAsia" w:cs="Times New Roman"/>
          <w:sz w:val="36"/>
          <w:szCs w:val="36"/>
          <w:lang w:val="en-US" w:eastAsia="zh-CN"/>
        </w:rPr>
        <w:t>肖疆俊、</w:t>
      </w:r>
      <w:bookmarkStart w:id="368" w:name="_GoBack"/>
      <w:bookmarkEnd w:id="368"/>
      <w:r>
        <w:rPr>
          <w:rFonts w:hint="eastAsia" w:cs="Times New Roman"/>
          <w:sz w:val="36"/>
          <w:szCs w:val="36"/>
        </w:rPr>
        <w:t>彭超超</w:t>
      </w:r>
    </w:p>
    <w:p>
      <w:pPr>
        <w:spacing w:before="0" w:after="0"/>
        <w:jc w:val="center"/>
        <w:rPr>
          <w:rFonts w:cs="Times New Roman"/>
          <w:sz w:val="36"/>
          <w:szCs w:val="36"/>
        </w:rPr>
      </w:pPr>
    </w:p>
    <w:p>
      <w:pPr>
        <w:spacing w:before="0" w:after="0"/>
        <w:jc w:val="center"/>
        <w:rPr>
          <w:rFonts w:cs="Times New Roman"/>
          <w:sz w:val="36"/>
          <w:szCs w:val="36"/>
        </w:rPr>
      </w:pPr>
    </w:p>
    <w:p>
      <w:pPr>
        <w:spacing w:before="0" w:after="0"/>
        <w:jc w:val="center"/>
        <w:rPr>
          <w:rFonts w:cs="Times New Roman"/>
          <w:sz w:val="36"/>
          <w:szCs w:val="36"/>
        </w:rPr>
      </w:pPr>
    </w:p>
    <w:p>
      <w:pPr>
        <w:spacing w:before="0" w:after="0"/>
        <w:jc w:val="center"/>
        <w:rPr>
          <w:rFonts w:cs="Times New Roman"/>
          <w:sz w:val="36"/>
          <w:szCs w:val="36"/>
        </w:rPr>
      </w:pPr>
    </w:p>
    <w:p>
      <w:pPr>
        <w:spacing w:before="0" w:after="0"/>
        <w:jc w:val="center"/>
        <w:rPr>
          <w:rFonts w:cs="Times New Roman"/>
          <w:sz w:val="36"/>
          <w:szCs w:val="36"/>
        </w:rPr>
      </w:pPr>
    </w:p>
    <w:p>
      <w:pPr>
        <w:spacing w:before="0" w:after="0"/>
        <w:jc w:val="center"/>
        <w:rPr>
          <w:rFonts w:cs="Times New Roman"/>
          <w:sz w:val="36"/>
          <w:szCs w:val="36"/>
        </w:rPr>
      </w:pPr>
    </w:p>
    <w:p>
      <w:pPr>
        <w:spacing w:before="0" w:after="0"/>
        <w:jc w:val="center"/>
        <w:rPr>
          <w:rFonts w:cs="Times New Roman"/>
          <w:sz w:val="36"/>
          <w:szCs w:val="36"/>
        </w:rPr>
      </w:pPr>
    </w:p>
    <w:p>
      <w:pPr>
        <w:spacing w:before="0" w:after="0"/>
        <w:jc w:val="center"/>
        <w:rPr>
          <w:rFonts w:cs="Times New Roman"/>
          <w:sz w:val="36"/>
          <w:szCs w:val="36"/>
        </w:rPr>
      </w:pPr>
    </w:p>
    <w:p>
      <w:pPr>
        <w:spacing w:before="0" w:after="0"/>
        <w:jc w:val="center"/>
        <w:rPr>
          <w:rFonts w:cs="Times New Roman"/>
          <w:sz w:val="36"/>
          <w:szCs w:val="36"/>
        </w:rPr>
      </w:pPr>
    </w:p>
    <w:p>
      <w:pPr>
        <w:spacing w:before="0" w:after="0"/>
        <w:jc w:val="center"/>
        <w:rPr>
          <w:rFonts w:cs="Times New Roman"/>
          <w:sz w:val="36"/>
          <w:szCs w:val="36"/>
        </w:rPr>
      </w:pPr>
    </w:p>
    <w:p>
      <w:pPr>
        <w:spacing w:before="0" w:after="0"/>
        <w:jc w:val="center"/>
        <w:rPr>
          <w:rFonts w:cs="Times New Roman"/>
          <w:sz w:val="36"/>
          <w:szCs w:val="36"/>
        </w:rPr>
      </w:pPr>
    </w:p>
    <w:p>
      <w:pPr>
        <w:spacing w:before="0" w:after="0"/>
        <w:jc w:val="center"/>
        <w:rPr>
          <w:rFonts w:cs="Times New Roman"/>
          <w:sz w:val="36"/>
          <w:szCs w:val="36"/>
        </w:rPr>
      </w:pPr>
    </w:p>
    <w:p>
      <w:pPr>
        <w:spacing w:before="0" w:after="0"/>
        <w:jc w:val="center"/>
        <w:rPr>
          <w:rFonts w:cs="Times New Roman"/>
          <w:sz w:val="36"/>
          <w:szCs w:val="36"/>
        </w:rPr>
      </w:pPr>
    </w:p>
    <w:p>
      <w:pPr>
        <w:spacing w:before="0" w:after="0"/>
        <w:jc w:val="center"/>
        <w:rPr>
          <w:rFonts w:cs="Times New Roman"/>
          <w:sz w:val="36"/>
          <w:szCs w:val="36"/>
        </w:rPr>
      </w:pPr>
    </w:p>
    <w:p>
      <w:pPr>
        <w:spacing w:before="0" w:after="0"/>
        <w:jc w:val="center"/>
        <w:rPr>
          <w:rFonts w:cs="Times New Roman"/>
          <w:sz w:val="36"/>
          <w:szCs w:val="36"/>
        </w:rPr>
      </w:pPr>
    </w:p>
    <w:p>
      <w:pPr>
        <w:spacing w:before="0" w:after="0"/>
        <w:jc w:val="center"/>
        <w:rPr>
          <w:rFonts w:cs="Times New Roman"/>
          <w:sz w:val="36"/>
          <w:szCs w:val="36"/>
        </w:rPr>
      </w:pPr>
    </w:p>
    <w:p>
      <w:pPr>
        <w:spacing w:before="0" w:after="0"/>
        <w:jc w:val="center"/>
        <w:rPr>
          <w:rFonts w:cs="Times New Roman"/>
          <w:sz w:val="36"/>
          <w:szCs w:val="36"/>
        </w:rPr>
      </w:pPr>
    </w:p>
    <w:p>
      <w:pPr>
        <w:spacing w:before="0" w:after="0"/>
        <w:jc w:val="center"/>
        <w:rPr>
          <w:rFonts w:cs="Times New Roman"/>
          <w:sz w:val="36"/>
          <w:szCs w:val="36"/>
        </w:rPr>
      </w:pPr>
    </w:p>
    <w:p>
      <w:pPr>
        <w:spacing w:before="0" w:after="0"/>
        <w:jc w:val="center"/>
        <w:rPr>
          <w:rFonts w:cs="Times New Roman"/>
          <w:sz w:val="36"/>
          <w:szCs w:val="36"/>
        </w:rPr>
        <w:sectPr>
          <w:pgSz w:w="11906" w:h="16838"/>
          <w:pgMar w:top="1440" w:right="1800" w:bottom="1440" w:left="1800" w:header="851" w:footer="425" w:gutter="0"/>
          <w:cols w:space="425" w:num="1"/>
          <w:titlePg/>
          <w:docGrid w:type="lines" w:linePitch="326" w:charSpace="0"/>
        </w:sectPr>
      </w:pPr>
    </w:p>
    <w:sdt>
      <w:sdtPr>
        <w:rPr>
          <w:rFonts w:cs="Times New Roman" w:eastAsiaTheme="minorEastAsia"/>
          <w:lang w:val="zh-CN"/>
        </w:rPr>
        <w:id w:val="-669332019"/>
        <w:docPartObj>
          <w:docPartGallery w:val="Table of Contents"/>
          <w:docPartUnique/>
        </w:docPartObj>
      </w:sdtPr>
      <w:sdtEndPr>
        <w:rPr>
          <w:rFonts w:cs="Times New Roman" w:eastAsiaTheme="minorEastAsia"/>
          <w:b/>
          <w:bCs/>
          <w:lang w:val="zh-CN"/>
        </w:rPr>
      </w:sdtEndPr>
      <w:sdtContent>
        <w:p>
          <w:pPr>
            <w:keepNext/>
            <w:keepLines/>
            <w:widowControl/>
            <w:spacing w:before="0" w:after="0" w:line="259" w:lineRule="auto"/>
            <w:jc w:val="center"/>
            <w:rPr>
              <w:rFonts w:cs="Times New Roman" w:eastAsiaTheme="minorEastAsia"/>
              <w:kern w:val="0"/>
              <w:sz w:val="32"/>
              <w:szCs w:val="32"/>
            </w:rPr>
          </w:pPr>
          <w:r>
            <w:rPr>
              <w:rFonts w:cs="Times New Roman" w:eastAsiaTheme="minorEastAsia"/>
              <w:kern w:val="0"/>
              <w:sz w:val="32"/>
              <w:szCs w:val="32"/>
              <w:lang w:val="zh-CN"/>
            </w:rPr>
            <w:t>目 录</w:t>
          </w:r>
        </w:p>
        <w:p>
          <w:pPr>
            <w:pStyle w:val="20"/>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rPr>
            <w:fldChar w:fldCharType="begin"/>
          </w:r>
          <w:r>
            <w:rPr>
              <w:rFonts w:cs="Times New Roman" w:eastAsiaTheme="minorEastAsia"/>
            </w:rPr>
            <w:instrText xml:space="preserve"> TOC \o "1-3" \h \z \u </w:instrText>
          </w:r>
          <w:r>
            <w:rPr>
              <w:rFonts w:cs="Times New Roman" w:eastAsiaTheme="minorEastAsia"/>
            </w:rPr>
            <w:fldChar w:fldCharType="separate"/>
          </w:r>
          <w:r>
            <w:rPr>
              <w:rFonts w:cs="Times New Roman" w:eastAsiaTheme="minorEastAsia"/>
            </w:rPr>
            <w:fldChar w:fldCharType="begin"/>
          </w:r>
          <w:r>
            <w:rPr>
              <w:rFonts w:cs="Times New Roman" w:eastAsiaTheme="minorEastAsia"/>
            </w:rPr>
            <w:instrText xml:space="preserve"> HYPERLINK \l _Toc4258 </w:instrText>
          </w:r>
          <w:r>
            <w:rPr>
              <w:rFonts w:cs="Times New Roman" w:eastAsiaTheme="minorEastAsia"/>
            </w:rPr>
            <w:fldChar w:fldCharType="separate"/>
          </w:r>
          <w:r>
            <w:rPr>
              <w:rFonts w:hint="default" w:ascii="Times New Roman" w:hAnsi="Times New Roman" w:eastAsia="黑体"/>
              <w:i w:val="0"/>
            </w:rPr>
            <w:t xml:space="preserve">1 </w:t>
          </w:r>
          <w:r>
            <w:t>概述</w:t>
          </w:r>
          <w:r>
            <w:tab/>
          </w:r>
          <w:r>
            <w:fldChar w:fldCharType="begin"/>
          </w:r>
          <w:r>
            <w:instrText xml:space="preserve"> PAGEREF _Toc4258 </w:instrText>
          </w:r>
          <w:r>
            <w:fldChar w:fldCharType="separate"/>
          </w:r>
          <w:r>
            <w:t>1</w:t>
          </w:r>
          <w:r>
            <w:fldChar w:fldCharType="end"/>
          </w:r>
          <w:r>
            <w:rPr>
              <w:rFonts w:cs="Times New Roman" w:eastAsiaTheme="minorEastAsia"/>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_Toc277 </w:instrText>
          </w:r>
          <w:r>
            <w:rPr>
              <w:rFonts w:cs="Times New Roman" w:eastAsiaTheme="minorEastAsia"/>
              <w:bCs/>
              <w:lang w:val="zh-CN"/>
            </w:rPr>
            <w:fldChar w:fldCharType="separate"/>
          </w:r>
          <w:r>
            <w:rPr>
              <w:rFonts w:hint="default" w:ascii="Times New Roman" w:hAnsi="Times New Roman" w:eastAsia="黑体"/>
              <w:i w:val="0"/>
            </w:rPr>
            <w:t xml:space="preserve">1.1 </w:t>
          </w:r>
          <w:r>
            <w:rPr>
              <w:rFonts w:hint="eastAsia"/>
            </w:rPr>
            <w:t>任务由来</w:t>
          </w:r>
          <w:r>
            <w:tab/>
          </w:r>
          <w:r>
            <w:fldChar w:fldCharType="begin"/>
          </w:r>
          <w:r>
            <w:instrText xml:space="preserve"> PAGEREF _Toc277 </w:instrText>
          </w:r>
          <w:r>
            <w:fldChar w:fldCharType="separate"/>
          </w:r>
          <w:r>
            <w:t>1</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_Toc26587 </w:instrText>
          </w:r>
          <w:r>
            <w:rPr>
              <w:rFonts w:cs="Times New Roman" w:eastAsiaTheme="minorEastAsia"/>
              <w:bCs/>
              <w:lang w:val="zh-CN"/>
            </w:rPr>
            <w:fldChar w:fldCharType="separate"/>
          </w:r>
          <w:r>
            <w:rPr>
              <w:rFonts w:hint="default" w:ascii="Times New Roman" w:hAnsi="Times New Roman" w:eastAsia="黑体"/>
              <w:i w:val="0"/>
            </w:rPr>
            <w:t xml:space="preserve">1.2 </w:t>
          </w:r>
          <w:r>
            <w:rPr>
              <w:rFonts w:hint="eastAsia"/>
            </w:rPr>
            <w:t>报告范围</w:t>
          </w:r>
          <w:r>
            <w:tab/>
          </w:r>
          <w:r>
            <w:fldChar w:fldCharType="begin"/>
          </w:r>
          <w:r>
            <w:instrText xml:space="preserve"> PAGEREF _Toc26587 </w:instrText>
          </w:r>
          <w:r>
            <w:fldChar w:fldCharType="separate"/>
          </w:r>
          <w:r>
            <w:t>1</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_Toc24920 </w:instrText>
          </w:r>
          <w:r>
            <w:rPr>
              <w:rFonts w:cs="Times New Roman" w:eastAsiaTheme="minorEastAsia"/>
              <w:bCs/>
              <w:lang w:val="zh-CN"/>
            </w:rPr>
            <w:fldChar w:fldCharType="separate"/>
          </w:r>
          <w:r>
            <w:rPr>
              <w:rFonts w:hint="default" w:ascii="Times New Roman" w:hAnsi="Times New Roman" w:eastAsia="黑体"/>
              <w:i w:val="0"/>
            </w:rPr>
            <w:t xml:space="preserve">1.3 </w:t>
          </w:r>
          <w:r>
            <w:rPr>
              <w:rFonts w:hint="eastAsia"/>
            </w:rPr>
            <w:t>编制方法</w:t>
          </w:r>
          <w:r>
            <w:tab/>
          </w:r>
          <w:r>
            <w:fldChar w:fldCharType="begin"/>
          </w:r>
          <w:r>
            <w:instrText xml:space="preserve"> PAGEREF _Toc24920 </w:instrText>
          </w:r>
          <w:r>
            <w:fldChar w:fldCharType="separate"/>
          </w:r>
          <w:r>
            <w:t>2</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_Toc10464 </w:instrText>
          </w:r>
          <w:r>
            <w:rPr>
              <w:rFonts w:cs="Times New Roman" w:eastAsiaTheme="minorEastAsia"/>
              <w:bCs/>
              <w:lang w:val="zh-CN"/>
            </w:rPr>
            <w:fldChar w:fldCharType="separate"/>
          </w:r>
          <w:r>
            <w:rPr>
              <w:rFonts w:hint="default" w:ascii="Times New Roman" w:hAnsi="Times New Roman" w:eastAsia="黑体"/>
              <w:i w:val="0"/>
            </w:rPr>
            <w:t xml:space="preserve">1.4 </w:t>
          </w:r>
          <w:r>
            <w:rPr>
              <w:rFonts w:hint="eastAsia"/>
            </w:rPr>
            <w:t>市级温室气体清单汇总</w:t>
          </w:r>
          <w:r>
            <w:tab/>
          </w:r>
          <w:r>
            <w:fldChar w:fldCharType="begin"/>
          </w:r>
          <w:r>
            <w:instrText xml:space="preserve"> PAGEREF _Toc10464 </w:instrText>
          </w:r>
          <w:r>
            <w:fldChar w:fldCharType="separate"/>
          </w:r>
          <w:r>
            <w:t>2</w:t>
          </w:r>
          <w:r>
            <w:fldChar w:fldCharType="end"/>
          </w:r>
          <w:r>
            <w:rPr>
              <w:rFonts w:cs="Times New Roman" w:eastAsiaTheme="minorEastAsia"/>
              <w:bCs/>
              <w:lang w:val="zh-CN"/>
            </w:rP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_Toc15869 </w:instrText>
          </w:r>
          <w:r>
            <w:rPr>
              <w:rFonts w:cs="Times New Roman" w:eastAsiaTheme="minorEastAsia"/>
              <w:bCs/>
              <w:lang w:val="zh-CN"/>
            </w:rPr>
            <w:fldChar w:fldCharType="separate"/>
          </w:r>
          <w:r>
            <w:rPr>
              <w:rFonts w:hint="default" w:ascii="Times New Roman" w:hAnsi="Times New Roman" w:eastAsia="黑体"/>
              <w:i w:val="0"/>
            </w:rPr>
            <w:t xml:space="preserve">2 </w:t>
          </w:r>
          <w:r>
            <w:rPr>
              <w:rFonts w:hint="eastAsia"/>
            </w:rPr>
            <w:t>能源活动</w:t>
          </w:r>
          <w:r>
            <w:tab/>
          </w:r>
          <w:r>
            <w:fldChar w:fldCharType="begin"/>
          </w:r>
          <w:r>
            <w:instrText xml:space="preserve"> PAGEREF _Toc15869 </w:instrText>
          </w:r>
          <w:r>
            <w:fldChar w:fldCharType="separate"/>
          </w:r>
          <w:r>
            <w:t>4</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_Toc25717 </w:instrText>
          </w:r>
          <w:r>
            <w:rPr>
              <w:rFonts w:cs="Times New Roman" w:eastAsiaTheme="minorEastAsia"/>
              <w:bCs/>
              <w:lang w:val="zh-CN"/>
            </w:rPr>
            <w:fldChar w:fldCharType="separate"/>
          </w:r>
          <w:r>
            <w:rPr>
              <w:rFonts w:hint="default" w:ascii="Times New Roman" w:hAnsi="Times New Roman" w:eastAsia="黑体"/>
              <w:i w:val="0"/>
            </w:rPr>
            <w:t xml:space="preserve">2.1 </w:t>
          </w:r>
          <w:r>
            <w:rPr>
              <w:rFonts w:hint="eastAsia"/>
            </w:rPr>
            <w:t>报告范围</w:t>
          </w:r>
          <w:r>
            <w:tab/>
          </w:r>
          <w:r>
            <w:fldChar w:fldCharType="begin"/>
          </w:r>
          <w:r>
            <w:instrText xml:space="preserve"> PAGEREF _Toc25717 </w:instrText>
          </w:r>
          <w:r>
            <w:fldChar w:fldCharType="separate"/>
          </w:r>
          <w:r>
            <w:t>4</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_Toc1231 </w:instrText>
          </w:r>
          <w:r>
            <w:rPr>
              <w:rFonts w:cs="Times New Roman" w:eastAsiaTheme="minorEastAsia"/>
              <w:bCs/>
              <w:lang w:val="zh-CN"/>
            </w:rPr>
            <w:fldChar w:fldCharType="separate"/>
          </w:r>
          <w:r>
            <w:rPr>
              <w:rFonts w:hint="default" w:ascii="Times New Roman" w:hAnsi="Times New Roman" w:eastAsia="黑体"/>
              <w:i w:val="0"/>
            </w:rPr>
            <w:t xml:space="preserve">2.2 </w:t>
          </w:r>
          <w:r>
            <w:rPr>
              <w:rFonts w:hint="eastAsia"/>
            </w:rPr>
            <w:t>编制方法</w:t>
          </w:r>
          <w:r>
            <w:tab/>
          </w:r>
          <w:r>
            <w:fldChar w:fldCharType="begin"/>
          </w:r>
          <w:r>
            <w:instrText xml:space="preserve"> PAGEREF _Toc1231 </w:instrText>
          </w:r>
          <w:r>
            <w:fldChar w:fldCharType="separate"/>
          </w:r>
          <w:r>
            <w:t>4</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_Toc11488 </w:instrText>
          </w:r>
          <w:r>
            <w:rPr>
              <w:rFonts w:cs="Times New Roman" w:eastAsiaTheme="minorEastAsia"/>
              <w:bCs/>
              <w:lang w:val="zh-CN"/>
            </w:rPr>
            <w:fldChar w:fldCharType="separate"/>
          </w:r>
          <w:r>
            <w:rPr>
              <w:rFonts w:hint="default" w:ascii="Times New Roman" w:hAnsi="Times New Roman" w:eastAsia="黑体"/>
              <w:i w:val="0"/>
            </w:rPr>
            <w:t xml:space="preserve">2.3 </w:t>
          </w:r>
          <w:r>
            <w:rPr>
              <w:rFonts w:hint="eastAsia"/>
            </w:rPr>
            <w:t>活动水平数据来源及排放因子选取</w:t>
          </w:r>
          <w:r>
            <w:tab/>
          </w:r>
          <w:r>
            <w:fldChar w:fldCharType="begin"/>
          </w:r>
          <w:r>
            <w:instrText xml:space="preserve"> PAGEREF _Toc11488 </w:instrText>
          </w:r>
          <w:r>
            <w:fldChar w:fldCharType="separate"/>
          </w:r>
          <w:r>
            <w:t>6</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_Toc31904 </w:instrText>
          </w:r>
          <w:r>
            <w:rPr>
              <w:rFonts w:cs="Times New Roman" w:eastAsiaTheme="minorEastAsia"/>
              <w:bCs/>
              <w:lang w:val="zh-CN"/>
            </w:rPr>
            <w:fldChar w:fldCharType="separate"/>
          </w:r>
          <w:r>
            <w:rPr>
              <w:rFonts w:hint="default" w:ascii="Times New Roman" w:hAnsi="Times New Roman" w:eastAsia="黑体"/>
              <w:i w:val="0"/>
            </w:rPr>
            <w:t xml:space="preserve">2.4 </w:t>
          </w:r>
          <w:r>
            <w:rPr>
              <w:rFonts w:hint="eastAsia"/>
            </w:rPr>
            <w:t>排放清单</w:t>
          </w:r>
          <w:r>
            <w:tab/>
          </w:r>
          <w:r>
            <w:fldChar w:fldCharType="begin"/>
          </w:r>
          <w:r>
            <w:instrText xml:space="preserve"> PAGEREF _Toc31904 </w:instrText>
          </w:r>
          <w:r>
            <w:fldChar w:fldCharType="separate"/>
          </w:r>
          <w:r>
            <w:t>8</w:t>
          </w:r>
          <w:r>
            <w:fldChar w:fldCharType="end"/>
          </w:r>
          <w:r>
            <w:rPr>
              <w:rFonts w:cs="Times New Roman" w:eastAsiaTheme="minorEastAsia"/>
              <w:bCs/>
              <w:lang w:val="zh-CN"/>
            </w:rP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_Toc29429 </w:instrText>
          </w:r>
          <w:r>
            <w:rPr>
              <w:rFonts w:cs="Times New Roman" w:eastAsiaTheme="minorEastAsia"/>
              <w:bCs/>
              <w:lang w:val="zh-CN"/>
            </w:rPr>
            <w:fldChar w:fldCharType="separate"/>
          </w:r>
          <w:r>
            <w:rPr>
              <w:rFonts w:hint="default" w:ascii="Times New Roman" w:hAnsi="Times New Roman" w:eastAsia="黑体"/>
              <w:i w:val="0"/>
            </w:rPr>
            <w:t xml:space="preserve">3 </w:t>
          </w:r>
          <w:r>
            <w:rPr>
              <w:rFonts w:hint="eastAsia"/>
            </w:rPr>
            <w:t>工业生产过程</w:t>
          </w:r>
          <w:r>
            <w:tab/>
          </w:r>
          <w:r>
            <w:fldChar w:fldCharType="begin"/>
          </w:r>
          <w:r>
            <w:instrText xml:space="preserve"> PAGEREF _Toc29429 </w:instrText>
          </w:r>
          <w:r>
            <w:fldChar w:fldCharType="separate"/>
          </w:r>
          <w:r>
            <w:t>11</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_Toc21572 </w:instrText>
          </w:r>
          <w:r>
            <w:rPr>
              <w:rFonts w:cs="Times New Roman" w:eastAsiaTheme="minorEastAsia"/>
              <w:bCs/>
              <w:lang w:val="zh-CN"/>
            </w:rPr>
            <w:fldChar w:fldCharType="separate"/>
          </w:r>
          <w:r>
            <w:rPr>
              <w:rFonts w:hint="default" w:ascii="Times New Roman" w:hAnsi="Times New Roman" w:eastAsia="黑体"/>
              <w:i w:val="0"/>
            </w:rPr>
            <w:t xml:space="preserve">3.1 </w:t>
          </w:r>
          <w:r>
            <w:rPr>
              <w:rFonts w:hint="eastAsia"/>
            </w:rPr>
            <w:t>报告范围</w:t>
          </w:r>
          <w:r>
            <w:tab/>
          </w:r>
          <w:r>
            <w:fldChar w:fldCharType="begin"/>
          </w:r>
          <w:r>
            <w:instrText xml:space="preserve"> PAGEREF _Toc21572 </w:instrText>
          </w:r>
          <w:r>
            <w:fldChar w:fldCharType="separate"/>
          </w:r>
          <w:r>
            <w:t>11</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_Toc6834 </w:instrText>
          </w:r>
          <w:r>
            <w:rPr>
              <w:rFonts w:cs="Times New Roman" w:eastAsiaTheme="minorEastAsia"/>
              <w:bCs/>
              <w:lang w:val="zh-CN"/>
            </w:rPr>
            <w:fldChar w:fldCharType="separate"/>
          </w:r>
          <w:r>
            <w:rPr>
              <w:rFonts w:hint="default" w:ascii="Times New Roman" w:hAnsi="Times New Roman" w:eastAsia="黑体"/>
              <w:i w:val="0"/>
            </w:rPr>
            <w:t xml:space="preserve">3.2 </w:t>
          </w:r>
          <w:r>
            <w:rPr>
              <w:rFonts w:hint="eastAsia"/>
            </w:rPr>
            <w:t>编制方法</w:t>
          </w:r>
          <w:r>
            <w:tab/>
          </w:r>
          <w:r>
            <w:fldChar w:fldCharType="begin"/>
          </w:r>
          <w:r>
            <w:instrText xml:space="preserve"> PAGEREF _Toc6834 </w:instrText>
          </w:r>
          <w:r>
            <w:fldChar w:fldCharType="separate"/>
          </w:r>
          <w:r>
            <w:t>11</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_Toc29448 </w:instrText>
          </w:r>
          <w:r>
            <w:rPr>
              <w:rFonts w:cs="Times New Roman" w:eastAsiaTheme="minorEastAsia"/>
              <w:bCs/>
              <w:lang w:val="zh-CN"/>
            </w:rPr>
            <w:fldChar w:fldCharType="separate"/>
          </w:r>
          <w:r>
            <w:rPr>
              <w:rFonts w:hint="default" w:ascii="Times New Roman" w:hAnsi="Times New Roman" w:eastAsia="黑体"/>
              <w:i w:val="0"/>
            </w:rPr>
            <w:t xml:space="preserve">3.3 </w:t>
          </w:r>
          <w:r>
            <w:rPr>
              <w:rFonts w:hint="eastAsia"/>
            </w:rPr>
            <w:t>活动水平数据来源及排放因子选取</w:t>
          </w:r>
          <w:r>
            <w:tab/>
          </w:r>
          <w:r>
            <w:fldChar w:fldCharType="begin"/>
          </w:r>
          <w:r>
            <w:instrText xml:space="preserve"> PAGEREF _Toc29448 </w:instrText>
          </w:r>
          <w:r>
            <w:fldChar w:fldCharType="separate"/>
          </w:r>
          <w:r>
            <w:t>12</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_Toc27602 </w:instrText>
          </w:r>
          <w:r>
            <w:rPr>
              <w:rFonts w:cs="Times New Roman" w:eastAsiaTheme="minorEastAsia"/>
              <w:bCs/>
              <w:lang w:val="zh-CN"/>
            </w:rPr>
            <w:fldChar w:fldCharType="separate"/>
          </w:r>
          <w:r>
            <w:rPr>
              <w:rFonts w:hint="default" w:ascii="Times New Roman" w:hAnsi="Times New Roman" w:eastAsia="黑体"/>
              <w:i w:val="0"/>
            </w:rPr>
            <w:t xml:space="preserve">3.4 </w:t>
          </w:r>
          <w:r>
            <w:rPr>
              <w:rFonts w:hint="eastAsia"/>
            </w:rPr>
            <w:t>排放清单</w:t>
          </w:r>
          <w:r>
            <w:tab/>
          </w:r>
          <w:r>
            <w:fldChar w:fldCharType="begin"/>
          </w:r>
          <w:r>
            <w:instrText xml:space="preserve"> PAGEREF _Toc27602 </w:instrText>
          </w:r>
          <w:r>
            <w:fldChar w:fldCharType="separate"/>
          </w:r>
          <w:r>
            <w:t>13</w:t>
          </w:r>
          <w:r>
            <w:fldChar w:fldCharType="end"/>
          </w:r>
          <w:r>
            <w:rPr>
              <w:rFonts w:cs="Times New Roman" w:eastAsiaTheme="minorEastAsia"/>
              <w:bCs/>
              <w:lang w:val="zh-CN"/>
            </w:rP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_Toc29070 </w:instrText>
          </w:r>
          <w:r>
            <w:rPr>
              <w:rFonts w:cs="Times New Roman" w:eastAsiaTheme="minorEastAsia"/>
              <w:bCs/>
              <w:lang w:val="zh-CN"/>
            </w:rPr>
            <w:fldChar w:fldCharType="separate"/>
          </w:r>
          <w:r>
            <w:rPr>
              <w:rFonts w:hint="default" w:ascii="Times New Roman" w:hAnsi="Times New Roman" w:eastAsia="黑体"/>
              <w:i w:val="0"/>
            </w:rPr>
            <w:t xml:space="preserve">4 </w:t>
          </w:r>
          <w:r>
            <w:rPr>
              <w:rFonts w:hint="eastAsia"/>
            </w:rPr>
            <w:t>农业活动</w:t>
          </w:r>
          <w:r>
            <w:tab/>
          </w:r>
          <w:r>
            <w:fldChar w:fldCharType="begin"/>
          </w:r>
          <w:r>
            <w:instrText xml:space="preserve"> PAGEREF _Toc29070 </w:instrText>
          </w:r>
          <w:r>
            <w:fldChar w:fldCharType="separate"/>
          </w:r>
          <w:r>
            <w:t>17</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_Toc14825 </w:instrText>
          </w:r>
          <w:r>
            <w:rPr>
              <w:rFonts w:cs="Times New Roman" w:eastAsiaTheme="minorEastAsia"/>
              <w:bCs/>
              <w:lang w:val="zh-CN"/>
            </w:rPr>
            <w:fldChar w:fldCharType="separate"/>
          </w:r>
          <w:r>
            <w:rPr>
              <w:rFonts w:hint="default" w:ascii="Times New Roman" w:hAnsi="Times New Roman" w:eastAsia="黑体"/>
              <w:i w:val="0"/>
            </w:rPr>
            <w:t xml:space="preserve">4.1 </w:t>
          </w:r>
          <w:r>
            <w:rPr>
              <w:rFonts w:hint="eastAsia"/>
            </w:rPr>
            <w:t>报告范围</w:t>
          </w:r>
          <w:r>
            <w:tab/>
          </w:r>
          <w:r>
            <w:fldChar w:fldCharType="begin"/>
          </w:r>
          <w:r>
            <w:instrText xml:space="preserve"> PAGEREF _Toc14825 </w:instrText>
          </w:r>
          <w:r>
            <w:fldChar w:fldCharType="separate"/>
          </w:r>
          <w:r>
            <w:t>17</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_Toc2752 </w:instrText>
          </w:r>
          <w:r>
            <w:rPr>
              <w:rFonts w:cs="Times New Roman" w:eastAsiaTheme="minorEastAsia"/>
              <w:bCs/>
              <w:lang w:val="zh-CN"/>
            </w:rPr>
            <w:fldChar w:fldCharType="separate"/>
          </w:r>
          <w:r>
            <w:rPr>
              <w:rFonts w:hint="default" w:ascii="Times New Roman" w:hAnsi="Times New Roman" w:eastAsia="黑体"/>
              <w:i w:val="0"/>
            </w:rPr>
            <w:t xml:space="preserve">4.2 </w:t>
          </w:r>
          <w:r>
            <w:rPr>
              <w:rFonts w:hint="eastAsia"/>
            </w:rPr>
            <w:t>编制方法</w:t>
          </w:r>
          <w:r>
            <w:tab/>
          </w:r>
          <w:r>
            <w:fldChar w:fldCharType="begin"/>
          </w:r>
          <w:r>
            <w:instrText xml:space="preserve"> PAGEREF _Toc2752 </w:instrText>
          </w:r>
          <w:r>
            <w:fldChar w:fldCharType="separate"/>
          </w:r>
          <w:r>
            <w:t>17</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_Toc23262 </w:instrText>
          </w:r>
          <w:r>
            <w:rPr>
              <w:rFonts w:cs="Times New Roman" w:eastAsiaTheme="minorEastAsia"/>
              <w:bCs/>
              <w:lang w:val="zh-CN"/>
            </w:rPr>
            <w:fldChar w:fldCharType="separate"/>
          </w:r>
          <w:r>
            <w:rPr>
              <w:rFonts w:hint="default" w:ascii="Times New Roman" w:hAnsi="Times New Roman" w:eastAsia="黑体"/>
              <w:i w:val="0"/>
            </w:rPr>
            <w:t xml:space="preserve">4.3 </w:t>
          </w:r>
          <w:r>
            <w:rPr>
              <w:rFonts w:hint="eastAsia"/>
            </w:rPr>
            <w:t>活动水平数据来源及排放因子选取</w:t>
          </w:r>
          <w:r>
            <w:tab/>
          </w:r>
          <w:r>
            <w:fldChar w:fldCharType="begin"/>
          </w:r>
          <w:r>
            <w:instrText xml:space="preserve"> PAGEREF _Toc23262 </w:instrText>
          </w:r>
          <w:r>
            <w:fldChar w:fldCharType="separate"/>
          </w:r>
          <w:r>
            <w:t>18</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_Toc13463 </w:instrText>
          </w:r>
          <w:r>
            <w:rPr>
              <w:rFonts w:cs="Times New Roman" w:eastAsiaTheme="minorEastAsia"/>
              <w:bCs/>
              <w:lang w:val="zh-CN"/>
            </w:rPr>
            <w:fldChar w:fldCharType="separate"/>
          </w:r>
          <w:r>
            <w:rPr>
              <w:rFonts w:hint="default" w:ascii="Times New Roman" w:hAnsi="Times New Roman" w:eastAsia="黑体"/>
              <w:i w:val="0"/>
            </w:rPr>
            <w:t xml:space="preserve">4.4 </w:t>
          </w:r>
          <w:r>
            <w:rPr>
              <w:rFonts w:hint="eastAsia"/>
            </w:rPr>
            <w:t>排放清单</w:t>
          </w:r>
          <w:r>
            <w:tab/>
          </w:r>
          <w:r>
            <w:fldChar w:fldCharType="begin"/>
          </w:r>
          <w:r>
            <w:instrText xml:space="preserve"> PAGEREF _Toc13463 </w:instrText>
          </w:r>
          <w:r>
            <w:fldChar w:fldCharType="separate"/>
          </w:r>
          <w:r>
            <w:t>20</w:t>
          </w:r>
          <w:r>
            <w:fldChar w:fldCharType="end"/>
          </w:r>
          <w:r>
            <w:rPr>
              <w:rFonts w:cs="Times New Roman" w:eastAsiaTheme="minorEastAsia"/>
              <w:bCs/>
              <w:lang w:val="zh-CN"/>
            </w:rP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_Toc8706 </w:instrText>
          </w:r>
          <w:r>
            <w:rPr>
              <w:rFonts w:cs="Times New Roman" w:eastAsiaTheme="minorEastAsia"/>
              <w:bCs/>
              <w:lang w:val="zh-CN"/>
            </w:rPr>
            <w:fldChar w:fldCharType="separate"/>
          </w:r>
          <w:r>
            <w:rPr>
              <w:rFonts w:hint="default" w:ascii="Times New Roman" w:hAnsi="Times New Roman" w:eastAsia="黑体"/>
              <w:i w:val="0"/>
            </w:rPr>
            <w:t xml:space="preserve">5 </w:t>
          </w:r>
          <w:r>
            <w:rPr>
              <w:rFonts w:hint="eastAsia"/>
            </w:rPr>
            <w:t>土地利用变化和林业</w:t>
          </w:r>
          <w:r>
            <w:tab/>
          </w:r>
          <w:r>
            <w:fldChar w:fldCharType="begin"/>
          </w:r>
          <w:r>
            <w:instrText xml:space="preserve"> PAGEREF _Toc8706 </w:instrText>
          </w:r>
          <w:r>
            <w:fldChar w:fldCharType="separate"/>
          </w:r>
          <w:r>
            <w:t>22</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_Toc24421 </w:instrText>
          </w:r>
          <w:r>
            <w:rPr>
              <w:rFonts w:cs="Times New Roman" w:eastAsiaTheme="minorEastAsia"/>
              <w:bCs/>
              <w:lang w:val="zh-CN"/>
            </w:rPr>
            <w:fldChar w:fldCharType="separate"/>
          </w:r>
          <w:r>
            <w:rPr>
              <w:rFonts w:hint="default" w:ascii="Times New Roman" w:hAnsi="Times New Roman" w:eastAsia="黑体"/>
              <w:i w:val="0"/>
            </w:rPr>
            <w:t xml:space="preserve">5.1 </w:t>
          </w:r>
          <w:r>
            <w:rPr>
              <w:rFonts w:hint="eastAsia"/>
            </w:rPr>
            <w:t>报告范围</w:t>
          </w:r>
          <w:r>
            <w:tab/>
          </w:r>
          <w:r>
            <w:fldChar w:fldCharType="begin"/>
          </w:r>
          <w:r>
            <w:instrText xml:space="preserve"> PAGEREF _Toc24421 </w:instrText>
          </w:r>
          <w:r>
            <w:fldChar w:fldCharType="separate"/>
          </w:r>
          <w:r>
            <w:t>22</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_Toc23245 </w:instrText>
          </w:r>
          <w:r>
            <w:rPr>
              <w:rFonts w:cs="Times New Roman" w:eastAsiaTheme="minorEastAsia"/>
              <w:bCs/>
              <w:lang w:val="zh-CN"/>
            </w:rPr>
            <w:fldChar w:fldCharType="separate"/>
          </w:r>
          <w:r>
            <w:rPr>
              <w:rFonts w:hint="default" w:ascii="Times New Roman" w:hAnsi="Times New Roman" w:eastAsia="黑体"/>
              <w:i w:val="0"/>
            </w:rPr>
            <w:t xml:space="preserve">5.2 </w:t>
          </w:r>
          <w:r>
            <w:rPr>
              <w:rFonts w:hint="eastAsia"/>
            </w:rPr>
            <w:t>编制方法</w:t>
          </w:r>
          <w:r>
            <w:tab/>
          </w:r>
          <w:r>
            <w:fldChar w:fldCharType="begin"/>
          </w:r>
          <w:r>
            <w:instrText xml:space="preserve"> PAGEREF _Toc23245 </w:instrText>
          </w:r>
          <w:r>
            <w:fldChar w:fldCharType="separate"/>
          </w:r>
          <w:r>
            <w:t>22</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_Toc29142 </w:instrText>
          </w:r>
          <w:r>
            <w:rPr>
              <w:rFonts w:cs="Times New Roman" w:eastAsiaTheme="minorEastAsia"/>
              <w:bCs/>
              <w:lang w:val="zh-CN"/>
            </w:rPr>
            <w:fldChar w:fldCharType="separate"/>
          </w:r>
          <w:r>
            <w:rPr>
              <w:rFonts w:hint="default" w:ascii="Times New Roman" w:hAnsi="Times New Roman" w:eastAsia="黑体"/>
              <w:i w:val="0"/>
            </w:rPr>
            <w:t xml:space="preserve">5.3 </w:t>
          </w:r>
          <w:r>
            <w:rPr>
              <w:rFonts w:hint="eastAsia"/>
            </w:rPr>
            <w:t>活动水平数据来源及排放因子选取</w:t>
          </w:r>
          <w:r>
            <w:tab/>
          </w:r>
          <w:r>
            <w:fldChar w:fldCharType="begin"/>
          </w:r>
          <w:r>
            <w:instrText xml:space="preserve"> PAGEREF _Toc29142 </w:instrText>
          </w:r>
          <w:r>
            <w:fldChar w:fldCharType="separate"/>
          </w:r>
          <w:r>
            <w:t>25</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_Toc19114 </w:instrText>
          </w:r>
          <w:r>
            <w:rPr>
              <w:rFonts w:cs="Times New Roman" w:eastAsiaTheme="minorEastAsia"/>
              <w:bCs/>
              <w:lang w:val="zh-CN"/>
            </w:rPr>
            <w:fldChar w:fldCharType="separate"/>
          </w:r>
          <w:r>
            <w:rPr>
              <w:rFonts w:hint="default" w:ascii="Times New Roman" w:hAnsi="Times New Roman" w:eastAsia="黑体"/>
              <w:i w:val="0"/>
            </w:rPr>
            <w:t xml:space="preserve">5.4 </w:t>
          </w:r>
          <w:r>
            <w:rPr>
              <w:rFonts w:hint="eastAsia"/>
            </w:rPr>
            <w:t>排放清单</w:t>
          </w:r>
          <w:r>
            <w:tab/>
          </w:r>
          <w:r>
            <w:fldChar w:fldCharType="begin"/>
          </w:r>
          <w:r>
            <w:instrText xml:space="preserve"> PAGEREF _Toc19114 </w:instrText>
          </w:r>
          <w:r>
            <w:fldChar w:fldCharType="separate"/>
          </w:r>
          <w:r>
            <w:t>27</w:t>
          </w:r>
          <w:r>
            <w:fldChar w:fldCharType="end"/>
          </w:r>
          <w:r>
            <w:rPr>
              <w:rFonts w:cs="Times New Roman" w:eastAsiaTheme="minorEastAsia"/>
              <w:bCs/>
              <w:lang w:val="zh-CN"/>
            </w:rP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_Toc16907 </w:instrText>
          </w:r>
          <w:r>
            <w:rPr>
              <w:rFonts w:cs="Times New Roman" w:eastAsiaTheme="minorEastAsia"/>
              <w:bCs/>
              <w:lang w:val="zh-CN"/>
            </w:rPr>
            <w:fldChar w:fldCharType="separate"/>
          </w:r>
          <w:r>
            <w:rPr>
              <w:rFonts w:hint="default" w:ascii="Times New Roman" w:hAnsi="Times New Roman" w:eastAsia="黑体"/>
              <w:i w:val="0"/>
            </w:rPr>
            <w:t xml:space="preserve">6 </w:t>
          </w:r>
          <w:r>
            <w:rPr>
              <w:rFonts w:hint="eastAsia"/>
            </w:rPr>
            <w:t>废弃物处理</w:t>
          </w:r>
          <w:r>
            <w:tab/>
          </w:r>
          <w:r>
            <w:fldChar w:fldCharType="begin"/>
          </w:r>
          <w:r>
            <w:instrText xml:space="preserve"> PAGEREF _Toc16907 </w:instrText>
          </w:r>
          <w:r>
            <w:fldChar w:fldCharType="separate"/>
          </w:r>
          <w:r>
            <w:t>29</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_Toc16940 </w:instrText>
          </w:r>
          <w:r>
            <w:rPr>
              <w:rFonts w:cs="Times New Roman" w:eastAsiaTheme="minorEastAsia"/>
              <w:bCs/>
              <w:lang w:val="zh-CN"/>
            </w:rPr>
            <w:fldChar w:fldCharType="separate"/>
          </w:r>
          <w:r>
            <w:rPr>
              <w:rFonts w:hint="default" w:ascii="Times New Roman" w:hAnsi="Times New Roman" w:eastAsia="黑体"/>
              <w:i w:val="0"/>
            </w:rPr>
            <w:t xml:space="preserve">6.1 </w:t>
          </w:r>
          <w:r>
            <w:rPr>
              <w:rFonts w:hint="eastAsia"/>
            </w:rPr>
            <w:t>报告范围</w:t>
          </w:r>
          <w:r>
            <w:tab/>
          </w:r>
          <w:r>
            <w:fldChar w:fldCharType="begin"/>
          </w:r>
          <w:r>
            <w:instrText xml:space="preserve"> PAGEREF _Toc16940 </w:instrText>
          </w:r>
          <w:r>
            <w:fldChar w:fldCharType="separate"/>
          </w:r>
          <w:r>
            <w:t>29</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_Toc24463 </w:instrText>
          </w:r>
          <w:r>
            <w:rPr>
              <w:rFonts w:cs="Times New Roman" w:eastAsiaTheme="minorEastAsia"/>
              <w:bCs/>
              <w:lang w:val="zh-CN"/>
            </w:rPr>
            <w:fldChar w:fldCharType="separate"/>
          </w:r>
          <w:r>
            <w:rPr>
              <w:rFonts w:hint="default" w:ascii="Times New Roman" w:hAnsi="Times New Roman" w:eastAsia="黑体"/>
              <w:i w:val="0"/>
            </w:rPr>
            <w:t xml:space="preserve">6.2 </w:t>
          </w:r>
          <w:r>
            <w:rPr>
              <w:rFonts w:hint="eastAsia"/>
            </w:rPr>
            <w:t>编制方法</w:t>
          </w:r>
          <w:r>
            <w:tab/>
          </w:r>
          <w:r>
            <w:fldChar w:fldCharType="begin"/>
          </w:r>
          <w:r>
            <w:instrText xml:space="preserve"> PAGEREF _Toc24463 </w:instrText>
          </w:r>
          <w:r>
            <w:fldChar w:fldCharType="separate"/>
          </w:r>
          <w:r>
            <w:t>29</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_Toc25629 </w:instrText>
          </w:r>
          <w:r>
            <w:rPr>
              <w:rFonts w:cs="Times New Roman" w:eastAsiaTheme="minorEastAsia"/>
              <w:bCs/>
              <w:lang w:val="zh-CN"/>
            </w:rPr>
            <w:fldChar w:fldCharType="separate"/>
          </w:r>
          <w:r>
            <w:rPr>
              <w:rFonts w:hint="default" w:ascii="Times New Roman" w:hAnsi="Times New Roman" w:eastAsia="黑体"/>
              <w:i w:val="0"/>
            </w:rPr>
            <w:t xml:space="preserve">6.3 </w:t>
          </w:r>
          <w:r>
            <w:rPr>
              <w:rFonts w:hint="eastAsia"/>
            </w:rPr>
            <w:t>活动水平数据来源及排放因子选取</w:t>
          </w:r>
          <w:r>
            <w:tab/>
          </w:r>
          <w:r>
            <w:fldChar w:fldCharType="begin"/>
          </w:r>
          <w:r>
            <w:instrText xml:space="preserve"> PAGEREF _Toc25629 </w:instrText>
          </w:r>
          <w:r>
            <w:fldChar w:fldCharType="separate"/>
          </w:r>
          <w:r>
            <w:t>32</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_Toc28151 </w:instrText>
          </w:r>
          <w:r>
            <w:rPr>
              <w:rFonts w:cs="Times New Roman" w:eastAsiaTheme="minorEastAsia"/>
              <w:bCs/>
              <w:lang w:val="zh-CN"/>
            </w:rPr>
            <w:fldChar w:fldCharType="separate"/>
          </w:r>
          <w:r>
            <w:rPr>
              <w:rFonts w:hint="default" w:ascii="Times New Roman" w:hAnsi="Times New Roman" w:eastAsia="黑体"/>
              <w:i w:val="0"/>
            </w:rPr>
            <w:t xml:space="preserve">6.4 </w:t>
          </w:r>
          <w:r>
            <w:rPr>
              <w:rFonts w:hint="eastAsia"/>
            </w:rPr>
            <w:t>排放清单</w:t>
          </w:r>
          <w:r>
            <w:tab/>
          </w:r>
          <w:r>
            <w:fldChar w:fldCharType="begin"/>
          </w:r>
          <w:r>
            <w:instrText xml:space="preserve"> PAGEREF _Toc28151 </w:instrText>
          </w:r>
          <w:r>
            <w:fldChar w:fldCharType="separate"/>
          </w:r>
          <w:r>
            <w:t>33</w:t>
          </w:r>
          <w:r>
            <w:fldChar w:fldCharType="end"/>
          </w:r>
          <w:r>
            <w:rPr>
              <w:rFonts w:cs="Times New Roman" w:eastAsiaTheme="minorEastAsia"/>
              <w:bCs/>
              <w:lang w:val="zh-CN"/>
            </w:rP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_Toc23639 </w:instrText>
          </w:r>
          <w:r>
            <w:rPr>
              <w:rFonts w:cs="Times New Roman" w:eastAsiaTheme="minorEastAsia"/>
              <w:bCs/>
              <w:lang w:val="zh-CN"/>
            </w:rPr>
            <w:fldChar w:fldCharType="separate"/>
          </w:r>
          <w:r>
            <w:rPr>
              <w:rFonts w:hint="default" w:ascii="Times New Roman" w:hAnsi="Times New Roman" w:eastAsia="黑体"/>
              <w:i w:val="0"/>
            </w:rPr>
            <w:t xml:space="preserve">7 </w:t>
          </w:r>
          <w:r>
            <w:rPr>
              <w:rFonts w:hint="eastAsia"/>
            </w:rPr>
            <w:t>益阳市2019年市级温室气体排放清单总体情况</w:t>
          </w:r>
          <w:r>
            <w:tab/>
          </w:r>
          <w:r>
            <w:fldChar w:fldCharType="begin"/>
          </w:r>
          <w:r>
            <w:instrText xml:space="preserve"> PAGEREF _Toc23639 </w:instrText>
          </w:r>
          <w:r>
            <w:fldChar w:fldCharType="separate"/>
          </w:r>
          <w:r>
            <w:t>36</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_Toc24906 </w:instrText>
          </w:r>
          <w:r>
            <w:rPr>
              <w:rFonts w:cs="Times New Roman" w:eastAsiaTheme="minorEastAsia"/>
              <w:bCs/>
              <w:lang w:val="zh-CN"/>
            </w:rPr>
            <w:fldChar w:fldCharType="separate"/>
          </w:r>
          <w:r>
            <w:rPr>
              <w:rFonts w:hint="default" w:ascii="Times New Roman" w:hAnsi="Times New Roman" w:eastAsia="黑体"/>
              <w:i w:val="0"/>
            </w:rPr>
            <w:t xml:space="preserve">7.1 </w:t>
          </w:r>
          <w:r>
            <w:rPr>
              <w:rFonts w:hint="eastAsia"/>
            </w:rPr>
            <w:t>排放清单总量及关键指标</w:t>
          </w:r>
          <w:r>
            <w:tab/>
          </w:r>
          <w:r>
            <w:fldChar w:fldCharType="begin"/>
          </w:r>
          <w:r>
            <w:instrText xml:space="preserve"> PAGEREF _Toc24906 </w:instrText>
          </w:r>
          <w:r>
            <w:fldChar w:fldCharType="separate"/>
          </w:r>
          <w:r>
            <w:t>36</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_Toc9753 </w:instrText>
          </w:r>
          <w:r>
            <w:rPr>
              <w:rFonts w:cs="Times New Roman" w:eastAsiaTheme="minorEastAsia"/>
              <w:bCs/>
              <w:lang w:val="zh-CN"/>
            </w:rPr>
            <w:fldChar w:fldCharType="separate"/>
          </w:r>
          <w:r>
            <w:rPr>
              <w:rFonts w:hint="default" w:ascii="Times New Roman" w:hAnsi="Times New Roman" w:eastAsia="黑体"/>
              <w:i w:val="0"/>
            </w:rPr>
            <w:t xml:space="preserve">7.2 </w:t>
          </w:r>
          <w:r>
            <w:rPr>
              <w:rFonts w:hint="eastAsia"/>
            </w:rPr>
            <w:t>温室气体排放分布情况</w:t>
          </w:r>
          <w:r>
            <w:tab/>
          </w:r>
          <w:r>
            <w:fldChar w:fldCharType="begin"/>
          </w:r>
          <w:r>
            <w:instrText xml:space="preserve"> PAGEREF _Toc9753 </w:instrText>
          </w:r>
          <w:r>
            <w:fldChar w:fldCharType="separate"/>
          </w:r>
          <w:r>
            <w:t>37</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_Toc15257 </w:instrText>
          </w:r>
          <w:r>
            <w:rPr>
              <w:rFonts w:cs="Times New Roman" w:eastAsiaTheme="minorEastAsia"/>
              <w:bCs/>
              <w:lang w:val="zh-CN"/>
            </w:rPr>
            <w:fldChar w:fldCharType="separate"/>
          </w:r>
          <w:r>
            <w:rPr>
              <w:rFonts w:hint="default" w:ascii="Times New Roman" w:hAnsi="Times New Roman" w:eastAsia="黑体"/>
              <w:i w:val="0"/>
            </w:rPr>
            <w:t xml:space="preserve">7.3 </w:t>
          </w:r>
          <w:r>
            <w:rPr>
              <w:rFonts w:hint="eastAsia"/>
            </w:rPr>
            <w:t>各类型温室气体排放情况</w:t>
          </w:r>
          <w:r>
            <w:tab/>
          </w:r>
          <w:r>
            <w:fldChar w:fldCharType="begin"/>
          </w:r>
          <w:r>
            <w:instrText xml:space="preserve"> PAGEREF _Toc15257 </w:instrText>
          </w:r>
          <w:r>
            <w:fldChar w:fldCharType="separate"/>
          </w:r>
          <w:r>
            <w:t>39</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_Toc23792 </w:instrText>
          </w:r>
          <w:r>
            <w:rPr>
              <w:rFonts w:cs="Times New Roman" w:eastAsiaTheme="minorEastAsia"/>
              <w:bCs/>
              <w:lang w:val="zh-CN"/>
            </w:rPr>
            <w:fldChar w:fldCharType="separate"/>
          </w:r>
          <w:r>
            <w:rPr>
              <w:rFonts w:hint="default" w:ascii="Times New Roman" w:hAnsi="Times New Roman" w:eastAsia="黑体"/>
              <w:i w:val="0"/>
            </w:rPr>
            <w:t xml:space="preserve">7.4 </w:t>
          </w:r>
          <w:r>
            <w:rPr>
              <w:rFonts w:hint="eastAsia"/>
            </w:rPr>
            <w:t>市级排放清单不确定性</w:t>
          </w:r>
          <w:r>
            <w:tab/>
          </w:r>
          <w:r>
            <w:fldChar w:fldCharType="begin"/>
          </w:r>
          <w:r>
            <w:instrText xml:space="preserve"> PAGEREF _Toc23792 </w:instrText>
          </w:r>
          <w:r>
            <w:fldChar w:fldCharType="separate"/>
          </w:r>
          <w:r>
            <w:t>41</w:t>
          </w:r>
          <w:r>
            <w:fldChar w:fldCharType="end"/>
          </w:r>
          <w:r>
            <w:rPr>
              <w:rFonts w:cs="Times New Roman" w:eastAsiaTheme="minorEastAsia"/>
              <w:bCs/>
              <w:lang w:val="zh-CN"/>
            </w:rPr>
            <w:fldChar w:fldCharType="end"/>
          </w:r>
        </w:p>
        <w:p>
          <w:pPr>
            <w:pStyle w:val="20"/>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_Toc16230 </w:instrText>
          </w:r>
          <w:r>
            <w:rPr>
              <w:rFonts w:cs="Times New Roman" w:eastAsiaTheme="minorEastAsia"/>
              <w:bCs/>
              <w:lang w:val="zh-CN"/>
            </w:rPr>
            <w:fldChar w:fldCharType="separate"/>
          </w:r>
          <w:r>
            <w:rPr>
              <w:rFonts w:hint="default" w:ascii="Times New Roman" w:hAnsi="Times New Roman" w:eastAsia="黑体"/>
              <w:i w:val="0"/>
            </w:rPr>
            <w:t xml:space="preserve">8 </w:t>
          </w:r>
          <w:r>
            <w:rPr>
              <w:rFonts w:hint="eastAsia"/>
            </w:rPr>
            <w:t>下一步工作建议</w:t>
          </w:r>
          <w:r>
            <w:tab/>
          </w:r>
          <w:r>
            <w:fldChar w:fldCharType="begin"/>
          </w:r>
          <w:r>
            <w:instrText xml:space="preserve"> PAGEREF _Toc16230 </w:instrText>
          </w:r>
          <w:r>
            <w:fldChar w:fldCharType="separate"/>
          </w:r>
          <w:r>
            <w:t>43</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_Toc23884 </w:instrText>
          </w:r>
          <w:r>
            <w:rPr>
              <w:rFonts w:cs="Times New Roman" w:eastAsiaTheme="minorEastAsia"/>
              <w:bCs/>
              <w:lang w:val="zh-CN"/>
            </w:rPr>
            <w:fldChar w:fldCharType="separate"/>
          </w:r>
          <w:r>
            <w:rPr>
              <w:rFonts w:hint="default" w:ascii="Times New Roman" w:hAnsi="Times New Roman" w:eastAsia="黑体"/>
              <w:i w:val="0"/>
            </w:rPr>
            <w:t xml:space="preserve">8.1 </w:t>
          </w:r>
          <w:r>
            <w:rPr>
              <w:rFonts w:hint="eastAsia"/>
            </w:rPr>
            <w:t>深入推进温室气体排放清单编制工作</w:t>
          </w:r>
          <w:r>
            <w:tab/>
          </w:r>
          <w:r>
            <w:fldChar w:fldCharType="begin"/>
          </w:r>
          <w:r>
            <w:instrText xml:space="preserve"> PAGEREF _Toc23884 </w:instrText>
          </w:r>
          <w:r>
            <w:fldChar w:fldCharType="separate"/>
          </w:r>
          <w:r>
            <w:t>43</w:t>
          </w:r>
          <w:r>
            <w:fldChar w:fldCharType="end"/>
          </w:r>
          <w:r>
            <w:rPr>
              <w:rFonts w:cs="Times New Roman" w:eastAsiaTheme="minorEastAsia"/>
              <w:bCs/>
              <w:lang w:val="zh-CN"/>
            </w:rPr>
            <w:fldChar w:fldCharType="end"/>
          </w:r>
        </w:p>
        <w:p>
          <w:pPr>
            <w:pStyle w:val="23"/>
            <w:keepNext w:val="0"/>
            <w:keepLines w:val="0"/>
            <w:pageBreakBefore w:val="0"/>
            <w:widowControl w:val="0"/>
            <w:tabs>
              <w:tab w:val="right" w:leader="dot" w:pos="8306"/>
            </w:tabs>
            <w:kinsoku/>
            <w:wordWrap/>
            <w:overflowPunct/>
            <w:topLinePunct w:val="0"/>
            <w:autoSpaceDE/>
            <w:autoSpaceDN/>
            <w:bidi w:val="0"/>
            <w:adjustRightInd w:val="0"/>
            <w:snapToGrid w:val="0"/>
            <w:spacing w:line="240" w:lineRule="auto"/>
            <w:textAlignment w:val="auto"/>
          </w:pPr>
          <w:r>
            <w:rPr>
              <w:rFonts w:cs="Times New Roman" w:eastAsiaTheme="minorEastAsia"/>
              <w:bCs/>
              <w:lang w:val="zh-CN"/>
            </w:rPr>
            <w:fldChar w:fldCharType="begin"/>
          </w:r>
          <w:r>
            <w:rPr>
              <w:rFonts w:cs="Times New Roman" w:eastAsiaTheme="minorEastAsia"/>
              <w:bCs/>
              <w:lang w:val="zh-CN"/>
            </w:rPr>
            <w:instrText xml:space="preserve"> HYPERLINK \l _Toc16656 </w:instrText>
          </w:r>
          <w:r>
            <w:rPr>
              <w:rFonts w:cs="Times New Roman" w:eastAsiaTheme="minorEastAsia"/>
              <w:bCs/>
              <w:lang w:val="zh-CN"/>
            </w:rPr>
            <w:fldChar w:fldCharType="separate"/>
          </w:r>
          <w:r>
            <w:rPr>
              <w:rFonts w:hint="default" w:ascii="Times New Roman" w:hAnsi="Times New Roman" w:eastAsia="黑体"/>
              <w:i w:val="0"/>
            </w:rPr>
            <w:t xml:space="preserve">8.2 </w:t>
          </w:r>
          <w:r>
            <w:rPr>
              <w:rFonts w:hint="eastAsia"/>
            </w:rPr>
            <w:t>温室气体减排工作建议</w:t>
          </w:r>
          <w:r>
            <w:tab/>
          </w:r>
          <w:r>
            <w:fldChar w:fldCharType="begin"/>
          </w:r>
          <w:r>
            <w:instrText xml:space="preserve"> PAGEREF _Toc16656 </w:instrText>
          </w:r>
          <w:r>
            <w:fldChar w:fldCharType="separate"/>
          </w:r>
          <w:r>
            <w:t>43</w:t>
          </w:r>
          <w:r>
            <w:fldChar w:fldCharType="end"/>
          </w:r>
          <w:r>
            <w:rPr>
              <w:rFonts w:cs="Times New Roman" w:eastAsiaTheme="minorEastAsia"/>
              <w:bCs/>
              <w:lang w:val="zh-CN"/>
            </w:rPr>
            <w:fldChar w:fldCharType="end"/>
          </w:r>
        </w:p>
        <w:p>
          <w:pPr>
            <w:keepNext w:val="0"/>
            <w:keepLines w:val="0"/>
            <w:pageBreakBefore w:val="0"/>
            <w:widowControl w:val="0"/>
            <w:kinsoku/>
            <w:wordWrap/>
            <w:overflowPunct/>
            <w:topLinePunct w:val="0"/>
            <w:autoSpaceDE/>
            <w:autoSpaceDN/>
            <w:bidi w:val="0"/>
            <w:adjustRightInd w:val="0"/>
            <w:snapToGrid w:val="0"/>
            <w:spacing w:before="0" w:after="0" w:line="240" w:lineRule="auto"/>
            <w:textAlignment w:val="auto"/>
            <w:rPr>
              <w:rFonts w:cs="Times New Roman"/>
              <w:sz w:val="44"/>
              <w:szCs w:val="44"/>
            </w:rPr>
          </w:pPr>
          <w:r>
            <w:rPr>
              <w:rFonts w:cs="Times New Roman" w:eastAsiaTheme="minorEastAsia"/>
              <w:bCs/>
              <w:lang w:val="zh-CN"/>
            </w:rPr>
            <w:fldChar w:fldCharType="end"/>
          </w:r>
        </w:p>
      </w:sdtContent>
    </w:sdt>
    <w:bookmarkEnd w:id="0"/>
    <w:bookmarkEnd w:id="1"/>
    <w:bookmarkEnd w:id="2"/>
    <w:bookmarkEnd w:id="3"/>
    <w:bookmarkEnd w:id="4"/>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spacing w:before="0" w:after="0" w:line="240" w:lineRule="auto"/>
              <w:rPr>
                <w:rFonts w:ascii="Calibri" w:hAnsi="Calibri" w:cs="Times New Roman" w:eastAsiaTheme="minorEastAsia"/>
                <w:szCs w:val="24"/>
              </w:rPr>
            </w:pPr>
            <w:r>
              <w:rPr>
                <w:rFonts w:hint="eastAsia" w:ascii="Calibri" w:hAnsi="Calibri" w:cs="Times New Roman" w:eastAsiaTheme="minorEastAsia"/>
                <w:szCs w:val="24"/>
              </w:rPr>
              <w:t>附件：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spacing w:before="0" w:after="0" w:line="240" w:lineRule="auto"/>
              <w:ind w:firstLine="480" w:firstLineChars="200"/>
              <w:rPr>
                <w:rFonts w:ascii="Calibri" w:hAnsi="Calibri" w:cs="Times New Roman" w:eastAsiaTheme="minorEastAsia"/>
                <w:szCs w:val="24"/>
              </w:rPr>
            </w:pPr>
            <w:r>
              <w:rPr>
                <w:rFonts w:hint="eastAsia" w:ascii="Calibri" w:hAnsi="Calibri" w:cs="Times New Roman" w:eastAsiaTheme="minorEastAsia"/>
                <w:szCs w:val="24"/>
              </w:rPr>
              <w:t>1.重要函件</w:t>
            </w:r>
          </w:p>
          <w:p>
            <w:pPr>
              <w:spacing w:before="0" w:after="0" w:line="240" w:lineRule="auto"/>
              <w:ind w:firstLine="480" w:firstLineChars="200"/>
              <w:rPr>
                <w:rFonts w:ascii="Calibri" w:hAnsi="Calibri" w:cs="Times New Roman" w:eastAsiaTheme="minorEastAsia"/>
                <w:szCs w:val="24"/>
              </w:rPr>
            </w:pPr>
            <w:r>
              <w:rPr>
                <w:rFonts w:hint="eastAsia" w:ascii="Calibri" w:hAnsi="Calibri" w:cs="Times New Roman" w:eastAsiaTheme="minorEastAsia"/>
                <w:szCs w:val="24"/>
              </w:rPr>
              <w:t>2.专家评审意见</w:t>
            </w:r>
          </w:p>
        </w:tc>
      </w:tr>
    </w:tbl>
    <w:p>
      <w:pPr>
        <w:keepNext/>
        <w:keepLines/>
        <w:numPr>
          <w:ilvl w:val="0"/>
          <w:numId w:val="2"/>
        </w:numPr>
        <w:spacing w:before="0" w:after="0" w:line="300" w:lineRule="auto"/>
        <w:outlineLvl w:val="0"/>
        <w:rPr>
          <w:rFonts w:eastAsia="黑体"/>
          <w:bCs/>
          <w:kern w:val="44"/>
          <w:sz w:val="30"/>
          <w:szCs w:val="44"/>
        </w:rPr>
        <w:sectPr>
          <w:pgSz w:w="11906" w:h="16838"/>
          <w:pgMar w:top="1440" w:right="1800" w:bottom="1440" w:left="1800" w:header="851" w:footer="992" w:gutter="0"/>
          <w:cols w:space="425" w:num="1"/>
          <w:docGrid w:type="lines" w:linePitch="312" w:charSpace="0"/>
        </w:sectPr>
      </w:pPr>
    </w:p>
    <w:p>
      <w:pPr>
        <w:pStyle w:val="2"/>
      </w:pPr>
      <w:bookmarkStart w:id="5" w:name="_Toc4258"/>
      <w:r>
        <w:t>概述</w:t>
      </w:r>
      <w:bookmarkEnd w:id="5"/>
    </w:p>
    <w:p>
      <w:pPr>
        <w:pStyle w:val="3"/>
      </w:pPr>
      <w:bookmarkStart w:id="6" w:name="_Toc277"/>
      <w:r>
        <w:rPr>
          <w:rFonts w:hint="eastAsia"/>
        </w:rPr>
        <w:t>任务由来</w:t>
      </w:r>
      <w:bookmarkEnd w:id="6"/>
    </w:p>
    <w:p>
      <w:pPr>
        <w:spacing w:before="0" w:after="0"/>
        <w:ind w:firstLine="480" w:firstLineChars="200"/>
        <w:rPr>
          <w:rFonts w:cs="Times New Roman"/>
          <w:szCs w:val="24"/>
        </w:rPr>
      </w:pPr>
      <w:r>
        <w:rPr>
          <w:rFonts w:hint="eastAsia" w:cs="Times New Roman"/>
          <w:szCs w:val="24"/>
        </w:rPr>
        <w:t>气候变化关系全人类的生存和发展。积极应对气候变化，加快推进绿色低碳发展，是实现可持续发展、推进生态文明建设的内在要求，也是我国作为负责任大国的国际义务。我国政府高度重视应对气候变化工作，采取了一系列积极的政策行动，采取积极措施，有效控制温室气体排放。根据《国家应对气候变化规划（2014-2020年）》，到2020年控制温室气体排放行动目标全面完成，为实现规划各项目标任务，应加强温室气体排放核算的基础工作，定期编制国家、省级和市级温室气体清单是其中的重要一环。</w:t>
      </w:r>
    </w:p>
    <w:p>
      <w:pPr>
        <w:spacing w:before="0" w:after="0"/>
        <w:ind w:firstLine="480" w:firstLineChars="200"/>
        <w:rPr>
          <w:rFonts w:cs="Times New Roman"/>
          <w:szCs w:val="24"/>
        </w:rPr>
      </w:pPr>
      <w:r>
        <w:rPr>
          <w:rFonts w:hint="eastAsia" w:cs="Times New Roman"/>
          <w:szCs w:val="24"/>
        </w:rPr>
        <w:t>为做好湖南省温室气体排放清单编制工作，同时进一步落实《国务院关于印发“十三五”控制温室气体排放工作方案的通知》（国发[2016]61号）、《“十三五”省级人民政府控制温室气体排放目标责任考核办法》要求，确保我省完成低碳发展各项目标任务，湖南省于2019年12月启动了2016、2018年省级温室气体排放清单编制工作，省生态环境厅组织开展了清单编制的各项工作。</w:t>
      </w:r>
    </w:p>
    <w:p>
      <w:pPr>
        <w:spacing w:before="0" w:after="0"/>
        <w:ind w:firstLine="480" w:firstLineChars="200"/>
        <w:rPr>
          <w:rFonts w:cs="Times New Roman"/>
          <w:szCs w:val="24"/>
        </w:rPr>
      </w:pPr>
      <w:r>
        <w:rPr>
          <w:rFonts w:hint="eastAsia" w:cs="Times New Roman"/>
          <w:szCs w:val="24"/>
        </w:rPr>
        <w:t>2020年5月，湖南省生态环境厅要求省内各市州开展2019年度温室气体清单报告的编制工作。根据湖南省生态环境厅的相关要求，益阳市生态环境局委托湖南省环境保护科学研究院开展本次清单编制工作。湖南省环境保护科学研究院接到项目委托后迅速成立了项目组，收集了益阳市的相关资料后按照《省级温室气体清单编制指南（试行）》（以下简称“指南”）的要求编制了本报告。</w:t>
      </w:r>
    </w:p>
    <w:p>
      <w:pPr>
        <w:pStyle w:val="3"/>
      </w:pPr>
      <w:bookmarkStart w:id="7" w:name="_Toc26587"/>
      <w:r>
        <w:rPr>
          <w:rFonts w:hint="eastAsia"/>
        </w:rPr>
        <w:t>报告范围</w:t>
      </w:r>
      <w:bookmarkEnd w:id="7"/>
    </w:p>
    <w:p>
      <w:pPr>
        <w:spacing w:before="0" w:after="0"/>
        <w:ind w:firstLine="480" w:firstLineChars="200"/>
      </w:pPr>
      <w:r>
        <w:rPr>
          <w:rFonts w:hint="eastAsia"/>
        </w:rPr>
        <w:t>根据指南要求，清单编制分为5个部分：</w:t>
      </w:r>
    </w:p>
    <w:p>
      <w:pPr>
        <w:spacing w:before="0" w:after="0"/>
        <w:ind w:firstLine="480" w:firstLineChars="200"/>
      </w:pPr>
      <w:r>
        <w:rPr>
          <w:rFonts w:hint="eastAsia"/>
        </w:rPr>
        <w:t>（1）能源活动</w:t>
      </w:r>
    </w:p>
    <w:p>
      <w:pPr>
        <w:spacing w:before="0" w:after="0"/>
        <w:ind w:firstLine="480" w:firstLineChars="200"/>
      </w:pPr>
      <w:r>
        <w:rPr>
          <w:rFonts w:hint="eastAsia"/>
        </w:rPr>
        <w:t>该部分包括化石燃料燃烧活动产生的二氧化碳、甲烷和氧化亚氮排放；生物质燃料燃烧活动产生的甲烷和氧化亚氮排放；煤矿和矿后活动产生的甲烷逃逸排放以及石油和天然气系统产生的甲烷逃逸排放。</w:t>
      </w:r>
    </w:p>
    <w:p>
      <w:pPr>
        <w:spacing w:before="0" w:after="0"/>
        <w:ind w:firstLine="480" w:firstLineChars="200"/>
      </w:pPr>
      <w:r>
        <w:rPr>
          <w:rFonts w:hint="eastAsia"/>
        </w:rPr>
        <w:t>（2）工业生产过程</w:t>
      </w:r>
    </w:p>
    <w:p>
      <w:pPr>
        <w:spacing w:before="0" w:after="0"/>
        <w:ind w:firstLine="480" w:firstLineChars="200"/>
      </w:pPr>
      <w:r>
        <w:rPr>
          <w:rFonts w:hint="eastAsia"/>
        </w:rPr>
        <w:t>根据益阳市工业企业实际情况，结合指南要求，本次清单报告了水泥生产过程、石灰生产过程中二氧化碳排放，电力设备生产过程中六氟化硫排放。</w:t>
      </w:r>
    </w:p>
    <w:p>
      <w:pPr>
        <w:spacing w:before="0" w:after="0"/>
        <w:ind w:firstLine="480" w:firstLineChars="200"/>
      </w:pPr>
      <w:r>
        <w:rPr>
          <w:rFonts w:hint="eastAsia"/>
        </w:rPr>
        <w:t>（3）农业</w:t>
      </w:r>
    </w:p>
    <w:p>
      <w:pPr>
        <w:spacing w:before="0" w:after="0"/>
        <w:ind w:firstLine="480" w:firstLineChars="200"/>
      </w:pPr>
      <w:r>
        <w:rPr>
          <w:rFonts w:hint="eastAsia"/>
        </w:rPr>
        <w:t>该部分包括稻田甲烷排放、农用地氧化亚氮排放、动物肠道发酵甲烷排放，以及动物粪便管理甲烷和氧化亚氮排放。</w:t>
      </w:r>
    </w:p>
    <w:p>
      <w:pPr>
        <w:spacing w:before="0" w:after="0"/>
        <w:ind w:firstLine="480" w:firstLineChars="200"/>
      </w:pPr>
      <w:r>
        <w:rPr>
          <w:rFonts w:hint="eastAsia"/>
        </w:rPr>
        <w:t>（4）土地利用变化和林业（LUCF）</w:t>
      </w:r>
    </w:p>
    <w:p>
      <w:pPr>
        <w:spacing w:before="0" w:after="0"/>
        <w:ind w:firstLine="480" w:firstLineChars="200"/>
      </w:pPr>
      <w:r>
        <w:rPr>
          <w:rFonts w:hint="eastAsia"/>
        </w:rPr>
        <w:t>该部分包括温室气体的排放和吸收两部分，主要是森林和其它木质生物质碳储量变化、森林转化温室气体排放两个方面的温室气体吸收及排放情况。</w:t>
      </w:r>
    </w:p>
    <w:p>
      <w:pPr>
        <w:spacing w:before="0" w:after="0"/>
        <w:ind w:firstLine="480" w:firstLineChars="200"/>
      </w:pPr>
      <w:r>
        <w:rPr>
          <w:rFonts w:hint="eastAsia"/>
        </w:rPr>
        <w:t>（5）废弃物处理</w:t>
      </w:r>
    </w:p>
    <w:p>
      <w:pPr>
        <w:spacing w:before="0" w:after="0"/>
        <w:ind w:firstLine="480" w:firstLineChars="200"/>
      </w:pPr>
      <w:r>
        <w:rPr>
          <w:rFonts w:hint="eastAsia"/>
        </w:rPr>
        <w:t>废弃物处理温室气体排放清单包括城市固体废弃物（主要是指城市生活垃圾）填埋处理产生的甲烷排放量，生活污水和工业废水处理产生的甲烷和氧化亚氮排放量，以及固体废弃物焚烧处理产生的二氧化碳排放量。</w:t>
      </w:r>
    </w:p>
    <w:p>
      <w:pPr>
        <w:pStyle w:val="3"/>
      </w:pPr>
      <w:bookmarkStart w:id="8" w:name="_Toc24920"/>
      <w:r>
        <w:rPr>
          <w:rFonts w:hint="eastAsia"/>
        </w:rPr>
        <w:t>编制方法</w:t>
      </w:r>
      <w:bookmarkEnd w:id="8"/>
    </w:p>
    <w:p>
      <w:pPr>
        <w:spacing w:before="0" w:after="0"/>
        <w:ind w:firstLine="480" w:firstLineChars="200"/>
        <w:rPr>
          <w:rFonts w:cs="Times New Roman"/>
          <w:szCs w:val="24"/>
        </w:rPr>
      </w:pPr>
      <w:r>
        <w:rPr>
          <w:rFonts w:hint="eastAsia" w:cs="Times New Roman"/>
          <w:szCs w:val="24"/>
        </w:rPr>
        <w:t>本报告主要依据《省级温室气体清单编制指南（试行）》（以下简称指南），同时参考IPCC国家温室气体清单指南和相关技术文件进行编制。技术组接受委托后，先根据指南要求和行业特点编制资料收集调查方案及表格，再查阅收集相关行业部门的公开数据；在通过函调、现场调研、专家咨询和实地调研等多种手段收集数据。</w:t>
      </w:r>
    </w:p>
    <w:p>
      <w:pPr>
        <w:spacing w:before="0" w:after="0"/>
        <w:ind w:firstLine="480" w:firstLineChars="200"/>
        <w:rPr>
          <w:rFonts w:cs="Times New Roman"/>
          <w:szCs w:val="24"/>
        </w:rPr>
      </w:pPr>
      <w:r>
        <w:rPr>
          <w:rFonts w:hint="eastAsia" w:cs="Times New Roman"/>
          <w:szCs w:val="24"/>
        </w:rPr>
        <w:t>课题组在报告编制过程中，严格按照指南要求，在保证清单报告数据一致性、完整性、透明度和可比性的原则下，对各类活动水平数据的数据质量进行了比对和鉴别，对排放因子的本地适用性开展了比对研究。报告编制中，技术组根据不同的数据来源情况和选取方式，进行了相应的不确定性分析，并论述了不确定性产生的原因及降低不确定性的方法。</w:t>
      </w:r>
    </w:p>
    <w:p>
      <w:pPr>
        <w:pStyle w:val="3"/>
      </w:pPr>
      <w:bookmarkStart w:id="9" w:name="_Toc10464"/>
      <w:r>
        <w:rPr>
          <w:rFonts w:hint="eastAsia"/>
        </w:rPr>
        <w:t>市级温室气体清单汇总</w:t>
      </w:r>
      <w:bookmarkEnd w:id="9"/>
    </w:p>
    <w:p>
      <w:pPr>
        <w:spacing w:before="0" w:after="0"/>
        <w:ind w:left="240" w:leftChars="100" w:firstLine="240" w:firstLineChars="100"/>
        <w:rPr>
          <w:rFonts w:cs="Times New Roman"/>
          <w:color w:val="FF0000"/>
          <w:szCs w:val="24"/>
        </w:rPr>
      </w:pPr>
      <w:r>
        <w:rPr>
          <w:rFonts w:hint="eastAsia" w:cs="Times New Roman"/>
          <w:szCs w:val="24"/>
        </w:rPr>
        <w:t>2019年市级温室气体清单汇总见</w:t>
      </w:r>
      <w:r>
        <w:rPr>
          <w:rFonts w:cs="Times New Roman"/>
          <w:szCs w:val="24"/>
        </w:rPr>
        <w:fldChar w:fldCharType="begin"/>
      </w:r>
      <w:r>
        <w:rPr>
          <w:rFonts w:cs="Times New Roman"/>
          <w:szCs w:val="24"/>
        </w:rPr>
        <w:instrText xml:space="preserve"> </w:instrText>
      </w:r>
      <w:r>
        <w:rPr>
          <w:rFonts w:hint="eastAsia" w:cs="Times New Roman"/>
          <w:szCs w:val="24"/>
        </w:rPr>
        <w:instrText xml:space="preserve">REF _Ref51853670 \h</w:instrText>
      </w:r>
      <w:r>
        <w:rPr>
          <w:rFonts w:cs="Times New Roman"/>
          <w:szCs w:val="24"/>
        </w:rPr>
        <w:instrText xml:space="preserve"> </w:instrText>
      </w:r>
      <w:r>
        <w:rPr>
          <w:rFonts w:cs="Times New Roman"/>
          <w:szCs w:val="24"/>
        </w:rPr>
        <w:fldChar w:fldCharType="separate"/>
      </w:r>
      <w:r>
        <w:rPr>
          <w:rFonts w:hint="eastAsia"/>
        </w:rPr>
        <w:t>表</w:t>
      </w:r>
      <w:r>
        <w:t>1</w:t>
      </w:r>
      <w:r>
        <w:noBreakHyphen/>
      </w:r>
      <w:r>
        <w:t>1</w:t>
      </w:r>
      <w:r>
        <w:rPr>
          <w:rFonts w:cs="Times New Roman"/>
          <w:szCs w:val="24"/>
        </w:rPr>
        <w:fldChar w:fldCharType="end"/>
      </w:r>
      <w:r>
        <w:rPr>
          <w:rFonts w:hint="eastAsia" w:cs="Times New Roman"/>
          <w:szCs w:val="24"/>
        </w:rPr>
        <w:t>。考虑林业碳汇情况下，2019年益阳市温室气体排放总量为1439.20万吨二氧化碳当量。</w:t>
      </w:r>
    </w:p>
    <w:p>
      <w:pPr>
        <w:spacing w:before="0" w:after="0"/>
        <w:ind w:firstLine="480" w:firstLineChars="200"/>
        <w:rPr>
          <w:rFonts w:cs="Times New Roman"/>
          <w:szCs w:val="24"/>
        </w:rPr>
      </w:pPr>
    </w:p>
    <w:p>
      <w:pPr>
        <w:spacing w:before="0" w:after="0"/>
        <w:ind w:firstLine="480" w:firstLineChars="200"/>
        <w:rPr>
          <w:rFonts w:cs="Times New Roman"/>
          <w:szCs w:val="24"/>
        </w:rPr>
      </w:pPr>
    </w:p>
    <w:p>
      <w:pPr>
        <w:spacing w:before="0" w:after="0"/>
        <w:ind w:firstLine="480" w:firstLineChars="200"/>
        <w:rPr>
          <w:rFonts w:cs="Times New Roman"/>
          <w:szCs w:val="24"/>
        </w:rPr>
      </w:pPr>
    </w:p>
    <w:p>
      <w:pPr>
        <w:spacing w:before="0" w:after="0"/>
        <w:ind w:firstLine="480" w:firstLineChars="200"/>
        <w:rPr>
          <w:rFonts w:cs="Times New Roman"/>
          <w:szCs w:val="24"/>
        </w:rPr>
      </w:pPr>
    </w:p>
    <w:p>
      <w:pPr>
        <w:spacing w:before="0" w:after="0"/>
        <w:ind w:firstLine="480" w:firstLineChars="200"/>
        <w:rPr>
          <w:rFonts w:cs="Times New Roman"/>
          <w:szCs w:val="24"/>
        </w:rPr>
      </w:pPr>
    </w:p>
    <w:p>
      <w:pPr>
        <w:pStyle w:val="12"/>
        <w:spacing w:before="0" w:after="0"/>
      </w:pPr>
      <w:bookmarkStart w:id="10" w:name="_Ref51853670"/>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1</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1</w:t>
      </w:r>
      <w:r>
        <w:fldChar w:fldCharType="end"/>
      </w:r>
      <w:bookmarkEnd w:id="10"/>
      <w:r>
        <w:rPr>
          <w:rFonts w:hint="eastAsia"/>
        </w:rPr>
        <w:t xml:space="preserve"> 2019年市级温室气体清单汇总表</w:t>
      </w:r>
    </w:p>
    <w:tbl>
      <w:tblPr>
        <w:tblStyle w:val="25"/>
        <w:tblW w:w="5405" w:type="pct"/>
        <w:tblInd w:w="-176" w:type="dxa"/>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Layout w:type="fixed"/>
        <w:tblCellMar>
          <w:top w:w="0" w:type="dxa"/>
          <w:left w:w="108" w:type="dxa"/>
          <w:bottom w:w="0" w:type="dxa"/>
          <w:right w:w="108" w:type="dxa"/>
        </w:tblCellMar>
      </w:tblPr>
      <w:tblGrid>
        <w:gridCol w:w="2698"/>
        <w:gridCol w:w="860"/>
        <w:gridCol w:w="180"/>
        <w:gridCol w:w="101"/>
        <w:gridCol w:w="990"/>
        <w:gridCol w:w="990"/>
        <w:gridCol w:w="706"/>
        <w:gridCol w:w="710"/>
        <w:gridCol w:w="852"/>
        <w:gridCol w:w="1132"/>
      </w:tblGrid>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vMerge w:val="restart"/>
            <w:tcBorders>
              <w:right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排放源与吸收汇种类</w:t>
            </w:r>
          </w:p>
        </w:tc>
        <w:tc>
          <w:tcPr>
            <w:tcW w:w="466" w:type="pct"/>
            <w:tcBorders>
              <w:top w:val="single" w:color="000000" w:sz="6" w:space="0"/>
              <w:left w:val="nil"/>
              <w:bottom w:val="nil"/>
              <w:right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CO</w:t>
            </w:r>
            <w:r>
              <w:rPr>
                <w:rFonts w:cs="Times New Roman" w:eastAsiaTheme="minorEastAsia"/>
                <w:sz w:val="18"/>
                <w:szCs w:val="18"/>
                <w:vertAlign w:val="subscript"/>
              </w:rPr>
              <w:t>2</w:t>
            </w:r>
          </w:p>
        </w:tc>
        <w:tc>
          <w:tcPr>
            <w:tcW w:w="689" w:type="pct"/>
            <w:gridSpan w:val="3"/>
            <w:tcBorders>
              <w:top w:val="single" w:color="000000" w:sz="6" w:space="0"/>
              <w:left w:val="nil"/>
              <w:bottom w:val="single" w:color="000000" w:sz="6" w:space="0"/>
              <w:right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CH</w:t>
            </w:r>
            <w:r>
              <w:rPr>
                <w:rFonts w:cs="Times New Roman" w:eastAsiaTheme="minorEastAsia"/>
                <w:sz w:val="18"/>
                <w:szCs w:val="18"/>
                <w:vertAlign w:val="subscript"/>
              </w:rPr>
              <w:t>4</w:t>
            </w:r>
          </w:p>
        </w:tc>
        <w:tc>
          <w:tcPr>
            <w:tcW w:w="537" w:type="pct"/>
            <w:tcBorders>
              <w:top w:val="single" w:color="000000" w:sz="6" w:space="0"/>
              <w:left w:val="nil"/>
              <w:bottom w:val="single" w:color="000000" w:sz="6" w:space="0"/>
              <w:right w:val="nil"/>
            </w:tcBorders>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N</w:t>
            </w:r>
            <w:r>
              <w:rPr>
                <w:rFonts w:cs="Times New Roman" w:eastAsiaTheme="minorEastAsia"/>
                <w:sz w:val="18"/>
                <w:szCs w:val="18"/>
                <w:vertAlign w:val="subscript"/>
              </w:rPr>
              <w:t>2</w:t>
            </w:r>
            <w:r>
              <w:rPr>
                <w:rFonts w:cs="Times New Roman" w:eastAsiaTheme="minorEastAsia"/>
                <w:sz w:val="18"/>
                <w:szCs w:val="18"/>
              </w:rPr>
              <w:t>O</w:t>
            </w:r>
          </w:p>
        </w:tc>
        <w:tc>
          <w:tcPr>
            <w:tcW w:w="383" w:type="pct"/>
            <w:tcBorders>
              <w:left w:val="nil"/>
              <w:bottom w:val="single" w:color="000000" w:sz="6" w:space="0"/>
              <w:right w:val="nil"/>
            </w:tcBorders>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HFCs</w:t>
            </w:r>
          </w:p>
        </w:tc>
        <w:tc>
          <w:tcPr>
            <w:tcW w:w="385" w:type="pct"/>
            <w:tcBorders>
              <w:left w:val="nil"/>
              <w:bottom w:val="single" w:color="000000" w:sz="6" w:space="0"/>
              <w:right w:val="nil"/>
            </w:tcBorders>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PFCs</w:t>
            </w:r>
          </w:p>
        </w:tc>
        <w:tc>
          <w:tcPr>
            <w:tcW w:w="462" w:type="pct"/>
            <w:tcBorders>
              <w:left w:val="nil"/>
              <w:bottom w:val="single" w:color="000000" w:sz="6" w:space="0"/>
              <w:right w:val="nil"/>
            </w:tcBorders>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SF</w:t>
            </w:r>
            <w:r>
              <w:rPr>
                <w:rFonts w:cs="Times New Roman" w:eastAsiaTheme="minorEastAsia"/>
                <w:sz w:val="18"/>
                <w:szCs w:val="18"/>
                <w:vertAlign w:val="subscript"/>
              </w:rPr>
              <w:t>6</w:t>
            </w:r>
          </w:p>
        </w:tc>
        <w:tc>
          <w:tcPr>
            <w:tcW w:w="612" w:type="pct"/>
            <w:tcBorders>
              <w:left w:val="nil"/>
              <w:bottom w:val="single" w:color="000000" w:sz="6" w:space="0"/>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GHG</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vMerge w:val="continue"/>
            <w:tcBorders>
              <w:bottom w:val="single" w:color="000000" w:sz="6" w:space="0"/>
              <w:right w:val="nil"/>
            </w:tcBorders>
            <w:noWrap/>
            <w:vAlign w:val="center"/>
          </w:tcPr>
          <w:p>
            <w:pPr>
              <w:spacing w:before="0" w:after="0" w:line="240" w:lineRule="auto"/>
              <w:jc w:val="center"/>
              <w:rPr>
                <w:rFonts w:cs="Times New Roman" w:eastAsiaTheme="minorEastAsia"/>
                <w:sz w:val="18"/>
                <w:szCs w:val="18"/>
              </w:rPr>
            </w:pPr>
          </w:p>
        </w:tc>
        <w:tc>
          <w:tcPr>
            <w:tcW w:w="563" w:type="pct"/>
            <w:gridSpan w:val="2"/>
            <w:tcBorders>
              <w:top w:val="nil"/>
              <w:left w:val="nil"/>
              <w:bottom w:val="single" w:color="000000" w:sz="6" w:space="0"/>
              <w:right w:val="nil"/>
            </w:tcBorders>
            <w:noWrap/>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（万吨）</w:t>
            </w:r>
          </w:p>
        </w:tc>
        <w:tc>
          <w:tcPr>
            <w:tcW w:w="2973" w:type="pct"/>
            <w:gridSpan w:val="7"/>
            <w:tcBorders>
              <w:top w:val="nil"/>
              <w:left w:val="nil"/>
              <w:bottom w:val="single" w:color="000000" w:sz="6" w:space="0"/>
            </w:tcBorders>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r>
              <w:rPr>
                <w:rFonts w:cs="Times New Roman" w:eastAsiaTheme="minorEastAsia"/>
                <w:sz w:val="18"/>
                <w:szCs w:val="18"/>
              </w:rPr>
              <w:t>万吨</w:t>
            </w:r>
            <w:r>
              <w:rPr>
                <w:rFonts w:hint="eastAsia" w:cs="Times New Roman" w:eastAsiaTheme="minorEastAsia"/>
                <w:sz w:val="18"/>
                <w:szCs w:val="18"/>
              </w:rPr>
              <w:t>二氧化碳当量）</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bottom w:val="nil"/>
            </w:tcBorders>
            <w:noWrap/>
            <w:vAlign w:val="center"/>
          </w:tcPr>
          <w:p>
            <w:pPr>
              <w:spacing w:before="0" w:after="0" w:line="240" w:lineRule="auto"/>
              <w:jc w:val="center"/>
              <w:rPr>
                <w:rFonts w:cs="Times New Roman" w:eastAsiaTheme="minorEastAsia"/>
                <w:b/>
                <w:sz w:val="18"/>
                <w:szCs w:val="18"/>
              </w:rPr>
            </w:pPr>
            <w:r>
              <w:rPr>
                <w:rFonts w:cs="Times New Roman" w:eastAsiaTheme="minorEastAsia"/>
                <w:b/>
                <w:sz w:val="18"/>
                <w:szCs w:val="18"/>
              </w:rPr>
              <w:t>总排放量（净排放）</w:t>
            </w:r>
          </w:p>
        </w:tc>
        <w:tc>
          <w:tcPr>
            <w:tcW w:w="618" w:type="pct"/>
            <w:gridSpan w:val="3"/>
            <w:tcBorders>
              <w:bottom w:val="nil"/>
            </w:tcBorders>
            <w:noWrap/>
            <w:vAlign w:val="center"/>
          </w:tcPr>
          <w:p>
            <w:pPr>
              <w:spacing w:before="0" w:after="0" w:line="240" w:lineRule="auto"/>
              <w:jc w:val="center"/>
              <w:rPr>
                <w:b/>
                <w:sz w:val="18"/>
                <w:szCs w:val="18"/>
              </w:rPr>
            </w:pPr>
            <w:r>
              <w:rPr>
                <w:b/>
                <w:sz w:val="18"/>
                <w:szCs w:val="18"/>
              </w:rPr>
              <w:t>1033.56</w:t>
            </w:r>
          </w:p>
        </w:tc>
        <w:tc>
          <w:tcPr>
            <w:tcW w:w="992" w:type="dxa"/>
            <w:tcBorders>
              <w:bottom w:val="nil"/>
            </w:tcBorders>
            <w:noWrap/>
            <w:vAlign w:val="center"/>
          </w:tcPr>
          <w:p>
            <w:pPr>
              <w:spacing w:before="0" w:after="0" w:line="240" w:lineRule="auto"/>
              <w:jc w:val="center"/>
              <w:rPr>
                <w:b/>
                <w:sz w:val="18"/>
                <w:szCs w:val="18"/>
              </w:rPr>
            </w:pPr>
            <w:r>
              <w:rPr>
                <w:rFonts w:hint="eastAsia"/>
                <w:b/>
                <w:sz w:val="18"/>
                <w:szCs w:val="18"/>
              </w:rPr>
              <w:t>293.82</w:t>
            </w:r>
          </w:p>
        </w:tc>
        <w:tc>
          <w:tcPr>
            <w:tcW w:w="992" w:type="dxa"/>
            <w:tcBorders>
              <w:bottom w:val="nil"/>
            </w:tcBorders>
            <w:vAlign w:val="center"/>
          </w:tcPr>
          <w:p>
            <w:pPr>
              <w:spacing w:before="0" w:after="0" w:line="240" w:lineRule="auto"/>
              <w:jc w:val="center"/>
              <w:rPr>
                <w:b/>
                <w:sz w:val="18"/>
                <w:szCs w:val="18"/>
              </w:rPr>
            </w:pPr>
            <w:r>
              <w:rPr>
                <w:rFonts w:hint="eastAsia"/>
                <w:b/>
                <w:sz w:val="18"/>
                <w:szCs w:val="18"/>
              </w:rPr>
              <w:t>111.43</w:t>
            </w:r>
          </w:p>
        </w:tc>
        <w:tc>
          <w:tcPr>
            <w:tcW w:w="708" w:type="dxa"/>
            <w:tcBorders>
              <w:bottom w:val="nil"/>
            </w:tcBorders>
            <w:vAlign w:val="center"/>
          </w:tcPr>
          <w:p>
            <w:pPr>
              <w:spacing w:before="0" w:after="0" w:line="240" w:lineRule="auto"/>
              <w:jc w:val="center"/>
              <w:rPr>
                <w:b/>
                <w:sz w:val="18"/>
                <w:szCs w:val="18"/>
              </w:rPr>
            </w:pPr>
            <w:r>
              <w:rPr>
                <w:rFonts w:hint="eastAsia"/>
                <w:b/>
                <w:sz w:val="18"/>
                <w:szCs w:val="18"/>
              </w:rPr>
              <w:t>0.00</w:t>
            </w:r>
          </w:p>
        </w:tc>
        <w:tc>
          <w:tcPr>
            <w:tcW w:w="710" w:type="dxa"/>
            <w:tcBorders>
              <w:bottom w:val="nil"/>
            </w:tcBorders>
            <w:vAlign w:val="center"/>
          </w:tcPr>
          <w:p>
            <w:pPr>
              <w:spacing w:before="0" w:after="0" w:line="240" w:lineRule="auto"/>
              <w:jc w:val="center"/>
              <w:rPr>
                <w:b/>
                <w:sz w:val="18"/>
                <w:szCs w:val="18"/>
              </w:rPr>
            </w:pPr>
            <w:r>
              <w:rPr>
                <w:rFonts w:hint="eastAsia"/>
                <w:b/>
                <w:sz w:val="18"/>
                <w:szCs w:val="18"/>
              </w:rPr>
              <w:t>0.00</w:t>
            </w:r>
          </w:p>
        </w:tc>
        <w:tc>
          <w:tcPr>
            <w:tcW w:w="852" w:type="dxa"/>
            <w:tcBorders>
              <w:bottom w:val="nil"/>
            </w:tcBorders>
            <w:vAlign w:val="center"/>
          </w:tcPr>
          <w:p>
            <w:pPr>
              <w:spacing w:before="0" w:after="0" w:line="240" w:lineRule="auto"/>
              <w:jc w:val="center"/>
              <w:rPr>
                <w:b/>
                <w:sz w:val="18"/>
                <w:szCs w:val="18"/>
              </w:rPr>
            </w:pPr>
            <w:r>
              <w:rPr>
                <w:rFonts w:hint="eastAsia"/>
                <w:b/>
                <w:sz w:val="18"/>
                <w:szCs w:val="18"/>
              </w:rPr>
              <w:t>0.38</w:t>
            </w:r>
          </w:p>
        </w:tc>
        <w:tc>
          <w:tcPr>
            <w:tcW w:w="612" w:type="pct"/>
            <w:tcBorders>
              <w:bottom w:val="nil"/>
            </w:tcBorders>
            <w:noWrap/>
            <w:vAlign w:val="center"/>
          </w:tcPr>
          <w:p>
            <w:pPr>
              <w:spacing w:before="0" w:after="0" w:line="240" w:lineRule="auto"/>
              <w:jc w:val="center"/>
              <w:rPr>
                <w:b/>
                <w:sz w:val="18"/>
                <w:szCs w:val="18"/>
              </w:rPr>
            </w:pPr>
            <w:r>
              <w:rPr>
                <w:rFonts w:hint="eastAsia"/>
                <w:b/>
                <w:sz w:val="18"/>
                <w:szCs w:val="18"/>
              </w:rPr>
              <w:t>1439.20</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b/>
                <w:sz w:val="18"/>
                <w:szCs w:val="18"/>
              </w:rPr>
            </w:pPr>
            <w:r>
              <w:rPr>
                <w:rFonts w:cs="Times New Roman" w:eastAsiaTheme="minorEastAsia"/>
                <w:b/>
                <w:sz w:val="18"/>
                <w:szCs w:val="18"/>
              </w:rPr>
              <w:t>能源活动总计</w:t>
            </w:r>
          </w:p>
        </w:tc>
        <w:tc>
          <w:tcPr>
            <w:tcW w:w="618" w:type="pct"/>
            <w:gridSpan w:val="3"/>
            <w:tcBorders>
              <w:top w:val="nil"/>
              <w:bottom w:val="nil"/>
            </w:tcBorders>
            <w:noWrap/>
            <w:vAlign w:val="center"/>
          </w:tcPr>
          <w:p>
            <w:pPr>
              <w:spacing w:before="0" w:after="0" w:line="240" w:lineRule="auto"/>
              <w:jc w:val="center"/>
              <w:rPr>
                <w:b/>
                <w:sz w:val="18"/>
                <w:szCs w:val="18"/>
              </w:rPr>
            </w:pPr>
            <w:r>
              <w:rPr>
                <w:b/>
                <w:sz w:val="18"/>
                <w:szCs w:val="18"/>
              </w:rPr>
              <w:t>874.71</w:t>
            </w:r>
          </w:p>
        </w:tc>
        <w:tc>
          <w:tcPr>
            <w:tcW w:w="537" w:type="pct"/>
            <w:tcBorders>
              <w:top w:val="nil"/>
              <w:bottom w:val="nil"/>
            </w:tcBorders>
            <w:noWrap/>
            <w:vAlign w:val="center"/>
          </w:tcPr>
          <w:p>
            <w:pPr>
              <w:spacing w:before="0" w:after="0" w:line="240" w:lineRule="auto"/>
              <w:jc w:val="center"/>
              <w:rPr>
                <w:b/>
                <w:sz w:val="18"/>
                <w:szCs w:val="18"/>
              </w:rPr>
            </w:pPr>
            <w:r>
              <w:rPr>
                <w:rFonts w:hint="eastAsia"/>
                <w:b/>
                <w:sz w:val="18"/>
                <w:szCs w:val="18"/>
              </w:rPr>
              <w:t>2.02</w:t>
            </w:r>
          </w:p>
        </w:tc>
        <w:tc>
          <w:tcPr>
            <w:tcW w:w="537" w:type="pct"/>
            <w:tcBorders>
              <w:top w:val="nil"/>
              <w:bottom w:val="nil"/>
            </w:tcBorders>
            <w:vAlign w:val="center"/>
          </w:tcPr>
          <w:p>
            <w:pPr>
              <w:spacing w:before="0" w:after="0" w:line="240" w:lineRule="auto"/>
              <w:jc w:val="center"/>
              <w:rPr>
                <w:b/>
                <w:sz w:val="18"/>
                <w:szCs w:val="18"/>
              </w:rPr>
            </w:pPr>
            <w:r>
              <w:rPr>
                <w:b/>
                <w:sz w:val="18"/>
                <w:szCs w:val="18"/>
              </w:rPr>
              <w:t>3.33</w:t>
            </w:r>
          </w:p>
        </w:tc>
        <w:tc>
          <w:tcPr>
            <w:tcW w:w="383" w:type="pct"/>
            <w:tcBorders>
              <w:top w:val="nil"/>
              <w:bottom w:val="nil"/>
            </w:tcBorders>
            <w:vAlign w:val="center"/>
          </w:tcPr>
          <w:p>
            <w:pPr>
              <w:spacing w:before="0" w:after="0" w:line="240" w:lineRule="auto"/>
              <w:jc w:val="center"/>
              <w:rPr>
                <w:b/>
                <w:sz w:val="18"/>
                <w:szCs w:val="18"/>
              </w:rPr>
            </w:pPr>
            <w:r>
              <w:rPr>
                <w:rFonts w:hint="eastAsia"/>
                <w:b/>
                <w:sz w:val="18"/>
                <w:szCs w:val="18"/>
              </w:rPr>
              <w:t>/</w:t>
            </w:r>
          </w:p>
        </w:tc>
        <w:tc>
          <w:tcPr>
            <w:tcW w:w="385" w:type="pct"/>
            <w:tcBorders>
              <w:top w:val="nil"/>
              <w:bottom w:val="nil"/>
            </w:tcBorders>
            <w:vAlign w:val="center"/>
          </w:tcPr>
          <w:p>
            <w:pPr>
              <w:spacing w:before="0" w:after="0" w:line="240" w:lineRule="auto"/>
              <w:jc w:val="center"/>
              <w:rPr>
                <w:b/>
                <w:sz w:val="18"/>
                <w:szCs w:val="18"/>
              </w:rPr>
            </w:pPr>
            <w:r>
              <w:rPr>
                <w:rFonts w:hint="eastAsia"/>
                <w:b/>
                <w:sz w:val="18"/>
                <w:szCs w:val="18"/>
              </w:rPr>
              <w:t>/</w:t>
            </w:r>
          </w:p>
        </w:tc>
        <w:tc>
          <w:tcPr>
            <w:tcW w:w="462" w:type="pct"/>
            <w:tcBorders>
              <w:top w:val="nil"/>
              <w:bottom w:val="nil"/>
            </w:tcBorders>
            <w:vAlign w:val="center"/>
          </w:tcPr>
          <w:p>
            <w:pPr>
              <w:spacing w:before="0" w:after="0" w:line="240" w:lineRule="auto"/>
              <w:jc w:val="center"/>
              <w:rPr>
                <w:b/>
                <w:sz w:val="18"/>
                <w:szCs w:val="18"/>
              </w:rPr>
            </w:pPr>
            <w:r>
              <w:rPr>
                <w:rFonts w:hint="eastAsia"/>
                <w:b/>
                <w:sz w:val="18"/>
                <w:szCs w:val="18"/>
              </w:rPr>
              <w:t>/</w:t>
            </w:r>
          </w:p>
        </w:tc>
        <w:tc>
          <w:tcPr>
            <w:tcW w:w="612" w:type="pct"/>
            <w:tcBorders>
              <w:top w:val="nil"/>
              <w:bottom w:val="nil"/>
            </w:tcBorders>
            <w:noWrap/>
            <w:vAlign w:val="center"/>
          </w:tcPr>
          <w:p>
            <w:pPr>
              <w:spacing w:before="0" w:after="0" w:line="240" w:lineRule="auto"/>
              <w:jc w:val="center"/>
              <w:rPr>
                <w:b/>
                <w:sz w:val="18"/>
                <w:szCs w:val="18"/>
              </w:rPr>
            </w:pPr>
            <w:r>
              <w:rPr>
                <w:rFonts w:hint="eastAsia"/>
                <w:b/>
                <w:sz w:val="18"/>
                <w:szCs w:val="18"/>
              </w:rPr>
              <w:t>880.06</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1.化石燃料燃烧小计</w:t>
            </w:r>
          </w:p>
        </w:tc>
        <w:tc>
          <w:tcPr>
            <w:tcW w:w="618" w:type="pct"/>
            <w:gridSpan w:val="3"/>
            <w:tcBorders>
              <w:top w:val="nil"/>
              <w:bottom w:val="nil"/>
            </w:tcBorders>
            <w:noWrap/>
            <w:vAlign w:val="center"/>
          </w:tcPr>
          <w:p>
            <w:pPr>
              <w:spacing w:before="0" w:after="0" w:line="240" w:lineRule="auto"/>
              <w:jc w:val="center"/>
              <w:rPr>
                <w:bCs/>
                <w:sz w:val="18"/>
                <w:szCs w:val="18"/>
              </w:rPr>
            </w:pPr>
            <w:r>
              <w:rPr>
                <w:rFonts w:hint="eastAsia"/>
                <w:bCs/>
                <w:sz w:val="18"/>
                <w:szCs w:val="18"/>
              </w:rPr>
              <w:t>874.71</w:t>
            </w:r>
          </w:p>
        </w:tc>
        <w:tc>
          <w:tcPr>
            <w:tcW w:w="537" w:type="pct"/>
            <w:tcBorders>
              <w:top w:val="nil"/>
              <w:bottom w:val="nil"/>
            </w:tcBorders>
            <w:noWrap/>
            <w:vAlign w:val="center"/>
          </w:tcPr>
          <w:p>
            <w:pPr>
              <w:spacing w:before="0" w:after="0" w:line="240" w:lineRule="auto"/>
              <w:jc w:val="center"/>
              <w:rPr>
                <w:bCs/>
                <w:sz w:val="18"/>
                <w:szCs w:val="18"/>
              </w:rPr>
            </w:pPr>
            <w:r>
              <w:rPr>
                <w:rFonts w:hint="eastAsia"/>
                <w:bCs/>
                <w:sz w:val="18"/>
                <w:szCs w:val="18"/>
              </w:rPr>
              <w:t>/</w:t>
            </w:r>
          </w:p>
        </w:tc>
        <w:tc>
          <w:tcPr>
            <w:tcW w:w="537" w:type="pct"/>
            <w:tcBorders>
              <w:top w:val="nil"/>
              <w:bottom w:val="nil"/>
            </w:tcBorders>
            <w:vAlign w:val="center"/>
          </w:tcPr>
          <w:p>
            <w:pPr>
              <w:spacing w:before="0" w:after="0" w:line="240" w:lineRule="auto"/>
              <w:jc w:val="center"/>
              <w:rPr>
                <w:bCs/>
                <w:sz w:val="18"/>
                <w:szCs w:val="18"/>
              </w:rPr>
            </w:pPr>
            <w:r>
              <w:rPr>
                <w:rFonts w:hint="eastAsia"/>
                <w:bCs/>
                <w:sz w:val="18"/>
                <w:szCs w:val="18"/>
              </w:rPr>
              <w:t>2.78</w:t>
            </w:r>
          </w:p>
        </w:tc>
        <w:tc>
          <w:tcPr>
            <w:tcW w:w="383"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385"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462"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612" w:type="pct"/>
            <w:tcBorders>
              <w:top w:val="nil"/>
              <w:bottom w:val="nil"/>
            </w:tcBorders>
            <w:noWrap/>
            <w:vAlign w:val="center"/>
          </w:tcPr>
          <w:p>
            <w:pPr>
              <w:spacing w:before="0" w:after="0" w:line="240" w:lineRule="auto"/>
              <w:jc w:val="center"/>
              <w:rPr>
                <w:bCs/>
                <w:sz w:val="18"/>
                <w:szCs w:val="18"/>
              </w:rPr>
            </w:pPr>
            <w:r>
              <w:rPr>
                <w:rFonts w:hint="eastAsia"/>
                <w:bCs/>
                <w:sz w:val="18"/>
                <w:szCs w:val="18"/>
              </w:rPr>
              <w:t>877.49</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能源工业</w:t>
            </w:r>
          </w:p>
        </w:tc>
        <w:tc>
          <w:tcPr>
            <w:tcW w:w="618" w:type="pct"/>
            <w:gridSpan w:val="3"/>
            <w:tcBorders>
              <w:top w:val="nil"/>
              <w:bottom w:val="nil"/>
            </w:tcBorders>
            <w:noWrap/>
            <w:vAlign w:val="bottom"/>
          </w:tcPr>
          <w:p>
            <w:pPr>
              <w:spacing w:before="0" w:after="0" w:line="240" w:lineRule="auto"/>
              <w:jc w:val="center"/>
              <w:rPr>
                <w:bCs/>
                <w:sz w:val="18"/>
                <w:szCs w:val="18"/>
              </w:rPr>
            </w:pPr>
            <w:r>
              <w:rPr>
                <w:rFonts w:hint="eastAsia"/>
                <w:bCs/>
                <w:sz w:val="18"/>
                <w:szCs w:val="18"/>
              </w:rPr>
              <w:t>611.39</w:t>
            </w:r>
          </w:p>
        </w:tc>
        <w:tc>
          <w:tcPr>
            <w:tcW w:w="537" w:type="pct"/>
            <w:tcBorders>
              <w:top w:val="nil"/>
              <w:bottom w:val="nil"/>
            </w:tcBorders>
            <w:noWrap/>
            <w:vAlign w:val="center"/>
          </w:tcPr>
          <w:p>
            <w:pPr>
              <w:spacing w:before="0" w:after="0" w:line="240" w:lineRule="auto"/>
              <w:jc w:val="center"/>
              <w:rPr>
                <w:bCs/>
                <w:sz w:val="18"/>
                <w:szCs w:val="18"/>
              </w:rPr>
            </w:pPr>
            <w:r>
              <w:rPr>
                <w:rFonts w:hint="eastAsia"/>
                <w:bCs/>
                <w:sz w:val="18"/>
                <w:szCs w:val="18"/>
              </w:rPr>
              <w:t>/</w:t>
            </w:r>
          </w:p>
        </w:tc>
        <w:tc>
          <w:tcPr>
            <w:tcW w:w="537" w:type="pct"/>
            <w:tcBorders>
              <w:top w:val="nil"/>
              <w:bottom w:val="nil"/>
            </w:tcBorders>
            <w:vAlign w:val="center"/>
          </w:tcPr>
          <w:p>
            <w:pPr>
              <w:spacing w:before="0" w:after="0" w:line="240" w:lineRule="auto"/>
              <w:jc w:val="center"/>
              <w:rPr>
                <w:bCs/>
                <w:sz w:val="18"/>
                <w:szCs w:val="18"/>
              </w:rPr>
            </w:pPr>
            <w:r>
              <w:rPr>
                <w:rFonts w:hint="eastAsia"/>
                <w:bCs/>
                <w:sz w:val="18"/>
                <w:szCs w:val="18"/>
              </w:rPr>
              <w:t>2.78</w:t>
            </w:r>
          </w:p>
        </w:tc>
        <w:tc>
          <w:tcPr>
            <w:tcW w:w="383"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385"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462"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612" w:type="pct"/>
            <w:tcBorders>
              <w:top w:val="nil"/>
              <w:bottom w:val="nil"/>
            </w:tcBorders>
            <w:noWrap/>
            <w:vAlign w:val="center"/>
          </w:tcPr>
          <w:p>
            <w:pPr>
              <w:spacing w:before="0" w:after="0" w:line="240" w:lineRule="auto"/>
              <w:jc w:val="center"/>
              <w:rPr>
                <w:bCs/>
                <w:sz w:val="18"/>
                <w:szCs w:val="18"/>
              </w:rPr>
            </w:pPr>
            <w:r>
              <w:rPr>
                <w:rFonts w:hint="eastAsia"/>
                <w:bCs/>
                <w:sz w:val="18"/>
                <w:szCs w:val="18"/>
              </w:rPr>
              <w:t>614.17</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农业</w:t>
            </w:r>
          </w:p>
        </w:tc>
        <w:tc>
          <w:tcPr>
            <w:tcW w:w="618" w:type="pct"/>
            <w:gridSpan w:val="3"/>
            <w:tcBorders>
              <w:top w:val="nil"/>
              <w:bottom w:val="nil"/>
            </w:tcBorders>
            <w:noWrap/>
            <w:vAlign w:val="center"/>
          </w:tcPr>
          <w:p>
            <w:pPr>
              <w:spacing w:before="0" w:after="0" w:line="240" w:lineRule="auto"/>
              <w:jc w:val="center"/>
              <w:rPr>
                <w:bCs/>
                <w:sz w:val="18"/>
                <w:szCs w:val="18"/>
              </w:rPr>
            </w:pPr>
            <w:r>
              <w:rPr>
                <w:rFonts w:hint="eastAsia"/>
                <w:bCs/>
                <w:sz w:val="18"/>
                <w:szCs w:val="18"/>
              </w:rPr>
              <w:t>/</w:t>
            </w:r>
          </w:p>
        </w:tc>
        <w:tc>
          <w:tcPr>
            <w:tcW w:w="537" w:type="pct"/>
            <w:tcBorders>
              <w:top w:val="nil"/>
              <w:bottom w:val="nil"/>
            </w:tcBorders>
            <w:noWrap/>
            <w:vAlign w:val="center"/>
          </w:tcPr>
          <w:p>
            <w:pPr>
              <w:spacing w:before="0" w:after="0" w:line="240" w:lineRule="auto"/>
              <w:jc w:val="center"/>
              <w:rPr>
                <w:bCs/>
                <w:sz w:val="18"/>
                <w:szCs w:val="18"/>
              </w:rPr>
            </w:pPr>
            <w:r>
              <w:rPr>
                <w:rFonts w:hint="eastAsia"/>
                <w:bCs/>
                <w:sz w:val="18"/>
                <w:szCs w:val="18"/>
              </w:rPr>
              <w:t>/</w:t>
            </w:r>
          </w:p>
        </w:tc>
        <w:tc>
          <w:tcPr>
            <w:tcW w:w="537"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383"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385"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462"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612" w:type="pct"/>
            <w:tcBorders>
              <w:top w:val="nil"/>
              <w:bottom w:val="nil"/>
            </w:tcBorders>
            <w:noWrap/>
            <w:vAlign w:val="center"/>
          </w:tcPr>
          <w:p>
            <w:pPr>
              <w:spacing w:before="0" w:after="0" w:line="240" w:lineRule="auto"/>
              <w:jc w:val="center"/>
              <w:rPr>
                <w:bCs/>
                <w:sz w:val="18"/>
                <w:szCs w:val="18"/>
              </w:rPr>
            </w:pPr>
            <w:r>
              <w:rPr>
                <w:rFonts w:hint="eastAsia"/>
                <w:bCs/>
                <w:sz w:val="18"/>
                <w:szCs w:val="18"/>
              </w:rPr>
              <w:t>/</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工业和建筑业</w:t>
            </w:r>
          </w:p>
        </w:tc>
        <w:tc>
          <w:tcPr>
            <w:tcW w:w="618" w:type="pct"/>
            <w:gridSpan w:val="3"/>
            <w:tcBorders>
              <w:top w:val="nil"/>
              <w:bottom w:val="nil"/>
            </w:tcBorders>
            <w:noWrap/>
            <w:vAlign w:val="center"/>
          </w:tcPr>
          <w:p>
            <w:pPr>
              <w:spacing w:before="0" w:after="0" w:line="240" w:lineRule="auto"/>
              <w:jc w:val="center"/>
              <w:rPr>
                <w:bCs/>
                <w:sz w:val="18"/>
                <w:szCs w:val="18"/>
              </w:rPr>
            </w:pPr>
            <w:r>
              <w:rPr>
                <w:rFonts w:hint="eastAsia"/>
                <w:bCs/>
                <w:sz w:val="18"/>
                <w:szCs w:val="18"/>
              </w:rPr>
              <w:t>257.66</w:t>
            </w:r>
          </w:p>
        </w:tc>
        <w:tc>
          <w:tcPr>
            <w:tcW w:w="537" w:type="pct"/>
            <w:tcBorders>
              <w:top w:val="nil"/>
              <w:bottom w:val="nil"/>
            </w:tcBorders>
            <w:noWrap/>
            <w:vAlign w:val="center"/>
          </w:tcPr>
          <w:p>
            <w:pPr>
              <w:spacing w:before="0" w:after="0" w:line="240" w:lineRule="auto"/>
              <w:jc w:val="center"/>
              <w:rPr>
                <w:bCs/>
                <w:sz w:val="18"/>
                <w:szCs w:val="18"/>
              </w:rPr>
            </w:pPr>
            <w:r>
              <w:rPr>
                <w:rFonts w:hint="eastAsia"/>
                <w:bCs/>
                <w:sz w:val="18"/>
                <w:szCs w:val="18"/>
              </w:rPr>
              <w:t>/</w:t>
            </w:r>
          </w:p>
        </w:tc>
        <w:tc>
          <w:tcPr>
            <w:tcW w:w="537"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383"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385"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462"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612" w:type="pct"/>
            <w:tcBorders>
              <w:top w:val="nil"/>
              <w:bottom w:val="nil"/>
            </w:tcBorders>
            <w:noWrap/>
            <w:vAlign w:val="center"/>
          </w:tcPr>
          <w:p>
            <w:pPr>
              <w:spacing w:before="0" w:after="0" w:line="240" w:lineRule="auto"/>
              <w:jc w:val="center"/>
              <w:rPr>
                <w:bCs/>
                <w:sz w:val="18"/>
                <w:szCs w:val="18"/>
              </w:rPr>
            </w:pPr>
            <w:r>
              <w:rPr>
                <w:rFonts w:hint="eastAsia"/>
                <w:bCs/>
                <w:sz w:val="18"/>
                <w:szCs w:val="18"/>
              </w:rPr>
              <w:t>257.66</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交通运输</w:t>
            </w:r>
          </w:p>
        </w:tc>
        <w:tc>
          <w:tcPr>
            <w:tcW w:w="618" w:type="pct"/>
            <w:gridSpan w:val="3"/>
            <w:tcBorders>
              <w:top w:val="nil"/>
              <w:bottom w:val="nil"/>
            </w:tcBorders>
            <w:noWrap/>
            <w:vAlign w:val="center"/>
          </w:tcPr>
          <w:p>
            <w:pPr>
              <w:spacing w:before="0" w:after="0" w:line="240" w:lineRule="auto"/>
              <w:jc w:val="center"/>
              <w:rPr>
                <w:bCs/>
                <w:sz w:val="18"/>
                <w:szCs w:val="18"/>
              </w:rPr>
            </w:pPr>
            <w:r>
              <w:rPr>
                <w:rFonts w:hint="eastAsia"/>
                <w:bCs/>
                <w:sz w:val="18"/>
                <w:szCs w:val="18"/>
              </w:rPr>
              <w:t>5.66</w:t>
            </w:r>
          </w:p>
        </w:tc>
        <w:tc>
          <w:tcPr>
            <w:tcW w:w="537" w:type="pct"/>
            <w:tcBorders>
              <w:top w:val="nil"/>
              <w:bottom w:val="nil"/>
            </w:tcBorders>
            <w:noWrap/>
            <w:vAlign w:val="center"/>
          </w:tcPr>
          <w:p>
            <w:pPr>
              <w:spacing w:before="0" w:after="0" w:line="240" w:lineRule="auto"/>
              <w:jc w:val="center"/>
              <w:rPr>
                <w:bCs/>
                <w:sz w:val="18"/>
                <w:szCs w:val="18"/>
              </w:rPr>
            </w:pPr>
            <w:r>
              <w:rPr>
                <w:rFonts w:hint="eastAsia"/>
                <w:bCs/>
                <w:sz w:val="18"/>
                <w:szCs w:val="18"/>
              </w:rPr>
              <w:t>/</w:t>
            </w:r>
          </w:p>
        </w:tc>
        <w:tc>
          <w:tcPr>
            <w:tcW w:w="537"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383"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385"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462"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612" w:type="pct"/>
            <w:tcBorders>
              <w:top w:val="nil"/>
              <w:bottom w:val="nil"/>
            </w:tcBorders>
            <w:noWrap/>
            <w:vAlign w:val="center"/>
          </w:tcPr>
          <w:p>
            <w:pPr>
              <w:spacing w:before="0" w:after="0" w:line="240" w:lineRule="auto"/>
              <w:jc w:val="center"/>
              <w:rPr>
                <w:bCs/>
                <w:sz w:val="18"/>
                <w:szCs w:val="18"/>
              </w:rPr>
            </w:pPr>
            <w:r>
              <w:rPr>
                <w:rFonts w:hint="eastAsia"/>
                <w:bCs/>
                <w:sz w:val="18"/>
                <w:szCs w:val="18"/>
              </w:rPr>
              <w:t>5.66</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服务业</w:t>
            </w:r>
          </w:p>
        </w:tc>
        <w:tc>
          <w:tcPr>
            <w:tcW w:w="618" w:type="pct"/>
            <w:gridSpan w:val="3"/>
            <w:tcBorders>
              <w:top w:val="nil"/>
              <w:bottom w:val="nil"/>
            </w:tcBorders>
            <w:noWrap/>
            <w:vAlign w:val="center"/>
          </w:tcPr>
          <w:p>
            <w:pPr>
              <w:spacing w:before="0" w:after="0" w:line="240" w:lineRule="auto"/>
              <w:jc w:val="center"/>
              <w:rPr>
                <w:bCs/>
                <w:sz w:val="18"/>
                <w:szCs w:val="18"/>
              </w:rPr>
            </w:pPr>
            <w:r>
              <w:rPr>
                <w:rFonts w:hint="eastAsia"/>
                <w:bCs/>
                <w:sz w:val="18"/>
                <w:szCs w:val="18"/>
              </w:rPr>
              <w:t>/</w:t>
            </w:r>
          </w:p>
        </w:tc>
        <w:tc>
          <w:tcPr>
            <w:tcW w:w="537" w:type="pct"/>
            <w:tcBorders>
              <w:top w:val="nil"/>
              <w:bottom w:val="nil"/>
            </w:tcBorders>
            <w:noWrap/>
            <w:vAlign w:val="center"/>
          </w:tcPr>
          <w:p>
            <w:pPr>
              <w:spacing w:before="0" w:after="0" w:line="240" w:lineRule="auto"/>
              <w:jc w:val="center"/>
              <w:rPr>
                <w:bCs/>
                <w:sz w:val="18"/>
                <w:szCs w:val="18"/>
              </w:rPr>
            </w:pPr>
            <w:r>
              <w:rPr>
                <w:rFonts w:hint="eastAsia"/>
                <w:bCs/>
                <w:sz w:val="18"/>
                <w:szCs w:val="18"/>
              </w:rPr>
              <w:t>/</w:t>
            </w:r>
          </w:p>
        </w:tc>
        <w:tc>
          <w:tcPr>
            <w:tcW w:w="537"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383"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385"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462"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612" w:type="pct"/>
            <w:tcBorders>
              <w:top w:val="nil"/>
              <w:bottom w:val="nil"/>
            </w:tcBorders>
            <w:noWrap/>
            <w:vAlign w:val="center"/>
          </w:tcPr>
          <w:p>
            <w:pPr>
              <w:spacing w:before="0" w:after="0" w:line="240" w:lineRule="auto"/>
              <w:jc w:val="center"/>
              <w:rPr>
                <w:bCs/>
                <w:sz w:val="18"/>
                <w:szCs w:val="18"/>
              </w:rPr>
            </w:pPr>
            <w:r>
              <w:rPr>
                <w:rFonts w:hint="eastAsia"/>
                <w:bCs/>
                <w:sz w:val="18"/>
                <w:szCs w:val="18"/>
              </w:rPr>
              <w:t>/</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居民生活</w:t>
            </w:r>
          </w:p>
        </w:tc>
        <w:tc>
          <w:tcPr>
            <w:tcW w:w="618" w:type="pct"/>
            <w:gridSpan w:val="3"/>
            <w:tcBorders>
              <w:top w:val="nil"/>
              <w:bottom w:val="nil"/>
            </w:tcBorders>
            <w:noWrap/>
            <w:vAlign w:val="center"/>
          </w:tcPr>
          <w:p>
            <w:pPr>
              <w:spacing w:before="0" w:after="0" w:line="240" w:lineRule="auto"/>
              <w:jc w:val="center"/>
              <w:rPr>
                <w:bCs/>
                <w:sz w:val="18"/>
                <w:szCs w:val="18"/>
              </w:rPr>
            </w:pPr>
            <w:r>
              <w:rPr>
                <w:rFonts w:hint="eastAsia"/>
                <w:bCs/>
                <w:sz w:val="18"/>
                <w:szCs w:val="18"/>
              </w:rPr>
              <w:t>/</w:t>
            </w:r>
          </w:p>
        </w:tc>
        <w:tc>
          <w:tcPr>
            <w:tcW w:w="537" w:type="pct"/>
            <w:tcBorders>
              <w:top w:val="nil"/>
              <w:bottom w:val="nil"/>
            </w:tcBorders>
            <w:noWrap/>
            <w:vAlign w:val="center"/>
          </w:tcPr>
          <w:p>
            <w:pPr>
              <w:spacing w:before="0" w:after="0" w:line="240" w:lineRule="auto"/>
              <w:jc w:val="center"/>
              <w:rPr>
                <w:bCs/>
                <w:sz w:val="18"/>
                <w:szCs w:val="18"/>
              </w:rPr>
            </w:pPr>
            <w:r>
              <w:rPr>
                <w:rFonts w:hint="eastAsia"/>
                <w:bCs/>
                <w:sz w:val="18"/>
                <w:szCs w:val="18"/>
              </w:rPr>
              <w:t>/</w:t>
            </w:r>
          </w:p>
        </w:tc>
        <w:tc>
          <w:tcPr>
            <w:tcW w:w="537"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383"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385"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462"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612" w:type="pct"/>
            <w:tcBorders>
              <w:top w:val="nil"/>
              <w:bottom w:val="nil"/>
            </w:tcBorders>
            <w:noWrap/>
            <w:vAlign w:val="center"/>
          </w:tcPr>
          <w:p>
            <w:pPr>
              <w:spacing w:before="0" w:after="0" w:line="240" w:lineRule="auto"/>
              <w:jc w:val="center"/>
              <w:rPr>
                <w:bCs/>
                <w:sz w:val="18"/>
                <w:szCs w:val="18"/>
              </w:rPr>
            </w:pPr>
            <w:r>
              <w:rPr>
                <w:rFonts w:hint="eastAsia"/>
                <w:bCs/>
                <w:sz w:val="18"/>
                <w:szCs w:val="18"/>
              </w:rPr>
              <w:t>/</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90"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2.生物质燃烧</w:t>
            </w:r>
          </w:p>
        </w:tc>
        <w:tc>
          <w:tcPr>
            <w:tcW w:w="618" w:type="pct"/>
            <w:gridSpan w:val="3"/>
            <w:tcBorders>
              <w:top w:val="nil"/>
              <w:bottom w:val="nil"/>
            </w:tcBorders>
            <w:noWrap/>
            <w:vAlign w:val="center"/>
          </w:tcPr>
          <w:p>
            <w:pPr>
              <w:spacing w:before="0" w:after="0" w:line="240" w:lineRule="auto"/>
              <w:jc w:val="center"/>
              <w:rPr>
                <w:bCs/>
                <w:sz w:val="18"/>
                <w:szCs w:val="18"/>
              </w:rPr>
            </w:pPr>
            <w:r>
              <w:rPr>
                <w:rFonts w:hint="eastAsia"/>
                <w:bCs/>
                <w:sz w:val="18"/>
                <w:szCs w:val="18"/>
              </w:rPr>
              <w:t>/</w:t>
            </w:r>
          </w:p>
        </w:tc>
        <w:tc>
          <w:tcPr>
            <w:tcW w:w="537" w:type="pct"/>
            <w:tcBorders>
              <w:top w:val="nil"/>
              <w:bottom w:val="nil"/>
            </w:tcBorders>
            <w:noWrap/>
            <w:vAlign w:val="center"/>
          </w:tcPr>
          <w:p>
            <w:pPr>
              <w:spacing w:before="0" w:after="0" w:line="240" w:lineRule="auto"/>
              <w:jc w:val="center"/>
              <w:rPr>
                <w:bCs/>
                <w:sz w:val="18"/>
                <w:szCs w:val="18"/>
              </w:rPr>
            </w:pPr>
            <w:r>
              <w:rPr>
                <w:rFonts w:hint="eastAsia"/>
                <w:bCs/>
                <w:sz w:val="18"/>
                <w:szCs w:val="18"/>
              </w:rPr>
              <w:t>1.49</w:t>
            </w:r>
          </w:p>
        </w:tc>
        <w:tc>
          <w:tcPr>
            <w:tcW w:w="537" w:type="pct"/>
            <w:tcBorders>
              <w:top w:val="nil"/>
              <w:bottom w:val="nil"/>
            </w:tcBorders>
            <w:vAlign w:val="center"/>
          </w:tcPr>
          <w:p>
            <w:pPr>
              <w:spacing w:before="0" w:after="0" w:line="240" w:lineRule="auto"/>
              <w:jc w:val="center"/>
              <w:rPr>
                <w:bCs/>
                <w:sz w:val="18"/>
                <w:szCs w:val="18"/>
              </w:rPr>
            </w:pPr>
            <w:r>
              <w:rPr>
                <w:rFonts w:hint="eastAsia"/>
                <w:bCs/>
                <w:sz w:val="18"/>
                <w:szCs w:val="18"/>
              </w:rPr>
              <w:t>0.55</w:t>
            </w:r>
          </w:p>
        </w:tc>
        <w:tc>
          <w:tcPr>
            <w:tcW w:w="383"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385"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462"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612" w:type="pct"/>
            <w:tcBorders>
              <w:top w:val="nil"/>
              <w:bottom w:val="nil"/>
            </w:tcBorders>
            <w:noWrap/>
            <w:vAlign w:val="center"/>
          </w:tcPr>
          <w:p>
            <w:pPr>
              <w:spacing w:before="0" w:after="0" w:line="240" w:lineRule="auto"/>
              <w:jc w:val="center"/>
              <w:rPr>
                <w:bCs/>
                <w:sz w:val="18"/>
                <w:szCs w:val="18"/>
              </w:rPr>
            </w:pPr>
            <w:r>
              <w:rPr>
                <w:rFonts w:hint="eastAsia"/>
                <w:bCs/>
                <w:sz w:val="18"/>
                <w:szCs w:val="18"/>
              </w:rPr>
              <w:t>2.04</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3.煤炭开采逃逸</w:t>
            </w:r>
          </w:p>
        </w:tc>
        <w:tc>
          <w:tcPr>
            <w:tcW w:w="618" w:type="pct"/>
            <w:gridSpan w:val="3"/>
            <w:tcBorders>
              <w:top w:val="nil"/>
              <w:bottom w:val="nil"/>
            </w:tcBorders>
            <w:noWrap/>
            <w:vAlign w:val="center"/>
          </w:tcPr>
          <w:p>
            <w:pPr>
              <w:spacing w:before="0" w:after="0" w:line="240" w:lineRule="auto"/>
              <w:jc w:val="center"/>
              <w:rPr>
                <w:bCs/>
                <w:sz w:val="18"/>
                <w:szCs w:val="18"/>
              </w:rPr>
            </w:pPr>
            <w:r>
              <w:rPr>
                <w:rFonts w:hint="eastAsia"/>
                <w:bCs/>
                <w:sz w:val="18"/>
                <w:szCs w:val="18"/>
              </w:rPr>
              <w:t>/</w:t>
            </w:r>
          </w:p>
        </w:tc>
        <w:tc>
          <w:tcPr>
            <w:tcW w:w="537" w:type="pct"/>
            <w:tcBorders>
              <w:top w:val="nil"/>
              <w:bottom w:val="nil"/>
            </w:tcBorders>
            <w:noWrap/>
            <w:vAlign w:val="center"/>
          </w:tcPr>
          <w:p>
            <w:pPr>
              <w:spacing w:before="0" w:after="0" w:line="240" w:lineRule="auto"/>
              <w:jc w:val="center"/>
              <w:rPr>
                <w:bCs/>
                <w:sz w:val="18"/>
                <w:szCs w:val="18"/>
              </w:rPr>
            </w:pPr>
            <w:r>
              <w:rPr>
                <w:rFonts w:hint="eastAsia"/>
                <w:bCs/>
                <w:sz w:val="18"/>
                <w:szCs w:val="18"/>
              </w:rPr>
              <w:t>0.00</w:t>
            </w:r>
          </w:p>
        </w:tc>
        <w:tc>
          <w:tcPr>
            <w:tcW w:w="537"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383"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385"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462"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612" w:type="pct"/>
            <w:tcBorders>
              <w:top w:val="nil"/>
              <w:bottom w:val="nil"/>
            </w:tcBorders>
            <w:noWrap/>
            <w:vAlign w:val="center"/>
          </w:tcPr>
          <w:p>
            <w:pPr>
              <w:spacing w:before="0" w:after="0" w:line="240" w:lineRule="auto"/>
              <w:jc w:val="center"/>
              <w:rPr>
                <w:bCs/>
                <w:sz w:val="18"/>
                <w:szCs w:val="18"/>
              </w:rPr>
            </w:pPr>
            <w:r>
              <w:rPr>
                <w:rFonts w:hint="eastAsia"/>
                <w:bCs/>
                <w:sz w:val="18"/>
                <w:szCs w:val="18"/>
              </w:rPr>
              <w:t>0.00</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4.油气系统逃逸</w:t>
            </w:r>
          </w:p>
        </w:tc>
        <w:tc>
          <w:tcPr>
            <w:tcW w:w="618" w:type="pct"/>
            <w:gridSpan w:val="3"/>
            <w:tcBorders>
              <w:top w:val="nil"/>
              <w:bottom w:val="nil"/>
            </w:tcBorders>
            <w:noWrap/>
            <w:vAlign w:val="center"/>
          </w:tcPr>
          <w:p>
            <w:pPr>
              <w:spacing w:before="0" w:after="0" w:line="240" w:lineRule="auto"/>
              <w:jc w:val="center"/>
              <w:rPr>
                <w:bCs/>
                <w:sz w:val="18"/>
                <w:szCs w:val="18"/>
              </w:rPr>
            </w:pPr>
            <w:r>
              <w:rPr>
                <w:rFonts w:hint="eastAsia"/>
                <w:bCs/>
                <w:sz w:val="18"/>
                <w:szCs w:val="18"/>
              </w:rPr>
              <w:t>/</w:t>
            </w:r>
          </w:p>
        </w:tc>
        <w:tc>
          <w:tcPr>
            <w:tcW w:w="537" w:type="pct"/>
            <w:tcBorders>
              <w:top w:val="nil"/>
              <w:bottom w:val="nil"/>
            </w:tcBorders>
            <w:noWrap/>
            <w:vAlign w:val="center"/>
          </w:tcPr>
          <w:p>
            <w:pPr>
              <w:spacing w:before="0" w:after="0" w:line="240" w:lineRule="auto"/>
              <w:jc w:val="center"/>
              <w:rPr>
                <w:bCs/>
                <w:sz w:val="18"/>
                <w:szCs w:val="18"/>
              </w:rPr>
            </w:pPr>
            <w:r>
              <w:rPr>
                <w:rFonts w:hint="eastAsia"/>
                <w:bCs/>
                <w:sz w:val="18"/>
                <w:szCs w:val="18"/>
              </w:rPr>
              <w:t>0.53</w:t>
            </w:r>
          </w:p>
        </w:tc>
        <w:tc>
          <w:tcPr>
            <w:tcW w:w="537"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383"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385"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462" w:type="pct"/>
            <w:tcBorders>
              <w:top w:val="nil"/>
              <w:bottom w:val="nil"/>
            </w:tcBorders>
            <w:vAlign w:val="center"/>
          </w:tcPr>
          <w:p>
            <w:pPr>
              <w:spacing w:before="0" w:after="0" w:line="240" w:lineRule="auto"/>
              <w:jc w:val="center"/>
              <w:rPr>
                <w:bCs/>
                <w:sz w:val="18"/>
                <w:szCs w:val="18"/>
              </w:rPr>
            </w:pPr>
            <w:r>
              <w:rPr>
                <w:rFonts w:hint="eastAsia"/>
                <w:bCs/>
                <w:sz w:val="18"/>
                <w:szCs w:val="18"/>
              </w:rPr>
              <w:t>/</w:t>
            </w:r>
          </w:p>
        </w:tc>
        <w:tc>
          <w:tcPr>
            <w:tcW w:w="612" w:type="pct"/>
            <w:tcBorders>
              <w:top w:val="nil"/>
              <w:bottom w:val="nil"/>
            </w:tcBorders>
            <w:noWrap/>
            <w:vAlign w:val="center"/>
          </w:tcPr>
          <w:p>
            <w:pPr>
              <w:spacing w:before="0" w:after="0" w:line="240" w:lineRule="auto"/>
              <w:jc w:val="center"/>
              <w:rPr>
                <w:bCs/>
                <w:sz w:val="18"/>
                <w:szCs w:val="18"/>
              </w:rPr>
            </w:pPr>
            <w:r>
              <w:rPr>
                <w:rFonts w:hint="eastAsia"/>
                <w:bCs/>
                <w:sz w:val="18"/>
                <w:szCs w:val="18"/>
              </w:rPr>
              <w:t>0.53</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b/>
                <w:sz w:val="18"/>
                <w:szCs w:val="18"/>
              </w:rPr>
            </w:pPr>
            <w:r>
              <w:rPr>
                <w:rFonts w:cs="Times New Roman" w:eastAsiaTheme="minorEastAsia"/>
                <w:b/>
                <w:sz w:val="18"/>
                <w:szCs w:val="18"/>
              </w:rPr>
              <w:t>工业生产过程总计</w:t>
            </w:r>
          </w:p>
        </w:tc>
        <w:tc>
          <w:tcPr>
            <w:tcW w:w="618" w:type="pct"/>
            <w:gridSpan w:val="3"/>
            <w:tcBorders>
              <w:top w:val="nil"/>
              <w:bottom w:val="nil"/>
            </w:tcBorders>
            <w:noWrap/>
            <w:vAlign w:val="center"/>
          </w:tcPr>
          <w:p>
            <w:pPr>
              <w:spacing w:before="0" w:after="0" w:line="240" w:lineRule="auto"/>
              <w:jc w:val="center"/>
              <w:rPr>
                <w:rFonts w:cs="Times New Roman"/>
                <w:b/>
                <w:bCs/>
                <w:sz w:val="18"/>
                <w:szCs w:val="18"/>
              </w:rPr>
            </w:pPr>
            <w:r>
              <w:rPr>
                <w:rFonts w:hint="eastAsia" w:cs="Times New Roman"/>
                <w:b/>
                <w:bCs/>
                <w:sz w:val="18"/>
                <w:szCs w:val="18"/>
              </w:rPr>
              <w:t>240.88</w:t>
            </w:r>
          </w:p>
        </w:tc>
        <w:tc>
          <w:tcPr>
            <w:tcW w:w="537" w:type="pct"/>
            <w:tcBorders>
              <w:top w:val="nil"/>
              <w:bottom w:val="nil"/>
            </w:tcBorders>
            <w:noWrap/>
            <w:vAlign w:val="center"/>
          </w:tcPr>
          <w:p>
            <w:pPr>
              <w:spacing w:before="0" w:after="0" w:line="240" w:lineRule="auto"/>
              <w:jc w:val="center"/>
              <w:rPr>
                <w:rFonts w:cs="Times New Roman"/>
                <w:b/>
                <w:sz w:val="18"/>
                <w:szCs w:val="18"/>
              </w:rPr>
            </w:pPr>
            <w:r>
              <w:rPr>
                <w:rFonts w:hint="eastAsia" w:cs="Times New Roman"/>
                <w:b/>
                <w:sz w:val="18"/>
                <w:szCs w:val="18"/>
              </w:rPr>
              <w:t>0.00</w:t>
            </w:r>
          </w:p>
        </w:tc>
        <w:tc>
          <w:tcPr>
            <w:tcW w:w="537" w:type="pct"/>
            <w:tcBorders>
              <w:top w:val="nil"/>
              <w:bottom w:val="nil"/>
            </w:tcBorders>
            <w:vAlign w:val="center"/>
          </w:tcPr>
          <w:p>
            <w:pPr>
              <w:spacing w:before="0" w:after="0" w:line="240" w:lineRule="auto"/>
              <w:jc w:val="center"/>
              <w:rPr>
                <w:rFonts w:cs="Times New Roman"/>
                <w:b/>
                <w:sz w:val="18"/>
                <w:szCs w:val="18"/>
              </w:rPr>
            </w:pPr>
            <w:r>
              <w:rPr>
                <w:rFonts w:cs="Times New Roman"/>
                <w:b/>
                <w:sz w:val="18"/>
                <w:szCs w:val="18"/>
              </w:rPr>
              <w:t>0.00</w:t>
            </w:r>
          </w:p>
        </w:tc>
        <w:tc>
          <w:tcPr>
            <w:tcW w:w="383" w:type="pct"/>
            <w:tcBorders>
              <w:top w:val="nil"/>
              <w:bottom w:val="nil"/>
            </w:tcBorders>
            <w:vAlign w:val="center"/>
          </w:tcPr>
          <w:p>
            <w:pPr>
              <w:spacing w:before="0" w:after="0" w:line="240" w:lineRule="auto"/>
              <w:jc w:val="center"/>
              <w:rPr>
                <w:rFonts w:cs="Times New Roman"/>
                <w:b/>
                <w:sz w:val="18"/>
                <w:szCs w:val="18"/>
              </w:rPr>
            </w:pPr>
            <w:r>
              <w:rPr>
                <w:rFonts w:cs="Times New Roman"/>
                <w:b/>
                <w:sz w:val="18"/>
                <w:szCs w:val="18"/>
              </w:rPr>
              <w:t>0.00</w:t>
            </w:r>
          </w:p>
        </w:tc>
        <w:tc>
          <w:tcPr>
            <w:tcW w:w="385" w:type="pct"/>
            <w:tcBorders>
              <w:top w:val="nil"/>
              <w:bottom w:val="nil"/>
            </w:tcBorders>
            <w:vAlign w:val="center"/>
          </w:tcPr>
          <w:p>
            <w:pPr>
              <w:spacing w:before="0" w:after="0" w:line="240" w:lineRule="auto"/>
              <w:jc w:val="center"/>
              <w:rPr>
                <w:rFonts w:cs="Times New Roman"/>
                <w:b/>
                <w:sz w:val="18"/>
                <w:szCs w:val="18"/>
              </w:rPr>
            </w:pPr>
            <w:r>
              <w:rPr>
                <w:rFonts w:cs="Times New Roman"/>
                <w:b/>
                <w:sz w:val="18"/>
                <w:szCs w:val="18"/>
              </w:rPr>
              <w:t>0.00</w:t>
            </w:r>
          </w:p>
        </w:tc>
        <w:tc>
          <w:tcPr>
            <w:tcW w:w="462" w:type="pct"/>
            <w:tcBorders>
              <w:top w:val="nil"/>
              <w:bottom w:val="nil"/>
            </w:tcBorders>
            <w:vAlign w:val="center"/>
          </w:tcPr>
          <w:p>
            <w:pPr>
              <w:spacing w:before="0" w:after="0" w:line="240" w:lineRule="auto"/>
              <w:jc w:val="center"/>
              <w:rPr>
                <w:rFonts w:cs="Times New Roman"/>
                <w:b/>
                <w:bCs/>
                <w:sz w:val="18"/>
                <w:szCs w:val="18"/>
              </w:rPr>
            </w:pPr>
            <w:r>
              <w:rPr>
                <w:rFonts w:hint="eastAsia" w:cs="Times New Roman"/>
                <w:b/>
                <w:bCs/>
                <w:sz w:val="18"/>
                <w:szCs w:val="18"/>
              </w:rPr>
              <w:t>0.38</w:t>
            </w:r>
          </w:p>
        </w:tc>
        <w:tc>
          <w:tcPr>
            <w:tcW w:w="612" w:type="pct"/>
            <w:tcBorders>
              <w:top w:val="nil"/>
              <w:bottom w:val="nil"/>
            </w:tcBorders>
            <w:noWrap/>
            <w:vAlign w:val="center"/>
          </w:tcPr>
          <w:p>
            <w:pPr>
              <w:spacing w:before="0" w:after="0" w:line="240" w:lineRule="auto"/>
              <w:jc w:val="center"/>
              <w:rPr>
                <w:rFonts w:cs="Times New Roman"/>
                <w:b/>
                <w:bCs/>
                <w:sz w:val="18"/>
                <w:szCs w:val="18"/>
              </w:rPr>
            </w:pPr>
            <w:r>
              <w:rPr>
                <w:rFonts w:hint="eastAsia" w:cs="Times New Roman"/>
                <w:b/>
                <w:bCs/>
                <w:sz w:val="18"/>
                <w:szCs w:val="18"/>
              </w:rPr>
              <w:t>241.26</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1.水泥生产过程</w:t>
            </w:r>
          </w:p>
        </w:tc>
        <w:tc>
          <w:tcPr>
            <w:tcW w:w="618" w:type="pct"/>
            <w:gridSpan w:val="3"/>
            <w:tcBorders>
              <w:top w:val="nil"/>
              <w:bottom w:val="nil"/>
            </w:tcBorders>
            <w:noWrap/>
            <w:vAlign w:val="center"/>
          </w:tcPr>
          <w:p>
            <w:pPr>
              <w:spacing w:before="0" w:after="0" w:line="240" w:lineRule="auto"/>
              <w:jc w:val="center"/>
              <w:rPr>
                <w:rFonts w:cs="Times New Roman"/>
                <w:sz w:val="18"/>
                <w:szCs w:val="18"/>
              </w:rPr>
            </w:pPr>
            <w:r>
              <w:rPr>
                <w:rFonts w:hint="eastAsia" w:cs="Times New Roman"/>
                <w:sz w:val="18"/>
                <w:szCs w:val="18"/>
              </w:rPr>
              <w:t>230.96</w:t>
            </w:r>
          </w:p>
        </w:tc>
        <w:tc>
          <w:tcPr>
            <w:tcW w:w="537"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bCs/>
                <w:sz w:val="18"/>
                <w:szCs w:val="18"/>
              </w:rPr>
            </w:pPr>
            <w:r>
              <w:rPr>
                <w:rFonts w:cs="Times New Roman"/>
                <w:bCs/>
                <w:sz w:val="18"/>
                <w:szCs w:val="18"/>
              </w:rPr>
              <w:t>/</w:t>
            </w:r>
          </w:p>
        </w:tc>
        <w:tc>
          <w:tcPr>
            <w:tcW w:w="612" w:type="pct"/>
            <w:tcBorders>
              <w:top w:val="nil"/>
              <w:bottom w:val="nil"/>
            </w:tcBorders>
            <w:noWrap/>
            <w:vAlign w:val="center"/>
          </w:tcPr>
          <w:p>
            <w:pPr>
              <w:spacing w:before="0" w:after="0" w:line="240" w:lineRule="auto"/>
              <w:jc w:val="center"/>
              <w:rPr>
                <w:rFonts w:cs="Times New Roman"/>
                <w:sz w:val="18"/>
                <w:szCs w:val="18"/>
              </w:rPr>
            </w:pPr>
            <w:r>
              <w:rPr>
                <w:rFonts w:hint="eastAsia" w:cs="Times New Roman"/>
                <w:sz w:val="18"/>
                <w:szCs w:val="18"/>
              </w:rPr>
              <w:t>230.96</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2.石灰生产过程</w:t>
            </w:r>
          </w:p>
        </w:tc>
        <w:tc>
          <w:tcPr>
            <w:tcW w:w="618" w:type="pct"/>
            <w:gridSpan w:val="3"/>
            <w:tcBorders>
              <w:top w:val="nil"/>
              <w:bottom w:val="nil"/>
            </w:tcBorders>
            <w:noWrap/>
            <w:vAlign w:val="center"/>
          </w:tcPr>
          <w:p>
            <w:pPr>
              <w:spacing w:before="0" w:after="0" w:line="240" w:lineRule="auto"/>
              <w:jc w:val="center"/>
              <w:rPr>
                <w:rFonts w:cs="Times New Roman"/>
                <w:sz w:val="18"/>
                <w:szCs w:val="18"/>
              </w:rPr>
            </w:pPr>
            <w:r>
              <w:rPr>
                <w:rFonts w:hint="eastAsia" w:cs="Times New Roman"/>
                <w:sz w:val="18"/>
                <w:szCs w:val="18"/>
              </w:rPr>
              <w:t>9.92</w:t>
            </w:r>
          </w:p>
        </w:tc>
        <w:tc>
          <w:tcPr>
            <w:tcW w:w="537"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bCs/>
                <w:sz w:val="18"/>
                <w:szCs w:val="18"/>
              </w:rPr>
            </w:pPr>
            <w:r>
              <w:rPr>
                <w:rFonts w:cs="Times New Roman"/>
                <w:bCs/>
                <w:sz w:val="18"/>
                <w:szCs w:val="18"/>
              </w:rPr>
              <w:t>/</w:t>
            </w:r>
          </w:p>
        </w:tc>
        <w:tc>
          <w:tcPr>
            <w:tcW w:w="612" w:type="pct"/>
            <w:tcBorders>
              <w:top w:val="nil"/>
              <w:bottom w:val="nil"/>
            </w:tcBorders>
            <w:noWrap/>
            <w:vAlign w:val="center"/>
          </w:tcPr>
          <w:p>
            <w:pPr>
              <w:spacing w:before="0" w:after="0" w:line="240" w:lineRule="auto"/>
              <w:jc w:val="center"/>
              <w:rPr>
                <w:rFonts w:cs="Times New Roman"/>
                <w:sz w:val="18"/>
                <w:szCs w:val="18"/>
              </w:rPr>
            </w:pPr>
            <w:r>
              <w:rPr>
                <w:rFonts w:hint="eastAsia" w:cs="Times New Roman"/>
                <w:sz w:val="18"/>
                <w:szCs w:val="18"/>
              </w:rPr>
              <w:t>9.92</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3.钢铁生产过程</w:t>
            </w:r>
          </w:p>
        </w:tc>
        <w:tc>
          <w:tcPr>
            <w:tcW w:w="618" w:type="pct"/>
            <w:gridSpan w:val="3"/>
            <w:tcBorders>
              <w:top w:val="nil"/>
              <w:bottom w:val="nil"/>
            </w:tcBorders>
            <w:noWrap/>
            <w:vAlign w:val="center"/>
          </w:tcPr>
          <w:p>
            <w:pPr>
              <w:spacing w:before="0" w:after="0" w:line="240" w:lineRule="auto"/>
              <w:jc w:val="center"/>
              <w:rPr>
                <w:rFonts w:cs="Times New Roman"/>
                <w:sz w:val="18"/>
                <w:szCs w:val="18"/>
              </w:rPr>
            </w:pPr>
            <w:r>
              <w:rPr>
                <w:rFonts w:hint="eastAsia" w:cs="Times New Roman"/>
                <w:sz w:val="18"/>
                <w:szCs w:val="18"/>
              </w:rPr>
              <w:t>/</w:t>
            </w:r>
          </w:p>
        </w:tc>
        <w:tc>
          <w:tcPr>
            <w:tcW w:w="537"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bCs/>
                <w:sz w:val="18"/>
                <w:szCs w:val="18"/>
              </w:rPr>
            </w:pPr>
            <w:r>
              <w:rPr>
                <w:rFonts w:cs="Times New Roman"/>
                <w:bCs/>
                <w:sz w:val="18"/>
                <w:szCs w:val="18"/>
              </w:rPr>
              <w:t>/</w:t>
            </w:r>
          </w:p>
        </w:tc>
        <w:tc>
          <w:tcPr>
            <w:tcW w:w="612" w:type="pct"/>
            <w:tcBorders>
              <w:top w:val="nil"/>
              <w:bottom w:val="nil"/>
            </w:tcBorders>
            <w:noWrap/>
            <w:vAlign w:val="center"/>
          </w:tcPr>
          <w:p>
            <w:pPr>
              <w:spacing w:before="0" w:after="0" w:line="240" w:lineRule="auto"/>
              <w:jc w:val="center"/>
              <w:rPr>
                <w:rFonts w:cs="Times New Roman"/>
                <w:sz w:val="18"/>
                <w:szCs w:val="18"/>
              </w:rPr>
            </w:pPr>
            <w:r>
              <w:rPr>
                <w:rFonts w:cs="Times New Roman"/>
                <w:bCs/>
                <w:sz w:val="18"/>
                <w:szCs w:val="18"/>
              </w:rPr>
              <w:t>/</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4.电石生产过程</w:t>
            </w:r>
          </w:p>
        </w:tc>
        <w:tc>
          <w:tcPr>
            <w:tcW w:w="618" w:type="pct"/>
            <w:gridSpan w:val="3"/>
            <w:tcBorders>
              <w:top w:val="nil"/>
              <w:bottom w:val="nil"/>
            </w:tcBorders>
            <w:noWrap/>
            <w:vAlign w:val="center"/>
          </w:tcPr>
          <w:p>
            <w:pPr>
              <w:spacing w:before="0" w:after="0" w:line="240" w:lineRule="auto"/>
              <w:jc w:val="center"/>
              <w:rPr>
                <w:rFonts w:cs="Times New Roman"/>
                <w:sz w:val="18"/>
                <w:szCs w:val="18"/>
              </w:rPr>
            </w:pPr>
            <w:r>
              <w:rPr>
                <w:rFonts w:hint="eastAsia" w:cs="Times New Roman"/>
                <w:sz w:val="18"/>
                <w:szCs w:val="18"/>
              </w:rPr>
              <w:t>/</w:t>
            </w:r>
          </w:p>
        </w:tc>
        <w:tc>
          <w:tcPr>
            <w:tcW w:w="537"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bCs/>
                <w:sz w:val="18"/>
                <w:szCs w:val="18"/>
              </w:rPr>
            </w:pPr>
            <w:r>
              <w:rPr>
                <w:rFonts w:cs="Times New Roman"/>
                <w:bCs/>
                <w:sz w:val="18"/>
                <w:szCs w:val="18"/>
              </w:rPr>
              <w:t>/</w:t>
            </w:r>
          </w:p>
        </w:tc>
        <w:tc>
          <w:tcPr>
            <w:tcW w:w="612" w:type="pct"/>
            <w:tcBorders>
              <w:top w:val="nil"/>
              <w:bottom w:val="nil"/>
            </w:tcBorders>
            <w:noWrap/>
            <w:vAlign w:val="center"/>
          </w:tcPr>
          <w:p>
            <w:pPr>
              <w:spacing w:before="0" w:after="0" w:line="240" w:lineRule="auto"/>
              <w:jc w:val="center"/>
              <w:rPr>
                <w:rFonts w:cs="Times New Roman"/>
                <w:sz w:val="18"/>
                <w:szCs w:val="18"/>
              </w:rPr>
            </w:pPr>
            <w:r>
              <w:rPr>
                <w:rFonts w:cs="Times New Roman"/>
                <w:bCs/>
                <w:sz w:val="18"/>
                <w:szCs w:val="18"/>
              </w:rPr>
              <w:t>/</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5.己二酸生产过程</w:t>
            </w:r>
          </w:p>
        </w:tc>
        <w:tc>
          <w:tcPr>
            <w:tcW w:w="618" w:type="pct"/>
            <w:gridSpan w:val="3"/>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noWrap/>
            <w:vAlign w:val="center"/>
          </w:tcPr>
          <w:p>
            <w:pPr>
              <w:spacing w:before="0" w:after="0" w:line="240" w:lineRule="auto"/>
              <w:jc w:val="center"/>
              <w:rPr>
                <w:rFonts w:cs="Times New Roman"/>
                <w:sz w:val="18"/>
                <w:szCs w:val="18"/>
              </w:rPr>
            </w:pPr>
            <w:r>
              <w:rPr>
                <w:rFonts w:hint="eastAsia" w:cs="Times New Roman"/>
                <w:sz w:val="18"/>
                <w:szCs w:val="18"/>
              </w:rPr>
              <w:t>/</w:t>
            </w:r>
          </w:p>
        </w:tc>
        <w:tc>
          <w:tcPr>
            <w:tcW w:w="537"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bCs/>
                <w:sz w:val="18"/>
                <w:szCs w:val="18"/>
              </w:rPr>
            </w:pPr>
            <w:r>
              <w:rPr>
                <w:rFonts w:cs="Times New Roman"/>
                <w:bCs/>
                <w:sz w:val="18"/>
                <w:szCs w:val="18"/>
              </w:rPr>
              <w:t>/</w:t>
            </w:r>
          </w:p>
        </w:tc>
        <w:tc>
          <w:tcPr>
            <w:tcW w:w="612" w:type="pct"/>
            <w:tcBorders>
              <w:top w:val="nil"/>
              <w:bottom w:val="nil"/>
            </w:tcBorders>
            <w:noWrap/>
            <w:vAlign w:val="center"/>
          </w:tcPr>
          <w:p>
            <w:pPr>
              <w:spacing w:before="0" w:after="0" w:line="240" w:lineRule="auto"/>
              <w:jc w:val="center"/>
              <w:rPr>
                <w:rFonts w:cs="Times New Roman"/>
                <w:sz w:val="18"/>
                <w:szCs w:val="18"/>
              </w:rPr>
            </w:pPr>
            <w:r>
              <w:rPr>
                <w:rFonts w:cs="Times New Roman"/>
                <w:bCs/>
                <w:sz w:val="18"/>
                <w:szCs w:val="18"/>
              </w:rPr>
              <w:t>/</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6.硝酸生产过程</w:t>
            </w:r>
          </w:p>
        </w:tc>
        <w:tc>
          <w:tcPr>
            <w:tcW w:w="618" w:type="pct"/>
            <w:gridSpan w:val="3"/>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noWrap/>
            <w:vAlign w:val="center"/>
          </w:tcPr>
          <w:p>
            <w:pPr>
              <w:spacing w:before="0" w:after="0" w:line="240" w:lineRule="auto"/>
              <w:jc w:val="center"/>
              <w:rPr>
                <w:rFonts w:cs="Times New Roman"/>
                <w:sz w:val="18"/>
                <w:szCs w:val="18"/>
              </w:rPr>
            </w:pPr>
            <w:r>
              <w:rPr>
                <w:rFonts w:hint="eastAsia" w:cs="Times New Roman"/>
                <w:sz w:val="18"/>
                <w:szCs w:val="18"/>
              </w:rPr>
              <w:t>/</w:t>
            </w:r>
          </w:p>
        </w:tc>
        <w:tc>
          <w:tcPr>
            <w:tcW w:w="537"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bCs/>
                <w:sz w:val="18"/>
                <w:szCs w:val="18"/>
              </w:rPr>
            </w:pPr>
            <w:r>
              <w:rPr>
                <w:rFonts w:cs="Times New Roman"/>
                <w:bCs/>
                <w:sz w:val="18"/>
                <w:szCs w:val="18"/>
              </w:rPr>
              <w:t>/</w:t>
            </w:r>
          </w:p>
        </w:tc>
        <w:tc>
          <w:tcPr>
            <w:tcW w:w="612" w:type="pct"/>
            <w:tcBorders>
              <w:top w:val="nil"/>
              <w:bottom w:val="nil"/>
            </w:tcBorders>
            <w:noWrap/>
            <w:vAlign w:val="center"/>
          </w:tcPr>
          <w:p>
            <w:pPr>
              <w:spacing w:before="0" w:after="0" w:line="240" w:lineRule="auto"/>
              <w:jc w:val="center"/>
              <w:rPr>
                <w:rFonts w:cs="Times New Roman"/>
                <w:sz w:val="18"/>
                <w:szCs w:val="18"/>
              </w:rPr>
            </w:pPr>
            <w:r>
              <w:rPr>
                <w:rFonts w:cs="Times New Roman"/>
                <w:bCs/>
                <w:sz w:val="18"/>
                <w:szCs w:val="18"/>
              </w:rPr>
              <w:t>/</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7.铝生产过程</w:t>
            </w:r>
          </w:p>
        </w:tc>
        <w:tc>
          <w:tcPr>
            <w:tcW w:w="618" w:type="pct"/>
            <w:gridSpan w:val="3"/>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hint="eastAsia" w:cs="Times New Roman"/>
                <w:sz w:val="18"/>
                <w:szCs w:val="18"/>
              </w:rPr>
              <w:t>/</w:t>
            </w:r>
          </w:p>
        </w:tc>
        <w:tc>
          <w:tcPr>
            <w:tcW w:w="462" w:type="pct"/>
            <w:tcBorders>
              <w:top w:val="nil"/>
              <w:bottom w:val="nil"/>
            </w:tcBorders>
            <w:vAlign w:val="center"/>
          </w:tcPr>
          <w:p>
            <w:pPr>
              <w:spacing w:before="0" w:after="0" w:line="240" w:lineRule="auto"/>
              <w:jc w:val="center"/>
              <w:rPr>
                <w:rFonts w:cs="Times New Roman"/>
                <w:bCs/>
                <w:sz w:val="18"/>
                <w:szCs w:val="18"/>
              </w:rPr>
            </w:pPr>
            <w:r>
              <w:rPr>
                <w:rFonts w:cs="Times New Roman"/>
                <w:bCs/>
                <w:sz w:val="18"/>
                <w:szCs w:val="18"/>
              </w:rPr>
              <w:t>/</w:t>
            </w:r>
          </w:p>
        </w:tc>
        <w:tc>
          <w:tcPr>
            <w:tcW w:w="612" w:type="pct"/>
            <w:tcBorders>
              <w:top w:val="nil"/>
              <w:bottom w:val="nil"/>
            </w:tcBorders>
            <w:noWrap/>
            <w:vAlign w:val="center"/>
          </w:tcPr>
          <w:p>
            <w:pPr>
              <w:spacing w:before="0" w:after="0" w:line="240" w:lineRule="auto"/>
              <w:jc w:val="center"/>
              <w:rPr>
                <w:rFonts w:cs="Times New Roman"/>
                <w:sz w:val="18"/>
                <w:szCs w:val="18"/>
              </w:rPr>
            </w:pPr>
            <w:r>
              <w:rPr>
                <w:rFonts w:cs="Times New Roman"/>
                <w:bCs/>
                <w:sz w:val="18"/>
                <w:szCs w:val="18"/>
              </w:rPr>
              <w:t>/</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8.镁生产过程</w:t>
            </w:r>
          </w:p>
        </w:tc>
        <w:tc>
          <w:tcPr>
            <w:tcW w:w="618" w:type="pct"/>
            <w:gridSpan w:val="3"/>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sz w:val="18"/>
                <w:szCs w:val="18"/>
              </w:rPr>
            </w:pPr>
            <w:r>
              <w:rPr>
                <w:rFonts w:hint="eastAsia" w:cs="Times New Roman"/>
                <w:sz w:val="18"/>
                <w:szCs w:val="18"/>
              </w:rPr>
              <w:t>/</w:t>
            </w:r>
          </w:p>
        </w:tc>
        <w:tc>
          <w:tcPr>
            <w:tcW w:w="612" w:type="pct"/>
            <w:tcBorders>
              <w:top w:val="nil"/>
              <w:bottom w:val="nil"/>
            </w:tcBorders>
            <w:noWrap/>
            <w:vAlign w:val="center"/>
          </w:tcPr>
          <w:p>
            <w:pPr>
              <w:spacing w:before="0" w:after="0" w:line="240" w:lineRule="auto"/>
              <w:jc w:val="center"/>
              <w:rPr>
                <w:rFonts w:cs="Times New Roman"/>
                <w:sz w:val="18"/>
                <w:szCs w:val="18"/>
              </w:rPr>
            </w:pPr>
            <w:r>
              <w:rPr>
                <w:rFonts w:cs="Times New Roman"/>
                <w:bCs/>
                <w:sz w:val="18"/>
                <w:szCs w:val="18"/>
              </w:rPr>
              <w:t>/</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9.电力设备生产过程</w:t>
            </w:r>
          </w:p>
        </w:tc>
        <w:tc>
          <w:tcPr>
            <w:tcW w:w="618" w:type="pct"/>
            <w:gridSpan w:val="3"/>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sz w:val="18"/>
                <w:szCs w:val="18"/>
              </w:rPr>
            </w:pPr>
            <w:r>
              <w:rPr>
                <w:rFonts w:hint="eastAsia" w:cs="Times New Roman"/>
                <w:sz w:val="18"/>
                <w:szCs w:val="18"/>
              </w:rPr>
              <w:t>0.38</w:t>
            </w:r>
          </w:p>
        </w:tc>
        <w:tc>
          <w:tcPr>
            <w:tcW w:w="612" w:type="pct"/>
            <w:tcBorders>
              <w:top w:val="nil"/>
              <w:bottom w:val="nil"/>
            </w:tcBorders>
            <w:noWrap/>
            <w:vAlign w:val="center"/>
          </w:tcPr>
          <w:p>
            <w:pPr>
              <w:spacing w:before="0" w:after="0" w:line="240" w:lineRule="auto"/>
              <w:jc w:val="center"/>
              <w:rPr>
                <w:rFonts w:cs="Times New Roman"/>
                <w:sz w:val="18"/>
                <w:szCs w:val="18"/>
              </w:rPr>
            </w:pPr>
            <w:r>
              <w:rPr>
                <w:rFonts w:hint="eastAsia" w:cs="Times New Roman"/>
                <w:sz w:val="18"/>
                <w:szCs w:val="18"/>
              </w:rPr>
              <w:t>0.38</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b/>
                <w:sz w:val="18"/>
                <w:szCs w:val="18"/>
              </w:rPr>
            </w:pPr>
            <w:r>
              <w:rPr>
                <w:rFonts w:cs="Times New Roman" w:eastAsiaTheme="minorEastAsia"/>
                <w:b/>
                <w:sz w:val="18"/>
                <w:szCs w:val="18"/>
              </w:rPr>
              <w:t>农业总计</w:t>
            </w:r>
          </w:p>
        </w:tc>
        <w:tc>
          <w:tcPr>
            <w:tcW w:w="618" w:type="pct"/>
            <w:gridSpan w:val="3"/>
            <w:tcBorders>
              <w:top w:val="nil"/>
              <w:bottom w:val="nil"/>
            </w:tcBorders>
            <w:noWrap/>
            <w:vAlign w:val="center"/>
          </w:tcPr>
          <w:p>
            <w:pPr>
              <w:spacing w:before="0" w:after="0" w:line="240" w:lineRule="auto"/>
              <w:jc w:val="center"/>
              <w:rPr>
                <w:rFonts w:cs="Times New Roman"/>
                <w:b/>
                <w:bCs/>
                <w:sz w:val="18"/>
                <w:szCs w:val="18"/>
              </w:rPr>
            </w:pPr>
            <w:r>
              <w:rPr>
                <w:rFonts w:cs="Times New Roman"/>
                <w:b/>
                <w:bCs/>
                <w:sz w:val="18"/>
                <w:szCs w:val="18"/>
              </w:rPr>
              <w:t>/</w:t>
            </w:r>
          </w:p>
        </w:tc>
        <w:tc>
          <w:tcPr>
            <w:tcW w:w="537" w:type="pct"/>
            <w:tcBorders>
              <w:top w:val="nil"/>
              <w:bottom w:val="nil"/>
            </w:tcBorders>
            <w:noWrap/>
            <w:vAlign w:val="center"/>
          </w:tcPr>
          <w:p>
            <w:pPr>
              <w:spacing w:before="0" w:after="0" w:line="240" w:lineRule="auto"/>
              <w:jc w:val="center"/>
              <w:rPr>
                <w:rFonts w:cs="Times New Roman"/>
                <w:b/>
                <w:bCs/>
                <w:sz w:val="18"/>
                <w:szCs w:val="18"/>
              </w:rPr>
            </w:pPr>
            <w:r>
              <w:rPr>
                <w:rFonts w:hint="eastAsia" w:cs="Times New Roman"/>
                <w:b/>
                <w:bCs/>
                <w:sz w:val="18"/>
                <w:szCs w:val="18"/>
              </w:rPr>
              <w:t>266.70</w:t>
            </w:r>
          </w:p>
        </w:tc>
        <w:tc>
          <w:tcPr>
            <w:tcW w:w="537" w:type="pct"/>
            <w:tcBorders>
              <w:top w:val="nil"/>
              <w:bottom w:val="nil"/>
            </w:tcBorders>
            <w:vAlign w:val="center"/>
          </w:tcPr>
          <w:p>
            <w:pPr>
              <w:spacing w:before="0" w:after="0" w:line="240" w:lineRule="auto"/>
              <w:jc w:val="center"/>
              <w:rPr>
                <w:rFonts w:cs="Times New Roman"/>
                <w:b/>
                <w:bCs/>
                <w:sz w:val="18"/>
                <w:szCs w:val="18"/>
              </w:rPr>
            </w:pPr>
            <w:r>
              <w:rPr>
                <w:rFonts w:hint="eastAsia" w:cs="Times New Roman"/>
                <w:b/>
                <w:bCs/>
                <w:sz w:val="18"/>
                <w:szCs w:val="18"/>
              </w:rPr>
              <w:t>103.23</w:t>
            </w:r>
          </w:p>
        </w:tc>
        <w:tc>
          <w:tcPr>
            <w:tcW w:w="383" w:type="pct"/>
            <w:tcBorders>
              <w:top w:val="nil"/>
              <w:bottom w:val="nil"/>
            </w:tcBorders>
            <w:vAlign w:val="center"/>
          </w:tcPr>
          <w:p>
            <w:pPr>
              <w:spacing w:before="0" w:after="0" w:line="240" w:lineRule="auto"/>
              <w:jc w:val="center"/>
              <w:rPr>
                <w:rFonts w:cs="Times New Roman"/>
                <w:b/>
                <w:bCs/>
                <w:sz w:val="18"/>
                <w:szCs w:val="18"/>
              </w:rPr>
            </w:pPr>
            <w:r>
              <w:rPr>
                <w:rFonts w:cs="Times New Roman"/>
                <w:b/>
                <w:bCs/>
                <w:sz w:val="18"/>
                <w:szCs w:val="18"/>
              </w:rPr>
              <w:t>/</w:t>
            </w:r>
          </w:p>
        </w:tc>
        <w:tc>
          <w:tcPr>
            <w:tcW w:w="385" w:type="pct"/>
            <w:tcBorders>
              <w:top w:val="nil"/>
              <w:bottom w:val="nil"/>
            </w:tcBorders>
            <w:vAlign w:val="center"/>
          </w:tcPr>
          <w:p>
            <w:pPr>
              <w:spacing w:before="0" w:after="0" w:line="240" w:lineRule="auto"/>
              <w:jc w:val="center"/>
              <w:rPr>
                <w:rFonts w:cs="Times New Roman"/>
                <w:b/>
                <w:bCs/>
                <w:sz w:val="18"/>
                <w:szCs w:val="18"/>
              </w:rPr>
            </w:pPr>
            <w:r>
              <w:rPr>
                <w:rFonts w:cs="Times New Roman"/>
                <w:b/>
                <w:bCs/>
                <w:sz w:val="18"/>
                <w:szCs w:val="18"/>
              </w:rPr>
              <w:t>/</w:t>
            </w:r>
          </w:p>
        </w:tc>
        <w:tc>
          <w:tcPr>
            <w:tcW w:w="462" w:type="pct"/>
            <w:tcBorders>
              <w:top w:val="nil"/>
              <w:bottom w:val="nil"/>
            </w:tcBorders>
            <w:vAlign w:val="center"/>
          </w:tcPr>
          <w:p>
            <w:pPr>
              <w:spacing w:before="0" w:after="0" w:line="240" w:lineRule="auto"/>
              <w:jc w:val="center"/>
              <w:rPr>
                <w:rFonts w:cs="Times New Roman"/>
                <w:b/>
                <w:bCs/>
                <w:sz w:val="18"/>
                <w:szCs w:val="18"/>
              </w:rPr>
            </w:pPr>
            <w:r>
              <w:rPr>
                <w:rFonts w:cs="Times New Roman"/>
                <w:b/>
                <w:bCs/>
                <w:sz w:val="18"/>
                <w:szCs w:val="18"/>
              </w:rPr>
              <w:t>/</w:t>
            </w:r>
          </w:p>
        </w:tc>
        <w:tc>
          <w:tcPr>
            <w:tcW w:w="612" w:type="pct"/>
            <w:tcBorders>
              <w:top w:val="nil"/>
              <w:bottom w:val="nil"/>
            </w:tcBorders>
            <w:noWrap/>
            <w:vAlign w:val="center"/>
          </w:tcPr>
          <w:p>
            <w:pPr>
              <w:spacing w:before="0" w:after="0" w:line="240" w:lineRule="auto"/>
              <w:jc w:val="center"/>
              <w:rPr>
                <w:rFonts w:cs="Times New Roman"/>
                <w:b/>
                <w:bCs/>
                <w:sz w:val="18"/>
                <w:szCs w:val="18"/>
              </w:rPr>
            </w:pPr>
            <w:r>
              <w:rPr>
                <w:rFonts w:hint="eastAsia" w:cs="Times New Roman"/>
                <w:b/>
                <w:bCs/>
                <w:sz w:val="18"/>
                <w:szCs w:val="18"/>
              </w:rPr>
              <w:t>369.93</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1.稻田</w:t>
            </w:r>
          </w:p>
        </w:tc>
        <w:tc>
          <w:tcPr>
            <w:tcW w:w="618" w:type="pct"/>
            <w:gridSpan w:val="3"/>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noWrap/>
            <w:vAlign w:val="center"/>
          </w:tcPr>
          <w:p>
            <w:pPr>
              <w:spacing w:before="0" w:after="0" w:line="240" w:lineRule="auto"/>
              <w:jc w:val="center"/>
              <w:rPr>
                <w:rFonts w:cs="Times New Roman"/>
                <w:sz w:val="18"/>
                <w:szCs w:val="18"/>
              </w:rPr>
            </w:pPr>
            <w:r>
              <w:rPr>
                <w:rFonts w:hint="eastAsia" w:cs="Times New Roman"/>
                <w:sz w:val="18"/>
                <w:szCs w:val="18"/>
              </w:rPr>
              <w:t>203.07</w:t>
            </w:r>
          </w:p>
        </w:tc>
        <w:tc>
          <w:tcPr>
            <w:tcW w:w="537"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612" w:type="pct"/>
            <w:tcBorders>
              <w:top w:val="nil"/>
              <w:bottom w:val="nil"/>
            </w:tcBorders>
            <w:noWrap/>
            <w:vAlign w:val="center"/>
          </w:tcPr>
          <w:p>
            <w:pPr>
              <w:spacing w:before="0" w:after="0" w:line="240" w:lineRule="auto"/>
              <w:jc w:val="center"/>
              <w:rPr>
                <w:rFonts w:cs="Times New Roman"/>
                <w:sz w:val="18"/>
                <w:szCs w:val="18"/>
              </w:rPr>
            </w:pPr>
            <w:r>
              <w:rPr>
                <w:rFonts w:hint="eastAsia" w:cs="Times New Roman"/>
                <w:sz w:val="18"/>
                <w:szCs w:val="18"/>
              </w:rPr>
              <w:t>203.07</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2.农用地</w:t>
            </w:r>
          </w:p>
        </w:tc>
        <w:tc>
          <w:tcPr>
            <w:tcW w:w="618" w:type="pct"/>
            <w:gridSpan w:val="3"/>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vAlign w:val="center"/>
          </w:tcPr>
          <w:p>
            <w:pPr>
              <w:spacing w:before="0" w:after="0" w:line="240" w:lineRule="auto"/>
              <w:jc w:val="center"/>
              <w:rPr>
                <w:rFonts w:cs="Times New Roman"/>
                <w:sz w:val="18"/>
                <w:szCs w:val="18"/>
              </w:rPr>
            </w:pPr>
            <w:r>
              <w:rPr>
                <w:rFonts w:hint="eastAsia" w:cs="Times New Roman"/>
                <w:sz w:val="18"/>
                <w:szCs w:val="18"/>
              </w:rPr>
              <w:t>80.60</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612" w:type="pct"/>
            <w:tcBorders>
              <w:top w:val="nil"/>
              <w:bottom w:val="nil"/>
            </w:tcBorders>
            <w:noWrap/>
            <w:vAlign w:val="center"/>
          </w:tcPr>
          <w:p>
            <w:pPr>
              <w:spacing w:before="0" w:after="0" w:line="240" w:lineRule="auto"/>
              <w:jc w:val="center"/>
              <w:rPr>
                <w:rFonts w:cs="Times New Roman"/>
                <w:sz w:val="18"/>
                <w:szCs w:val="18"/>
              </w:rPr>
            </w:pPr>
            <w:r>
              <w:rPr>
                <w:rFonts w:hint="eastAsia" w:cs="Times New Roman"/>
                <w:sz w:val="18"/>
                <w:szCs w:val="18"/>
              </w:rPr>
              <w:t>80.60</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3.动物肠道发酵</w:t>
            </w:r>
          </w:p>
        </w:tc>
        <w:tc>
          <w:tcPr>
            <w:tcW w:w="618" w:type="pct"/>
            <w:gridSpan w:val="3"/>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noWrap/>
            <w:vAlign w:val="center"/>
          </w:tcPr>
          <w:p>
            <w:pPr>
              <w:spacing w:before="0" w:after="0" w:line="240" w:lineRule="auto"/>
              <w:jc w:val="center"/>
              <w:rPr>
                <w:rFonts w:cs="Times New Roman"/>
                <w:sz w:val="18"/>
                <w:szCs w:val="18"/>
              </w:rPr>
            </w:pPr>
            <w:r>
              <w:rPr>
                <w:rFonts w:hint="eastAsia" w:cs="Times New Roman"/>
                <w:sz w:val="18"/>
                <w:szCs w:val="18"/>
              </w:rPr>
              <w:t>34.65</w:t>
            </w:r>
          </w:p>
        </w:tc>
        <w:tc>
          <w:tcPr>
            <w:tcW w:w="537"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612" w:type="pct"/>
            <w:tcBorders>
              <w:top w:val="nil"/>
              <w:bottom w:val="nil"/>
            </w:tcBorders>
            <w:noWrap/>
            <w:vAlign w:val="center"/>
          </w:tcPr>
          <w:p>
            <w:pPr>
              <w:spacing w:before="0" w:after="0" w:line="240" w:lineRule="auto"/>
              <w:jc w:val="center"/>
              <w:rPr>
                <w:rFonts w:cs="Times New Roman"/>
                <w:sz w:val="18"/>
                <w:szCs w:val="18"/>
              </w:rPr>
            </w:pPr>
            <w:r>
              <w:rPr>
                <w:rFonts w:hint="eastAsia" w:cs="Times New Roman"/>
                <w:sz w:val="18"/>
                <w:szCs w:val="18"/>
              </w:rPr>
              <w:t>34.65</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4.动物粪便管理系统</w:t>
            </w:r>
          </w:p>
        </w:tc>
        <w:tc>
          <w:tcPr>
            <w:tcW w:w="618" w:type="pct"/>
            <w:gridSpan w:val="3"/>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noWrap/>
            <w:vAlign w:val="center"/>
          </w:tcPr>
          <w:p>
            <w:pPr>
              <w:spacing w:before="0" w:after="0" w:line="240" w:lineRule="auto"/>
              <w:jc w:val="center"/>
              <w:rPr>
                <w:rFonts w:cs="Times New Roman"/>
                <w:sz w:val="18"/>
                <w:szCs w:val="18"/>
              </w:rPr>
            </w:pPr>
            <w:r>
              <w:rPr>
                <w:rFonts w:hint="eastAsia" w:cs="Times New Roman"/>
                <w:sz w:val="18"/>
                <w:szCs w:val="18"/>
              </w:rPr>
              <w:t>28.98</w:t>
            </w:r>
          </w:p>
        </w:tc>
        <w:tc>
          <w:tcPr>
            <w:tcW w:w="537" w:type="pct"/>
            <w:tcBorders>
              <w:top w:val="nil"/>
              <w:bottom w:val="nil"/>
            </w:tcBorders>
            <w:vAlign w:val="center"/>
          </w:tcPr>
          <w:p>
            <w:pPr>
              <w:spacing w:before="0" w:after="0" w:line="240" w:lineRule="auto"/>
              <w:jc w:val="center"/>
              <w:rPr>
                <w:rFonts w:cs="Times New Roman"/>
                <w:sz w:val="18"/>
                <w:szCs w:val="18"/>
              </w:rPr>
            </w:pPr>
            <w:r>
              <w:rPr>
                <w:rFonts w:hint="eastAsia" w:cs="Times New Roman"/>
                <w:sz w:val="18"/>
                <w:szCs w:val="18"/>
              </w:rPr>
              <w:t>22.63</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612" w:type="pct"/>
            <w:tcBorders>
              <w:top w:val="nil"/>
              <w:bottom w:val="nil"/>
            </w:tcBorders>
            <w:noWrap/>
            <w:vAlign w:val="center"/>
          </w:tcPr>
          <w:p>
            <w:pPr>
              <w:spacing w:before="0" w:after="0" w:line="240" w:lineRule="auto"/>
              <w:jc w:val="center"/>
              <w:rPr>
                <w:rFonts w:cs="Times New Roman"/>
                <w:sz w:val="18"/>
                <w:szCs w:val="18"/>
              </w:rPr>
            </w:pPr>
            <w:r>
              <w:rPr>
                <w:rFonts w:hint="eastAsia" w:cs="Times New Roman"/>
                <w:sz w:val="18"/>
                <w:szCs w:val="18"/>
              </w:rPr>
              <w:t>51.61</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b/>
                <w:sz w:val="18"/>
                <w:szCs w:val="18"/>
              </w:rPr>
            </w:pPr>
            <w:r>
              <w:rPr>
                <w:rFonts w:cs="Times New Roman" w:eastAsiaTheme="minorEastAsia"/>
                <w:b/>
                <w:sz w:val="18"/>
                <w:szCs w:val="18"/>
              </w:rPr>
              <w:t>土地利用变化与林业总计</w:t>
            </w:r>
          </w:p>
        </w:tc>
        <w:tc>
          <w:tcPr>
            <w:tcW w:w="618" w:type="pct"/>
            <w:gridSpan w:val="3"/>
            <w:tcBorders>
              <w:top w:val="nil"/>
              <w:bottom w:val="nil"/>
            </w:tcBorders>
            <w:noWrap/>
            <w:vAlign w:val="center"/>
          </w:tcPr>
          <w:p>
            <w:pPr>
              <w:widowControl/>
              <w:spacing w:before="0" w:after="0" w:line="240" w:lineRule="auto"/>
              <w:jc w:val="center"/>
              <w:rPr>
                <w:rFonts w:cs="Times New Roman"/>
                <w:b/>
                <w:bCs/>
                <w:kern w:val="0"/>
                <w:sz w:val="18"/>
                <w:szCs w:val="18"/>
              </w:rPr>
            </w:pPr>
            <w:r>
              <w:rPr>
                <w:rFonts w:hint="eastAsia" w:cs="Times New Roman"/>
                <w:b/>
                <w:bCs/>
                <w:kern w:val="0"/>
                <w:sz w:val="18"/>
                <w:szCs w:val="18"/>
              </w:rPr>
              <w:t>-100.14</w:t>
            </w:r>
          </w:p>
        </w:tc>
        <w:tc>
          <w:tcPr>
            <w:tcW w:w="537" w:type="pct"/>
            <w:tcBorders>
              <w:top w:val="nil"/>
              <w:bottom w:val="nil"/>
            </w:tcBorders>
            <w:noWrap/>
            <w:vAlign w:val="center"/>
          </w:tcPr>
          <w:p>
            <w:pPr>
              <w:widowControl/>
              <w:spacing w:before="0" w:after="0" w:line="240" w:lineRule="auto"/>
              <w:jc w:val="center"/>
              <w:textAlignment w:val="center"/>
              <w:rPr>
                <w:rFonts w:cs="Times New Roman"/>
                <w:b/>
                <w:bCs/>
                <w:sz w:val="18"/>
                <w:szCs w:val="18"/>
              </w:rPr>
            </w:pPr>
            <w:r>
              <w:rPr>
                <w:rFonts w:hint="eastAsia" w:cs="Times New Roman"/>
                <w:b/>
                <w:bCs/>
                <w:kern w:val="0"/>
                <w:sz w:val="18"/>
                <w:szCs w:val="18"/>
                <w:lang w:bidi="ar"/>
              </w:rPr>
              <w:t>0.10</w:t>
            </w:r>
          </w:p>
        </w:tc>
        <w:tc>
          <w:tcPr>
            <w:tcW w:w="537" w:type="pct"/>
            <w:tcBorders>
              <w:top w:val="nil"/>
              <w:bottom w:val="nil"/>
            </w:tcBorders>
            <w:vAlign w:val="center"/>
          </w:tcPr>
          <w:p>
            <w:pPr>
              <w:widowControl/>
              <w:spacing w:before="0" w:after="0" w:line="240" w:lineRule="auto"/>
              <w:jc w:val="center"/>
              <w:textAlignment w:val="center"/>
              <w:rPr>
                <w:rFonts w:cs="Times New Roman"/>
                <w:b/>
                <w:bCs/>
                <w:sz w:val="18"/>
                <w:szCs w:val="18"/>
              </w:rPr>
            </w:pPr>
            <w:r>
              <w:rPr>
                <w:rFonts w:hint="eastAsia" w:cs="Times New Roman"/>
                <w:b/>
                <w:bCs/>
                <w:kern w:val="0"/>
                <w:sz w:val="18"/>
                <w:szCs w:val="18"/>
                <w:lang w:bidi="ar"/>
              </w:rPr>
              <w:t>0.01</w:t>
            </w:r>
          </w:p>
        </w:tc>
        <w:tc>
          <w:tcPr>
            <w:tcW w:w="383" w:type="pct"/>
            <w:tcBorders>
              <w:top w:val="nil"/>
              <w:bottom w:val="nil"/>
            </w:tcBorders>
            <w:vAlign w:val="center"/>
          </w:tcPr>
          <w:p>
            <w:pPr>
              <w:spacing w:before="0" w:after="0" w:line="240" w:lineRule="auto"/>
              <w:jc w:val="center"/>
              <w:rPr>
                <w:rFonts w:cs="Times New Roman"/>
                <w:b/>
                <w:bCs/>
                <w:sz w:val="18"/>
                <w:szCs w:val="18"/>
              </w:rPr>
            </w:pPr>
            <w:r>
              <w:rPr>
                <w:rFonts w:cs="Times New Roman"/>
                <w:b/>
                <w:bCs/>
                <w:sz w:val="18"/>
                <w:szCs w:val="18"/>
              </w:rPr>
              <w:t>/</w:t>
            </w:r>
          </w:p>
        </w:tc>
        <w:tc>
          <w:tcPr>
            <w:tcW w:w="385" w:type="pct"/>
            <w:tcBorders>
              <w:top w:val="nil"/>
              <w:bottom w:val="nil"/>
            </w:tcBorders>
            <w:vAlign w:val="center"/>
          </w:tcPr>
          <w:p>
            <w:pPr>
              <w:spacing w:before="0" w:after="0" w:line="240" w:lineRule="auto"/>
              <w:jc w:val="center"/>
              <w:rPr>
                <w:rFonts w:cs="Times New Roman"/>
                <w:b/>
                <w:bCs/>
                <w:sz w:val="18"/>
                <w:szCs w:val="18"/>
              </w:rPr>
            </w:pPr>
            <w:r>
              <w:rPr>
                <w:rFonts w:cs="Times New Roman"/>
                <w:b/>
                <w:bCs/>
                <w:sz w:val="18"/>
                <w:szCs w:val="18"/>
              </w:rPr>
              <w:t>/</w:t>
            </w:r>
          </w:p>
        </w:tc>
        <w:tc>
          <w:tcPr>
            <w:tcW w:w="462" w:type="pct"/>
            <w:tcBorders>
              <w:top w:val="nil"/>
              <w:bottom w:val="nil"/>
            </w:tcBorders>
            <w:vAlign w:val="center"/>
          </w:tcPr>
          <w:p>
            <w:pPr>
              <w:spacing w:before="0" w:after="0" w:line="240" w:lineRule="auto"/>
              <w:jc w:val="center"/>
              <w:rPr>
                <w:rFonts w:cs="Times New Roman"/>
                <w:b/>
                <w:bCs/>
                <w:sz w:val="18"/>
                <w:szCs w:val="18"/>
              </w:rPr>
            </w:pPr>
            <w:r>
              <w:rPr>
                <w:rFonts w:cs="Times New Roman"/>
                <w:b/>
                <w:bCs/>
                <w:sz w:val="18"/>
                <w:szCs w:val="18"/>
              </w:rPr>
              <w:t>/</w:t>
            </w:r>
          </w:p>
        </w:tc>
        <w:tc>
          <w:tcPr>
            <w:tcW w:w="612" w:type="pct"/>
            <w:tcBorders>
              <w:top w:val="nil"/>
              <w:bottom w:val="nil"/>
            </w:tcBorders>
            <w:noWrap/>
            <w:vAlign w:val="center"/>
          </w:tcPr>
          <w:p>
            <w:pPr>
              <w:widowControl/>
              <w:spacing w:before="0" w:after="0" w:line="240" w:lineRule="auto"/>
              <w:jc w:val="center"/>
              <w:rPr>
                <w:rFonts w:cs="Times New Roman"/>
                <w:b/>
                <w:bCs/>
                <w:sz w:val="18"/>
                <w:szCs w:val="18"/>
              </w:rPr>
            </w:pPr>
            <w:r>
              <w:rPr>
                <w:rFonts w:hint="eastAsia" w:cs="Times New Roman"/>
                <w:b/>
                <w:bCs/>
                <w:kern w:val="0"/>
                <w:sz w:val="18"/>
                <w:szCs w:val="18"/>
              </w:rPr>
              <w:t>-100.03</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1.森林和其他木质生物</w:t>
            </w:r>
          </w:p>
          <w:p>
            <w:pPr>
              <w:spacing w:before="0" w:after="0" w:line="240" w:lineRule="auto"/>
              <w:jc w:val="center"/>
              <w:rPr>
                <w:rFonts w:cs="Times New Roman" w:eastAsiaTheme="minorEastAsia"/>
                <w:sz w:val="18"/>
                <w:szCs w:val="18"/>
              </w:rPr>
            </w:pPr>
            <w:r>
              <w:rPr>
                <w:rFonts w:cs="Times New Roman" w:eastAsiaTheme="minorEastAsia"/>
                <w:sz w:val="18"/>
                <w:szCs w:val="18"/>
              </w:rPr>
              <w:t>质碳储量变化小计</w:t>
            </w:r>
          </w:p>
        </w:tc>
        <w:tc>
          <w:tcPr>
            <w:tcW w:w="618" w:type="pct"/>
            <w:gridSpan w:val="3"/>
            <w:tcBorders>
              <w:top w:val="nil"/>
              <w:bottom w:val="nil"/>
            </w:tcBorders>
            <w:noWrap/>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-105.70</w:t>
            </w:r>
          </w:p>
        </w:tc>
        <w:tc>
          <w:tcPr>
            <w:tcW w:w="537"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612" w:type="pct"/>
            <w:tcBorders>
              <w:top w:val="nil"/>
              <w:bottom w:val="nil"/>
            </w:tcBorders>
            <w:noWrap/>
            <w:vAlign w:val="center"/>
          </w:tcPr>
          <w:p>
            <w:pPr>
              <w:widowControl/>
              <w:spacing w:before="0" w:after="0" w:line="240" w:lineRule="auto"/>
              <w:jc w:val="center"/>
              <w:rPr>
                <w:rFonts w:cs="Times New Roman"/>
                <w:sz w:val="18"/>
                <w:szCs w:val="18"/>
              </w:rPr>
            </w:pPr>
            <w:r>
              <w:rPr>
                <w:rFonts w:hint="eastAsia" w:cs="Times New Roman"/>
                <w:kern w:val="0"/>
                <w:sz w:val="18"/>
                <w:szCs w:val="18"/>
              </w:rPr>
              <w:t>-105.70</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乔木林</w:t>
            </w:r>
          </w:p>
        </w:tc>
        <w:tc>
          <w:tcPr>
            <w:tcW w:w="618" w:type="pct"/>
            <w:gridSpan w:val="3"/>
            <w:tcBorders>
              <w:top w:val="nil"/>
              <w:bottom w:val="nil"/>
            </w:tcBorders>
            <w:noWrap/>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-311.11</w:t>
            </w:r>
          </w:p>
        </w:tc>
        <w:tc>
          <w:tcPr>
            <w:tcW w:w="537"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612" w:type="pct"/>
            <w:tcBorders>
              <w:top w:val="nil"/>
              <w:bottom w:val="nil"/>
            </w:tcBorders>
            <w:noWrap/>
            <w:vAlign w:val="center"/>
          </w:tcPr>
          <w:p>
            <w:pPr>
              <w:widowControl/>
              <w:spacing w:before="0" w:after="0" w:line="240" w:lineRule="auto"/>
              <w:jc w:val="center"/>
              <w:rPr>
                <w:rFonts w:cs="Times New Roman"/>
                <w:sz w:val="18"/>
                <w:szCs w:val="18"/>
              </w:rPr>
            </w:pPr>
            <w:r>
              <w:rPr>
                <w:rFonts w:hint="eastAsia" w:cs="Times New Roman"/>
                <w:kern w:val="0"/>
                <w:sz w:val="18"/>
                <w:szCs w:val="18"/>
              </w:rPr>
              <w:t>-311.11</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经济林</w:t>
            </w:r>
          </w:p>
        </w:tc>
        <w:tc>
          <w:tcPr>
            <w:tcW w:w="618" w:type="pct"/>
            <w:gridSpan w:val="3"/>
            <w:tcBorders>
              <w:top w:val="nil"/>
              <w:bottom w:val="nil"/>
            </w:tcBorders>
            <w:noWrap/>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16.67</w:t>
            </w:r>
          </w:p>
        </w:tc>
        <w:tc>
          <w:tcPr>
            <w:tcW w:w="537"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612" w:type="pct"/>
            <w:tcBorders>
              <w:top w:val="nil"/>
              <w:bottom w:val="nil"/>
            </w:tcBorders>
            <w:noWrap/>
            <w:vAlign w:val="center"/>
          </w:tcPr>
          <w:p>
            <w:pPr>
              <w:widowControl/>
              <w:spacing w:before="0" w:after="0" w:line="240" w:lineRule="auto"/>
              <w:jc w:val="center"/>
              <w:rPr>
                <w:rFonts w:cs="Times New Roman"/>
                <w:sz w:val="18"/>
                <w:szCs w:val="18"/>
              </w:rPr>
            </w:pPr>
            <w:r>
              <w:rPr>
                <w:rFonts w:hint="eastAsia" w:cs="Times New Roman"/>
                <w:kern w:val="0"/>
                <w:sz w:val="18"/>
                <w:szCs w:val="18"/>
              </w:rPr>
              <w:t>16.67</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竹林</w:t>
            </w:r>
          </w:p>
        </w:tc>
        <w:tc>
          <w:tcPr>
            <w:tcW w:w="618" w:type="pct"/>
            <w:gridSpan w:val="3"/>
            <w:tcBorders>
              <w:top w:val="nil"/>
              <w:bottom w:val="nil"/>
            </w:tcBorders>
            <w:noWrap/>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5.49</w:t>
            </w:r>
          </w:p>
        </w:tc>
        <w:tc>
          <w:tcPr>
            <w:tcW w:w="537"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612" w:type="pct"/>
            <w:tcBorders>
              <w:top w:val="nil"/>
              <w:bottom w:val="nil"/>
            </w:tcBorders>
            <w:noWrap/>
            <w:vAlign w:val="center"/>
          </w:tcPr>
          <w:p>
            <w:pPr>
              <w:widowControl/>
              <w:spacing w:before="0" w:after="0" w:line="240" w:lineRule="auto"/>
              <w:jc w:val="center"/>
              <w:rPr>
                <w:rFonts w:cs="Times New Roman"/>
                <w:sz w:val="18"/>
                <w:szCs w:val="18"/>
              </w:rPr>
            </w:pPr>
            <w:r>
              <w:rPr>
                <w:rFonts w:hint="eastAsia" w:cs="Times New Roman"/>
                <w:kern w:val="0"/>
                <w:sz w:val="18"/>
                <w:szCs w:val="18"/>
              </w:rPr>
              <w:t>5.49</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国家特别规定的灌木林</w:t>
            </w:r>
          </w:p>
        </w:tc>
        <w:tc>
          <w:tcPr>
            <w:tcW w:w="618" w:type="pct"/>
            <w:gridSpan w:val="3"/>
            <w:tcBorders>
              <w:top w:val="nil"/>
              <w:bottom w:val="nil"/>
            </w:tcBorders>
            <w:noWrap/>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-5.01</w:t>
            </w:r>
          </w:p>
        </w:tc>
        <w:tc>
          <w:tcPr>
            <w:tcW w:w="537"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612" w:type="pct"/>
            <w:tcBorders>
              <w:top w:val="nil"/>
              <w:bottom w:val="nil"/>
            </w:tcBorders>
            <w:noWrap/>
            <w:vAlign w:val="center"/>
          </w:tcPr>
          <w:p>
            <w:pPr>
              <w:widowControl/>
              <w:spacing w:before="0" w:after="0" w:line="240" w:lineRule="auto"/>
              <w:jc w:val="center"/>
              <w:rPr>
                <w:rFonts w:cs="Times New Roman"/>
                <w:sz w:val="18"/>
                <w:szCs w:val="18"/>
              </w:rPr>
            </w:pPr>
            <w:r>
              <w:rPr>
                <w:rFonts w:hint="eastAsia" w:cs="Times New Roman"/>
                <w:kern w:val="0"/>
                <w:sz w:val="18"/>
                <w:szCs w:val="18"/>
              </w:rPr>
              <w:t>-5.01</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疏林、散生木和四旁树</w:t>
            </w:r>
          </w:p>
        </w:tc>
        <w:tc>
          <w:tcPr>
            <w:tcW w:w="618" w:type="pct"/>
            <w:gridSpan w:val="3"/>
            <w:tcBorders>
              <w:top w:val="nil"/>
              <w:bottom w:val="nil"/>
            </w:tcBorders>
            <w:noWrap/>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-35.61</w:t>
            </w:r>
          </w:p>
        </w:tc>
        <w:tc>
          <w:tcPr>
            <w:tcW w:w="537"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612" w:type="pct"/>
            <w:tcBorders>
              <w:top w:val="nil"/>
              <w:bottom w:val="nil"/>
            </w:tcBorders>
            <w:noWrap/>
            <w:vAlign w:val="center"/>
          </w:tcPr>
          <w:p>
            <w:pPr>
              <w:widowControl/>
              <w:spacing w:before="0" w:after="0" w:line="240" w:lineRule="auto"/>
              <w:jc w:val="center"/>
              <w:rPr>
                <w:rFonts w:cs="Times New Roman"/>
                <w:sz w:val="18"/>
                <w:szCs w:val="18"/>
              </w:rPr>
            </w:pPr>
            <w:r>
              <w:rPr>
                <w:rFonts w:hint="eastAsia" w:cs="Times New Roman"/>
                <w:kern w:val="0"/>
                <w:sz w:val="18"/>
                <w:szCs w:val="18"/>
              </w:rPr>
              <w:t>-35.61</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活立木消耗</w:t>
            </w:r>
          </w:p>
        </w:tc>
        <w:tc>
          <w:tcPr>
            <w:tcW w:w="618" w:type="pct"/>
            <w:gridSpan w:val="3"/>
            <w:tcBorders>
              <w:top w:val="nil"/>
              <w:bottom w:val="nil"/>
            </w:tcBorders>
            <w:noWrap/>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223.87</w:t>
            </w:r>
          </w:p>
        </w:tc>
        <w:tc>
          <w:tcPr>
            <w:tcW w:w="537"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612" w:type="pct"/>
            <w:tcBorders>
              <w:top w:val="nil"/>
              <w:bottom w:val="nil"/>
            </w:tcBorders>
            <w:noWrap/>
            <w:vAlign w:val="center"/>
          </w:tcPr>
          <w:p>
            <w:pPr>
              <w:widowControl/>
              <w:spacing w:before="0" w:after="0" w:line="240" w:lineRule="auto"/>
              <w:jc w:val="center"/>
              <w:rPr>
                <w:rFonts w:cs="Times New Roman"/>
                <w:sz w:val="18"/>
                <w:szCs w:val="18"/>
              </w:rPr>
            </w:pPr>
            <w:r>
              <w:rPr>
                <w:rFonts w:hint="eastAsia" w:cs="Times New Roman"/>
                <w:kern w:val="0"/>
                <w:sz w:val="18"/>
                <w:szCs w:val="18"/>
              </w:rPr>
              <w:t>223.87</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2.森林转化碳排放小计</w:t>
            </w:r>
          </w:p>
        </w:tc>
        <w:tc>
          <w:tcPr>
            <w:tcW w:w="618" w:type="pct"/>
            <w:gridSpan w:val="3"/>
            <w:tcBorders>
              <w:top w:val="nil"/>
              <w:bottom w:val="nil"/>
            </w:tcBorders>
            <w:noWrap/>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5.56</w:t>
            </w:r>
          </w:p>
        </w:tc>
        <w:tc>
          <w:tcPr>
            <w:tcW w:w="537" w:type="pct"/>
            <w:tcBorders>
              <w:top w:val="nil"/>
              <w:bottom w:val="nil"/>
            </w:tcBorders>
            <w:noWrap/>
            <w:vAlign w:val="center"/>
          </w:tcPr>
          <w:p>
            <w:pPr>
              <w:widowControl/>
              <w:spacing w:before="0" w:after="0" w:line="240" w:lineRule="auto"/>
              <w:jc w:val="center"/>
              <w:textAlignment w:val="center"/>
              <w:rPr>
                <w:rFonts w:cs="Times New Roman"/>
                <w:kern w:val="0"/>
                <w:sz w:val="18"/>
                <w:szCs w:val="18"/>
                <w:lang w:bidi="ar"/>
              </w:rPr>
            </w:pPr>
            <w:r>
              <w:rPr>
                <w:rFonts w:hint="eastAsia" w:cs="Times New Roman"/>
                <w:kern w:val="0"/>
                <w:sz w:val="18"/>
                <w:szCs w:val="18"/>
                <w:lang w:bidi="ar"/>
              </w:rPr>
              <w:t>0.10</w:t>
            </w:r>
          </w:p>
        </w:tc>
        <w:tc>
          <w:tcPr>
            <w:tcW w:w="537" w:type="pct"/>
            <w:tcBorders>
              <w:top w:val="nil"/>
              <w:bottom w:val="nil"/>
            </w:tcBorders>
            <w:vAlign w:val="center"/>
          </w:tcPr>
          <w:p>
            <w:pPr>
              <w:widowControl/>
              <w:spacing w:before="0" w:after="0" w:line="240" w:lineRule="auto"/>
              <w:jc w:val="center"/>
              <w:textAlignment w:val="center"/>
              <w:rPr>
                <w:rFonts w:cs="Times New Roman"/>
                <w:kern w:val="0"/>
                <w:sz w:val="18"/>
                <w:szCs w:val="18"/>
                <w:lang w:bidi="ar"/>
              </w:rPr>
            </w:pPr>
            <w:r>
              <w:rPr>
                <w:rFonts w:hint="eastAsia" w:cs="Times New Roman"/>
                <w:kern w:val="0"/>
                <w:sz w:val="18"/>
                <w:szCs w:val="18"/>
                <w:lang w:bidi="ar"/>
              </w:rPr>
              <w:t>0.01</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612" w:type="pct"/>
            <w:tcBorders>
              <w:top w:val="nil"/>
              <w:bottom w:val="nil"/>
            </w:tcBorders>
            <w:noWrap/>
            <w:vAlign w:val="center"/>
          </w:tcPr>
          <w:p>
            <w:pPr>
              <w:widowControl/>
              <w:spacing w:before="0" w:after="0" w:line="240" w:lineRule="auto"/>
              <w:jc w:val="center"/>
              <w:rPr>
                <w:rFonts w:cs="Times New Roman"/>
                <w:sz w:val="18"/>
                <w:szCs w:val="18"/>
              </w:rPr>
            </w:pPr>
            <w:r>
              <w:rPr>
                <w:rFonts w:hint="eastAsia" w:cs="Times New Roman"/>
                <w:kern w:val="0"/>
                <w:sz w:val="18"/>
                <w:szCs w:val="18"/>
              </w:rPr>
              <w:t>5.67</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燃烧排放</w:t>
            </w:r>
          </w:p>
        </w:tc>
        <w:tc>
          <w:tcPr>
            <w:tcW w:w="618" w:type="pct"/>
            <w:gridSpan w:val="3"/>
            <w:tcBorders>
              <w:top w:val="nil"/>
              <w:bottom w:val="nil"/>
            </w:tcBorders>
            <w:noWrap/>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3.12</w:t>
            </w:r>
          </w:p>
        </w:tc>
        <w:tc>
          <w:tcPr>
            <w:tcW w:w="537" w:type="pct"/>
            <w:tcBorders>
              <w:top w:val="nil"/>
              <w:bottom w:val="nil"/>
            </w:tcBorders>
            <w:noWrap/>
            <w:vAlign w:val="center"/>
          </w:tcPr>
          <w:p>
            <w:pPr>
              <w:widowControl/>
              <w:spacing w:before="0" w:after="0" w:line="240" w:lineRule="auto"/>
              <w:jc w:val="center"/>
              <w:textAlignment w:val="center"/>
              <w:rPr>
                <w:rFonts w:cs="Times New Roman"/>
                <w:kern w:val="0"/>
                <w:sz w:val="18"/>
                <w:szCs w:val="18"/>
                <w:lang w:bidi="ar"/>
              </w:rPr>
            </w:pPr>
            <w:r>
              <w:rPr>
                <w:rFonts w:hint="eastAsia" w:cs="Times New Roman"/>
                <w:kern w:val="0"/>
                <w:sz w:val="18"/>
                <w:szCs w:val="18"/>
                <w:lang w:bidi="ar"/>
              </w:rPr>
              <w:t>0.10</w:t>
            </w:r>
          </w:p>
        </w:tc>
        <w:tc>
          <w:tcPr>
            <w:tcW w:w="537" w:type="pct"/>
            <w:tcBorders>
              <w:top w:val="nil"/>
              <w:bottom w:val="nil"/>
            </w:tcBorders>
            <w:vAlign w:val="center"/>
          </w:tcPr>
          <w:p>
            <w:pPr>
              <w:widowControl/>
              <w:spacing w:before="0" w:after="0" w:line="240" w:lineRule="auto"/>
              <w:jc w:val="center"/>
              <w:textAlignment w:val="center"/>
              <w:rPr>
                <w:rFonts w:cs="Times New Roman"/>
                <w:kern w:val="0"/>
                <w:sz w:val="18"/>
                <w:szCs w:val="18"/>
                <w:lang w:bidi="ar"/>
              </w:rPr>
            </w:pPr>
            <w:r>
              <w:rPr>
                <w:rFonts w:hint="eastAsia" w:cs="Times New Roman"/>
                <w:kern w:val="0"/>
                <w:sz w:val="18"/>
                <w:szCs w:val="18"/>
                <w:lang w:bidi="ar"/>
              </w:rPr>
              <w:t>0.01</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612" w:type="pct"/>
            <w:tcBorders>
              <w:top w:val="nil"/>
              <w:bottom w:val="nil"/>
            </w:tcBorders>
            <w:noWrap/>
            <w:vAlign w:val="center"/>
          </w:tcPr>
          <w:p>
            <w:pPr>
              <w:widowControl/>
              <w:spacing w:before="0" w:after="0" w:line="240" w:lineRule="auto"/>
              <w:jc w:val="center"/>
              <w:rPr>
                <w:rFonts w:cs="Times New Roman"/>
                <w:sz w:val="18"/>
                <w:szCs w:val="18"/>
              </w:rPr>
            </w:pPr>
            <w:r>
              <w:rPr>
                <w:rFonts w:hint="eastAsia" w:cs="Times New Roman"/>
                <w:kern w:val="0"/>
                <w:sz w:val="18"/>
                <w:szCs w:val="18"/>
              </w:rPr>
              <w:t>3.23</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分解排放</w:t>
            </w:r>
          </w:p>
        </w:tc>
        <w:tc>
          <w:tcPr>
            <w:tcW w:w="618" w:type="pct"/>
            <w:gridSpan w:val="3"/>
            <w:tcBorders>
              <w:top w:val="nil"/>
              <w:bottom w:val="nil"/>
            </w:tcBorders>
            <w:noWrap/>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2.44</w:t>
            </w:r>
          </w:p>
        </w:tc>
        <w:tc>
          <w:tcPr>
            <w:tcW w:w="537" w:type="pct"/>
            <w:tcBorders>
              <w:top w:val="nil"/>
              <w:bottom w:val="nil"/>
            </w:tcBorders>
            <w:noWrap/>
            <w:vAlign w:val="center"/>
          </w:tcPr>
          <w:p>
            <w:pPr>
              <w:widowControl/>
              <w:spacing w:before="0" w:after="0" w:line="240" w:lineRule="auto"/>
              <w:jc w:val="center"/>
              <w:textAlignment w:val="center"/>
              <w:rPr>
                <w:rFonts w:cs="Times New Roman"/>
                <w:kern w:val="0"/>
                <w:sz w:val="18"/>
                <w:szCs w:val="18"/>
                <w:lang w:bidi="ar"/>
              </w:rPr>
            </w:pPr>
            <w:r>
              <w:rPr>
                <w:rFonts w:hint="eastAsia" w:cs="Times New Roman"/>
                <w:kern w:val="0"/>
                <w:sz w:val="18"/>
                <w:szCs w:val="18"/>
                <w:lang w:bidi="ar"/>
              </w:rPr>
              <w:t>/</w:t>
            </w:r>
          </w:p>
        </w:tc>
        <w:tc>
          <w:tcPr>
            <w:tcW w:w="537" w:type="pct"/>
            <w:tcBorders>
              <w:top w:val="nil"/>
              <w:bottom w:val="nil"/>
            </w:tcBorders>
            <w:vAlign w:val="center"/>
          </w:tcPr>
          <w:p>
            <w:pPr>
              <w:widowControl/>
              <w:spacing w:before="0" w:after="0" w:line="240" w:lineRule="auto"/>
              <w:jc w:val="center"/>
              <w:textAlignment w:val="center"/>
              <w:rPr>
                <w:rFonts w:cs="Times New Roman"/>
                <w:kern w:val="0"/>
                <w:sz w:val="18"/>
                <w:szCs w:val="18"/>
                <w:lang w:bidi="ar"/>
              </w:rPr>
            </w:pPr>
            <w:r>
              <w:rPr>
                <w:rFonts w:hint="eastAsia" w:cs="Times New Roman"/>
                <w:kern w:val="0"/>
                <w:sz w:val="18"/>
                <w:szCs w:val="18"/>
                <w:lang w:bidi="ar"/>
              </w:rPr>
              <w:t>/</w:t>
            </w:r>
          </w:p>
        </w:tc>
        <w:tc>
          <w:tcPr>
            <w:tcW w:w="383" w:type="pct"/>
            <w:tcBorders>
              <w:top w:val="nil"/>
              <w:bottom w:val="nil"/>
            </w:tcBorders>
            <w:vAlign w:val="center"/>
          </w:tcPr>
          <w:p>
            <w:pPr>
              <w:spacing w:before="0" w:after="0" w:line="240" w:lineRule="auto"/>
              <w:jc w:val="center"/>
              <w:rPr>
                <w:rFonts w:cs="Times New Roman"/>
                <w:sz w:val="18"/>
                <w:szCs w:val="18"/>
              </w:rPr>
            </w:pPr>
            <w:r>
              <w:rPr>
                <w:rFonts w:hint="eastAsia"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hint="eastAsia" w:cs="Times New Roman"/>
                <w:sz w:val="18"/>
                <w:szCs w:val="18"/>
              </w:rPr>
              <w:t>/</w:t>
            </w:r>
          </w:p>
        </w:tc>
        <w:tc>
          <w:tcPr>
            <w:tcW w:w="462" w:type="pct"/>
            <w:tcBorders>
              <w:top w:val="nil"/>
              <w:bottom w:val="nil"/>
            </w:tcBorders>
            <w:vAlign w:val="center"/>
          </w:tcPr>
          <w:p>
            <w:pPr>
              <w:spacing w:before="0" w:after="0" w:line="240" w:lineRule="auto"/>
              <w:jc w:val="center"/>
              <w:rPr>
                <w:rFonts w:cs="Times New Roman"/>
                <w:sz w:val="18"/>
                <w:szCs w:val="18"/>
              </w:rPr>
            </w:pPr>
            <w:r>
              <w:rPr>
                <w:rFonts w:hint="eastAsia" w:cs="Times New Roman"/>
                <w:sz w:val="18"/>
                <w:szCs w:val="18"/>
              </w:rPr>
              <w:t>/</w:t>
            </w:r>
          </w:p>
        </w:tc>
        <w:tc>
          <w:tcPr>
            <w:tcW w:w="612" w:type="pct"/>
            <w:tcBorders>
              <w:top w:val="nil"/>
              <w:bottom w:val="nil"/>
            </w:tcBorders>
            <w:noWrap/>
            <w:vAlign w:val="center"/>
          </w:tcPr>
          <w:p>
            <w:pPr>
              <w:widowControl/>
              <w:spacing w:before="0" w:after="0" w:line="240" w:lineRule="auto"/>
              <w:jc w:val="center"/>
              <w:rPr>
                <w:rFonts w:cs="Times New Roman"/>
                <w:sz w:val="18"/>
                <w:szCs w:val="18"/>
              </w:rPr>
            </w:pPr>
            <w:r>
              <w:rPr>
                <w:rFonts w:hint="eastAsia" w:cs="Times New Roman"/>
                <w:kern w:val="0"/>
                <w:sz w:val="18"/>
                <w:szCs w:val="18"/>
              </w:rPr>
              <w:t>2.44</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b/>
                <w:sz w:val="18"/>
                <w:szCs w:val="18"/>
              </w:rPr>
            </w:pPr>
            <w:r>
              <w:rPr>
                <w:rFonts w:cs="Times New Roman" w:eastAsiaTheme="minorEastAsia"/>
                <w:b/>
                <w:sz w:val="18"/>
                <w:szCs w:val="18"/>
              </w:rPr>
              <w:t>废弃物处理总计</w:t>
            </w:r>
          </w:p>
        </w:tc>
        <w:tc>
          <w:tcPr>
            <w:tcW w:w="618" w:type="pct"/>
            <w:gridSpan w:val="3"/>
            <w:tcBorders>
              <w:top w:val="nil"/>
              <w:bottom w:val="nil"/>
            </w:tcBorders>
            <w:noWrap/>
            <w:vAlign w:val="center"/>
          </w:tcPr>
          <w:p>
            <w:pPr>
              <w:widowControl/>
              <w:spacing w:before="0" w:after="0" w:line="240" w:lineRule="auto"/>
              <w:jc w:val="center"/>
              <w:rPr>
                <w:rFonts w:cs="Times New Roman"/>
                <w:b/>
                <w:bCs/>
                <w:kern w:val="0"/>
                <w:sz w:val="18"/>
                <w:szCs w:val="18"/>
              </w:rPr>
            </w:pPr>
            <w:r>
              <w:rPr>
                <w:rFonts w:hint="eastAsia" w:cs="Times New Roman"/>
                <w:b/>
                <w:bCs/>
                <w:kern w:val="0"/>
                <w:sz w:val="18"/>
                <w:szCs w:val="18"/>
              </w:rPr>
              <w:t>18.11</w:t>
            </w:r>
          </w:p>
        </w:tc>
        <w:tc>
          <w:tcPr>
            <w:tcW w:w="537" w:type="pct"/>
            <w:tcBorders>
              <w:top w:val="nil"/>
              <w:bottom w:val="nil"/>
            </w:tcBorders>
            <w:noWrap/>
            <w:vAlign w:val="center"/>
          </w:tcPr>
          <w:p>
            <w:pPr>
              <w:widowControl/>
              <w:spacing w:before="0" w:after="0" w:line="240" w:lineRule="auto"/>
              <w:jc w:val="center"/>
              <w:rPr>
                <w:rFonts w:cs="Times New Roman"/>
                <w:b/>
                <w:bCs/>
                <w:kern w:val="0"/>
                <w:sz w:val="18"/>
                <w:szCs w:val="18"/>
              </w:rPr>
            </w:pPr>
            <w:r>
              <w:rPr>
                <w:rFonts w:hint="eastAsia" w:cs="Times New Roman"/>
                <w:b/>
                <w:bCs/>
                <w:kern w:val="0"/>
                <w:sz w:val="18"/>
                <w:szCs w:val="18"/>
              </w:rPr>
              <w:t>25.00</w:t>
            </w:r>
          </w:p>
        </w:tc>
        <w:tc>
          <w:tcPr>
            <w:tcW w:w="537" w:type="pct"/>
            <w:tcBorders>
              <w:top w:val="nil"/>
              <w:bottom w:val="nil"/>
            </w:tcBorders>
            <w:vAlign w:val="center"/>
          </w:tcPr>
          <w:p>
            <w:pPr>
              <w:widowControl/>
              <w:spacing w:before="0" w:after="0" w:line="240" w:lineRule="auto"/>
              <w:jc w:val="center"/>
              <w:rPr>
                <w:rFonts w:cs="Times New Roman"/>
                <w:b/>
                <w:bCs/>
                <w:kern w:val="0"/>
                <w:sz w:val="18"/>
                <w:szCs w:val="18"/>
              </w:rPr>
            </w:pPr>
            <w:r>
              <w:rPr>
                <w:rFonts w:hint="eastAsia" w:cs="Times New Roman"/>
                <w:b/>
                <w:bCs/>
                <w:kern w:val="0"/>
                <w:sz w:val="18"/>
                <w:szCs w:val="18"/>
              </w:rPr>
              <w:t>4.86</w:t>
            </w:r>
          </w:p>
        </w:tc>
        <w:tc>
          <w:tcPr>
            <w:tcW w:w="383" w:type="pct"/>
            <w:tcBorders>
              <w:top w:val="nil"/>
              <w:bottom w:val="nil"/>
            </w:tcBorders>
            <w:vAlign w:val="center"/>
          </w:tcPr>
          <w:p>
            <w:pPr>
              <w:widowControl/>
              <w:spacing w:before="0" w:after="0" w:line="240" w:lineRule="auto"/>
              <w:jc w:val="center"/>
              <w:rPr>
                <w:rFonts w:cs="Times New Roman"/>
                <w:b/>
                <w:bCs/>
                <w:kern w:val="0"/>
                <w:sz w:val="18"/>
                <w:szCs w:val="18"/>
              </w:rPr>
            </w:pPr>
            <w:r>
              <w:rPr>
                <w:rFonts w:hint="eastAsia" w:cs="Times New Roman"/>
                <w:b/>
                <w:bCs/>
                <w:kern w:val="0"/>
                <w:sz w:val="18"/>
                <w:szCs w:val="18"/>
              </w:rPr>
              <w:t>/</w:t>
            </w:r>
          </w:p>
        </w:tc>
        <w:tc>
          <w:tcPr>
            <w:tcW w:w="385" w:type="pct"/>
            <w:tcBorders>
              <w:top w:val="nil"/>
              <w:bottom w:val="nil"/>
            </w:tcBorders>
            <w:vAlign w:val="center"/>
          </w:tcPr>
          <w:p>
            <w:pPr>
              <w:widowControl/>
              <w:spacing w:before="0" w:after="0" w:line="240" w:lineRule="auto"/>
              <w:jc w:val="center"/>
              <w:rPr>
                <w:rFonts w:cs="Times New Roman"/>
                <w:b/>
                <w:bCs/>
                <w:kern w:val="0"/>
                <w:sz w:val="18"/>
                <w:szCs w:val="18"/>
              </w:rPr>
            </w:pPr>
            <w:r>
              <w:rPr>
                <w:rFonts w:hint="eastAsia" w:cs="Times New Roman"/>
                <w:b/>
                <w:bCs/>
                <w:kern w:val="0"/>
                <w:sz w:val="18"/>
                <w:szCs w:val="18"/>
              </w:rPr>
              <w:t>/</w:t>
            </w:r>
          </w:p>
        </w:tc>
        <w:tc>
          <w:tcPr>
            <w:tcW w:w="462" w:type="pct"/>
            <w:tcBorders>
              <w:top w:val="nil"/>
              <w:bottom w:val="nil"/>
            </w:tcBorders>
            <w:vAlign w:val="center"/>
          </w:tcPr>
          <w:p>
            <w:pPr>
              <w:widowControl/>
              <w:spacing w:before="0" w:after="0" w:line="240" w:lineRule="auto"/>
              <w:jc w:val="center"/>
              <w:rPr>
                <w:rFonts w:cs="Times New Roman"/>
                <w:b/>
                <w:bCs/>
                <w:kern w:val="0"/>
                <w:sz w:val="18"/>
                <w:szCs w:val="18"/>
              </w:rPr>
            </w:pPr>
            <w:r>
              <w:rPr>
                <w:rFonts w:hint="eastAsia" w:cs="Times New Roman"/>
                <w:b/>
                <w:bCs/>
                <w:kern w:val="0"/>
                <w:sz w:val="18"/>
                <w:szCs w:val="18"/>
              </w:rPr>
              <w:t>/</w:t>
            </w:r>
          </w:p>
        </w:tc>
        <w:tc>
          <w:tcPr>
            <w:tcW w:w="612" w:type="pct"/>
            <w:tcBorders>
              <w:top w:val="nil"/>
              <w:bottom w:val="nil"/>
            </w:tcBorders>
            <w:noWrap/>
            <w:vAlign w:val="center"/>
          </w:tcPr>
          <w:p>
            <w:pPr>
              <w:widowControl/>
              <w:spacing w:before="0" w:after="0" w:line="240" w:lineRule="auto"/>
              <w:jc w:val="center"/>
              <w:rPr>
                <w:rFonts w:cs="Times New Roman"/>
                <w:b/>
                <w:bCs/>
                <w:kern w:val="0"/>
                <w:sz w:val="18"/>
                <w:szCs w:val="18"/>
              </w:rPr>
            </w:pPr>
            <w:r>
              <w:rPr>
                <w:rFonts w:hint="eastAsia" w:cs="Times New Roman"/>
                <w:b/>
                <w:bCs/>
                <w:kern w:val="0"/>
                <w:sz w:val="18"/>
                <w:szCs w:val="18"/>
              </w:rPr>
              <w:t>47.98</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1.固体废弃物</w:t>
            </w:r>
          </w:p>
        </w:tc>
        <w:tc>
          <w:tcPr>
            <w:tcW w:w="618" w:type="pct"/>
            <w:gridSpan w:val="3"/>
            <w:tcBorders>
              <w:top w:val="nil"/>
              <w:bottom w:val="nil"/>
            </w:tcBorders>
            <w:noWrap/>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18.11</w:t>
            </w:r>
          </w:p>
        </w:tc>
        <w:tc>
          <w:tcPr>
            <w:tcW w:w="537" w:type="pct"/>
            <w:tcBorders>
              <w:top w:val="nil"/>
              <w:bottom w:val="nil"/>
            </w:tcBorders>
            <w:noWrap/>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23.48</w:t>
            </w:r>
          </w:p>
        </w:tc>
        <w:tc>
          <w:tcPr>
            <w:tcW w:w="537" w:type="pct"/>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w:t>
            </w:r>
          </w:p>
        </w:tc>
        <w:tc>
          <w:tcPr>
            <w:tcW w:w="383" w:type="pct"/>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w:t>
            </w:r>
          </w:p>
        </w:tc>
        <w:tc>
          <w:tcPr>
            <w:tcW w:w="385" w:type="pct"/>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w:t>
            </w:r>
          </w:p>
        </w:tc>
        <w:tc>
          <w:tcPr>
            <w:tcW w:w="462" w:type="pct"/>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w:t>
            </w:r>
          </w:p>
        </w:tc>
        <w:tc>
          <w:tcPr>
            <w:tcW w:w="612" w:type="pct"/>
            <w:tcBorders>
              <w:top w:val="nil"/>
              <w:bottom w:val="nil"/>
            </w:tcBorders>
            <w:noWrap/>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41.59</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2.废水</w:t>
            </w:r>
          </w:p>
        </w:tc>
        <w:tc>
          <w:tcPr>
            <w:tcW w:w="618" w:type="pct"/>
            <w:gridSpan w:val="3"/>
            <w:tcBorders>
              <w:top w:val="nil"/>
              <w:bottom w:val="nil"/>
            </w:tcBorders>
            <w:noWrap/>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w:t>
            </w:r>
          </w:p>
        </w:tc>
        <w:tc>
          <w:tcPr>
            <w:tcW w:w="537" w:type="pct"/>
            <w:tcBorders>
              <w:top w:val="nil"/>
              <w:bottom w:val="nil"/>
            </w:tcBorders>
            <w:noWrap/>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1.52</w:t>
            </w:r>
          </w:p>
        </w:tc>
        <w:tc>
          <w:tcPr>
            <w:tcW w:w="537" w:type="pct"/>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4.86</w:t>
            </w:r>
          </w:p>
        </w:tc>
        <w:tc>
          <w:tcPr>
            <w:tcW w:w="383" w:type="pct"/>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w:t>
            </w:r>
          </w:p>
        </w:tc>
        <w:tc>
          <w:tcPr>
            <w:tcW w:w="385" w:type="pct"/>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w:t>
            </w:r>
          </w:p>
        </w:tc>
        <w:tc>
          <w:tcPr>
            <w:tcW w:w="462" w:type="pct"/>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w:t>
            </w:r>
          </w:p>
        </w:tc>
        <w:tc>
          <w:tcPr>
            <w:tcW w:w="612" w:type="pct"/>
            <w:tcBorders>
              <w:top w:val="nil"/>
              <w:bottom w:val="nil"/>
            </w:tcBorders>
            <w:noWrap/>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6.38</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国际燃料舱</w:t>
            </w:r>
          </w:p>
        </w:tc>
        <w:tc>
          <w:tcPr>
            <w:tcW w:w="618" w:type="pct"/>
            <w:gridSpan w:val="3"/>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noWrap/>
            <w:vAlign w:val="center"/>
          </w:tcPr>
          <w:p>
            <w:pPr>
              <w:spacing w:before="0" w:after="0" w:line="240" w:lineRule="auto"/>
              <w:jc w:val="center"/>
              <w:rPr>
                <w:rFonts w:cs="Times New Roman"/>
                <w:sz w:val="18"/>
                <w:szCs w:val="18"/>
              </w:rPr>
            </w:pPr>
            <w:r>
              <w:rPr>
                <w:rFonts w:hint="eastAsia" w:cs="Times New Roman"/>
                <w:sz w:val="18"/>
                <w:szCs w:val="18"/>
              </w:rPr>
              <w:t>/</w:t>
            </w:r>
          </w:p>
        </w:tc>
        <w:tc>
          <w:tcPr>
            <w:tcW w:w="537" w:type="pct"/>
            <w:tcBorders>
              <w:top w:val="nil"/>
              <w:bottom w:val="nil"/>
            </w:tcBorders>
            <w:vAlign w:val="center"/>
          </w:tcPr>
          <w:p>
            <w:pPr>
              <w:spacing w:before="0" w:after="0" w:line="240" w:lineRule="auto"/>
              <w:jc w:val="center"/>
              <w:rPr>
                <w:rFonts w:cs="Times New Roman"/>
                <w:sz w:val="18"/>
                <w:szCs w:val="18"/>
              </w:rPr>
            </w:pPr>
            <w:r>
              <w:rPr>
                <w:rFonts w:hint="eastAsia" w:cs="Times New Roman"/>
                <w:sz w:val="18"/>
                <w:szCs w:val="18"/>
              </w:rPr>
              <w:t>/</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612" w:type="pct"/>
            <w:tcBorders>
              <w:top w:val="nil"/>
              <w:bottom w:val="nil"/>
            </w:tcBorders>
            <w:noWrap/>
            <w:vAlign w:val="center"/>
          </w:tcPr>
          <w:p>
            <w:pPr>
              <w:spacing w:before="0" w:after="0" w:line="240" w:lineRule="auto"/>
              <w:jc w:val="center"/>
              <w:rPr>
                <w:rFonts w:cs="Times New Roman"/>
                <w:sz w:val="18"/>
                <w:szCs w:val="18"/>
              </w:rPr>
            </w:pPr>
            <w:r>
              <w:rPr>
                <w:rFonts w:hint="eastAsia" w:cs="Times New Roman"/>
                <w:sz w:val="18"/>
                <w:szCs w:val="18"/>
              </w:rPr>
              <w:t>/</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bottom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国际航空</w:t>
            </w:r>
          </w:p>
        </w:tc>
        <w:tc>
          <w:tcPr>
            <w:tcW w:w="618" w:type="pct"/>
            <w:gridSpan w:val="3"/>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bottom w:val="nil"/>
            </w:tcBorders>
            <w:noWrap/>
            <w:vAlign w:val="center"/>
          </w:tcPr>
          <w:p>
            <w:pPr>
              <w:spacing w:before="0" w:after="0" w:line="240" w:lineRule="auto"/>
              <w:jc w:val="center"/>
              <w:rPr>
                <w:rFonts w:cs="Times New Roman"/>
                <w:sz w:val="18"/>
                <w:szCs w:val="18"/>
              </w:rPr>
            </w:pPr>
            <w:r>
              <w:rPr>
                <w:rFonts w:hint="eastAsia" w:cs="Times New Roman"/>
                <w:sz w:val="18"/>
                <w:szCs w:val="18"/>
              </w:rPr>
              <w:t>/</w:t>
            </w:r>
          </w:p>
        </w:tc>
        <w:tc>
          <w:tcPr>
            <w:tcW w:w="537" w:type="pct"/>
            <w:tcBorders>
              <w:top w:val="nil"/>
              <w:bottom w:val="nil"/>
            </w:tcBorders>
            <w:vAlign w:val="center"/>
          </w:tcPr>
          <w:p>
            <w:pPr>
              <w:spacing w:before="0" w:after="0" w:line="240" w:lineRule="auto"/>
              <w:jc w:val="center"/>
              <w:rPr>
                <w:rFonts w:cs="Times New Roman"/>
                <w:sz w:val="18"/>
                <w:szCs w:val="18"/>
              </w:rPr>
            </w:pPr>
            <w:r>
              <w:rPr>
                <w:rFonts w:hint="eastAsia" w:cs="Times New Roman"/>
                <w:sz w:val="18"/>
                <w:szCs w:val="18"/>
              </w:rPr>
              <w:t>/</w:t>
            </w:r>
          </w:p>
        </w:tc>
        <w:tc>
          <w:tcPr>
            <w:tcW w:w="383"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bottom w:val="nil"/>
            </w:tcBorders>
            <w:vAlign w:val="center"/>
          </w:tcPr>
          <w:p>
            <w:pPr>
              <w:spacing w:before="0" w:after="0" w:line="240" w:lineRule="auto"/>
              <w:jc w:val="center"/>
              <w:rPr>
                <w:rFonts w:cs="Times New Roman"/>
                <w:sz w:val="18"/>
                <w:szCs w:val="18"/>
              </w:rPr>
            </w:pPr>
            <w:r>
              <w:rPr>
                <w:rFonts w:cs="Times New Roman"/>
                <w:sz w:val="18"/>
                <w:szCs w:val="18"/>
              </w:rPr>
              <w:t>/</w:t>
            </w:r>
          </w:p>
        </w:tc>
        <w:tc>
          <w:tcPr>
            <w:tcW w:w="612" w:type="pct"/>
            <w:tcBorders>
              <w:top w:val="nil"/>
              <w:bottom w:val="nil"/>
            </w:tcBorders>
            <w:noWrap/>
            <w:vAlign w:val="center"/>
          </w:tcPr>
          <w:p>
            <w:pPr>
              <w:spacing w:before="0" w:after="0" w:line="240" w:lineRule="auto"/>
              <w:jc w:val="center"/>
              <w:rPr>
                <w:rFonts w:cs="Times New Roman"/>
                <w:sz w:val="18"/>
                <w:szCs w:val="18"/>
              </w:rPr>
            </w:pPr>
            <w:r>
              <w:rPr>
                <w:rFonts w:hint="eastAsia" w:cs="Times New Roman"/>
                <w:sz w:val="18"/>
                <w:szCs w:val="18"/>
              </w:rPr>
              <w:t>/</w:t>
            </w:r>
          </w:p>
        </w:tc>
      </w:tr>
      <w:tr>
        <w:tblPrEx>
          <w:tblBorders>
            <w:top w:val="single" w:color="000000" w:sz="6" w:space="0"/>
            <w:left w:val="none" w:color="auto" w:sz="0" w:space="0"/>
            <w:bottom w:val="single" w:color="000000" w:sz="6" w:space="0"/>
            <w:right w:val="none" w:color="auto" w:sz="0" w:space="0"/>
            <w:insideH w:val="single" w:color="000000" w:sz="6" w:space="0"/>
            <w:insideV w:val="none" w:color="auto" w:sz="0" w:space="0"/>
          </w:tblBorders>
          <w:tblCellMar>
            <w:top w:w="0" w:type="dxa"/>
            <w:left w:w="108" w:type="dxa"/>
            <w:bottom w:w="0" w:type="dxa"/>
            <w:right w:w="108" w:type="dxa"/>
          </w:tblCellMar>
        </w:tblPrEx>
        <w:trPr>
          <w:trHeight w:val="284" w:hRule="atLeast"/>
        </w:trPr>
        <w:tc>
          <w:tcPr>
            <w:tcW w:w="1462" w:type="pct"/>
            <w:tcBorders>
              <w:top w:val="nil"/>
            </w:tcBorders>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国际航海</w:t>
            </w:r>
          </w:p>
        </w:tc>
        <w:tc>
          <w:tcPr>
            <w:tcW w:w="618" w:type="pct"/>
            <w:gridSpan w:val="3"/>
            <w:tcBorders>
              <w:top w:val="nil"/>
            </w:tcBorders>
            <w:noWrap/>
            <w:vAlign w:val="center"/>
          </w:tcPr>
          <w:p>
            <w:pPr>
              <w:spacing w:before="0" w:after="0" w:line="240" w:lineRule="auto"/>
              <w:jc w:val="center"/>
              <w:rPr>
                <w:rFonts w:cs="Times New Roman"/>
                <w:sz w:val="18"/>
                <w:szCs w:val="18"/>
              </w:rPr>
            </w:pPr>
            <w:r>
              <w:rPr>
                <w:rFonts w:cs="Times New Roman"/>
                <w:sz w:val="18"/>
                <w:szCs w:val="18"/>
              </w:rPr>
              <w:t>/</w:t>
            </w:r>
          </w:p>
        </w:tc>
        <w:tc>
          <w:tcPr>
            <w:tcW w:w="537" w:type="pct"/>
            <w:tcBorders>
              <w:top w:val="nil"/>
            </w:tcBorders>
            <w:noWrap/>
            <w:vAlign w:val="center"/>
          </w:tcPr>
          <w:p>
            <w:pPr>
              <w:spacing w:before="0" w:after="0" w:line="240" w:lineRule="auto"/>
              <w:jc w:val="center"/>
              <w:rPr>
                <w:rFonts w:cs="Times New Roman"/>
                <w:sz w:val="18"/>
                <w:szCs w:val="18"/>
              </w:rPr>
            </w:pPr>
            <w:r>
              <w:rPr>
                <w:rFonts w:hint="eastAsia" w:cs="Times New Roman"/>
                <w:sz w:val="18"/>
                <w:szCs w:val="18"/>
              </w:rPr>
              <w:t>/</w:t>
            </w:r>
          </w:p>
        </w:tc>
        <w:tc>
          <w:tcPr>
            <w:tcW w:w="537" w:type="pct"/>
            <w:tcBorders>
              <w:top w:val="nil"/>
            </w:tcBorders>
            <w:vAlign w:val="center"/>
          </w:tcPr>
          <w:p>
            <w:pPr>
              <w:spacing w:before="0" w:after="0" w:line="240" w:lineRule="auto"/>
              <w:jc w:val="center"/>
              <w:rPr>
                <w:rFonts w:cs="Times New Roman"/>
                <w:sz w:val="18"/>
                <w:szCs w:val="18"/>
              </w:rPr>
            </w:pPr>
            <w:r>
              <w:rPr>
                <w:rFonts w:hint="eastAsia" w:cs="Times New Roman"/>
                <w:sz w:val="18"/>
                <w:szCs w:val="18"/>
              </w:rPr>
              <w:t>/</w:t>
            </w:r>
          </w:p>
        </w:tc>
        <w:tc>
          <w:tcPr>
            <w:tcW w:w="383" w:type="pct"/>
            <w:tcBorders>
              <w:top w:val="nil"/>
            </w:tcBorders>
            <w:vAlign w:val="center"/>
          </w:tcPr>
          <w:p>
            <w:pPr>
              <w:spacing w:before="0" w:after="0" w:line="240" w:lineRule="auto"/>
              <w:jc w:val="center"/>
              <w:rPr>
                <w:rFonts w:cs="Times New Roman"/>
                <w:sz w:val="18"/>
                <w:szCs w:val="18"/>
              </w:rPr>
            </w:pPr>
            <w:r>
              <w:rPr>
                <w:rFonts w:cs="Times New Roman"/>
                <w:sz w:val="18"/>
                <w:szCs w:val="18"/>
              </w:rPr>
              <w:t>/</w:t>
            </w:r>
          </w:p>
        </w:tc>
        <w:tc>
          <w:tcPr>
            <w:tcW w:w="385" w:type="pct"/>
            <w:tcBorders>
              <w:top w:val="nil"/>
            </w:tcBorders>
            <w:vAlign w:val="center"/>
          </w:tcPr>
          <w:p>
            <w:pPr>
              <w:spacing w:before="0" w:after="0" w:line="240" w:lineRule="auto"/>
              <w:jc w:val="center"/>
              <w:rPr>
                <w:rFonts w:cs="Times New Roman"/>
                <w:sz w:val="18"/>
                <w:szCs w:val="18"/>
              </w:rPr>
            </w:pPr>
            <w:r>
              <w:rPr>
                <w:rFonts w:cs="Times New Roman"/>
                <w:sz w:val="18"/>
                <w:szCs w:val="18"/>
              </w:rPr>
              <w:t>/</w:t>
            </w:r>
          </w:p>
        </w:tc>
        <w:tc>
          <w:tcPr>
            <w:tcW w:w="462" w:type="pct"/>
            <w:tcBorders>
              <w:top w:val="nil"/>
            </w:tcBorders>
            <w:vAlign w:val="center"/>
          </w:tcPr>
          <w:p>
            <w:pPr>
              <w:spacing w:before="0" w:after="0" w:line="240" w:lineRule="auto"/>
              <w:jc w:val="center"/>
              <w:rPr>
                <w:rFonts w:cs="Times New Roman"/>
                <w:sz w:val="18"/>
                <w:szCs w:val="18"/>
              </w:rPr>
            </w:pPr>
            <w:r>
              <w:rPr>
                <w:rFonts w:cs="Times New Roman"/>
                <w:sz w:val="18"/>
                <w:szCs w:val="18"/>
              </w:rPr>
              <w:t>/</w:t>
            </w:r>
          </w:p>
        </w:tc>
        <w:tc>
          <w:tcPr>
            <w:tcW w:w="612" w:type="pct"/>
            <w:tcBorders>
              <w:top w:val="nil"/>
            </w:tcBorders>
            <w:noWrap/>
            <w:vAlign w:val="center"/>
          </w:tcPr>
          <w:p>
            <w:pPr>
              <w:spacing w:before="0" w:after="0" w:line="240" w:lineRule="auto"/>
              <w:jc w:val="center"/>
              <w:rPr>
                <w:rFonts w:cs="Times New Roman"/>
                <w:sz w:val="18"/>
                <w:szCs w:val="18"/>
              </w:rPr>
            </w:pPr>
            <w:r>
              <w:rPr>
                <w:rFonts w:hint="eastAsia" w:cs="Times New Roman"/>
                <w:sz w:val="18"/>
                <w:szCs w:val="18"/>
              </w:rPr>
              <w:t>/</w:t>
            </w:r>
          </w:p>
        </w:tc>
      </w:tr>
    </w:tbl>
    <w:p>
      <w:pPr>
        <w:pStyle w:val="2"/>
      </w:pPr>
      <w:bookmarkStart w:id="11" w:name="_Toc15869"/>
      <w:r>
        <w:rPr>
          <w:rFonts w:hint="eastAsia"/>
        </w:rPr>
        <w:t>能源活动</w:t>
      </w:r>
      <w:bookmarkEnd w:id="11"/>
    </w:p>
    <w:p>
      <w:pPr>
        <w:spacing w:before="0" w:after="0"/>
        <w:ind w:firstLine="480" w:firstLineChars="200"/>
      </w:pPr>
      <w:r>
        <w:rPr>
          <w:rFonts w:hint="eastAsia"/>
        </w:rPr>
        <w:t>益阳市2019年市级温室气体清单排放能源活动总排放量为880.06万吨二氧化碳当量，其中，二氧化碳排放量为874.71万吨，甲烷排放量为2.02万吨二氧化碳当量，氧化亚氮排放量为3.33万吨二氧化碳当量。另外，电力间接二氧化碳排放量因缺乏数据无法计算。</w:t>
      </w:r>
    </w:p>
    <w:p>
      <w:pPr>
        <w:pStyle w:val="3"/>
      </w:pPr>
      <w:bookmarkStart w:id="12" w:name="_Toc25717"/>
      <w:r>
        <w:rPr>
          <w:rFonts w:hint="eastAsia"/>
        </w:rPr>
        <w:t>报告范围</w:t>
      </w:r>
      <w:bookmarkEnd w:id="12"/>
    </w:p>
    <w:p>
      <w:pPr>
        <w:spacing w:before="0" w:after="0"/>
        <w:ind w:firstLine="480" w:firstLineChars="200"/>
      </w:pPr>
      <w:r>
        <w:rPr>
          <w:rFonts w:hint="eastAsia"/>
        </w:rPr>
        <w:t>益阳市2019年能源活动温室气体排放清单编制和报告的范围包括燃料燃烧和逃逸排放两部分，前者包括化石燃料燃烧和生物质燃烧，其中，化石燃料燃烧估算二氧化碳、甲烷和氧化亚氮排放，生物质燃料燃烧估算甲烷和氧化亚氮排放；后者包括煤炭开采和矿后活动及废弃矿井的逃逸排放、石油和天然气系统的逃逸排放，估算气体为甲烷。</w:t>
      </w:r>
    </w:p>
    <w:p>
      <w:pPr>
        <w:pStyle w:val="3"/>
      </w:pPr>
      <w:bookmarkStart w:id="13" w:name="_Toc1231"/>
      <w:r>
        <w:rPr>
          <w:rFonts w:hint="eastAsia"/>
        </w:rPr>
        <w:t>编制方法</w:t>
      </w:r>
      <w:bookmarkEnd w:id="13"/>
    </w:p>
    <w:p>
      <w:pPr>
        <w:pStyle w:val="4"/>
      </w:pPr>
      <w:bookmarkStart w:id="14" w:name="_Toc52177370"/>
      <w:bookmarkStart w:id="15" w:name="_Toc55311719"/>
      <w:bookmarkStart w:id="16" w:name="_Toc51939008"/>
      <w:bookmarkStart w:id="17" w:name="_Toc53827493"/>
      <w:bookmarkStart w:id="18" w:name="_Toc54097634"/>
      <w:bookmarkStart w:id="19" w:name="_Toc22766"/>
      <w:r>
        <w:rPr>
          <w:rFonts w:hint="eastAsia"/>
        </w:rPr>
        <w:t>化石燃料燃烧温室气体排放</w:t>
      </w:r>
      <w:bookmarkEnd w:id="14"/>
      <w:bookmarkEnd w:id="15"/>
      <w:bookmarkEnd w:id="16"/>
      <w:bookmarkEnd w:id="17"/>
      <w:bookmarkEnd w:id="18"/>
      <w:bookmarkEnd w:id="19"/>
    </w:p>
    <w:p>
      <w:pPr>
        <w:spacing w:before="0" w:after="0"/>
        <w:rPr>
          <w:rFonts w:cs="Times New Roman"/>
          <w:szCs w:val="24"/>
        </w:rPr>
      </w:pPr>
      <w:r>
        <w:rPr>
          <w:rFonts w:hint="eastAsia" w:cs="Times New Roman"/>
          <w:szCs w:val="24"/>
        </w:rPr>
        <w:t>（1）二氧化碳排放</w:t>
      </w:r>
    </w:p>
    <w:p>
      <w:pPr>
        <w:spacing w:before="0" w:after="0"/>
        <w:ind w:firstLine="480" w:firstLineChars="200"/>
        <w:rPr>
          <w:rFonts w:cs="Times New Roman"/>
          <w:szCs w:val="24"/>
        </w:rPr>
      </w:pPr>
      <w:r>
        <w:rPr>
          <w:rFonts w:cs="Times New Roman"/>
          <w:szCs w:val="24"/>
        </w:rPr>
        <w:t>二氧化碳排放源覆盖了化石燃料燃烧的所有部门和燃烧设备。按照分部门、分设备和分燃料品种等不同的分类方法又可划分为不同的排放源。</w:t>
      </w:r>
      <w:r>
        <w:rPr>
          <w:rFonts w:hint="eastAsia" w:cs="Times New Roman"/>
          <w:szCs w:val="24"/>
        </w:rPr>
        <w:t>本报告采用指南推荐的部门方法进行估算。</w:t>
      </w:r>
    </w:p>
    <w:p>
      <w:pPr>
        <w:spacing w:before="0" w:after="0"/>
        <w:ind w:firstLine="480" w:firstLineChars="200"/>
        <w:rPr>
          <w:rFonts w:cs="Times New Roman"/>
          <w:szCs w:val="24"/>
        </w:rPr>
      </w:pPr>
      <w:r>
        <w:rPr>
          <w:rFonts w:cs="Times New Roman"/>
          <w:szCs w:val="24"/>
        </w:rPr>
        <w:t>根据省级指南中推荐的方法，</w:t>
      </w:r>
      <w:r>
        <w:rPr>
          <w:rFonts w:hint="eastAsia" w:cs="Times New Roman"/>
          <w:szCs w:val="24"/>
        </w:rPr>
        <w:t>益阳市</w:t>
      </w:r>
      <w:r>
        <w:rPr>
          <w:rFonts w:cs="Times New Roman"/>
          <w:szCs w:val="24"/>
        </w:rPr>
        <w:t>能源活动化石燃料燃烧温室气体清单编制采用以详细技术为基础的部门方法（即IPCC方法2）。该方法基于分部门、分燃料品种、分设备的燃料消费实物量等活动水平数据，以及对应的排放因子等参数，通过逐层累加综合计算得到总排放量。</w:t>
      </w:r>
    </w:p>
    <w:p>
      <w:pPr>
        <w:spacing w:before="0" w:after="0"/>
        <w:rPr>
          <w:rFonts w:cs="Times New Roman"/>
          <w:szCs w:val="24"/>
        </w:rPr>
      </w:pPr>
      <w:r>
        <w:rPr>
          <w:rFonts w:hint="eastAsia" w:cs="Times New Roman"/>
          <w:szCs w:val="24"/>
        </w:rPr>
        <w:t>（2）甲烷和氧化亚氮排放</w:t>
      </w:r>
    </w:p>
    <w:p>
      <w:pPr>
        <w:spacing w:before="0" w:after="0"/>
        <w:rPr>
          <w:rFonts w:cs="Times New Roman"/>
          <w:szCs w:val="24"/>
        </w:rPr>
      </w:pPr>
      <w:r>
        <w:rPr>
          <w:rFonts w:hint="eastAsia" w:cs="Times New Roman"/>
          <w:szCs w:val="24"/>
        </w:rPr>
        <w:t>a）固定源</w:t>
      </w:r>
    </w:p>
    <w:p>
      <w:pPr>
        <w:spacing w:before="0" w:after="0"/>
        <w:ind w:firstLine="480" w:firstLineChars="200"/>
        <w:rPr>
          <w:rFonts w:cs="Times New Roman"/>
          <w:szCs w:val="24"/>
        </w:rPr>
      </w:pPr>
      <w:r>
        <w:rPr>
          <w:rFonts w:hint="eastAsia" w:cs="Times New Roman"/>
          <w:szCs w:val="24"/>
        </w:rPr>
        <w:t>根据指南要求，静止源氧化亚氮仅核算电站发电锅炉各种燃料的排放量。电站锅炉氧化亚氮排放量采用燃料消费量（热值单位）与排放因子相乘得到，按照电站锅炉氧化亚氮排放的不同技术分类主要分为循环流化床锅炉、其他燃煤锅炉、燃气锅炉和燃油锅炉。</w:t>
      </w:r>
    </w:p>
    <w:p>
      <w:pPr>
        <w:spacing w:before="0" w:after="0"/>
        <w:rPr>
          <w:rFonts w:cs="Times New Roman"/>
          <w:szCs w:val="24"/>
        </w:rPr>
      </w:pPr>
      <w:r>
        <w:rPr>
          <w:rFonts w:hint="eastAsia" w:cs="Times New Roman"/>
          <w:szCs w:val="24"/>
        </w:rPr>
        <w:t>b）移动源</w:t>
      </w:r>
    </w:p>
    <w:p>
      <w:pPr>
        <w:spacing w:before="0" w:after="0"/>
        <w:ind w:firstLine="480" w:firstLineChars="200"/>
        <w:rPr>
          <w:rFonts w:cs="Times New Roman"/>
          <w:szCs w:val="24"/>
        </w:rPr>
      </w:pPr>
      <w:r>
        <w:rPr>
          <w:rFonts w:hint="eastAsia" w:cs="Times New Roman"/>
          <w:szCs w:val="24"/>
        </w:rPr>
        <w:t>依据指南，移动源除了要核算航空、铁路、水运及公路四大行业排放的二氧化碳之外，还要核算甲烷及氧化亚氮的排放量。</w:t>
      </w:r>
      <w:r>
        <w:rPr>
          <w:rFonts w:hint="eastAsia"/>
        </w:rPr>
        <w:t>益阳市</w:t>
      </w:r>
      <w:r>
        <w:rPr>
          <w:rFonts w:hint="eastAsia" w:cs="Times New Roman"/>
          <w:szCs w:val="24"/>
        </w:rPr>
        <w:t>移动源化石燃料消耗主要包括汽油、煤油、柴油和燃料油，本次移动源测算不计公路车辆液化石油气和天然气消费甲烷和氧化亚氮所产生的排放。</w:t>
      </w:r>
    </w:p>
    <w:p>
      <w:pPr>
        <w:pStyle w:val="4"/>
      </w:pPr>
      <w:bookmarkStart w:id="20" w:name="_Toc53827494"/>
      <w:bookmarkStart w:id="21" w:name="_Toc52177371"/>
      <w:bookmarkStart w:id="22" w:name="_Toc51939009"/>
      <w:bookmarkStart w:id="23" w:name="_Toc55311720"/>
      <w:bookmarkStart w:id="24" w:name="_Toc54097635"/>
      <w:bookmarkStart w:id="25" w:name="_Toc11197"/>
      <w:r>
        <w:rPr>
          <w:rFonts w:hint="eastAsia"/>
        </w:rPr>
        <w:t>生物质燃料燃烧温室气体排放</w:t>
      </w:r>
      <w:bookmarkEnd w:id="20"/>
      <w:bookmarkEnd w:id="21"/>
      <w:bookmarkEnd w:id="22"/>
      <w:bookmarkEnd w:id="23"/>
      <w:bookmarkEnd w:id="24"/>
      <w:bookmarkEnd w:id="25"/>
    </w:p>
    <w:p>
      <w:pPr>
        <w:spacing w:before="0" w:after="0"/>
        <w:ind w:firstLine="480" w:firstLineChars="200"/>
        <w:rPr>
          <w:rFonts w:cs="Times New Roman"/>
          <w:szCs w:val="24"/>
        </w:rPr>
      </w:pPr>
      <w:r>
        <w:rPr>
          <w:rFonts w:hint="eastAsia" w:cs="Times New Roman"/>
          <w:szCs w:val="24"/>
        </w:rPr>
        <w:t>根据指南要求，在考虑生物质燃料生产与消费的总体碳平衡时，其燃烧所产生的二氧化碳与生长过程中光合作用所吸收的碳两者基本抵消，因此不需要核算生物质燃烧产生的二氧化碳排放。本次益阳市生物质燃料燃烧需要核算和报告的温室气体为甲烷和氧化亚氮的排放量，其排放量与燃料种类、燃烧技术与设备类型等因素紧密相关，本报告采用设备法（IPCC方法2）进行核算。</w:t>
      </w:r>
    </w:p>
    <w:p>
      <w:pPr>
        <w:spacing w:before="0" w:after="0"/>
        <w:ind w:firstLine="480" w:firstLineChars="200"/>
        <w:rPr>
          <w:rFonts w:cs="Times New Roman"/>
          <w:szCs w:val="24"/>
        </w:rPr>
      </w:pPr>
      <w:r>
        <w:rPr>
          <w:rFonts w:cs="Times New Roman"/>
        </w:rPr>
        <w:t>经调研，</w:t>
      </w:r>
      <w:r>
        <w:rPr>
          <w:rFonts w:hint="eastAsia" w:cs="Times New Roman"/>
        </w:rPr>
        <w:t>益阳市</w:t>
      </w:r>
      <w:r>
        <w:rPr>
          <w:rFonts w:cs="Times New Roman"/>
        </w:rPr>
        <w:t>生物质燃料主要</w:t>
      </w:r>
      <w:r>
        <w:rPr>
          <w:rFonts w:hint="eastAsia" w:cs="Times New Roman"/>
        </w:rPr>
        <w:t>为</w:t>
      </w:r>
      <w:r>
        <w:rPr>
          <w:rFonts w:cs="Times New Roman"/>
        </w:rPr>
        <w:t>农作物秸秆及木屑等农业废弃物及农林产品加工业废弃物</w:t>
      </w:r>
      <w:r>
        <w:rPr>
          <w:rFonts w:hint="eastAsia" w:cs="Times New Roman"/>
          <w:szCs w:val="24"/>
        </w:rPr>
        <w:t>。</w:t>
      </w:r>
    </w:p>
    <w:p>
      <w:pPr>
        <w:pStyle w:val="4"/>
      </w:pPr>
      <w:bookmarkStart w:id="26" w:name="_Toc52177372"/>
      <w:bookmarkStart w:id="27" w:name="_Toc51939010"/>
      <w:bookmarkStart w:id="28" w:name="_Toc55311721"/>
      <w:bookmarkStart w:id="29" w:name="_Toc14779"/>
      <w:bookmarkStart w:id="30" w:name="_Toc53827495"/>
      <w:bookmarkStart w:id="31" w:name="_Toc54097636"/>
      <w:r>
        <w:rPr>
          <w:rFonts w:hint="eastAsia"/>
        </w:rPr>
        <w:t>煤炭开采和矿后活动逃逸温室气体排放</w:t>
      </w:r>
      <w:bookmarkEnd w:id="26"/>
      <w:bookmarkEnd w:id="27"/>
      <w:bookmarkEnd w:id="28"/>
      <w:bookmarkEnd w:id="29"/>
      <w:bookmarkEnd w:id="30"/>
      <w:bookmarkEnd w:id="31"/>
    </w:p>
    <w:p>
      <w:pPr>
        <w:spacing w:before="0" w:after="0"/>
        <w:ind w:firstLine="480" w:firstLineChars="200"/>
        <w:rPr>
          <w:rFonts w:cs="Times New Roman"/>
          <w:szCs w:val="24"/>
        </w:rPr>
      </w:pPr>
      <w:r>
        <w:rPr>
          <w:rFonts w:hint="eastAsia" w:cs="Times New Roman"/>
          <w:szCs w:val="24"/>
        </w:rPr>
        <w:t>根据《省级温室气体清单编制指南（试行）》的编制要求，益阳市煤炭开采甲烷逃逸排放量采用方法为：煤矿分为国有重点、国有地方和乡镇（包括个体）煤矿三大类，分别确定排放因子和产量，加总汇合得到总排放量。</w:t>
      </w:r>
    </w:p>
    <w:p>
      <w:pPr>
        <w:spacing w:before="0" w:after="0"/>
        <w:ind w:firstLine="480" w:firstLineChars="200"/>
        <w:rPr>
          <w:rFonts w:cs="Times New Roman"/>
          <w:szCs w:val="24"/>
        </w:rPr>
      </w:pPr>
      <w:r>
        <w:rPr>
          <w:rFonts w:hint="eastAsia" w:cs="Times New Roman"/>
          <w:szCs w:val="24"/>
        </w:rPr>
        <w:t>矿后活动甲烷逃逸排放量是将煤矿分为露天、低瓦斯、高瓦斯三大类，分别确定排放因子和产量，加总汇合得到总得排放量。</w:t>
      </w:r>
    </w:p>
    <w:p>
      <w:pPr>
        <w:pStyle w:val="4"/>
      </w:pPr>
      <w:bookmarkStart w:id="32" w:name="_Toc54097637"/>
      <w:bookmarkStart w:id="33" w:name="_Toc53827496"/>
      <w:bookmarkStart w:id="34" w:name="_Toc55311722"/>
      <w:bookmarkStart w:id="35" w:name="_Toc51939011"/>
      <w:bookmarkStart w:id="36" w:name="_Toc24752"/>
      <w:bookmarkStart w:id="37" w:name="_Toc52177373"/>
      <w:r>
        <w:rPr>
          <w:rFonts w:hint="eastAsia"/>
        </w:rPr>
        <w:t>石油和天然气系统温室气体排放</w:t>
      </w:r>
      <w:bookmarkEnd w:id="32"/>
      <w:bookmarkEnd w:id="33"/>
      <w:bookmarkEnd w:id="34"/>
      <w:bookmarkEnd w:id="35"/>
      <w:bookmarkEnd w:id="36"/>
      <w:bookmarkEnd w:id="37"/>
    </w:p>
    <w:p>
      <w:pPr>
        <w:spacing w:before="0" w:after="0"/>
        <w:ind w:firstLine="480" w:firstLineChars="200"/>
        <w:rPr>
          <w:rFonts w:cs="Times New Roman"/>
          <w:szCs w:val="24"/>
        </w:rPr>
      </w:pPr>
      <w:r>
        <w:rPr>
          <w:rFonts w:hint="eastAsia" w:cs="Times New Roman"/>
          <w:szCs w:val="24"/>
        </w:rPr>
        <w:t>益阳市石油和天然气系统甲烷逃逸排放估算方法，主要基于所收集到的以下表征活动水平的数据：一是油气系统基础设施（如油气井、小型现场安装设备、主要生产和加工设备等）的数量和种类的详细清单；二是生产活动水平（如油气产量；放空及火炬气体量；燃料气消耗量等）；三是事故排放量（如井喷和管线破损等）；四是典型设计和操作活动及其对整体排放控制的影响，再根据合适的排放因子确定各个设施及活动的实际排放量，最后把上述排放量汇总得到总排放量。</w:t>
      </w:r>
    </w:p>
    <w:p>
      <w:pPr>
        <w:pStyle w:val="4"/>
      </w:pPr>
      <w:bookmarkStart w:id="38" w:name="_Toc52177374"/>
      <w:bookmarkStart w:id="39" w:name="_Toc53827497"/>
      <w:bookmarkStart w:id="40" w:name="_Toc54097638"/>
      <w:bookmarkStart w:id="41" w:name="_Toc55311723"/>
      <w:bookmarkStart w:id="42" w:name="_Toc51939012"/>
      <w:bookmarkStart w:id="43" w:name="_Toc3191"/>
      <w:r>
        <w:rPr>
          <w:rFonts w:hint="eastAsia"/>
        </w:rPr>
        <w:t>电力调入调出温室气体间接排放</w:t>
      </w:r>
      <w:bookmarkEnd w:id="38"/>
      <w:bookmarkEnd w:id="39"/>
      <w:bookmarkEnd w:id="40"/>
      <w:bookmarkEnd w:id="41"/>
      <w:bookmarkEnd w:id="42"/>
      <w:bookmarkEnd w:id="43"/>
    </w:p>
    <w:p>
      <w:pPr>
        <w:spacing w:before="0" w:after="0"/>
        <w:ind w:firstLine="480" w:firstLineChars="200"/>
        <w:rPr>
          <w:rFonts w:cs="Times New Roman"/>
          <w:szCs w:val="24"/>
        </w:rPr>
      </w:pPr>
      <w:r>
        <w:rPr>
          <w:rFonts w:hint="eastAsia" w:cs="Times New Roman"/>
          <w:szCs w:val="24"/>
        </w:rPr>
        <w:t>根据指南要求，电力调入调出二氧化碳间接排放可以利用益阳市境内调入或调出电量、乘以该调入或调出电量所属区域电网平均供电排放因子计算得到。</w:t>
      </w:r>
    </w:p>
    <w:p>
      <w:pPr>
        <w:pStyle w:val="3"/>
      </w:pPr>
      <w:bookmarkStart w:id="44" w:name="_Toc11488"/>
      <w:r>
        <w:rPr>
          <w:rFonts w:hint="eastAsia"/>
        </w:rPr>
        <w:t>活动水平数据来源及排放因子选取</w:t>
      </w:r>
      <w:bookmarkEnd w:id="44"/>
    </w:p>
    <w:p>
      <w:pPr>
        <w:pStyle w:val="4"/>
      </w:pPr>
      <w:bookmarkStart w:id="45" w:name="_Toc51939014"/>
      <w:bookmarkStart w:id="46" w:name="_Toc3930"/>
      <w:bookmarkStart w:id="47" w:name="_Toc52177376"/>
      <w:bookmarkStart w:id="48" w:name="_Toc53827499"/>
      <w:bookmarkStart w:id="49" w:name="_Toc54097640"/>
      <w:bookmarkStart w:id="50" w:name="_Toc55311725"/>
      <w:r>
        <w:rPr>
          <w:rFonts w:hint="eastAsia"/>
        </w:rPr>
        <w:t>化石燃料燃烧温室气体排放</w:t>
      </w:r>
      <w:bookmarkEnd w:id="45"/>
      <w:bookmarkEnd w:id="46"/>
      <w:bookmarkEnd w:id="47"/>
      <w:bookmarkEnd w:id="48"/>
      <w:bookmarkEnd w:id="49"/>
      <w:bookmarkEnd w:id="50"/>
    </w:p>
    <w:p>
      <w:pPr>
        <w:spacing w:before="0" w:after="0"/>
        <w:ind w:firstLine="480" w:firstLineChars="200"/>
        <w:rPr>
          <w:rFonts w:cs="Times New Roman"/>
          <w:szCs w:val="24"/>
        </w:rPr>
      </w:pPr>
      <w:r>
        <w:rPr>
          <w:rFonts w:hint="eastAsia" w:cs="Times New Roman"/>
          <w:szCs w:val="24"/>
        </w:rPr>
        <w:t>（1）二氧化碳排放</w:t>
      </w:r>
    </w:p>
    <w:p>
      <w:pPr>
        <w:spacing w:before="0" w:after="0"/>
        <w:ind w:firstLine="480" w:firstLineChars="200"/>
      </w:pPr>
      <w:r>
        <w:rPr>
          <w:rFonts w:hint="eastAsia"/>
        </w:rPr>
        <w:t>a）活动水平数据</w:t>
      </w:r>
    </w:p>
    <w:p>
      <w:pPr>
        <w:spacing w:before="0" w:after="0"/>
        <w:ind w:firstLine="480" w:firstLineChars="200"/>
      </w:pPr>
      <w:r>
        <w:rPr>
          <w:rFonts w:hint="eastAsia"/>
        </w:rPr>
        <w:t>根据益阳市统计局提供的《益阳市2019年规上工业分产品分行业能源消费》，和《益阳市2019年规上工业能源购进、消费及库存表》，按照表 1-1行业和表 1-2燃料品种的分类关系，和以下数据处理说明，对数据进行处理，获得益阳市2019年分部门、分能源品种化石燃料燃烧活动水平数据（汽柴油调整前）。</w:t>
      </w:r>
    </w:p>
    <w:p>
      <w:pPr>
        <w:spacing w:before="0" w:after="0"/>
        <w:ind w:firstLine="480" w:firstLineChars="200"/>
      </w:pPr>
      <w:r>
        <w:rPr>
          <w:rFonts w:hint="eastAsia"/>
        </w:rPr>
        <w:t>为了较全面反映益阳市全社会交通运输的能源消耗和排放情况，根据指南要求，参考世界资源研究所出版的《城市温室气体核算工具2.0》，以及专家意见，非交通营运部门中汽油、柴油应进行重新调整，计入公路运输中。</w:t>
      </w:r>
    </w:p>
    <w:p>
      <w:pPr>
        <w:spacing w:before="0" w:after="0"/>
        <w:ind w:firstLine="480" w:firstLineChars="200"/>
      </w:pPr>
      <w:r>
        <w:rPr>
          <w:rFonts w:hint="eastAsia"/>
        </w:rPr>
        <w:t>采用的数据来自益阳市规模以上工业统计数据。因无法取得其他数据，本报告无法估算益阳市含规模以下工业的化石燃料活动水平实际情况。无法取得交通运输能耗数据。由于未取得分部门、分设备的情况，本报告计算时采用分部门、分设备、分能源品种化石燃料碳氧化率的最大值。</w:t>
      </w:r>
    </w:p>
    <w:p>
      <w:pPr>
        <w:spacing w:before="0" w:after="0"/>
        <w:ind w:firstLine="480" w:firstLineChars="200"/>
      </w:pPr>
      <w:r>
        <w:rPr>
          <w:rFonts w:hint="eastAsia"/>
        </w:rPr>
        <w:t>b）排放因子</w:t>
      </w:r>
    </w:p>
    <w:p>
      <w:pPr>
        <w:spacing w:before="0" w:after="0"/>
        <w:ind w:firstLine="480" w:firstLineChars="200"/>
      </w:pPr>
      <w:r>
        <w:rPr>
          <w:rFonts w:hint="eastAsia"/>
        </w:rPr>
        <w:t>部门方法所需的二氧化碳排放因子包括不同化石燃料单位热值含碳量和不同化石燃料在不同燃烧设备的碳氧化率。由于无法获取实测数据，益阳市2019年温室气体清单编制，分部门、分能源品种化石燃料单位热值含碳量和碳氧化率采用指南推荐值。</w:t>
      </w:r>
    </w:p>
    <w:p>
      <w:pPr>
        <w:spacing w:before="0" w:after="0"/>
        <w:ind w:firstLine="480" w:firstLineChars="200"/>
      </w:pPr>
      <w:r>
        <w:rPr>
          <w:rFonts w:hint="eastAsia"/>
        </w:rPr>
        <w:t>（2）甲烷和氧化亚氮排放</w:t>
      </w:r>
    </w:p>
    <w:p>
      <w:pPr>
        <w:spacing w:before="0" w:after="0"/>
        <w:ind w:firstLine="480" w:firstLineChars="200"/>
      </w:pPr>
      <w:r>
        <w:rPr>
          <w:rFonts w:hint="eastAsia"/>
        </w:rPr>
        <w:t>a）固定源</w:t>
      </w:r>
    </w:p>
    <w:p>
      <w:pPr>
        <w:spacing w:before="0" w:after="0"/>
        <w:ind w:firstLine="480" w:firstLineChars="200"/>
      </w:pPr>
      <w:r>
        <w:rPr>
          <w:rFonts w:hint="eastAsia"/>
        </w:rPr>
        <w:t>通过省生态环境厅提供的2019年度电力企业核查报告，统计获得2019年度火力发电固定源活动水平相关数据。</w:t>
      </w:r>
    </w:p>
    <w:p>
      <w:pPr>
        <w:spacing w:before="0" w:after="0"/>
        <w:ind w:firstLine="480" w:firstLineChars="200"/>
      </w:pPr>
      <w:r>
        <w:rPr>
          <w:rFonts w:hint="eastAsia"/>
        </w:rPr>
        <w:t>b）移动源</w:t>
      </w:r>
    </w:p>
    <w:p>
      <w:pPr>
        <w:spacing w:before="0" w:after="0"/>
        <w:ind w:firstLine="480" w:firstLineChars="200"/>
      </w:pPr>
      <w:r>
        <w:rPr>
          <w:rFonts w:hint="eastAsia"/>
        </w:rPr>
        <w:t>无法取得交通运输能耗数据。</w:t>
      </w:r>
    </w:p>
    <w:p>
      <w:pPr>
        <w:spacing w:before="0" w:after="0"/>
        <w:ind w:firstLine="480" w:firstLineChars="200"/>
      </w:pPr>
      <w:r>
        <w:rPr>
          <w:rFonts w:hint="eastAsia"/>
        </w:rPr>
        <w:t>c）排放因子</w:t>
      </w:r>
    </w:p>
    <w:p>
      <w:pPr>
        <w:spacing w:before="0" w:after="0"/>
        <w:ind w:firstLine="480" w:firstLineChars="200"/>
      </w:pPr>
      <w:r>
        <w:rPr>
          <w:rFonts w:hint="eastAsia"/>
        </w:rPr>
        <w:t>甲烷和氧化亚氮排放估算采用指南推荐排放因子。</w:t>
      </w:r>
    </w:p>
    <w:p>
      <w:pPr>
        <w:pStyle w:val="4"/>
      </w:pPr>
      <w:bookmarkStart w:id="51" w:name="_Toc20482"/>
      <w:bookmarkStart w:id="52" w:name="_Toc51939015"/>
      <w:bookmarkStart w:id="53" w:name="_Toc52177377"/>
      <w:bookmarkStart w:id="54" w:name="_Toc53827500"/>
      <w:bookmarkStart w:id="55" w:name="_Toc54097641"/>
      <w:bookmarkStart w:id="56" w:name="_Toc55311726"/>
      <w:r>
        <w:rPr>
          <w:rFonts w:hint="eastAsia"/>
        </w:rPr>
        <w:t>生物质燃料燃烧温室气体排放</w:t>
      </w:r>
      <w:bookmarkEnd w:id="51"/>
      <w:bookmarkEnd w:id="52"/>
      <w:bookmarkEnd w:id="53"/>
      <w:bookmarkEnd w:id="54"/>
      <w:bookmarkEnd w:id="55"/>
      <w:bookmarkEnd w:id="56"/>
    </w:p>
    <w:p>
      <w:pPr>
        <w:spacing w:before="0" w:after="0"/>
        <w:ind w:firstLine="480" w:firstLineChars="200"/>
      </w:pPr>
      <w:r>
        <w:rPr>
          <w:rFonts w:hint="eastAsia"/>
        </w:rPr>
        <w:t>（1）活动水平数据</w:t>
      </w:r>
    </w:p>
    <w:p>
      <w:pPr>
        <w:spacing w:before="0" w:after="0"/>
        <w:ind w:firstLine="480" w:firstLineChars="200"/>
      </w:pPr>
      <w:r>
        <w:rPr>
          <w:rFonts w:cs="Times New Roman"/>
        </w:rPr>
        <w:t>秸秆和薪柴等生物质燃烧活动水平来自</w:t>
      </w:r>
      <w:r>
        <w:rPr>
          <w:rFonts w:hint="eastAsia" w:cs="Times New Roman"/>
        </w:rPr>
        <w:t>益阳市农业局</w:t>
      </w:r>
      <w:r>
        <w:rPr>
          <w:rFonts w:cs="Times New Roman"/>
        </w:rPr>
        <w:t>，</w:t>
      </w:r>
      <w:r>
        <w:rPr>
          <w:rFonts w:hint="eastAsia" w:cs="Times New Roman"/>
        </w:rPr>
        <w:t>2019</w:t>
      </w:r>
      <w:r>
        <w:rPr>
          <w:rFonts w:cs="Times New Roman"/>
        </w:rPr>
        <w:t>年</w:t>
      </w:r>
      <w:r>
        <w:rPr>
          <w:rFonts w:hint="eastAsia" w:cs="Times New Roman"/>
        </w:rPr>
        <w:t>益阳</w:t>
      </w:r>
      <w:r>
        <w:rPr>
          <w:rFonts w:cs="Times New Roman"/>
        </w:rPr>
        <w:t>消费薪柴</w:t>
      </w:r>
      <w:r>
        <w:rPr>
          <w:rFonts w:hint="eastAsia" w:cs="Times New Roman"/>
        </w:rPr>
        <w:t>无统计数据</w:t>
      </w:r>
      <w:r>
        <w:rPr>
          <w:rFonts w:cs="Times New Roman"/>
        </w:rPr>
        <w:t>，秸秆消费量为</w:t>
      </w:r>
      <w:r>
        <w:rPr>
          <w:rFonts w:hint="eastAsia" w:cs="Times New Roman"/>
        </w:rPr>
        <w:t>13.68</w:t>
      </w:r>
      <w:r>
        <w:rPr>
          <w:rFonts w:cs="Times New Roman"/>
        </w:rPr>
        <w:t>万吨。</w:t>
      </w:r>
    </w:p>
    <w:p>
      <w:pPr>
        <w:spacing w:before="0" w:after="0"/>
        <w:ind w:firstLine="480" w:firstLineChars="200"/>
      </w:pPr>
      <w:r>
        <w:rPr>
          <w:rFonts w:hint="eastAsia"/>
        </w:rPr>
        <w:t>（2）排放因子</w:t>
      </w:r>
    </w:p>
    <w:p>
      <w:pPr>
        <w:spacing w:before="0" w:after="0"/>
        <w:ind w:firstLine="420"/>
      </w:pPr>
      <w:r>
        <w:rPr>
          <w:rFonts w:hint="eastAsia"/>
        </w:rPr>
        <w:t>生物质燃料燃烧温室气体排放估算因子采用指南推荐排放因子。</w:t>
      </w:r>
    </w:p>
    <w:p>
      <w:pPr>
        <w:pStyle w:val="4"/>
      </w:pPr>
      <w:bookmarkStart w:id="57" w:name="_Toc52177378"/>
      <w:bookmarkStart w:id="58" w:name="_Toc53827501"/>
      <w:bookmarkStart w:id="59" w:name="_Toc31795"/>
      <w:bookmarkStart w:id="60" w:name="_Toc51939016"/>
      <w:bookmarkStart w:id="61" w:name="_Toc54097642"/>
      <w:bookmarkStart w:id="62" w:name="_Toc55311727"/>
      <w:r>
        <w:rPr>
          <w:rFonts w:hint="eastAsia"/>
        </w:rPr>
        <w:t>煤炭开采和矿后活动逃逸温室气体排放</w:t>
      </w:r>
      <w:bookmarkEnd w:id="57"/>
      <w:bookmarkEnd w:id="58"/>
      <w:bookmarkEnd w:id="59"/>
      <w:bookmarkEnd w:id="60"/>
      <w:bookmarkEnd w:id="61"/>
      <w:bookmarkEnd w:id="62"/>
    </w:p>
    <w:p>
      <w:pPr>
        <w:spacing w:before="0" w:after="0"/>
        <w:ind w:firstLine="480" w:firstLineChars="200"/>
        <w:rPr>
          <w:rFonts w:cs="Times New Roman"/>
          <w:szCs w:val="24"/>
        </w:rPr>
      </w:pPr>
      <w:r>
        <w:rPr>
          <w:rFonts w:hint="eastAsia" w:cs="Times New Roman"/>
          <w:szCs w:val="24"/>
        </w:rPr>
        <w:t>（1）活动水平数据</w:t>
      </w:r>
    </w:p>
    <w:p>
      <w:pPr>
        <w:spacing w:before="0" w:after="0"/>
        <w:ind w:firstLine="480" w:firstLineChars="200"/>
      </w:pPr>
      <w:r>
        <w:rPr>
          <w:rFonts w:hint="eastAsia" w:cs="Times New Roman"/>
        </w:rPr>
        <w:t>根据益阳市自然资源局提供的资料，2019年度益阳市没有煤炭开采活动，也没有煤炭开采矿后活动。</w:t>
      </w:r>
    </w:p>
    <w:p>
      <w:pPr>
        <w:spacing w:before="0" w:after="0"/>
        <w:ind w:firstLine="480" w:firstLineChars="200"/>
        <w:rPr>
          <w:rFonts w:cs="Times New Roman"/>
          <w:szCs w:val="24"/>
        </w:rPr>
      </w:pPr>
      <w:r>
        <w:rPr>
          <w:rFonts w:hint="eastAsia" w:cs="Times New Roman"/>
          <w:szCs w:val="24"/>
        </w:rPr>
        <w:t>（2）排放因子</w:t>
      </w:r>
    </w:p>
    <w:p>
      <w:pPr>
        <w:spacing w:before="0" w:after="0"/>
        <w:ind w:firstLine="480" w:firstLineChars="200"/>
      </w:pPr>
      <w:r>
        <w:rPr>
          <w:rFonts w:hint="eastAsia"/>
        </w:rPr>
        <w:t>煤炭开采和矿后活动逃逸温室气体排放估算因子采用指南推荐排放因子。</w:t>
      </w:r>
    </w:p>
    <w:p>
      <w:pPr>
        <w:pStyle w:val="4"/>
      </w:pPr>
      <w:bookmarkStart w:id="63" w:name="_Toc31182"/>
      <w:bookmarkStart w:id="64" w:name="_Toc51939017"/>
      <w:bookmarkStart w:id="65" w:name="_Toc52177379"/>
      <w:bookmarkStart w:id="66" w:name="_Toc53827502"/>
      <w:bookmarkStart w:id="67" w:name="_Toc54097643"/>
      <w:bookmarkStart w:id="68" w:name="_Toc55311728"/>
      <w:r>
        <w:rPr>
          <w:rFonts w:hint="eastAsia"/>
        </w:rPr>
        <w:t>石油和天然气系统温室气体排放</w:t>
      </w:r>
      <w:bookmarkEnd w:id="63"/>
      <w:bookmarkEnd w:id="64"/>
      <w:bookmarkEnd w:id="65"/>
      <w:bookmarkEnd w:id="66"/>
      <w:bookmarkEnd w:id="67"/>
      <w:bookmarkEnd w:id="68"/>
    </w:p>
    <w:p>
      <w:pPr>
        <w:spacing w:before="0" w:after="0"/>
        <w:ind w:firstLine="480" w:firstLineChars="200"/>
        <w:rPr>
          <w:rFonts w:cs="Times New Roman"/>
          <w:szCs w:val="24"/>
        </w:rPr>
      </w:pPr>
      <w:r>
        <w:rPr>
          <w:rFonts w:hint="eastAsia" w:cs="Times New Roman"/>
          <w:szCs w:val="24"/>
        </w:rPr>
        <w:t>（1）活动水平数据</w:t>
      </w:r>
    </w:p>
    <w:p>
      <w:pPr>
        <w:spacing w:before="0" w:after="0"/>
        <w:ind w:firstLine="480" w:firstLineChars="200"/>
        <w:rPr>
          <w:rFonts w:cs="Times New Roman"/>
          <w:szCs w:val="24"/>
        </w:rPr>
      </w:pPr>
      <w:r>
        <w:rPr>
          <w:rFonts w:hint="eastAsia" w:cs="Times New Roman"/>
          <w:szCs w:val="24"/>
        </w:rPr>
        <w:t>石油天然气系统的活动水平数据主要包括了石油天然气开采输送过程中各种装置的数量、天然气加工处理量、天然气消费量、稠油开采量、原油储运量和原油炼制量。</w:t>
      </w:r>
    </w:p>
    <w:p>
      <w:pPr>
        <w:spacing w:before="0" w:after="0"/>
        <w:ind w:firstLine="480" w:firstLineChars="200"/>
        <w:rPr>
          <w:rFonts w:cs="Times New Roman"/>
          <w:szCs w:val="24"/>
        </w:rPr>
      </w:pPr>
      <w:r>
        <w:rPr>
          <w:rFonts w:hint="eastAsia" w:cs="Times New Roman"/>
          <w:szCs w:val="24"/>
        </w:rPr>
        <w:t>益阳市没有天然气开采和稠油开采。根据益阳市住建局提供的2019年益阳市天然气增压站（调节站）、计量站和管线逆止阀数据（未提供原油储运量和原油炼制量数据），得到益阳市在天然气输送和加工、原油储运和炼制的设备数量或活动水平数据。</w:t>
      </w:r>
    </w:p>
    <w:p>
      <w:pPr>
        <w:spacing w:before="0" w:after="0"/>
        <w:ind w:firstLine="480" w:firstLineChars="200"/>
        <w:rPr>
          <w:rFonts w:cs="Times New Roman"/>
          <w:szCs w:val="24"/>
        </w:rPr>
      </w:pPr>
      <w:r>
        <w:rPr>
          <w:rFonts w:hint="eastAsia" w:cs="Times New Roman"/>
          <w:szCs w:val="24"/>
        </w:rPr>
        <w:t>（2）排放因子</w:t>
      </w:r>
    </w:p>
    <w:p>
      <w:pPr>
        <w:ind w:firstLine="480" w:firstLineChars="200"/>
      </w:pPr>
      <w:r>
        <w:rPr>
          <w:rFonts w:hint="eastAsia" w:cs="Times New Roman"/>
          <w:szCs w:val="24"/>
        </w:rPr>
        <w:t>石油和天然气系统温室气体排放估算因子采用指南推荐排放因子</w:t>
      </w:r>
      <w:r>
        <w:rPr>
          <w:rFonts w:hint="eastAsia"/>
        </w:rPr>
        <w:t>。</w:t>
      </w:r>
    </w:p>
    <w:p>
      <w:pPr>
        <w:pStyle w:val="4"/>
      </w:pPr>
      <w:bookmarkStart w:id="69" w:name="_Toc52177380"/>
      <w:bookmarkStart w:id="70" w:name="_Toc54097644"/>
      <w:bookmarkStart w:id="71" w:name="_Toc51939018"/>
      <w:bookmarkStart w:id="72" w:name="_Toc55311729"/>
      <w:bookmarkStart w:id="73" w:name="_Toc21604"/>
      <w:bookmarkStart w:id="74" w:name="_Toc53827503"/>
      <w:r>
        <w:rPr>
          <w:rFonts w:hint="eastAsia"/>
        </w:rPr>
        <w:t>电力调入调出温室气体间接排放</w:t>
      </w:r>
      <w:bookmarkEnd w:id="69"/>
      <w:bookmarkEnd w:id="70"/>
      <w:bookmarkEnd w:id="71"/>
      <w:bookmarkEnd w:id="72"/>
      <w:bookmarkEnd w:id="73"/>
      <w:bookmarkEnd w:id="74"/>
    </w:p>
    <w:p>
      <w:pPr>
        <w:spacing w:before="0" w:after="0"/>
        <w:ind w:firstLine="480" w:firstLineChars="200"/>
      </w:pPr>
      <w:r>
        <w:rPr>
          <w:rFonts w:hint="eastAsia"/>
        </w:rPr>
        <w:t>（1）活动水平数据</w:t>
      </w:r>
    </w:p>
    <w:p>
      <w:pPr>
        <w:spacing w:before="0" w:after="0"/>
        <w:ind w:firstLine="480" w:firstLineChars="200"/>
      </w:pPr>
      <w:r>
        <w:rPr>
          <w:rFonts w:hint="eastAsia" w:cs="Times New Roman"/>
        </w:rPr>
        <w:t>益阳市未提供</w:t>
      </w:r>
      <w:r>
        <w:rPr>
          <w:rFonts w:cs="Times New Roman"/>
        </w:rPr>
        <w:t>201</w:t>
      </w:r>
      <w:r>
        <w:rPr>
          <w:rFonts w:hint="eastAsia" w:cs="Times New Roman"/>
        </w:rPr>
        <w:t>9</w:t>
      </w:r>
      <w:r>
        <w:rPr>
          <w:rFonts w:cs="Times New Roman"/>
        </w:rPr>
        <w:t>年电力调入调出活动水平数据</w:t>
      </w:r>
      <w:r>
        <w:rPr>
          <w:rFonts w:hint="eastAsia" w:cs="Times New Roman"/>
        </w:rPr>
        <w:t>，无法计算电力调入调出二氧化碳间接排放量。</w:t>
      </w:r>
    </w:p>
    <w:p>
      <w:pPr>
        <w:spacing w:before="0" w:after="0"/>
        <w:ind w:firstLine="480" w:firstLineChars="200"/>
      </w:pPr>
      <w:r>
        <w:rPr>
          <w:rFonts w:hint="eastAsia"/>
        </w:rPr>
        <w:t>（2）排放因子</w:t>
      </w:r>
    </w:p>
    <w:p>
      <w:pPr>
        <w:spacing w:before="0" w:after="0"/>
        <w:ind w:firstLine="480" w:firstLineChars="200"/>
      </w:pPr>
      <w:r>
        <w:rPr>
          <w:rFonts w:hint="eastAsia"/>
        </w:rPr>
        <w:t>电力调入调出排放因子采用2020年生态环境部下发的《省级人民政府控制温室气体排放目标责任自评估报告碳排放强度测算中二氧化碳排放因子选取相关补充说明》表3中2016年区域电网平均二氧化碳排放因子。</w:t>
      </w:r>
    </w:p>
    <w:p>
      <w:pPr>
        <w:pStyle w:val="3"/>
      </w:pPr>
      <w:bookmarkStart w:id="75" w:name="_Toc31904"/>
      <w:r>
        <w:rPr>
          <w:rFonts w:hint="eastAsia"/>
        </w:rPr>
        <w:t>排放清单</w:t>
      </w:r>
      <w:bookmarkEnd w:id="75"/>
    </w:p>
    <w:p>
      <w:pPr>
        <w:pStyle w:val="4"/>
      </w:pPr>
      <w:bookmarkStart w:id="76" w:name="_Toc52177382"/>
      <w:bookmarkStart w:id="77" w:name="_Toc54097646"/>
      <w:bookmarkStart w:id="78" w:name="_Toc1385"/>
      <w:bookmarkStart w:id="79" w:name="_Toc55311731"/>
      <w:bookmarkStart w:id="80" w:name="_Toc51939020"/>
      <w:bookmarkStart w:id="81" w:name="_Toc53827505"/>
      <w:r>
        <w:rPr>
          <w:rFonts w:hint="eastAsia"/>
        </w:rPr>
        <w:t>能源活动总体情况</w:t>
      </w:r>
      <w:bookmarkEnd w:id="76"/>
      <w:bookmarkEnd w:id="77"/>
      <w:bookmarkEnd w:id="78"/>
      <w:bookmarkEnd w:id="79"/>
      <w:bookmarkEnd w:id="80"/>
      <w:bookmarkEnd w:id="81"/>
    </w:p>
    <w:p>
      <w:pPr>
        <w:spacing w:before="0" w:after="0"/>
        <w:ind w:firstLine="480" w:firstLineChars="200"/>
      </w:pPr>
      <w:r>
        <w:rPr>
          <w:rFonts w:hint="eastAsia"/>
        </w:rPr>
        <w:t>益阳市2019年能源活动温室气排放清单汇总如</w:t>
      </w:r>
      <w:r>
        <w:fldChar w:fldCharType="begin"/>
      </w:r>
      <w:r>
        <w:instrText xml:space="preserve"> </w:instrText>
      </w:r>
      <w:r>
        <w:rPr>
          <w:rFonts w:hint="eastAsia"/>
        </w:rPr>
        <w:instrText xml:space="preserve">REF _Ref52177448 \h</w:instrText>
      </w:r>
      <w:r>
        <w:instrText xml:space="preserve">  \* MERGEFORMAT </w:instrText>
      </w:r>
      <w:r>
        <w:fldChar w:fldCharType="separate"/>
      </w:r>
      <w:r>
        <w:rPr>
          <w:rFonts w:hint="eastAsia"/>
        </w:rPr>
        <w:t>表</w:t>
      </w:r>
      <w:r>
        <w:t>2</w:t>
      </w:r>
      <w:r>
        <w:noBreakHyphen/>
      </w:r>
      <w:r>
        <w:t>1</w:t>
      </w:r>
      <w:r>
        <w:fldChar w:fldCharType="end"/>
      </w:r>
      <w:r>
        <w:rPr>
          <w:rFonts w:hint="eastAsia"/>
        </w:rPr>
        <w:t>。</w:t>
      </w:r>
    </w:p>
    <w:p>
      <w:pPr>
        <w:pStyle w:val="12"/>
      </w:pPr>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1</w:t>
      </w:r>
      <w:r>
        <w:fldChar w:fldCharType="end"/>
      </w:r>
      <w:r>
        <w:rPr>
          <w:rFonts w:hint="eastAsia"/>
        </w:rPr>
        <w:t>益阳市2019年</w:t>
      </w:r>
      <w:r>
        <w:t>能源活动温室气排放清单汇总</w:t>
      </w:r>
    </w:p>
    <w:tbl>
      <w:tblPr>
        <w:tblStyle w:val="25"/>
        <w:tblW w:w="5000" w:type="pct"/>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506"/>
        <w:gridCol w:w="1545"/>
        <w:gridCol w:w="1504"/>
        <w:gridCol w:w="1220"/>
        <w:gridCol w:w="1753"/>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vMerge w:val="restart"/>
            <w:tcBorders>
              <w:bottom w:val="nil"/>
            </w:tcBorders>
            <w:noWrap/>
            <w:vAlign w:val="center"/>
          </w:tcPr>
          <w:p>
            <w:pPr>
              <w:spacing w:before="0" w:after="0" w:line="240" w:lineRule="auto"/>
              <w:jc w:val="center"/>
              <w:rPr>
                <w:rFonts w:cs="Times New Roman"/>
                <w:sz w:val="18"/>
                <w:szCs w:val="18"/>
              </w:rPr>
            </w:pPr>
            <w:r>
              <w:rPr>
                <w:rFonts w:cs="Times New Roman"/>
                <w:sz w:val="18"/>
                <w:szCs w:val="18"/>
              </w:rPr>
              <w:t>类别</w:t>
            </w:r>
          </w:p>
        </w:tc>
        <w:tc>
          <w:tcPr>
            <w:tcW w:w="905" w:type="pct"/>
            <w:tcBorders>
              <w:bottom w:val="nil"/>
            </w:tcBorders>
            <w:noWrap/>
            <w:vAlign w:val="center"/>
          </w:tcPr>
          <w:p>
            <w:pPr>
              <w:spacing w:before="0" w:after="0" w:line="240" w:lineRule="auto"/>
              <w:jc w:val="center"/>
              <w:rPr>
                <w:rFonts w:cs="Times New Roman"/>
                <w:sz w:val="18"/>
                <w:szCs w:val="18"/>
              </w:rPr>
            </w:pPr>
            <w:r>
              <w:rPr>
                <w:rFonts w:cs="Times New Roman"/>
                <w:sz w:val="18"/>
                <w:szCs w:val="18"/>
              </w:rPr>
              <w:t>二氧化碳</w:t>
            </w:r>
          </w:p>
        </w:tc>
        <w:tc>
          <w:tcPr>
            <w:tcW w:w="881" w:type="pct"/>
            <w:tcBorders>
              <w:bottom w:val="nil"/>
            </w:tcBorders>
            <w:noWrap/>
            <w:vAlign w:val="center"/>
          </w:tcPr>
          <w:p>
            <w:pPr>
              <w:spacing w:before="0" w:after="0" w:line="240" w:lineRule="auto"/>
              <w:jc w:val="center"/>
              <w:rPr>
                <w:rFonts w:cs="Times New Roman"/>
                <w:sz w:val="18"/>
                <w:szCs w:val="18"/>
              </w:rPr>
            </w:pPr>
            <w:r>
              <w:rPr>
                <w:rFonts w:cs="Times New Roman"/>
                <w:sz w:val="18"/>
                <w:szCs w:val="18"/>
              </w:rPr>
              <w:t>甲烷</w:t>
            </w:r>
          </w:p>
        </w:tc>
        <w:tc>
          <w:tcPr>
            <w:tcW w:w="715" w:type="pct"/>
            <w:tcBorders>
              <w:bottom w:val="nil"/>
            </w:tcBorders>
            <w:noWrap/>
            <w:vAlign w:val="center"/>
          </w:tcPr>
          <w:p>
            <w:pPr>
              <w:spacing w:before="0" w:after="0" w:line="240" w:lineRule="auto"/>
              <w:jc w:val="center"/>
              <w:rPr>
                <w:rFonts w:cs="Times New Roman"/>
                <w:sz w:val="18"/>
                <w:szCs w:val="18"/>
              </w:rPr>
            </w:pPr>
            <w:r>
              <w:rPr>
                <w:rFonts w:cs="Times New Roman"/>
                <w:sz w:val="18"/>
                <w:szCs w:val="18"/>
              </w:rPr>
              <w:t>氧化亚氮</w:t>
            </w:r>
          </w:p>
        </w:tc>
        <w:tc>
          <w:tcPr>
            <w:tcW w:w="1027" w:type="pct"/>
            <w:tcBorders>
              <w:bottom w:val="nil"/>
            </w:tcBorders>
            <w:noWrap/>
            <w:vAlign w:val="center"/>
          </w:tcPr>
          <w:p>
            <w:pPr>
              <w:spacing w:before="0" w:after="0" w:line="240" w:lineRule="auto"/>
              <w:jc w:val="center"/>
              <w:rPr>
                <w:rFonts w:cs="Times New Roman"/>
                <w:sz w:val="18"/>
                <w:szCs w:val="18"/>
              </w:rPr>
            </w:pPr>
            <w:r>
              <w:rPr>
                <w:rFonts w:cs="Times New Roman"/>
                <w:sz w:val="18"/>
                <w:szCs w:val="18"/>
              </w:rPr>
              <w:t>二氧化碳当量</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vMerge w:val="continue"/>
            <w:tcBorders>
              <w:top w:val="nil"/>
              <w:bottom w:val="single" w:color="auto" w:sz="4" w:space="0"/>
            </w:tcBorders>
            <w:vAlign w:val="center"/>
          </w:tcPr>
          <w:p>
            <w:pPr>
              <w:spacing w:before="0" w:after="0" w:line="240" w:lineRule="auto"/>
              <w:jc w:val="center"/>
              <w:rPr>
                <w:rFonts w:cs="Times New Roman"/>
                <w:sz w:val="18"/>
                <w:szCs w:val="18"/>
              </w:rPr>
            </w:pPr>
          </w:p>
        </w:tc>
        <w:tc>
          <w:tcPr>
            <w:tcW w:w="905" w:type="pct"/>
            <w:tcBorders>
              <w:top w:val="nil"/>
              <w:bottom w:val="single" w:color="auto" w:sz="4" w:space="0"/>
            </w:tcBorders>
            <w:noWrap/>
            <w:vAlign w:val="center"/>
          </w:tcPr>
          <w:p>
            <w:pPr>
              <w:spacing w:before="0" w:after="0" w:line="240" w:lineRule="auto"/>
              <w:jc w:val="center"/>
              <w:rPr>
                <w:rFonts w:cs="Times New Roman"/>
                <w:bCs/>
                <w:sz w:val="18"/>
                <w:szCs w:val="18"/>
              </w:rPr>
            </w:pPr>
            <w:r>
              <w:rPr>
                <w:rFonts w:cs="Times New Roman"/>
                <w:bCs/>
                <w:sz w:val="18"/>
                <w:szCs w:val="18"/>
              </w:rPr>
              <w:t>（万吨）</w:t>
            </w:r>
          </w:p>
        </w:tc>
        <w:tc>
          <w:tcPr>
            <w:tcW w:w="881" w:type="pct"/>
            <w:tcBorders>
              <w:top w:val="nil"/>
              <w:bottom w:val="single" w:color="auto" w:sz="4" w:space="0"/>
            </w:tcBorders>
            <w:noWrap/>
            <w:vAlign w:val="center"/>
          </w:tcPr>
          <w:p>
            <w:pPr>
              <w:spacing w:before="0" w:after="0" w:line="240" w:lineRule="auto"/>
              <w:jc w:val="center"/>
              <w:rPr>
                <w:rFonts w:cs="Times New Roman"/>
                <w:bCs/>
                <w:sz w:val="18"/>
                <w:szCs w:val="18"/>
              </w:rPr>
            </w:pPr>
            <w:r>
              <w:rPr>
                <w:rFonts w:cs="Times New Roman"/>
                <w:bCs/>
                <w:sz w:val="18"/>
                <w:szCs w:val="18"/>
              </w:rPr>
              <w:t>（万吨）</w:t>
            </w:r>
          </w:p>
        </w:tc>
        <w:tc>
          <w:tcPr>
            <w:tcW w:w="715" w:type="pct"/>
            <w:tcBorders>
              <w:top w:val="nil"/>
              <w:bottom w:val="single" w:color="auto" w:sz="4" w:space="0"/>
            </w:tcBorders>
            <w:noWrap/>
            <w:vAlign w:val="center"/>
          </w:tcPr>
          <w:p>
            <w:pPr>
              <w:spacing w:before="0" w:after="0" w:line="240" w:lineRule="auto"/>
              <w:jc w:val="center"/>
              <w:rPr>
                <w:rFonts w:cs="Times New Roman"/>
                <w:bCs/>
                <w:sz w:val="18"/>
                <w:szCs w:val="18"/>
              </w:rPr>
            </w:pPr>
            <w:r>
              <w:rPr>
                <w:rFonts w:cs="Times New Roman"/>
                <w:bCs/>
                <w:sz w:val="18"/>
                <w:szCs w:val="18"/>
              </w:rPr>
              <w:t>（万吨）</w:t>
            </w:r>
          </w:p>
        </w:tc>
        <w:tc>
          <w:tcPr>
            <w:tcW w:w="1027" w:type="pct"/>
            <w:tcBorders>
              <w:top w:val="nil"/>
              <w:bottom w:val="single" w:color="auto" w:sz="4" w:space="0"/>
            </w:tcBorders>
            <w:noWrap/>
            <w:vAlign w:val="center"/>
          </w:tcPr>
          <w:p>
            <w:pPr>
              <w:spacing w:before="0" w:after="0" w:line="240" w:lineRule="auto"/>
              <w:jc w:val="center"/>
              <w:rPr>
                <w:rFonts w:cs="Times New Roman"/>
                <w:bCs/>
                <w:sz w:val="18"/>
                <w:szCs w:val="18"/>
              </w:rPr>
            </w:pPr>
            <w:r>
              <w:rPr>
                <w:rFonts w:cs="Times New Roman"/>
                <w:bCs/>
                <w:sz w:val="18"/>
                <w:szCs w:val="18"/>
              </w:rPr>
              <w:t>（万吨）</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bottom w:val="nil"/>
            </w:tcBorders>
            <w:noWrap/>
            <w:vAlign w:val="center"/>
          </w:tcPr>
          <w:p>
            <w:pPr>
              <w:spacing w:before="0" w:after="0" w:line="240" w:lineRule="auto"/>
              <w:jc w:val="center"/>
              <w:rPr>
                <w:rFonts w:cs="Times New Roman"/>
                <w:b/>
                <w:bCs/>
                <w:sz w:val="18"/>
                <w:szCs w:val="18"/>
              </w:rPr>
            </w:pPr>
            <w:r>
              <w:rPr>
                <w:rFonts w:cs="Times New Roman"/>
                <w:b/>
                <w:bCs/>
                <w:sz w:val="18"/>
                <w:szCs w:val="18"/>
              </w:rPr>
              <w:t>能源活动总计</w:t>
            </w:r>
          </w:p>
        </w:tc>
        <w:tc>
          <w:tcPr>
            <w:tcW w:w="905" w:type="pct"/>
            <w:tcBorders>
              <w:bottom w:val="nil"/>
            </w:tcBorders>
            <w:noWrap/>
            <w:vAlign w:val="center"/>
          </w:tcPr>
          <w:p>
            <w:pPr>
              <w:spacing w:before="0" w:after="0" w:line="240" w:lineRule="auto"/>
              <w:jc w:val="center"/>
              <w:rPr>
                <w:sz w:val="18"/>
                <w:szCs w:val="18"/>
              </w:rPr>
            </w:pPr>
            <w:r>
              <w:rPr>
                <w:sz w:val="18"/>
                <w:szCs w:val="18"/>
              </w:rPr>
              <w:t>874.71</w:t>
            </w:r>
          </w:p>
        </w:tc>
        <w:tc>
          <w:tcPr>
            <w:tcW w:w="881" w:type="pct"/>
            <w:tcBorders>
              <w:bottom w:val="nil"/>
            </w:tcBorders>
            <w:noWrap/>
            <w:vAlign w:val="center"/>
          </w:tcPr>
          <w:p>
            <w:pPr>
              <w:spacing w:before="0" w:after="0" w:line="240" w:lineRule="auto"/>
              <w:jc w:val="center"/>
              <w:rPr>
                <w:sz w:val="18"/>
                <w:szCs w:val="18"/>
              </w:rPr>
            </w:pPr>
            <w:r>
              <w:rPr>
                <w:rFonts w:hint="eastAsia"/>
                <w:sz w:val="18"/>
                <w:szCs w:val="18"/>
              </w:rPr>
              <w:t>2.02</w:t>
            </w:r>
          </w:p>
        </w:tc>
        <w:tc>
          <w:tcPr>
            <w:tcW w:w="715" w:type="pct"/>
            <w:tcBorders>
              <w:bottom w:val="nil"/>
            </w:tcBorders>
            <w:noWrap/>
            <w:vAlign w:val="center"/>
          </w:tcPr>
          <w:p>
            <w:pPr>
              <w:spacing w:before="0" w:after="0" w:line="240" w:lineRule="auto"/>
              <w:jc w:val="center"/>
              <w:rPr>
                <w:sz w:val="18"/>
                <w:szCs w:val="18"/>
              </w:rPr>
            </w:pPr>
            <w:r>
              <w:rPr>
                <w:sz w:val="18"/>
                <w:szCs w:val="18"/>
              </w:rPr>
              <w:t>3.33</w:t>
            </w:r>
          </w:p>
        </w:tc>
        <w:tc>
          <w:tcPr>
            <w:tcW w:w="1027" w:type="pct"/>
            <w:tcBorders>
              <w:bottom w:val="nil"/>
            </w:tcBorders>
            <w:noWrap/>
            <w:vAlign w:val="center"/>
          </w:tcPr>
          <w:p>
            <w:pPr>
              <w:spacing w:before="0" w:after="0" w:line="240" w:lineRule="auto"/>
              <w:jc w:val="center"/>
              <w:rPr>
                <w:sz w:val="18"/>
                <w:szCs w:val="18"/>
              </w:rPr>
            </w:pPr>
            <w:r>
              <w:rPr>
                <w:rFonts w:hint="eastAsia"/>
                <w:sz w:val="18"/>
                <w:szCs w:val="18"/>
              </w:rPr>
              <w:t>880.06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bottom w:val="nil"/>
            </w:tcBorders>
            <w:noWrap/>
            <w:vAlign w:val="center"/>
          </w:tcPr>
          <w:p>
            <w:pPr>
              <w:spacing w:before="0" w:after="0" w:line="240" w:lineRule="auto"/>
              <w:jc w:val="center"/>
              <w:rPr>
                <w:rFonts w:cs="Times New Roman"/>
                <w:b/>
                <w:bCs/>
                <w:sz w:val="18"/>
                <w:szCs w:val="18"/>
              </w:rPr>
            </w:pPr>
            <w:r>
              <w:rPr>
                <w:rFonts w:cs="Times New Roman"/>
                <w:b/>
                <w:bCs/>
                <w:sz w:val="18"/>
                <w:szCs w:val="18"/>
              </w:rPr>
              <w:t>1. 化石燃料燃烧</w:t>
            </w:r>
          </w:p>
        </w:tc>
        <w:tc>
          <w:tcPr>
            <w:tcW w:w="905" w:type="pct"/>
            <w:tcBorders>
              <w:top w:val="nil"/>
              <w:bottom w:val="nil"/>
            </w:tcBorders>
            <w:noWrap/>
            <w:vAlign w:val="bottom"/>
          </w:tcPr>
          <w:p>
            <w:pPr>
              <w:spacing w:before="0" w:after="0" w:line="240" w:lineRule="auto"/>
              <w:jc w:val="center"/>
              <w:rPr>
                <w:sz w:val="18"/>
                <w:szCs w:val="18"/>
              </w:rPr>
            </w:pPr>
            <w:r>
              <w:rPr>
                <w:rFonts w:hint="eastAsia"/>
                <w:sz w:val="18"/>
                <w:szCs w:val="18"/>
              </w:rPr>
              <w:t>874.71</w:t>
            </w:r>
          </w:p>
        </w:tc>
        <w:tc>
          <w:tcPr>
            <w:tcW w:w="881"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715" w:type="pct"/>
            <w:tcBorders>
              <w:top w:val="nil"/>
              <w:bottom w:val="nil"/>
            </w:tcBorders>
            <w:noWrap/>
            <w:vAlign w:val="center"/>
          </w:tcPr>
          <w:p>
            <w:pPr>
              <w:spacing w:before="0" w:after="0" w:line="240" w:lineRule="auto"/>
              <w:jc w:val="center"/>
              <w:rPr>
                <w:sz w:val="18"/>
                <w:szCs w:val="18"/>
              </w:rPr>
            </w:pPr>
            <w:r>
              <w:rPr>
                <w:rFonts w:hint="eastAsia"/>
                <w:sz w:val="18"/>
                <w:szCs w:val="18"/>
              </w:rPr>
              <w:t>2.78</w:t>
            </w:r>
          </w:p>
        </w:tc>
        <w:tc>
          <w:tcPr>
            <w:tcW w:w="1027" w:type="pct"/>
            <w:tcBorders>
              <w:top w:val="nil"/>
              <w:bottom w:val="nil"/>
            </w:tcBorders>
            <w:noWrap/>
            <w:vAlign w:val="center"/>
          </w:tcPr>
          <w:p>
            <w:pPr>
              <w:spacing w:before="0" w:after="0" w:line="240" w:lineRule="auto"/>
              <w:jc w:val="center"/>
              <w:rPr>
                <w:sz w:val="18"/>
                <w:szCs w:val="18"/>
              </w:rPr>
            </w:pPr>
            <w:r>
              <w:rPr>
                <w:rFonts w:hint="eastAsia"/>
                <w:sz w:val="18"/>
                <w:szCs w:val="18"/>
              </w:rPr>
              <w:t>877.49</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bottom w:val="nil"/>
            </w:tcBorders>
            <w:noWrap/>
            <w:vAlign w:val="center"/>
          </w:tcPr>
          <w:p>
            <w:pPr>
              <w:spacing w:before="0" w:after="0" w:line="240" w:lineRule="auto"/>
              <w:jc w:val="center"/>
              <w:rPr>
                <w:rFonts w:cs="Times New Roman"/>
                <w:bCs/>
                <w:sz w:val="18"/>
                <w:szCs w:val="18"/>
              </w:rPr>
            </w:pPr>
            <w:r>
              <w:rPr>
                <w:rFonts w:cs="Times New Roman"/>
                <w:bCs/>
                <w:sz w:val="18"/>
                <w:szCs w:val="18"/>
              </w:rPr>
              <w:t>能源工业</w:t>
            </w:r>
          </w:p>
        </w:tc>
        <w:tc>
          <w:tcPr>
            <w:tcW w:w="905" w:type="pct"/>
            <w:tcBorders>
              <w:top w:val="nil"/>
              <w:bottom w:val="nil"/>
            </w:tcBorders>
            <w:noWrap/>
            <w:vAlign w:val="bottom"/>
          </w:tcPr>
          <w:p>
            <w:pPr>
              <w:spacing w:before="0" w:after="0" w:line="240" w:lineRule="auto"/>
              <w:jc w:val="center"/>
              <w:rPr>
                <w:sz w:val="18"/>
                <w:szCs w:val="18"/>
              </w:rPr>
            </w:pPr>
            <w:r>
              <w:rPr>
                <w:rFonts w:hint="eastAsia"/>
                <w:sz w:val="18"/>
                <w:szCs w:val="18"/>
              </w:rPr>
              <w:t>611.39</w:t>
            </w:r>
          </w:p>
        </w:tc>
        <w:tc>
          <w:tcPr>
            <w:tcW w:w="881"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715" w:type="pct"/>
            <w:tcBorders>
              <w:top w:val="nil"/>
              <w:bottom w:val="nil"/>
            </w:tcBorders>
            <w:noWrap/>
            <w:vAlign w:val="center"/>
          </w:tcPr>
          <w:p>
            <w:pPr>
              <w:spacing w:before="0" w:after="0" w:line="240" w:lineRule="auto"/>
              <w:jc w:val="center"/>
              <w:rPr>
                <w:sz w:val="18"/>
                <w:szCs w:val="18"/>
              </w:rPr>
            </w:pPr>
            <w:r>
              <w:rPr>
                <w:rFonts w:hint="eastAsia"/>
                <w:sz w:val="18"/>
                <w:szCs w:val="18"/>
              </w:rPr>
              <w:t>2.78</w:t>
            </w:r>
          </w:p>
        </w:tc>
        <w:tc>
          <w:tcPr>
            <w:tcW w:w="1027" w:type="pct"/>
            <w:tcBorders>
              <w:top w:val="nil"/>
              <w:bottom w:val="nil"/>
            </w:tcBorders>
            <w:noWrap/>
            <w:vAlign w:val="center"/>
          </w:tcPr>
          <w:p>
            <w:pPr>
              <w:spacing w:before="0" w:after="0" w:line="240" w:lineRule="auto"/>
              <w:jc w:val="center"/>
              <w:rPr>
                <w:sz w:val="18"/>
                <w:szCs w:val="18"/>
              </w:rPr>
            </w:pPr>
            <w:r>
              <w:rPr>
                <w:rFonts w:hint="eastAsia"/>
                <w:sz w:val="18"/>
                <w:szCs w:val="18"/>
              </w:rPr>
              <w:t>614.17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电力生产</w:t>
            </w:r>
          </w:p>
        </w:tc>
        <w:tc>
          <w:tcPr>
            <w:tcW w:w="905" w:type="pct"/>
            <w:tcBorders>
              <w:top w:val="nil"/>
              <w:bottom w:val="nil"/>
            </w:tcBorders>
            <w:noWrap/>
            <w:vAlign w:val="bottom"/>
          </w:tcPr>
          <w:p>
            <w:pPr>
              <w:spacing w:before="0" w:after="0" w:line="240" w:lineRule="auto"/>
              <w:jc w:val="center"/>
              <w:rPr>
                <w:sz w:val="18"/>
                <w:szCs w:val="18"/>
              </w:rPr>
            </w:pPr>
            <w:r>
              <w:rPr>
                <w:rFonts w:hint="eastAsia"/>
                <w:sz w:val="18"/>
                <w:szCs w:val="18"/>
              </w:rPr>
              <w:t>610.57</w:t>
            </w:r>
          </w:p>
        </w:tc>
        <w:tc>
          <w:tcPr>
            <w:tcW w:w="881"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715"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1027" w:type="pct"/>
            <w:tcBorders>
              <w:top w:val="nil"/>
              <w:bottom w:val="nil"/>
            </w:tcBorders>
            <w:noWrap/>
            <w:vAlign w:val="bottom"/>
          </w:tcPr>
          <w:p>
            <w:pPr>
              <w:spacing w:before="0" w:after="0" w:line="240" w:lineRule="auto"/>
              <w:jc w:val="center"/>
              <w:rPr>
                <w:sz w:val="18"/>
                <w:szCs w:val="18"/>
              </w:rPr>
            </w:pPr>
            <w:r>
              <w:rPr>
                <w:rFonts w:hint="eastAsia"/>
                <w:sz w:val="18"/>
                <w:szCs w:val="18"/>
              </w:rPr>
              <w:t>610.57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油气开采</w:t>
            </w:r>
          </w:p>
        </w:tc>
        <w:tc>
          <w:tcPr>
            <w:tcW w:w="905" w:type="pct"/>
            <w:tcBorders>
              <w:top w:val="nil"/>
              <w:bottom w:val="nil"/>
            </w:tcBorders>
            <w:noWrap/>
            <w:vAlign w:val="bottom"/>
          </w:tcPr>
          <w:p>
            <w:pPr>
              <w:spacing w:before="0" w:after="0" w:line="240" w:lineRule="auto"/>
              <w:jc w:val="center"/>
              <w:rPr>
                <w:sz w:val="18"/>
                <w:szCs w:val="18"/>
              </w:rPr>
            </w:pPr>
            <w:r>
              <w:rPr>
                <w:rFonts w:hint="eastAsia"/>
                <w:sz w:val="18"/>
                <w:szCs w:val="18"/>
              </w:rPr>
              <w:t>0</w:t>
            </w:r>
            <w:r>
              <w:rPr>
                <w:sz w:val="18"/>
                <w:szCs w:val="18"/>
              </w:rPr>
              <w:t>.00</w:t>
            </w:r>
          </w:p>
        </w:tc>
        <w:tc>
          <w:tcPr>
            <w:tcW w:w="881"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715"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1027" w:type="pct"/>
            <w:tcBorders>
              <w:top w:val="nil"/>
              <w:bottom w:val="nil"/>
            </w:tcBorders>
            <w:noWrap/>
            <w:vAlign w:val="bottom"/>
          </w:tcPr>
          <w:p>
            <w:pPr>
              <w:spacing w:before="0" w:after="0" w:line="240" w:lineRule="auto"/>
              <w:jc w:val="center"/>
              <w:rPr>
                <w:sz w:val="18"/>
                <w:szCs w:val="18"/>
              </w:rPr>
            </w:pPr>
            <w:r>
              <w:rPr>
                <w:rFonts w:hint="eastAsia"/>
                <w:sz w:val="18"/>
                <w:szCs w:val="18"/>
              </w:rPr>
              <w:t>0</w:t>
            </w:r>
            <w:r>
              <w:rPr>
                <w:sz w:val="18"/>
                <w:szCs w:val="18"/>
              </w:rPr>
              <w:t>.00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固体燃料</w:t>
            </w:r>
          </w:p>
        </w:tc>
        <w:tc>
          <w:tcPr>
            <w:tcW w:w="905" w:type="pct"/>
            <w:tcBorders>
              <w:top w:val="nil"/>
              <w:bottom w:val="nil"/>
            </w:tcBorders>
            <w:noWrap/>
            <w:vAlign w:val="bottom"/>
          </w:tcPr>
          <w:p>
            <w:pPr>
              <w:spacing w:before="0" w:after="0" w:line="240" w:lineRule="auto"/>
              <w:jc w:val="center"/>
              <w:rPr>
                <w:sz w:val="18"/>
                <w:szCs w:val="18"/>
              </w:rPr>
            </w:pPr>
            <w:r>
              <w:rPr>
                <w:rFonts w:hint="eastAsia"/>
                <w:sz w:val="18"/>
                <w:szCs w:val="18"/>
              </w:rPr>
              <w:t>0.83</w:t>
            </w:r>
          </w:p>
        </w:tc>
        <w:tc>
          <w:tcPr>
            <w:tcW w:w="881"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715"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1027" w:type="pct"/>
            <w:tcBorders>
              <w:top w:val="nil"/>
              <w:bottom w:val="nil"/>
            </w:tcBorders>
            <w:noWrap/>
            <w:vAlign w:val="bottom"/>
          </w:tcPr>
          <w:p>
            <w:pPr>
              <w:spacing w:before="0" w:after="0" w:line="240" w:lineRule="auto"/>
              <w:jc w:val="center"/>
              <w:rPr>
                <w:sz w:val="18"/>
                <w:szCs w:val="18"/>
              </w:rPr>
            </w:pPr>
            <w:r>
              <w:rPr>
                <w:rFonts w:hint="eastAsia"/>
                <w:sz w:val="18"/>
                <w:szCs w:val="18"/>
              </w:rPr>
              <w:t>0.83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bottom w:val="nil"/>
            </w:tcBorders>
            <w:noWrap/>
            <w:vAlign w:val="center"/>
          </w:tcPr>
          <w:p>
            <w:pPr>
              <w:spacing w:before="0" w:after="0" w:line="240" w:lineRule="auto"/>
              <w:jc w:val="center"/>
              <w:rPr>
                <w:rFonts w:cs="Times New Roman"/>
                <w:bCs/>
                <w:sz w:val="18"/>
                <w:szCs w:val="18"/>
              </w:rPr>
            </w:pPr>
            <w:r>
              <w:rPr>
                <w:rFonts w:cs="Times New Roman"/>
                <w:bCs/>
                <w:sz w:val="18"/>
                <w:szCs w:val="18"/>
              </w:rPr>
              <w:t>农业</w:t>
            </w:r>
          </w:p>
        </w:tc>
        <w:tc>
          <w:tcPr>
            <w:tcW w:w="905" w:type="pct"/>
            <w:tcBorders>
              <w:top w:val="nil"/>
              <w:bottom w:val="nil"/>
            </w:tcBorders>
            <w:noWrap/>
            <w:vAlign w:val="center"/>
          </w:tcPr>
          <w:p>
            <w:pPr>
              <w:spacing w:before="0" w:after="0" w:line="240" w:lineRule="auto"/>
              <w:jc w:val="center"/>
              <w:rPr>
                <w:sz w:val="18"/>
                <w:szCs w:val="18"/>
              </w:rPr>
            </w:pPr>
            <w:r>
              <w:rPr>
                <w:rFonts w:hint="eastAsia"/>
                <w:sz w:val="18"/>
                <w:szCs w:val="18"/>
              </w:rPr>
              <w:t>0</w:t>
            </w:r>
            <w:r>
              <w:rPr>
                <w:sz w:val="18"/>
                <w:szCs w:val="18"/>
              </w:rPr>
              <w:t>.00</w:t>
            </w:r>
          </w:p>
        </w:tc>
        <w:tc>
          <w:tcPr>
            <w:tcW w:w="881"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715"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1027" w:type="pct"/>
            <w:tcBorders>
              <w:top w:val="nil"/>
              <w:bottom w:val="nil"/>
            </w:tcBorders>
            <w:noWrap/>
            <w:vAlign w:val="center"/>
          </w:tcPr>
          <w:p>
            <w:pPr>
              <w:spacing w:before="0" w:after="0" w:line="240" w:lineRule="auto"/>
              <w:jc w:val="center"/>
              <w:rPr>
                <w:sz w:val="18"/>
                <w:szCs w:val="18"/>
              </w:rPr>
            </w:pPr>
            <w:r>
              <w:rPr>
                <w:rFonts w:hint="eastAsia"/>
                <w:sz w:val="18"/>
                <w:szCs w:val="18"/>
              </w:rPr>
              <w:t>0</w:t>
            </w:r>
            <w:r>
              <w:rPr>
                <w:sz w:val="18"/>
                <w:szCs w:val="18"/>
              </w:rPr>
              <w:t>.00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bottom w:val="nil"/>
            </w:tcBorders>
            <w:noWrap/>
            <w:vAlign w:val="center"/>
          </w:tcPr>
          <w:p>
            <w:pPr>
              <w:spacing w:before="0" w:after="0" w:line="240" w:lineRule="auto"/>
              <w:jc w:val="center"/>
              <w:rPr>
                <w:rFonts w:cs="Times New Roman"/>
                <w:bCs/>
                <w:sz w:val="18"/>
                <w:szCs w:val="18"/>
              </w:rPr>
            </w:pPr>
            <w:r>
              <w:rPr>
                <w:rFonts w:cs="Times New Roman"/>
                <w:bCs/>
                <w:sz w:val="18"/>
                <w:szCs w:val="18"/>
              </w:rPr>
              <w:t>工业和建筑业</w:t>
            </w:r>
          </w:p>
        </w:tc>
        <w:tc>
          <w:tcPr>
            <w:tcW w:w="905" w:type="pct"/>
            <w:tcBorders>
              <w:top w:val="nil"/>
              <w:bottom w:val="nil"/>
            </w:tcBorders>
            <w:noWrap/>
            <w:vAlign w:val="bottom"/>
          </w:tcPr>
          <w:p>
            <w:pPr>
              <w:spacing w:before="0" w:after="0" w:line="240" w:lineRule="auto"/>
              <w:jc w:val="center"/>
              <w:rPr>
                <w:sz w:val="18"/>
                <w:szCs w:val="18"/>
              </w:rPr>
            </w:pPr>
            <w:r>
              <w:rPr>
                <w:rFonts w:hint="eastAsia"/>
                <w:sz w:val="18"/>
                <w:szCs w:val="18"/>
              </w:rPr>
              <w:t>257.66</w:t>
            </w:r>
          </w:p>
        </w:tc>
        <w:tc>
          <w:tcPr>
            <w:tcW w:w="881"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715"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1027" w:type="pct"/>
            <w:tcBorders>
              <w:top w:val="nil"/>
              <w:bottom w:val="nil"/>
            </w:tcBorders>
            <w:noWrap/>
            <w:vAlign w:val="bottom"/>
          </w:tcPr>
          <w:p>
            <w:pPr>
              <w:spacing w:before="0" w:after="0" w:line="240" w:lineRule="auto"/>
              <w:jc w:val="center"/>
              <w:rPr>
                <w:sz w:val="18"/>
                <w:szCs w:val="18"/>
              </w:rPr>
            </w:pPr>
            <w:r>
              <w:rPr>
                <w:rFonts w:hint="eastAsia"/>
                <w:sz w:val="18"/>
                <w:szCs w:val="18"/>
              </w:rPr>
              <w:t>257.66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钢铁</w:t>
            </w:r>
          </w:p>
        </w:tc>
        <w:tc>
          <w:tcPr>
            <w:tcW w:w="905" w:type="pct"/>
            <w:tcBorders>
              <w:top w:val="nil"/>
              <w:bottom w:val="nil"/>
            </w:tcBorders>
            <w:noWrap/>
            <w:vAlign w:val="bottom"/>
          </w:tcPr>
          <w:p>
            <w:pPr>
              <w:spacing w:before="0" w:after="0" w:line="240" w:lineRule="auto"/>
              <w:jc w:val="center"/>
              <w:rPr>
                <w:sz w:val="18"/>
                <w:szCs w:val="18"/>
              </w:rPr>
            </w:pPr>
            <w:r>
              <w:rPr>
                <w:rFonts w:hint="eastAsia"/>
                <w:sz w:val="18"/>
                <w:szCs w:val="18"/>
              </w:rPr>
              <w:t>2.53</w:t>
            </w:r>
          </w:p>
        </w:tc>
        <w:tc>
          <w:tcPr>
            <w:tcW w:w="881"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715"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1027" w:type="pct"/>
            <w:tcBorders>
              <w:top w:val="nil"/>
              <w:bottom w:val="nil"/>
            </w:tcBorders>
            <w:noWrap/>
            <w:vAlign w:val="bottom"/>
          </w:tcPr>
          <w:p>
            <w:pPr>
              <w:spacing w:before="0" w:after="0" w:line="240" w:lineRule="auto"/>
              <w:jc w:val="center"/>
              <w:rPr>
                <w:sz w:val="18"/>
                <w:szCs w:val="18"/>
              </w:rPr>
            </w:pPr>
            <w:r>
              <w:rPr>
                <w:rFonts w:hint="eastAsia"/>
                <w:sz w:val="18"/>
                <w:szCs w:val="18"/>
              </w:rPr>
              <w:t>2.53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有色金属</w:t>
            </w:r>
          </w:p>
        </w:tc>
        <w:tc>
          <w:tcPr>
            <w:tcW w:w="905" w:type="pct"/>
            <w:tcBorders>
              <w:top w:val="nil"/>
              <w:bottom w:val="nil"/>
            </w:tcBorders>
            <w:noWrap/>
            <w:vAlign w:val="bottom"/>
          </w:tcPr>
          <w:p>
            <w:pPr>
              <w:spacing w:before="0" w:after="0" w:line="240" w:lineRule="auto"/>
              <w:jc w:val="center"/>
              <w:rPr>
                <w:sz w:val="18"/>
                <w:szCs w:val="18"/>
              </w:rPr>
            </w:pPr>
            <w:r>
              <w:rPr>
                <w:rFonts w:hint="eastAsia"/>
                <w:sz w:val="18"/>
                <w:szCs w:val="18"/>
              </w:rPr>
              <w:t>5.19</w:t>
            </w:r>
          </w:p>
        </w:tc>
        <w:tc>
          <w:tcPr>
            <w:tcW w:w="881"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715"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1027" w:type="pct"/>
            <w:tcBorders>
              <w:top w:val="nil"/>
              <w:bottom w:val="nil"/>
            </w:tcBorders>
            <w:noWrap/>
            <w:vAlign w:val="bottom"/>
          </w:tcPr>
          <w:p>
            <w:pPr>
              <w:spacing w:before="0" w:after="0" w:line="240" w:lineRule="auto"/>
              <w:jc w:val="center"/>
              <w:rPr>
                <w:sz w:val="18"/>
                <w:szCs w:val="18"/>
              </w:rPr>
            </w:pPr>
            <w:r>
              <w:rPr>
                <w:rFonts w:hint="eastAsia"/>
                <w:sz w:val="18"/>
                <w:szCs w:val="18"/>
              </w:rPr>
              <w:t>5.19</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化工</w:t>
            </w:r>
          </w:p>
        </w:tc>
        <w:tc>
          <w:tcPr>
            <w:tcW w:w="905" w:type="pct"/>
            <w:tcBorders>
              <w:top w:val="nil"/>
              <w:bottom w:val="nil"/>
            </w:tcBorders>
            <w:noWrap/>
            <w:vAlign w:val="bottom"/>
          </w:tcPr>
          <w:p>
            <w:pPr>
              <w:spacing w:before="0" w:after="0" w:line="240" w:lineRule="auto"/>
              <w:jc w:val="center"/>
              <w:rPr>
                <w:sz w:val="18"/>
                <w:szCs w:val="18"/>
              </w:rPr>
            </w:pPr>
            <w:r>
              <w:rPr>
                <w:rFonts w:hint="eastAsia"/>
                <w:sz w:val="18"/>
                <w:szCs w:val="18"/>
              </w:rPr>
              <w:t>17.32</w:t>
            </w:r>
          </w:p>
        </w:tc>
        <w:tc>
          <w:tcPr>
            <w:tcW w:w="881"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715"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1027" w:type="pct"/>
            <w:tcBorders>
              <w:top w:val="nil"/>
              <w:bottom w:val="nil"/>
            </w:tcBorders>
            <w:noWrap/>
            <w:vAlign w:val="bottom"/>
          </w:tcPr>
          <w:p>
            <w:pPr>
              <w:spacing w:before="0" w:after="0" w:line="240" w:lineRule="auto"/>
              <w:jc w:val="center"/>
              <w:rPr>
                <w:sz w:val="18"/>
                <w:szCs w:val="18"/>
              </w:rPr>
            </w:pPr>
            <w:r>
              <w:rPr>
                <w:rFonts w:hint="eastAsia"/>
                <w:sz w:val="18"/>
                <w:szCs w:val="18"/>
              </w:rPr>
              <w:t>17.32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建材</w:t>
            </w:r>
          </w:p>
        </w:tc>
        <w:tc>
          <w:tcPr>
            <w:tcW w:w="905" w:type="pct"/>
            <w:tcBorders>
              <w:top w:val="nil"/>
              <w:bottom w:val="nil"/>
            </w:tcBorders>
            <w:noWrap/>
            <w:vAlign w:val="bottom"/>
          </w:tcPr>
          <w:p>
            <w:pPr>
              <w:spacing w:before="0" w:after="0" w:line="240" w:lineRule="auto"/>
              <w:jc w:val="center"/>
              <w:rPr>
                <w:sz w:val="18"/>
                <w:szCs w:val="18"/>
              </w:rPr>
            </w:pPr>
            <w:r>
              <w:rPr>
                <w:rFonts w:hint="eastAsia"/>
                <w:sz w:val="18"/>
                <w:szCs w:val="18"/>
              </w:rPr>
              <w:t>140.49</w:t>
            </w:r>
          </w:p>
        </w:tc>
        <w:tc>
          <w:tcPr>
            <w:tcW w:w="881"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715"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1027" w:type="pct"/>
            <w:tcBorders>
              <w:top w:val="nil"/>
              <w:bottom w:val="nil"/>
            </w:tcBorders>
            <w:noWrap/>
            <w:vAlign w:val="bottom"/>
          </w:tcPr>
          <w:p>
            <w:pPr>
              <w:spacing w:before="0" w:after="0" w:line="240" w:lineRule="auto"/>
              <w:jc w:val="center"/>
              <w:rPr>
                <w:sz w:val="18"/>
                <w:szCs w:val="18"/>
              </w:rPr>
            </w:pPr>
            <w:r>
              <w:rPr>
                <w:rFonts w:hint="eastAsia"/>
                <w:sz w:val="18"/>
                <w:szCs w:val="18"/>
              </w:rPr>
              <w:t>140.49</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其他</w:t>
            </w:r>
          </w:p>
        </w:tc>
        <w:tc>
          <w:tcPr>
            <w:tcW w:w="905" w:type="pct"/>
            <w:tcBorders>
              <w:top w:val="nil"/>
              <w:bottom w:val="nil"/>
            </w:tcBorders>
            <w:noWrap/>
            <w:vAlign w:val="bottom"/>
          </w:tcPr>
          <w:p>
            <w:pPr>
              <w:spacing w:before="0" w:after="0" w:line="240" w:lineRule="auto"/>
              <w:jc w:val="center"/>
              <w:rPr>
                <w:sz w:val="18"/>
                <w:szCs w:val="18"/>
              </w:rPr>
            </w:pPr>
            <w:r>
              <w:rPr>
                <w:rFonts w:hint="eastAsia"/>
                <w:sz w:val="18"/>
                <w:szCs w:val="18"/>
              </w:rPr>
              <w:t>92.13</w:t>
            </w:r>
          </w:p>
        </w:tc>
        <w:tc>
          <w:tcPr>
            <w:tcW w:w="881"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715"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1027" w:type="pct"/>
            <w:tcBorders>
              <w:top w:val="nil"/>
              <w:bottom w:val="nil"/>
            </w:tcBorders>
            <w:noWrap/>
            <w:vAlign w:val="bottom"/>
          </w:tcPr>
          <w:p>
            <w:pPr>
              <w:spacing w:before="0" w:after="0" w:line="240" w:lineRule="auto"/>
              <w:jc w:val="center"/>
              <w:rPr>
                <w:sz w:val="18"/>
                <w:szCs w:val="18"/>
              </w:rPr>
            </w:pPr>
            <w:r>
              <w:rPr>
                <w:rFonts w:hint="eastAsia"/>
                <w:sz w:val="18"/>
                <w:szCs w:val="18"/>
              </w:rPr>
              <w:t>92.13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建筑业</w:t>
            </w:r>
          </w:p>
        </w:tc>
        <w:tc>
          <w:tcPr>
            <w:tcW w:w="905" w:type="pct"/>
            <w:tcBorders>
              <w:top w:val="nil"/>
              <w:bottom w:val="nil"/>
            </w:tcBorders>
            <w:noWrap/>
            <w:vAlign w:val="bottom"/>
          </w:tcPr>
          <w:p>
            <w:pPr>
              <w:spacing w:before="0" w:after="0" w:line="240" w:lineRule="auto"/>
              <w:jc w:val="center"/>
              <w:rPr>
                <w:sz w:val="18"/>
                <w:szCs w:val="18"/>
              </w:rPr>
            </w:pPr>
            <w:r>
              <w:rPr>
                <w:rFonts w:hint="eastAsia"/>
                <w:sz w:val="18"/>
                <w:szCs w:val="18"/>
              </w:rPr>
              <w:t>0</w:t>
            </w:r>
            <w:r>
              <w:rPr>
                <w:sz w:val="18"/>
                <w:szCs w:val="18"/>
              </w:rPr>
              <w:t>.00</w:t>
            </w:r>
          </w:p>
        </w:tc>
        <w:tc>
          <w:tcPr>
            <w:tcW w:w="881"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715"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1027" w:type="pct"/>
            <w:tcBorders>
              <w:top w:val="nil"/>
              <w:bottom w:val="nil"/>
            </w:tcBorders>
            <w:noWrap/>
            <w:vAlign w:val="bottom"/>
          </w:tcPr>
          <w:p>
            <w:pPr>
              <w:spacing w:before="0" w:after="0" w:line="240" w:lineRule="auto"/>
              <w:jc w:val="center"/>
              <w:rPr>
                <w:sz w:val="18"/>
                <w:szCs w:val="18"/>
              </w:rPr>
            </w:pPr>
            <w:r>
              <w:rPr>
                <w:rFonts w:hint="eastAsia"/>
                <w:sz w:val="18"/>
                <w:szCs w:val="18"/>
              </w:rPr>
              <w:t>0</w:t>
            </w:r>
            <w:r>
              <w:rPr>
                <w:sz w:val="18"/>
                <w:szCs w:val="18"/>
              </w:rPr>
              <w:t>.00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bottom w:val="nil"/>
            </w:tcBorders>
            <w:noWrap/>
            <w:vAlign w:val="center"/>
          </w:tcPr>
          <w:p>
            <w:pPr>
              <w:spacing w:before="0" w:after="0" w:line="240" w:lineRule="auto"/>
              <w:jc w:val="center"/>
              <w:rPr>
                <w:rFonts w:cs="Times New Roman"/>
                <w:bCs/>
                <w:sz w:val="18"/>
                <w:szCs w:val="18"/>
              </w:rPr>
            </w:pPr>
            <w:r>
              <w:rPr>
                <w:rFonts w:cs="Times New Roman"/>
                <w:bCs/>
                <w:sz w:val="18"/>
                <w:szCs w:val="18"/>
              </w:rPr>
              <w:t>交通运输</w:t>
            </w:r>
          </w:p>
        </w:tc>
        <w:tc>
          <w:tcPr>
            <w:tcW w:w="905" w:type="pct"/>
            <w:tcBorders>
              <w:top w:val="nil"/>
              <w:bottom w:val="nil"/>
            </w:tcBorders>
            <w:noWrap/>
            <w:vAlign w:val="center"/>
          </w:tcPr>
          <w:p>
            <w:pPr>
              <w:spacing w:before="0" w:after="0" w:line="240" w:lineRule="auto"/>
              <w:jc w:val="center"/>
              <w:rPr>
                <w:sz w:val="18"/>
                <w:szCs w:val="18"/>
              </w:rPr>
            </w:pPr>
            <w:r>
              <w:rPr>
                <w:rFonts w:hint="eastAsia"/>
                <w:sz w:val="18"/>
                <w:szCs w:val="18"/>
              </w:rPr>
              <w:t>5.66</w:t>
            </w:r>
          </w:p>
        </w:tc>
        <w:tc>
          <w:tcPr>
            <w:tcW w:w="881"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715"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1027" w:type="pct"/>
            <w:tcBorders>
              <w:top w:val="nil"/>
              <w:bottom w:val="nil"/>
            </w:tcBorders>
            <w:noWrap/>
            <w:vAlign w:val="center"/>
          </w:tcPr>
          <w:p>
            <w:pPr>
              <w:spacing w:before="0" w:after="0" w:line="240" w:lineRule="auto"/>
              <w:jc w:val="center"/>
              <w:rPr>
                <w:sz w:val="18"/>
                <w:szCs w:val="18"/>
              </w:rPr>
            </w:pPr>
            <w:r>
              <w:rPr>
                <w:rFonts w:hint="eastAsia"/>
                <w:sz w:val="18"/>
                <w:szCs w:val="18"/>
              </w:rPr>
              <w:t>5.66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bottom w:val="nil"/>
            </w:tcBorders>
            <w:noWrap/>
            <w:vAlign w:val="center"/>
          </w:tcPr>
          <w:p>
            <w:pPr>
              <w:spacing w:before="0" w:after="0" w:line="240" w:lineRule="auto"/>
              <w:jc w:val="center"/>
              <w:rPr>
                <w:rFonts w:cs="Times New Roman"/>
                <w:bCs/>
                <w:sz w:val="18"/>
                <w:szCs w:val="18"/>
              </w:rPr>
            </w:pPr>
            <w:r>
              <w:rPr>
                <w:rFonts w:cs="Times New Roman"/>
                <w:bCs/>
                <w:sz w:val="18"/>
                <w:szCs w:val="18"/>
              </w:rPr>
              <w:t>服务业</w:t>
            </w:r>
          </w:p>
        </w:tc>
        <w:tc>
          <w:tcPr>
            <w:tcW w:w="905" w:type="pct"/>
            <w:tcBorders>
              <w:top w:val="nil"/>
              <w:bottom w:val="nil"/>
            </w:tcBorders>
            <w:noWrap/>
            <w:vAlign w:val="center"/>
          </w:tcPr>
          <w:p>
            <w:pPr>
              <w:spacing w:before="0" w:after="0" w:line="240" w:lineRule="auto"/>
              <w:jc w:val="center"/>
              <w:rPr>
                <w:sz w:val="18"/>
                <w:szCs w:val="18"/>
              </w:rPr>
            </w:pPr>
            <w:r>
              <w:rPr>
                <w:rFonts w:hint="eastAsia"/>
                <w:sz w:val="18"/>
                <w:szCs w:val="18"/>
              </w:rPr>
              <w:t>0</w:t>
            </w:r>
            <w:r>
              <w:rPr>
                <w:sz w:val="18"/>
                <w:szCs w:val="18"/>
              </w:rPr>
              <w:t>.00</w:t>
            </w:r>
          </w:p>
        </w:tc>
        <w:tc>
          <w:tcPr>
            <w:tcW w:w="881"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715"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1027" w:type="pct"/>
            <w:tcBorders>
              <w:top w:val="nil"/>
              <w:bottom w:val="nil"/>
            </w:tcBorders>
            <w:noWrap/>
            <w:vAlign w:val="center"/>
          </w:tcPr>
          <w:p>
            <w:pPr>
              <w:spacing w:before="0" w:after="0" w:line="240" w:lineRule="auto"/>
              <w:jc w:val="center"/>
              <w:rPr>
                <w:sz w:val="18"/>
                <w:szCs w:val="18"/>
              </w:rPr>
            </w:pPr>
            <w:r>
              <w:rPr>
                <w:rFonts w:hint="eastAsia"/>
                <w:sz w:val="18"/>
                <w:szCs w:val="18"/>
              </w:rPr>
              <w:t>0</w:t>
            </w:r>
            <w:r>
              <w:rPr>
                <w:sz w:val="18"/>
                <w:szCs w:val="18"/>
              </w:rPr>
              <w:t>.00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bottom w:val="nil"/>
            </w:tcBorders>
            <w:noWrap/>
            <w:vAlign w:val="center"/>
          </w:tcPr>
          <w:p>
            <w:pPr>
              <w:spacing w:before="0" w:after="0" w:line="240" w:lineRule="auto"/>
              <w:jc w:val="center"/>
              <w:rPr>
                <w:rFonts w:cs="Times New Roman"/>
                <w:bCs/>
                <w:sz w:val="18"/>
                <w:szCs w:val="18"/>
              </w:rPr>
            </w:pPr>
            <w:r>
              <w:rPr>
                <w:rFonts w:cs="Times New Roman"/>
                <w:bCs/>
                <w:sz w:val="18"/>
                <w:szCs w:val="18"/>
              </w:rPr>
              <w:t>居民生活</w:t>
            </w:r>
          </w:p>
        </w:tc>
        <w:tc>
          <w:tcPr>
            <w:tcW w:w="905" w:type="pct"/>
            <w:tcBorders>
              <w:top w:val="nil"/>
              <w:bottom w:val="nil"/>
            </w:tcBorders>
            <w:noWrap/>
            <w:vAlign w:val="center"/>
          </w:tcPr>
          <w:p>
            <w:pPr>
              <w:spacing w:before="0" w:after="0" w:line="240" w:lineRule="auto"/>
              <w:jc w:val="center"/>
              <w:rPr>
                <w:sz w:val="18"/>
                <w:szCs w:val="18"/>
              </w:rPr>
            </w:pPr>
            <w:r>
              <w:rPr>
                <w:rFonts w:hint="eastAsia"/>
                <w:sz w:val="18"/>
                <w:szCs w:val="18"/>
              </w:rPr>
              <w:t>0</w:t>
            </w:r>
            <w:r>
              <w:rPr>
                <w:sz w:val="18"/>
                <w:szCs w:val="18"/>
              </w:rPr>
              <w:t>.00</w:t>
            </w:r>
          </w:p>
        </w:tc>
        <w:tc>
          <w:tcPr>
            <w:tcW w:w="881"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715"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1027" w:type="pct"/>
            <w:tcBorders>
              <w:top w:val="nil"/>
              <w:bottom w:val="nil"/>
            </w:tcBorders>
            <w:noWrap/>
            <w:vAlign w:val="center"/>
          </w:tcPr>
          <w:p>
            <w:pPr>
              <w:spacing w:before="0" w:after="0" w:line="240" w:lineRule="auto"/>
              <w:jc w:val="center"/>
              <w:rPr>
                <w:sz w:val="18"/>
                <w:szCs w:val="18"/>
              </w:rPr>
            </w:pPr>
            <w:r>
              <w:rPr>
                <w:rFonts w:hint="eastAsia"/>
                <w:sz w:val="18"/>
                <w:szCs w:val="18"/>
              </w:rPr>
              <w:t>0</w:t>
            </w:r>
            <w:r>
              <w:rPr>
                <w:sz w:val="18"/>
                <w:szCs w:val="18"/>
              </w:rPr>
              <w:t>.00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bottom w:val="nil"/>
            </w:tcBorders>
            <w:noWrap/>
            <w:vAlign w:val="center"/>
          </w:tcPr>
          <w:p>
            <w:pPr>
              <w:spacing w:before="0" w:after="0" w:line="240" w:lineRule="auto"/>
              <w:jc w:val="center"/>
              <w:rPr>
                <w:rFonts w:cs="Times New Roman"/>
                <w:b/>
                <w:bCs/>
                <w:sz w:val="18"/>
                <w:szCs w:val="18"/>
              </w:rPr>
            </w:pPr>
            <w:r>
              <w:rPr>
                <w:rFonts w:cs="Times New Roman"/>
                <w:b/>
                <w:bCs/>
                <w:sz w:val="18"/>
                <w:szCs w:val="18"/>
              </w:rPr>
              <w:t>2. 生物质燃烧</w:t>
            </w:r>
          </w:p>
          <w:p>
            <w:pPr>
              <w:spacing w:before="0" w:after="0" w:line="240" w:lineRule="auto"/>
              <w:jc w:val="center"/>
              <w:rPr>
                <w:rFonts w:cs="Times New Roman"/>
                <w:b/>
                <w:bCs/>
                <w:sz w:val="18"/>
                <w:szCs w:val="18"/>
              </w:rPr>
            </w:pPr>
            <w:r>
              <w:rPr>
                <w:rFonts w:cs="Times New Roman"/>
                <w:b/>
                <w:bCs/>
                <w:sz w:val="18"/>
                <w:szCs w:val="18"/>
              </w:rPr>
              <w:t>（以能源利用为目的）</w:t>
            </w:r>
          </w:p>
        </w:tc>
        <w:tc>
          <w:tcPr>
            <w:tcW w:w="905"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881" w:type="pct"/>
            <w:tcBorders>
              <w:top w:val="nil"/>
              <w:bottom w:val="nil"/>
            </w:tcBorders>
            <w:noWrap/>
            <w:vAlign w:val="center"/>
          </w:tcPr>
          <w:p>
            <w:pPr>
              <w:spacing w:before="0" w:after="0" w:line="240" w:lineRule="auto"/>
              <w:jc w:val="center"/>
              <w:rPr>
                <w:sz w:val="18"/>
                <w:szCs w:val="18"/>
              </w:rPr>
            </w:pPr>
            <w:r>
              <w:rPr>
                <w:rFonts w:hint="eastAsia"/>
                <w:sz w:val="18"/>
                <w:szCs w:val="18"/>
              </w:rPr>
              <w:t>1.49</w:t>
            </w:r>
          </w:p>
        </w:tc>
        <w:tc>
          <w:tcPr>
            <w:tcW w:w="715" w:type="pct"/>
            <w:tcBorders>
              <w:top w:val="nil"/>
              <w:bottom w:val="nil"/>
            </w:tcBorders>
            <w:noWrap/>
            <w:vAlign w:val="center"/>
          </w:tcPr>
          <w:p>
            <w:pPr>
              <w:spacing w:before="0" w:after="0" w:line="240" w:lineRule="auto"/>
              <w:jc w:val="center"/>
              <w:rPr>
                <w:sz w:val="18"/>
                <w:szCs w:val="18"/>
              </w:rPr>
            </w:pPr>
            <w:r>
              <w:rPr>
                <w:rFonts w:hint="eastAsia"/>
                <w:sz w:val="18"/>
                <w:szCs w:val="18"/>
              </w:rPr>
              <w:t>0.55</w:t>
            </w:r>
          </w:p>
        </w:tc>
        <w:tc>
          <w:tcPr>
            <w:tcW w:w="1027" w:type="pct"/>
            <w:tcBorders>
              <w:top w:val="nil"/>
              <w:bottom w:val="nil"/>
            </w:tcBorders>
            <w:noWrap/>
            <w:vAlign w:val="center"/>
          </w:tcPr>
          <w:p>
            <w:pPr>
              <w:spacing w:before="0" w:after="0" w:line="240" w:lineRule="auto"/>
              <w:jc w:val="center"/>
              <w:rPr>
                <w:sz w:val="18"/>
                <w:szCs w:val="18"/>
              </w:rPr>
            </w:pPr>
            <w:r>
              <w:rPr>
                <w:rFonts w:hint="eastAsia"/>
                <w:sz w:val="18"/>
                <w:szCs w:val="18"/>
              </w:rPr>
              <w:t>2.04</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bottom w:val="nil"/>
            </w:tcBorders>
            <w:noWrap/>
            <w:vAlign w:val="center"/>
          </w:tcPr>
          <w:p>
            <w:pPr>
              <w:spacing w:before="0" w:after="0" w:line="240" w:lineRule="auto"/>
              <w:jc w:val="center"/>
              <w:rPr>
                <w:rFonts w:cs="Times New Roman"/>
                <w:b/>
                <w:bCs/>
                <w:sz w:val="18"/>
                <w:szCs w:val="18"/>
              </w:rPr>
            </w:pPr>
            <w:r>
              <w:rPr>
                <w:rFonts w:cs="Times New Roman"/>
                <w:b/>
                <w:bCs/>
                <w:sz w:val="18"/>
                <w:szCs w:val="18"/>
              </w:rPr>
              <w:t>3. 煤炭开采逃逸</w:t>
            </w:r>
          </w:p>
        </w:tc>
        <w:tc>
          <w:tcPr>
            <w:tcW w:w="905"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881" w:type="pct"/>
            <w:tcBorders>
              <w:top w:val="nil"/>
              <w:bottom w:val="nil"/>
            </w:tcBorders>
            <w:noWrap/>
            <w:vAlign w:val="center"/>
          </w:tcPr>
          <w:p>
            <w:pPr>
              <w:spacing w:before="0" w:after="0" w:line="240" w:lineRule="auto"/>
              <w:jc w:val="center"/>
              <w:rPr>
                <w:sz w:val="18"/>
                <w:szCs w:val="18"/>
              </w:rPr>
            </w:pPr>
            <w:r>
              <w:rPr>
                <w:rFonts w:hint="eastAsia"/>
                <w:sz w:val="18"/>
                <w:szCs w:val="18"/>
              </w:rPr>
              <w:t>0</w:t>
            </w:r>
            <w:r>
              <w:rPr>
                <w:sz w:val="18"/>
                <w:szCs w:val="18"/>
              </w:rPr>
              <w:t>.00</w:t>
            </w:r>
          </w:p>
        </w:tc>
        <w:tc>
          <w:tcPr>
            <w:tcW w:w="715"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1027" w:type="pct"/>
            <w:tcBorders>
              <w:top w:val="nil"/>
              <w:bottom w:val="nil"/>
            </w:tcBorders>
            <w:noWrap/>
            <w:vAlign w:val="center"/>
          </w:tcPr>
          <w:p>
            <w:pPr>
              <w:spacing w:before="0" w:after="0" w:line="240" w:lineRule="auto"/>
              <w:jc w:val="center"/>
              <w:rPr>
                <w:sz w:val="18"/>
                <w:szCs w:val="18"/>
              </w:rPr>
            </w:pPr>
            <w:r>
              <w:rPr>
                <w:rFonts w:hint="eastAsia"/>
                <w:sz w:val="18"/>
                <w:szCs w:val="18"/>
              </w:rPr>
              <w:t>0</w:t>
            </w:r>
            <w:r>
              <w:rPr>
                <w:sz w:val="18"/>
                <w:szCs w:val="18"/>
              </w:rPr>
              <w:t>.00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bottom w:val="nil"/>
            </w:tcBorders>
            <w:noWrap/>
            <w:vAlign w:val="center"/>
          </w:tcPr>
          <w:p>
            <w:pPr>
              <w:spacing w:before="0" w:after="0" w:line="240" w:lineRule="auto"/>
              <w:jc w:val="center"/>
              <w:rPr>
                <w:rFonts w:cs="Times New Roman"/>
                <w:b/>
                <w:bCs/>
                <w:sz w:val="18"/>
                <w:szCs w:val="18"/>
              </w:rPr>
            </w:pPr>
            <w:r>
              <w:rPr>
                <w:rFonts w:cs="Times New Roman"/>
                <w:b/>
                <w:bCs/>
                <w:sz w:val="18"/>
                <w:szCs w:val="18"/>
              </w:rPr>
              <w:t>4. 油气系统逃逸</w:t>
            </w:r>
          </w:p>
        </w:tc>
        <w:tc>
          <w:tcPr>
            <w:tcW w:w="905"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881" w:type="pct"/>
            <w:tcBorders>
              <w:top w:val="nil"/>
              <w:bottom w:val="nil"/>
            </w:tcBorders>
            <w:noWrap/>
            <w:vAlign w:val="center"/>
          </w:tcPr>
          <w:p>
            <w:pPr>
              <w:spacing w:before="0" w:after="0" w:line="240" w:lineRule="auto"/>
              <w:jc w:val="center"/>
              <w:rPr>
                <w:sz w:val="18"/>
                <w:szCs w:val="18"/>
              </w:rPr>
            </w:pPr>
            <w:r>
              <w:rPr>
                <w:rFonts w:hint="eastAsia"/>
                <w:sz w:val="18"/>
                <w:szCs w:val="18"/>
              </w:rPr>
              <w:t>0.53</w:t>
            </w:r>
          </w:p>
        </w:tc>
        <w:tc>
          <w:tcPr>
            <w:tcW w:w="715" w:type="pct"/>
            <w:tcBorders>
              <w:top w:val="nil"/>
              <w:bottom w:val="nil"/>
            </w:tcBorders>
            <w:noWrap/>
            <w:vAlign w:val="center"/>
          </w:tcPr>
          <w:p>
            <w:pPr>
              <w:spacing w:before="0" w:after="0" w:line="240" w:lineRule="auto"/>
              <w:jc w:val="center"/>
              <w:rPr>
                <w:sz w:val="18"/>
                <w:szCs w:val="18"/>
              </w:rPr>
            </w:pPr>
            <w:r>
              <w:rPr>
                <w:rFonts w:hint="eastAsia"/>
                <w:sz w:val="18"/>
                <w:szCs w:val="18"/>
              </w:rPr>
              <w:t>/</w:t>
            </w:r>
          </w:p>
        </w:tc>
        <w:tc>
          <w:tcPr>
            <w:tcW w:w="1027" w:type="pct"/>
            <w:tcBorders>
              <w:top w:val="nil"/>
              <w:bottom w:val="nil"/>
            </w:tcBorders>
            <w:noWrap/>
            <w:vAlign w:val="center"/>
          </w:tcPr>
          <w:p>
            <w:pPr>
              <w:spacing w:before="0" w:after="0" w:line="240" w:lineRule="auto"/>
              <w:jc w:val="center"/>
              <w:rPr>
                <w:sz w:val="18"/>
                <w:szCs w:val="18"/>
              </w:rPr>
            </w:pPr>
            <w:r>
              <w:rPr>
                <w:rFonts w:hint="eastAsia"/>
                <w:sz w:val="18"/>
                <w:szCs w:val="18"/>
              </w:rPr>
              <w:t>0.53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bottom w:val="nil"/>
            </w:tcBorders>
            <w:noWrap/>
            <w:vAlign w:val="center"/>
          </w:tcPr>
          <w:p>
            <w:pPr>
              <w:spacing w:before="0" w:after="0" w:line="240" w:lineRule="auto"/>
              <w:jc w:val="center"/>
              <w:rPr>
                <w:rFonts w:cs="Times New Roman"/>
                <w:bCs/>
                <w:sz w:val="18"/>
                <w:szCs w:val="18"/>
              </w:rPr>
            </w:pPr>
            <w:r>
              <w:rPr>
                <w:rFonts w:cs="Times New Roman"/>
                <w:bCs/>
                <w:sz w:val="18"/>
                <w:szCs w:val="18"/>
              </w:rPr>
              <w:t>国际燃料舱</w:t>
            </w:r>
          </w:p>
        </w:tc>
        <w:tc>
          <w:tcPr>
            <w:tcW w:w="905" w:type="pct"/>
            <w:tcBorders>
              <w:top w:val="nil"/>
              <w:bottom w:val="nil"/>
            </w:tcBorders>
            <w:noWrap/>
            <w:vAlign w:val="center"/>
          </w:tcPr>
          <w:p>
            <w:pPr>
              <w:spacing w:before="0" w:after="0" w:line="240" w:lineRule="auto"/>
              <w:jc w:val="center"/>
              <w:rPr>
                <w:sz w:val="18"/>
                <w:szCs w:val="18"/>
              </w:rPr>
            </w:pPr>
            <w:r>
              <w:rPr>
                <w:sz w:val="18"/>
                <w:szCs w:val="18"/>
              </w:rPr>
              <w:t>0.00</w:t>
            </w:r>
          </w:p>
        </w:tc>
        <w:tc>
          <w:tcPr>
            <w:tcW w:w="881" w:type="pct"/>
            <w:tcBorders>
              <w:top w:val="nil"/>
              <w:bottom w:val="nil"/>
            </w:tcBorders>
            <w:noWrap/>
            <w:vAlign w:val="center"/>
          </w:tcPr>
          <w:p>
            <w:pPr>
              <w:spacing w:before="0" w:after="0" w:line="240" w:lineRule="auto"/>
              <w:jc w:val="center"/>
              <w:rPr>
                <w:sz w:val="18"/>
                <w:szCs w:val="18"/>
              </w:rPr>
            </w:pPr>
            <w:r>
              <w:rPr>
                <w:sz w:val="18"/>
                <w:szCs w:val="18"/>
              </w:rPr>
              <w:t>0.00</w:t>
            </w:r>
          </w:p>
        </w:tc>
        <w:tc>
          <w:tcPr>
            <w:tcW w:w="715" w:type="pct"/>
            <w:tcBorders>
              <w:top w:val="nil"/>
              <w:bottom w:val="nil"/>
            </w:tcBorders>
            <w:noWrap/>
            <w:vAlign w:val="center"/>
          </w:tcPr>
          <w:p>
            <w:pPr>
              <w:spacing w:before="0" w:after="0" w:line="240" w:lineRule="auto"/>
              <w:jc w:val="center"/>
              <w:rPr>
                <w:sz w:val="18"/>
                <w:szCs w:val="18"/>
              </w:rPr>
            </w:pPr>
            <w:r>
              <w:rPr>
                <w:sz w:val="18"/>
                <w:szCs w:val="18"/>
              </w:rPr>
              <w:t>0.00</w:t>
            </w:r>
          </w:p>
        </w:tc>
        <w:tc>
          <w:tcPr>
            <w:tcW w:w="1027" w:type="pct"/>
            <w:tcBorders>
              <w:top w:val="nil"/>
              <w:bottom w:val="nil"/>
            </w:tcBorders>
            <w:noWrap/>
            <w:vAlign w:val="center"/>
          </w:tcPr>
          <w:p>
            <w:pPr>
              <w:spacing w:before="0" w:after="0" w:line="240" w:lineRule="auto"/>
              <w:jc w:val="center"/>
              <w:rPr>
                <w:sz w:val="18"/>
                <w:szCs w:val="18"/>
              </w:rPr>
            </w:pPr>
            <w:r>
              <w:rPr>
                <w:sz w:val="18"/>
                <w:szCs w:val="18"/>
              </w:rPr>
              <w:t>0.00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国际航空</w:t>
            </w:r>
          </w:p>
        </w:tc>
        <w:tc>
          <w:tcPr>
            <w:tcW w:w="905" w:type="pct"/>
            <w:tcBorders>
              <w:top w:val="nil"/>
              <w:bottom w:val="nil"/>
            </w:tcBorders>
            <w:noWrap/>
            <w:vAlign w:val="center"/>
          </w:tcPr>
          <w:p>
            <w:pPr>
              <w:spacing w:before="0" w:after="0" w:line="240" w:lineRule="auto"/>
              <w:jc w:val="center"/>
              <w:rPr>
                <w:sz w:val="18"/>
                <w:szCs w:val="18"/>
              </w:rPr>
            </w:pPr>
            <w:r>
              <w:rPr>
                <w:sz w:val="18"/>
                <w:szCs w:val="18"/>
              </w:rPr>
              <w:t>0.00</w:t>
            </w:r>
          </w:p>
        </w:tc>
        <w:tc>
          <w:tcPr>
            <w:tcW w:w="881" w:type="pct"/>
            <w:tcBorders>
              <w:top w:val="nil"/>
              <w:bottom w:val="nil"/>
            </w:tcBorders>
            <w:noWrap/>
            <w:vAlign w:val="center"/>
          </w:tcPr>
          <w:p>
            <w:pPr>
              <w:spacing w:before="0" w:after="0" w:line="240" w:lineRule="auto"/>
              <w:jc w:val="center"/>
              <w:rPr>
                <w:sz w:val="18"/>
                <w:szCs w:val="18"/>
              </w:rPr>
            </w:pPr>
            <w:r>
              <w:rPr>
                <w:sz w:val="18"/>
                <w:szCs w:val="18"/>
              </w:rPr>
              <w:t>0.00</w:t>
            </w:r>
          </w:p>
        </w:tc>
        <w:tc>
          <w:tcPr>
            <w:tcW w:w="715" w:type="pct"/>
            <w:tcBorders>
              <w:top w:val="nil"/>
              <w:bottom w:val="nil"/>
            </w:tcBorders>
            <w:noWrap/>
            <w:vAlign w:val="center"/>
          </w:tcPr>
          <w:p>
            <w:pPr>
              <w:spacing w:before="0" w:after="0" w:line="240" w:lineRule="auto"/>
              <w:jc w:val="center"/>
              <w:rPr>
                <w:sz w:val="18"/>
                <w:szCs w:val="18"/>
              </w:rPr>
            </w:pPr>
            <w:r>
              <w:rPr>
                <w:sz w:val="18"/>
                <w:szCs w:val="18"/>
              </w:rPr>
              <w:t>0.00</w:t>
            </w:r>
          </w:p>
        </w:tc>
        <w:tc>
          <w:tcPr>
            <w:tcW w:w="1027" w:type="pct"/>
            <w:tcBorders>
              <w:top w:val="nil"/>
              <w:bottom w:val="nil"/>
            </w:tcBorders>
            <w:noWrap/>
            <w:vAlign w:val="center"/>
          </w:tcPr>
          <w:p>
            <w:pPr>
              <w:spacing w:before="0" w:after="0" w:line="240" w:lineRule="auto"/>
              <w:jc w:val="center"/>
              <w:rPr>
                <w:sz w:val="18"/>
                <w:szCs w:val="18"/>
              </w:rPr>
            </w:pPr>
            <w:r>
              <w:rPr>
                <w:sz w:val="18"/>
                <w:szCs w:val="18"/>
              </w:rPr>
              <w:t>0.00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bottom w:val="nil"/>
            </w:tcBorders>
            <w:noWrap/>
            <w:vAlign w:val="center"/>
          </w:tcPr>
          <w:p>
            <w:pPr>
              <w:spacing w:before="0" w:after="0" w:line="240" w:lineRule="auto"/>
              <w:jc w:val="center"/>
              <w:rPr>
                <w:rFonts w:cs="Times New Roman"/>
                <w:sz w:val="18"/>
                <w:szCs w:val="18"/>
              </w:rPr>
            </w:pPr>
            <w:r>
              <w:rPr>
                <w:rFonts w:cs="Times New Roman"/>
                <w:sz w:val="18"/>
                <w:szCs w:val="18"/>
              </w:rPr>
              <w:t>国际航海</w:t>
            </w:r>
          </w:p>
        </w:tc>
        <w:tc>
          <w:tcPr>
            <w:tcW w:w="905" w:type="pct"/>
            <w:tcBorders>
              <w:top w:val="nil"/>
              <w:bottom w:val="nil"/>
            </w:tcBorders>
            <w:noWrap/>
            <w:vAlign w:val="center"/>
          </w:tcPr>
          <w:p>
            <w:pPr>
              <w:spacing w:before="0" w:after="0" w:line="240" w:lineRule="auto"/>
              <w:jc w:val="center"/>
              <w:rPr>
                <w:sz w:val="18"/>
                <w:szCs w:val="18"/>
              </w:rPr>
            </w:pPr>
            <w:r>
              <w:rPr>
                <w:sz w:val="18"/>
                <w:szCs w:val="18"/>
              </w:rPr>
              <w:t>0.00</w:t>
            </w:r>
          </w:p>
        </w:tc>
        <w:tc>
          <w:tcPr>
            <w:tcW w:w="881" w:type="pct"/>
            <w:tcBorders>
              <w:top w:val="nil"/>
              <w:bottom w:val="nil"/>
            </w:tcBorders>
            <w:noWrap/>
            <w:vAlign w:val="center"/>
          </w:tcPr>
          <w:p>
            <w:pPr>
              <w:spacing w:before="0" w:after="0" w:line="240" w:lineRule="auto"/>
              <w:jc w:val="center"/>
              <w:rPr>
                <w:sz w:val="18"/>
                <w:szCs w:val="18"/>
              </w:rPr>
            </w:pPr>
            <w:r>
              <w:rPr>
                <w:sz w:val="18"/>
                <w:szCs w:val="18"/>
              </w:rPr>
              <w:t>0.00</w:t>
            </w:r>
          </w:p>
        </w:tc>
        <w:tc>
          <w:tcPr>
            <w:tcW w:w="715" w:type="pct"/>
            <w:tcBorders>
              <w:top w:val="nil"/>
              <w:bottom w:val="nil"/>
            </w:tcBorders>
            <w:noWrap/>
            <w:vAlign w:val="center"/>
          </w:tcPr>
          <w:p>
            <w:pPr>
              <w:spacing w:before="0" w:after="0" w:line="240" w:lineRule="auto"/>
              <w:jc w:val="center"/>
              <w:rPr>
                <w:sz w:val="18"/>
                <w:szCs w:val="18"/>
              </w:rPr>
            </w:pPr>
            <w:r>
              <w:rPr>
                <w:sz w:val="18"/>
                <w:szCs w:val="18"/>
              </w:rPr>
              <w:t>0.00</w:t>
            </w:r>
          </w:p>
        </w:tc>
        <w:tc>
          <w:tcPr>
            <w:tcW w:w="1027" w:type="pct"/>
            <w:tcBorders>
              <w:top w:val="nil"/>
              <w:bottom w:val="nil"/>
            </w:tcBorders>
            <w:noWrap/>
            <w:vAlign w:val="center"/>
          </w:tcPr>
          <w:p>
            <w:pPr>
              <w:spacing w:before="0" w:after="0" w:line="240" w:lineRule="auto"/>
              <w:jc w:val="center"/>
              <w:rPr>
                <w:sz w:val="18"/>
                <w:szCs w:val="18"/>
              </w:rPr>
            </w:pPr>
            <w:r>
              <w:rPr>
                <w:sz w:val="18"/>
                <w:szCs w:val="18"/>
              </w:rPr>
              <w:t>0.00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trPr>
        <w:tc>
          <w:tcPr>
            <w:tcW w:w="1469" w:type="pct"/>
            <w:tcBorders>
              <w:top w:val="nil"/>
            </w:tcBorders>
            <w:noWrap/>
            <w:vAlign w:val="center"/>
          </w:tcPr>
          <w:p>
            <w:pPr>
              <w:spacing w:before="0" w:after="0" w:line="240" w:lineRule="auto"/>
              <w:jc w:val="center"/>
              <w:rPr>
                <w:rFonts w:cs="Times New Roman"/>
                <w:b/>
                <w:sz w:val="18"/>
                <w:szCs w:val="18"/>
              </w:rPr>
            </w:pPr>
            <w:r>
              <w:rPr>
                <w:rFonts w:cs="Times New Roman"/>
                <w:b/>
                <w:sz w:val="18"/>
                <w:szCs w:val="18"/>
              </w:rPr>
              <w:t>调入（出）电力间接排放</w:t>
            </w:r>
          </w:p>
        </w:tc>
        <w:tc>
          <w:tcPr>
            <w:tcW w:w="905" w:type="pct"/>
            <w:tcBorders>
              <w:top w:val="nil"/>
            </w:tcBorders>
            <w:noWrap/>
            <w:vAlign w:val="center"/>
          </w:tcPr>
          <w:p>
            <w:pPr>
              <w:spacing w:before="0" w:after="0" w:line="240" w:lineRule="auto"/>
              <w:jc w:val="center"/>
              <w:rPr>
                <w:sz w:val="18"/>
                <w:szCs w:val="18"/>
              </w:rPr>
            </w:pPr>
            <w:r>
              <w:rPr>
                <w:rFonts w:hint="eastAsia"/>
                <w:sz w:val="18"/>
                <w:szCs w:val="18"/>
              </w:rPr>
              <w:t>/</w:t>
            </w:r>
          </w:p>
        </w:tc>
        <w:tc>
          <w:tcPr>
            <w:tcW w:w="1504" w:type="dxa"/>
            <w:tcBorders>
              <w:top w:val="nil"/>
            </w:tcBorders>
            <w:noWrap/>
            <w:vAlign w:val="center"/>
          </w:tcPr>
          <w:p>
            <w:pPr>
              <w:spacing w:before="0" w:after="0" w:line="240" w:lineRule="auto"/>
              <w:jc w:val="center"/>
              <w:rPr>
                <w:sz w:val="18"/>
                <w:szCs w:val="18"/>
              </w:rPr>
            </w:pPr>
            <w:r>
              <w:rPr>
                <w:rFonts w:hint="eastAsia"/>
                <w:sz w:val="18"/>
                <w:szCs w:val="18"/>
              </w:rPr>
              <w:t>/</w:t>
            </w:r>
          </w:p>
        </w:tc>
        <w:tc>
          <w:tcPr>
            <w:tcW w:w="1220" w:type="dxa"/>
            <w:tcBorders>
              <w:top w:val="nil"/>
            </w:tcBorders>
            <w:noWrap/>
            <w:vAlign w:val="center"/>
          </w:tcPr>
          <w:p>
            <w:pPr>
              <w:spacing w:before="0" w:after="0" w:line="240" w:lineRule="auto"/>
              <w:jc w:val="center"/>
              <w:rPr>
                <w:sz w:val="18"/>
                <w:szCs w:val="18"/>
              </w:rPr>
            </w:pPr>
            <w:r>
              <w:rPr>
                <w:rFonts w:hint="eastAsia"/>
                <w:sz w:val="18"/>
                <w:szCs w:val="18"/>
              </w:rPr>
              <w:t>/</w:t>
            </w:r>
          </w:p>
        </w:tc>
        <w:tc>
          <w:tcPr>
            <w:tcW w:w="1027" w:type="pct"/>
            <w:tcBorders>
              <w:top w:val="nil"/>
            </w:tcBorders>
            <w:noWrap/>
            <w:vAlign w:val="center"/>
          </w:tcPr>
          <w:p>
            <w:pPr>
              <w:spacing w:before="0" w:after="0" w:line="240" w:lineRule="auto"/>
              <w:jc w:val="center"/>
              <w:rPr>
                <w:sz w:val="18"/>
                <w:szCs w:val="18"/>
              </w:rPr>
            </w:pPr>
            <w:r>
              <w:rPr>
                <w:rFonts w:hint="eastAsia"/>
                <w:sz w:val="18"/>
                <w:szCs w:val="18"/>
              </w:rPr>
              <w:t>/</w:t>
            </w:r>
          </w:p>
        </w:tc>
      </w:tr>
    </w:tbl>
    <w:p>
      <w:pPr>
        <w:ind w:firstLine="480" w:firstLineChars="200"/>
      </w:pPr>
      <w:r>
        <w:rPr>
          <w:rFonts w:hint="eastAsia"/>
        </w:rPr>
        <w:t>从温室气体排放种类来看，能源活动中二氧化碳排放量占比最大，其次为氧化亚氮，甲烷最小，详见图</w:t>
      </w:r>
      <w:r>
        <w:t>2</w:t>
      </w:r>
      <w:r>
        <w:noBreakHyphen/>
      </w:r>
      <w:r>
        <w:t>1</w:t>
      </w:r>
      <w:r>
        <w:rPr>
          <w:rFonts w:hint="eastAsia"/>
        </w:rPr>
        <w:t>。</w:t>
      </w:r>
    </w:p>
    <w:p>
      <w:pPr>
        <w:spacing w:before="0" w:after="0"/>
        <w:jc w:val="center"/>
      </w:pPr>
      <w:r>
        <w:drawing>
          <wp:inline distT="0" distB="0" distL="114300" distR="114300">
            <wp:extent cx="4075430" cy="2228850"/>
            <wp:effectExtent l="0" t="0" r="0" b="0"/>
            <wp:docPr id="1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pic:cNvPicPr>
                      <a:picLocks noChangeAspect="1"/>
                    </pic:cNvPicPr>
                  </pic:nvPicPr>
                  <pic:blipFill>
                    <a:blip r:embed="rId8"/>
                    <a:srcRect b="9817"/>
                    <a:stretch>
                      <a:fillRect/>
                    </a:stretch>
                  </pic:blipFill>
                  <pic:spPr>
                    <a:xfrm>
                      <a:off x="0" y="0"/>
                      <a:ext cx="4075430" cy="2228850"/>
                    </a:xfrm>
                    <a:prstGeom prst="rect">
                      <a:avLst/>
                    </a:prstGeom>
                    <a:noFill/>
                    <a:ln>
                      <a:noFill/>
                    </a:ln>
                  </pic:spPr>
                </pic:pic>
              </a:graphicData>
            </a:graphic>
          </wp:inline>
        </w:drawing>
      </w:r>
    </w:p>
    <w:p>
      <w:pPr>
        <w:pStyle w:val="12"/>
      </w:pPr>
      <w:r>
        <w:rPr>
          <w:rFonts w:hint="eastAsia"/>
        </w:rPr>
        <w:t xml:space="preserve">图 </w:t>
      </w:r>
      <w:r>
        <w:t>2</w:t>
      </w:r>
      <w:r>
        <w:noBreakHyphen/>
      </w:r>
      <w:r>
        <w:t>1</w:t>
      </w:r>
      <w:r>
        <w:rPr>
          <w:rFonts w:hint="eastAsia"/>
        </w:rPr>
        <w:t>能源活动部分温室气体各类型占比（当量）</w:t>
      </w:r>
    </w:p>
    <w:p>
      <w:pPr>
        <w:ind w:firstLine="480" w:firstLineChars="200"/>
      </w:pPr>
      <w:r>
        <w:rPr>
          <w:rFonts w:hint="eastAsia"/>
        </w:rPr>
        <w:t>从部门活动温室气体排放看，化石燃料燃烧活动部分排放量为877.49万吨二氧化碳当量，占总排放量（当量）的99.71%；生物质燃烧活动部分（以能源活动为目的）排放量为2.04万吨二氧化碳当量，占总排放量（当量）的0.23%；煤炭开采逃逸活动部分排放量为0；油气系统逃逸活动部分排放量为0.53万吨，占总排放量（当量）的0.06%</w:t>
      </w:r>
      <w:r>
        <w:t>，</w:t>
      </w:r>
      <w:r>
        <w:rPr>
          <w:rFonts w:hint="eastAsia"/>
        </w:rPr>
        <w:t>详见图</w:t>
      </w:r>
      <w:r>
        <w:t>2</w:t>
      </w:r>
      <w:r>
        <w:noBreakHyphen/>
      </w:r>
      <w:r>
        <w:t>2</w:t>
      </w:r>
      <w:r>
        <w:rPr>
          <w:rFonts w:hint="eastAsia"/>
        </w:rPr>
        <w:t>。</w:t>
      </w:r>
    </w:p>
    <w:p>
      <w:pPr>
        <w:spacing w:before="0" w:after="0"/>
        <w:jc w:val="center"/>
      </w:pPr>
      <w:r>
        <w:drawing>
          <wp:inline distT="0" distB="0" distL="114300" distR="114300">
            <wp:extent cx="3881120" cy="2703830"/>
            <wp:effectExtent l="0" t="0" r="0" b="0"/>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
                    <pic:cNvPicPr>
                      <a:picLocks noChangeAspect="1"/>
                    </pic:cNvPicPr>
                  </pic:nvPicPr>
                  <pic:blipFill>
                    <a:blip r:embed="rId9"/>
                    <a:srcRect l="14786" r="9844"/>
                    <a:stretch>
                      <a:fillRect/>
                    </a:stretch>
                  </pic:blipFill>
                  <pic:spPr>
                    <a:xfrm>
                      <a:off x="0" y="0"/>
                      <a:ext cx="3881120" cy="2703830"/>
                    </a:xfrm>
                    <a:prstGeom prst="rect">
                      <a:avLst/>
                    </a:prstGeom>
                    <a:noFill/>
                    <a:ln>
                      <a:noFill/>
                    </a:ln>
                  </pic:spPr>
                </pic:pic>
              </a:graphicData>
            </a:graphic>
          </wp:inline>
        </w:drawing>
      </w:r>
      <w:r>
        <w:fldChar w:fldCharType="begin"/>
      </w:r>
      <w:r>
        <w:instrText xml:space="preserve"> </w:instrText>
      </w:r>
      <w:r>
        <w:rPr>
          <w:rFonts w:hint="eastAsia"/>
        </w:rPr>
        <w:instrText xml:space="preserve">REF _Ref51751212 \h</w:instrText>
      </w:r>
      <w:r>
        <w:instrText xml:space="preserve">  \* MERGEFORMAT </w:instrText>
      </w:r>
      <w:r>
        <w:fldChar w:fldCharType="separate"/>
      </w:r>
    </w:p>
    <w:p>
      <w:pPr>
        <w:pStyle w:val="12"/>
      </w:pPr>
      <w:r>
        <w:rPr>
          <w:rFonts w:hint="eastAsia"/>
        </w:rPr>
        <w:t xml:space="preserve">图 </w:t>
      </w:r>
      <w:r>
        <w:t>2</w:t>
      </w:r>
      <w:r>
        <w:noBreakHyphen/>
      </w:r>
      <w:r>
        <w:t>2</w:t>
      </w:r>
      <w:r>
        <w:rPr>
          <w:rFonts w:hint="eastAsia"/>
        </w:rPr>
        <w:t>能源活动部分温室气体各部门占比（当量）</w:t>
      </w:r>
    </w:p>
    <w:p>
      <w:pPr>
        <w:pStyle w:val="4"/>
      </w:pPr>
      <w:bookmarkStart w:id="82" w:name="_Toc10822"/>
      <w:r>
        <w:fldChar w:fldCharType="end"/>
      </w:r>
      <w:bookmarkStart w:id="83" w:name="_Toc51939021"/>
      <w:bookmarkStart w:id="84" w:name="_Toc52177383"/>
      <w:bookmarkStart w:id="85" w:name="_Toc55311732"/>
      <w:bookmarkStart w:id="86" w:name="_Toc54097647"/>
      <w:bookmarkStart w:id="87" w:name="_Toc53827506"/>
      <w:r>
        <w:rPr>
          <w:rFonts w:hint="eastAsia"/>
        </w:rPr>
        <w:t>能源活动总体不确定性</w:t>
      </w:r>
      <w:bookmarkEnd w:id="82"/>
      <w:bookmarkEnd w:id="83"/>
      <w:bookmarkEnd w:id="84"/>
      <w:bookmarkEnd w:id="85"/>
      <w:bookmarkEnd w:id="86"/>
      <w:bookmarkEnd w:id="87"/>
    </w:p>
    <w:p>
      <w:pPr>
        <w:spacing w:before="0" w:after="0"/>
        <w:ind w:firstLine="480" w:firstLineChars="200"/>
        <w:rPr>
          <w:rFonts w:cs="Times New Roman" w:eastAsiaTheme="minorEastAsia"/>
          <w:szCs w:val="24"/>
        </w:rPr>
      </w:pPr>
      <w:r>
        <w:rPr>
          <w:rFonts w:hint="eastAsia" w:cs="Times New Roman" w:eastAsiaTheme="minorEastAsia"/>
          <w:szCs w:val="24"/>
        </w:rPr>
        <w:t>2019年益阳市能源部门温室气体排放量估算结果的总体不确定性约为</w:t>
      </w:r>
      <w:r>
        <w:rPr>
          <w:rFonts w:hint="eastAsia"/>
          <w:sz w:val="21"/>
          <w:szCs w:val="21"/>
        </w:rPr>
        <w:t>±</w:t>
      </w:r>
      <w:r>
        <w:rPr>
          <w:rFonts w:hint="eastAsia" w:cs="Times New Roman" w:eastAsiaTheme="minorEastAsia"/>
          <w:szCs w:val="24"/>
        </w:rPr>
        <w:t>9.56 %，如</w:t>
      </w:r>
      <w:r>
        <w:rPr>
          <w:rFonts w:cs="Times New Roman" w:eastAsiaTheme="minorEastAsia"/>
          <w:szCs w:val="24"/>
        </w:rPr>
        <w:fldChar w:fldCharType="begin"/>
      </w:r>
      <w:r>
        <w:rPr>
          <w:rFonts w:cs="Times New Roman" w:eastAsiaTheme="minorEastAsia"/>
          <w:szCs w:val="24"/>
        </w:rPr>
        <w:instrText xml:space="preserve"> </w:instrText>
      </w:r>
      <w:r>
        <w:rPr>
          <w:rFonts w:hint="eastAsia" w:cs="Times New Roman" w:eastAsiaTheme="minorEastAsia"/>
          <w:szCs w:val="24"/>
        </w:rPr>
        <w:instrText xml:space="preserve">REF _Ref51754453 \h</w:instrText>
      </w:r>
      <w:r>
        <w:rPr>
          <w:rFonts w:cs="Times New Roman" w:eastAsiaTheme="minorEastAsia"/>
          <w:szCs w:val="24"/>
        </w:rPr>
        <w:instrText xml:space="preserve">  \* MERGEFORMAT </w:instrText>
      </w:r>
      <w:r>
        <w:rPr>
          <w:rFonts w:cs="Times New Roman" w:eastAsiaTheme="minorEastAsia"/>
          <w:szCs w:val="24"/>
        </w:rPr>
        <w:fldChar w:fldCharType="separate"/>
      </w:r>
      <w:r>
        <w:rPr>
          <w:rFonts w:hint="eastAsia"/>
          <w:szCs w:val="24"/>
        </w:rPr>
        <w:t>表</w:t>
      </w:r>
      <w:r>
        <w:rPr>
          <w:szCs w:val="24"/>
        </w:rPr>
        <w:t>2</w:t>
      </w:r>
      <w:r>
        <w:rPr>
          <w:szCs w:val="24"/>
        </w:rPr>
        <w:noBreakHyphen/>
      </w:r>
      <w:r>
        <w:rPr>
          <w:szCs w:val="24"/>
        </w:rPr>
        <w:t>2</w:t>
      </w:r>
      <w:r>
        <w:rPr>
          <w:rFonts w:cs="Times New Roman" w:eastAsiaTheme="minorEastAsia"/>
          <w:szCs w:val="24"/>
        </w:rPr>
        <w:fldChar w:fldCharType="end"/>
      </w:r>
      <w:r>
        <w:rPr>
          <w:rFonts w:cs="Times New Roman" w:eastAsiaTheme="minorEastAsia"/>
          <w:szCs w:val="24"/>
        </w:rPr>
        <w:t>所示</w:t>
      </w:r>
      <w:r>
        <w:rPr>
          <w:rFonts w:hint="eastAsia" w:cs="Times New Roman" w:eastAsiaTheme="minorEastAsia"/>
          <w:szCs w:val="24"/>
        </w:rPr>
        <w:t>。</w:t>
      </w:r>
    </w:p>
    <w:p>
      <w:pPr>
        <w:spacing w:before="0" w:after="0"/>
        <w:ind w:firstLine="480" w:firstLineChars="200"/>
        <w:rPr>
          <w:rFonts w:cs="Times New Roman" w:eastAsiaTheme="minorEastAsia"/>
          <w:szCs w:val="24"/>
        </w:rPr>
      </w:pPr>
    </w:p>
    <w:p>
      <w:pPr>
        <w:spacing w:before="0" w:after="0"/>
        <w:ind w:firstLine="480" w:firstLineChars="200"/>
        <w:rPr>
          <w:rFonts w:cs="Times New Roman" w:eastAsiaTheme="minorEastAsia"/>
          <w:szCs w:val="24"/>
        </w:rPr>
      </w:pPr>
    </w:p>
    <w:p>
      <w:pPr>
        <w:pStyle w:val="12"/>
      </w:pPr>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2</w:t>
      </w:r>
      <w:r>
        <w:fldChar w:fldCharType="end"/>
      </w:r>
      <w:bookmarkStart w:id="88" w:name="_Ref30451"/>
      <w:r>
        <w:t>能源活动部门温室气体排放量估算不确定性分析的定量过程与计算结果</w:t>
      </w:r>
      <w:bookmarkEnd w:id="88"/>
    </w:p>
    <w:tbl>
      <w:tblPr>
        <w:tblStyle w:val="25"/>
        <w:tblW w:w="4996"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15"/>
        <w:gridCol w:w="2140"/>
        <w:gridCol w:w="2016"/>
        <w:gridCol w:w="195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blHeader/>
          <w:jc w:val="center"/>
        </w:trPr>
        <w:tc>
          <w:tcPr>
            <w:tcW w:w="1417" w:type="pct"/>
            <w:tcBorders>
              <w:top w:val="single" w:color="auto" w:sz="4" w:space="0"/>
              <w:bottom w:val="single" w:color="auto" w:sz="4" w:space="0"/>
            </w:tcBorders>
            <w:vAlign w:val="center"/>
          </w:tcPr>
          <w:p>
            <w:pPr>
              <w:pStyle w:val="12"/>
              <w:spacing w:before="0" w:after="0"/>
              <w:rPr>
                <w:rFonts w:cs="Times New Roman"/>
                <w:sz w:val="18"/>
                <w:szCs w:val="18"/>
              </w:rPr>
            </w:pPr>
            <w:r>
              <w:rPr>
                <w:rFonts w:cs="Times New Roman"/>
                <w:sz w:val="18"/>
                <w:szCs w:val="18"/>
              </w:rPr>
              <w:t>能源类型</w:t>
            </w:r>
          </w:p>
        </w:tc>
        <w:tc>
          <w:tcPr>
            <w:tcW w:w="1256" w:type="pct"/>
            <w:tcBorders>
              <w:top w:val="single" w:color="auto" w:sz="4" w:space="0"/>
              <w:bottom w:val="single" w:color="auto" w:sz="4" w:space="0"/>
            </w:tcBorders>
            <w:vAlign w:val="center"/>
          </w:tcPr>
          <w:p>
            <w:pPr>
              <w:tabs>
                <w:tab w:val="left" w:pos="0"/>
              </w:tabs>
              <w:spacing w:before="0" w:after="0" w:line="240" w:lineRule="auto"/>
              <w:jc w:val="center"/>
              <w:rPr>
                <w:rFonts w:cs="Times New Roman"/>
                <w:sz w:val="18"/>
                <w:szCs w:val="18"/>
              </w:rPr>
            </w:pPr>
            <w:r>
              <w:rPr>
                <w:rFonts w:cs="Times New Roman"/>
                <w:sz w:val="18"/>
                <w:szCs w:val="18"/>
              </w:rPr>
              <w:t>二氧化碳当量</w:t>
            </w:r>
          </w:p>
          <w:p>
            <w:pPr>
              <w:tabs>
                <w:tab w:val="left" w:pos="0"/>
              </w:tabs>
              <w:spacing w:before="0" w:after="0" w:line="240" w:lineRule="auto"/>
              <w:jc w:val="center"/>
              <w:rPr>
                <w:rFonts w:cs="Times New Roman"/>
                <w:sz w:val="18"/>
                <w:szCs w:val="18"/>
              </w:rPr>
            </w:pPr>
            <w:r>
              <w:rPr>
                <w:rFonts w:cs="Times New Roman"/>
                <w:sz w:val="18"/>
                <w:szCs w:val="18"/>
              </w:rPr>
              <w:t>（万吨）</w:t>
            </w:r>
          </w:p>
        </w:tc>
        <w:tc>
          <w:tcPr>
            <w:tcW w:w="1183" w:type="pct"/>
            <w:tcBorders>
              <w:top w:val="single" w:color="auto" w:sz="4" w:space="0"/>
              <w:bottom w:val="single" w:color="auto" w:sz="4" w:space="0"/>
            </w:tcBorders>
            <w:vAlign w:val="center"/>
          </w:tcPr>
          <w:p>
            <w:pPr>
              <w:tabs>
                <w:tab w:val="left" w:pos="0"/>
              </w:tabs>
              <w:spacing w:before="0" w:after="0" w:line="240" w:lineRule="auto"/>
              <w:jc w:val="center"/>
              <w:rPr>
                <w:rFonts w:cs="Times New Roman"/>
                <w:sz w:val="18"/>
                <w:szCs w:val="18"/>
              </w:rPr>
            </w:pPr>
            <w:r>
              <w:rPr>
                <w:rFonts w:cs="Times New Roman"/>
                <w:sz w:val="18"/>
                <w:szCs w:val="18"/>
              </w:rPr>
              <w:t>综合性不确定性（%）</w:t>
            </w:r>
          </w:p>
        </w:tc>
        <w:tc>
          <w:tcPr>
            <w:tcW w:w="1144" w:type="pct"/>
            <w:tcBorders>
              <w:top w:val="single" w:color="auto" w:sz="4" w:space="0"/>
              <w:bottom w:val="single" w:color="auto" w:sz="4" w:space="0"/>
            </w:tcBorders>
            <w:vAlign w:val="center"/>
          </w:tcPr>
          <w:p>
            <w:pPr>
              <w:pStyle w:val="42"/>
              <w:snapToGrid w:val="0"/>
              <w:jc w:val="center"/>
              <w:rPr>
                <w:rFonts w:cs="Times New Roman"/>
                <w:sz w:val="18"/>
                <w:szCs w:val="18"/>
              </w:rPr>
            </w:pPr>
            <w:r>
              <w:rPr>
                <w:rFonts w:ascii="Times New Roman" w:cs="Times New Roman"/>
                <w:color w:val="auto"/>
                <w:sz w:val="18"/>
                <w:szCs w:val="18"/>
              </w:rPr>
              <w:t>引入能源活动的不确定性（</w:t>
            </w:r>
            <w:r>
              <w:rPr>
                <w:rFonts w:ascii="Times New Roman" w:cs="Times New Roman"/>
                <w:bCs/>
                <w:color w:val="auto"/>
                <w:sz w:val="18"/>
                <w:szCs w:val="18"/>
              </w:rPr>
              <w:t>%</w:t>
            </w:r>
            <w:r>
              <w:rPr>
                <w:rFonts w:ascii="Times New Roman"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2415" w:type="dxa"/>
            <w:tcBorders>
              <w:top w:val="single" w:color="auto" w:sz="4" w:space="0"/>
            </w:tcBorders>
            <w:vAlign w:val="center"/>
          </w:tcPr>
          <w:p>
            <w:pPr>
              <w:spacing w:before="0" w:after="0" w:line="240" w:lineRule="auto"/>
              <w:jc w:val="center"/>
              <w:textAlignment w:val="center"/>
              <w:rPr>
                <w:rFonts w:cs="Times New Roman"/>
                <w:color w:val="000000"/>
                <w:sz w:val="18"/>
                <w:szCs w:val="18"/>
                <w:lang w:bidi="ar"/>
              </w:rPr>
            </w:pPr>
            <w:r>
              <w:rPr>
                <w:rFonts w:cs="Times New Roman"/>
                <w:color w:val="000000"/>
                <w:sz w:val="18"/>
                <w:szCs w:val="18"/>
                <w:lang w:bidi="ar"/>
              </w:rPr>
              <w:t>化石燃料燃烧</w:t>
            </w:r>
          </w:p>
        </w:tc>
        <w:tc>
          <w:tcPr>
            <w:tcW w:w="2140" w:type="dxa"/>
            <w:tcBorders>
              <w:top w:val="single" w:color="auto" w:sz="4" w:space="0"/>
            </w:tcBorders>
            <w:vAlign w:val="center"/>
          </w:tcPr>
          <w:p>
            <w:pPr>
              <w:spacing w:before="0" w:after="0" w:line="240" w:lineRule="auto"/>
              <w:jc w:val="center"/>
              <w:textAlignment w:val="center"/>
              <w:rPr>
                <w:rFonts w:cs="Times New Roman"/>
                <w:color w:val="000000"/>
                <w:sz w:val="18"/>
                <w:szCs w:val="18"/>
                <w:lang w:bidi="ar"/>
              </w:rPr>
            </w:pPr>
            <w:r>
              <w:rPr>
                <w:rFonts w:hint="eastAsia" w:cs="Times New Roman"/>
                <w:color w:val="000000"/>
                <w:sz w:val="18"/>
                <w:szCs w:val="18"/>
                <w:lang w:bidi="ar"/>
              </w:rPr>
              <w:t>877.49</w:t>
            </w:r>
          </w:p>
        </w:tc>
        <w:tc>
          <w:tcPr>
            <w:tcW w:w="2016" w:type="dxa"/>
            <w:tcBorders>
              <w:top w:val="single" w:color="auto" w:sz="4" w:space="0"/>
            </w:tcBorders>
            <w:vAlign w:val="center"/>
          </w:tcPr>
          <w:p>
            <w:pPr>
              <w:spacing w:before="0" w:after="0" w:line="240" w:lineRule="auto"/>
              <w:jc w:val="center"/>
              <w:textAlignment w:val="center"/>
              <w:rPr>
                <w:rFonts w:cs="Times New Roman"/>
                <w:color w:val="000000"/>
                <w:sz w:val="18"/>
                <w:szCs w:val="18"/>
                <w:lang w:bidi="ar"/>
              </w:rPr>
            </w:pPr>
            <w:r>
              <w:rPr>
                <w:rFonts w:hint="eastAsia" w:cs="Times New Roman"/>
                <w:color w:val="000000"/>
                <w:sz w:val="18"/>
                <w:szCs w:val="18"/>
                <w:lang w:bidi="ar"/>
              </w:rPr>
              <w:t>9.59%</w:t>
            </w:r>
          </w:p>
        </w:tc>
        <w:tc>
          <w:tcPr>
            <w:tcW w:w="1144" w:type="pct"/>
            <w:vMerge w:val="restart"/>
            <w:tcBorders>
              <w:top w:val="single" w:color="auto" w:sz="4" w:space="0"/>
            </w:tcBorders>
            <w:vAlign w:val="center"/>
          </w:tcPr>
          <w:p>
            <w:pPr>
              <w:spacing w:before="0" w:after="0" w:line="240" w:lineRule="auto"/>
              <w:jc w:val="center"/>
              <w:textAlignment w:val="center"/>
              <w:rPr>
                <w:rFonts w:cs="Times New Roman"/>
                <w:color w:val="000000"/>
                <w:sz w:val="18"/>
                <w:szCs w:val="18"/>
              </w:rPr>
            </w:pPr>
            <w:r>
              <w:rPr>
                <w:rFonts w:hint="eastAsia"/>
                <w:sz w:val="18"/>
                <w:szCs w:val="18"/>
              </w:rPr>
              <w:t>±</w:t>
            </w:r>
            <w:r>
              <w:rPr>
                <w:rFonts w:hint="eastAsia" w:cs="Times New Roman"/>
                <w:color w:val="000000"/>
                <w:sz w:val="18"/>
                <w:szCs w:val="18"/>
                <w:lang w:bidi="ar"/>
              </w:rPr>
              <w:t>9.56</w:t>
            </w:r>
            <w:r>
              <w:rPr>
                <w:rFonts w:cs="Times New Roman"/>
                <w:color w:val="000000"/>
                <w:sz w:val="18"/>
                <w:szCs w:val="18"/>
                <w:lang w:bidi="ar"/>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2415" w:type="dxa"/>
            <w:vAlign w:val="center"/>
          </w:tcPr>
          <w:p>
            <w:pPr>
              <w:spacing w:before="0" w:after="0" w:line="240" w:lineRule="auto"/>
              <w:jc w:val="center"/>
              <w:textAlignment w:val="center"/>
              <w:rPr>
                <w:rFonts w:cs="Times New Roman"/>
                <w:color w:val="000000"/>
                <w:sz w:val="18"/>
                <w:szCs w:val="18"/>
                <w:lang w:bidi="ar"/>
              </w:rPr>
            </w:pPr>
            <w:r>
              <w:rPr>
                <w:rFonts w:cs="Times New Roman"/>
                <w:color w:val="000000"/>
                <w:sz w:val="18"/>
                <w:szCs w:val="18"/>
                <w:lang w:bidi="ar"/>
              </w:rPr>
              <w:t>生物质燃料燃烧</w:t>
            </w:r>
          </w:p>
        </w:tc>
        <w:tc>
          <w:tcPr>
            <w:tcW w:w="2140" w:type="dxa"/>
            <w:vAlign w:val="center"/>
          </w:tcPr>
          <w:p>
            <w:pPr>
              <w:spacing w:before="0" w:after="0" w:line="240" w:lineRule="auto"/>
              <w:jc w:val="center"/>
              <w:textAlignment w:val="center"/>
              <w:rPr>
                <w:rFonts w:cs="Times New Roman"/>
                <w:color w:val="000000"/>
                <w:sz w:val="18"/>
                <w:szCs w:val="18"/>
                <w:lang w:bidi="ar"/>
              </w:rPr>
            </w:pPr>
            <w:r>
              <w:rPr>
                <w:rFonts w:hint="eastAsia" w:cs="Times New Roman"/>
                <w:color w:val="000000"/>
                <w:sz w:val="18"/>
                <w:szCs w:val="18"/>
                <w:lang w:bidi="ar"/>
              </w:rPr>
              <w:t>2.04</w:t>
            </w:r>
          </w:p>
        </w:tc>
        <w:tc>
          <w:tcPr>
            <w:tcW w:w="2016" w:type="dxa"/>
            <w:vAlign w:val="center"/>
          </w:tcPr>
          <w:p>
            <w:pPr>
              <w:spacing w:before="0" w:after="0" w:line="240" w:lineRule="auto"/>
              <w:jc w:val="center"/>
              <w:textAlignment w:val="center"/>
              <w:rPr>
                <w:rFonts w:cs="Times New Roman"/>
                <w:color w:val="000000"/>
                <w:sz w:val="18"/>
                <w:szCs w:val="18"/>
                <w:lang w:bidi="ar"/>
              </w:rPr>
            </w:pPr>
            <w:r>
              <w:rPr>
                <w:rFonts w:hint="eastAsia" w:cs="Times New Roman"/>
                <w:color w:val="000000"/>
                <w:sz w:val="18"/>
                <w:szCs w:val="18"/>
                <w:lang w:bidi="ar"/>
              </w:rPr>
              <w:t>8.04%</w:t>
            </w:r>
          </w:p>
        </w:tc>
        <w:tc>
          <w:tcPr>
            <w:tcW w:w="1144" w:type="pct"/>
            <w:vMerge w:val="continue"/>
            <w:vAlign w:val="center"/>
          </w:tcPr>
          <w:p>
            <w:pPr>
              <w:spacing w:before="0" w:after="0" w:line="240" w:lineRule="auto"/>
              <w:jc w:val="center"/>
              <w:rPr>
                <w:rFonts w:cs="Times New Roman"/>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2415" w:type="dxa"/>
            <w:vAlign w:val="center"/>
          </w:tcPr>
          <w:p>
            <w:pPr>
              <w:spacing w:before="0" w:after="0" w:line="240" w:lineRule="auto"/>
              <w:jc w:val="center"/>
              <w:textAlignment w:val="center"/>
              <w:rPr>
                <w:rFonts w:cs="Times New Roman"/>
                <w:color w:val="000000"/>
                <w:sz w:val="18"/>
                <w:szCs w:val="18"/>
                <w:lang w:bidi="ar"/>
              </w:rPr>
            </w:pPr>
            <w:r>
              <w:rPr>
                <w:rFonts w:cs="Times New Roman"/>
                <w:color w:val="000000"/>
                <w:sz w:val="18"/>
                <w:szCs w:val="18"/>
                <w:lang w:bidi="ar"/>
              </w:rPr>
              <w:t>煤炭开采和矿后活动</w:t>
            </w:r>
          </w:p>
        </w:tc>
        <w:tc>
          <w:tcPr>
            <w:tcW w:w="2140" w:type="dxa"/>
            <w:vAlign w:val="center"/>
          </w:tcPr>
          <w:p>
            <w:pPr>
              <w:spacing w:before="0" w:after="0" w:line="240" w:lineRule="auto"/>
              <w:jc w:val="center"/>
              <w:textAlignment w:val="center"/>
              <w:rPr>
                <w:rFonts w:cs="Times New Roman"/>
                <w:color w:val="000000"/>
                <w:sz w:val="18"/>
                <w:szCs w:val="18"/>
                <w:lang w:bidi="ar"/>
              </w:rPr>
            </w:pPr>
            <w:r>
              <w:rPr>
                <w:rFonts w:hint="eastAsia" w:cs="Times New Roman"/>
                <w:color w:val="000000"/>
                <w:sz w:val="18"/>
                <w:szCs w:val="18"/>
                <w:lang w:bidi="ar"/>
              </w:rPr>
              <w:t>0</w:t>
            </w:r>
            <w:r>
              <w:rPr>
                <w:rFonts w:cs="Times New Roman"/>
                <w:color w:val="000000"/>
                <w:sz w:val="18"/>
                <w:szCs w:val="18"/>
                <w:lang w:bidi="ar"/>
              </w:rPr>
              <w:t>.00</w:t>
            </w:r>
          </w:p>
        </w:tc>
        <w:tc>
          <w:tcPr>
            <w:tcW w:w="2016" w:type="dxa"/>
            <w:vAlign w:val="center"/>
          </w:tcPr>
          <w:p>
            <w:pPr>
              <w:spacing w:before="0" w:after="0" w:line="240" w:lineRule="auto"/>
              <w:jc w:val="center"/>
              <w:textAlignment w:val="center"/>
              <w:rPr>
                <w:rFonts w:cs="Times New Roman"/>
                <w:color w:val="000000"/>
                <w:sz w:val="18"/>
                <w:szCs w:val="18"/>
                <w:lang w:bidi="ar"/>
              </w:rPr>
            </w:pPr>
            <w:r>
              <w:rPr>
                <w:rFonts w:hint="eastAsia" w:cs="Times New Roman"/>
                <w:color w:val="000000"/>
                <w:sz w:val="18"/>
                <w:szCs w:val="18"/>
                <w:lang w:bidi="ar"/>
              </w:rPr>
              <w:t>/</w:t>
            </w:r>
          </w:p>
        </w:tc>
        <w:tc>
          <w:tcPr>
            <w:tcW w:w="1144" w:type="pct"/>
            <w:vMerge w:val="continue"/>
            <w:vAlign w:val="center"/>
          </w:tcPr>
          <w:p>
            <w:pPr>
              <w:spacing w:before="0" w:after="0" w:line="240" w:lineRule="auto"/>
              <w:jc w:val="center"/>
              <w:rPr>
                <w:rFonts w:cs="Times New Roman"/>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2415" w:type="dxa"/>
            <w:vAlign w:val="center"/>
          </w:tcPr>
          <w:p>
            <w:pPr>
              <w:spacing w:before="0" w:after="0" w:line="240" w:lineRule="auto"/>
              <w:jc w:val="center"/>
              <w:textAlignment w:val="center"/>
              <w:rPr>
                <w:rFonts w:cs="Times New Roman"/>
                <w:color w:val="000000"/>
                <w:sz w:val="18"/>
                <w:szCs w:val="18"/>
                <w:lang w:bidi="ar"/>
              </w:rPr>
            </w:pPr>
            <w:r>
              <w:rPr>
                <w:rFonts w:cs="Times New Roman"/>
                <w:color w:val="000000"/>
                <w:sz w:val="18"/>
                <w:szCs w:val="18"/>
                <w:lang w:bidi="ar"/>
              </w:rPr>
              <w:t>油气系统</w:t>
            </w:r>
            <w:r>
              <w:rPr>
                <w:rFonts w:hint="eastAsia" w:cs="Times New Roman"/>
                <w:color w:val="000000"/>
                <w:sz w:val="18"/>
                <w:szCs w:val="18"/>
                <w:lang w:bidi="ar"/>
              </w:rPr>
              <w:t>逃逸</w:t>
            </w:r>
          </w:p>
        </w:tc>
        <w:tc>
          <w:tcPr>
            <w:tcW w:w="2140" w:type="dxa"/>
            <w:vAlign w:val="center"/>
          </w:tcPr>
          <w:p>
            <w:pPr>
              <w:spacing w:before="0" w:after="0" w:line="240" w:lineRule="auto"/>
              <w:jc w:val="center"/>
              <w:textAlignment w:val="center"/>
              <w:rPr>
                <w:rFonts w:cs="Times New Roman"/>
                <w:color w:val="000000"/>
                <w:sz w:val="18"/>
                <w:szCs w:val="18"/>
                <w:lang w:bidi="ar"/>
              </w:rPr>
            </w:pPr>
            <w:r>
              <w:rPr>
                <w:rFonts w:hint="eastAsia" w:cs="Times New Roman"/>
                <w:color w:val="000000"/>
                <w:sz w:val="18"/>
                <w:szCs w:val="18"/>
                <w:lang w:bidi="ar"/>
              </w:rPr>
              <w:t>0.53</w:t>
            </w:r>
          </w:p>
        </w:tc>
        <w:tc>
          <w:tcPr>
            <w:tcW w:w="2016" w:type="dxa"/>
            <w:vAlign w:val="center"/>
          </w:tcPr>
          <w:p>
            <w:pPr>
              <w:spacing w:before="0" w:after="0" w:line="240" w:lineRule="auto"/>
              <w:jc w:val="center"/>
              <w:textAlignment w:val="center"/>
              <w:rPr>
                <w:rFonts w:cs="Times New Roman"/>
                <w:color w:val="000000"/>
                <w:sz w:val="18"/>
                <w:szCs w:val="18"/>
                <w:lang w:bidi="ar"/>
              </w:rPr>
            </w:pPr>
            <w:r>
              <w:rPr>
                <w:rFonts w:hint="eastAsia" w:cs="Times New Roman"/>
                <w:color w:val="000000"/>
                <w:sz w:val="18"/>
                <w:szCs w:val="18"/>
                <w:lang w:bidi="ar"/>
              </w:rPr>
              <w:t>20.33%</w:t>
            </w:r>
          </w:p>
        </w:tc>
        <w:tc>
          <w:tcPr>
            <w:tcW w:w="1144" w:type="pct"/>
            <w:vMerge w:val="continue"/>
            <w:vAlign w:val="center"/>
          </w:tcPr>
          <w:p>
            <w:pPr>
              <w:spacing w:before="0" w:after="0" w:line="240" w:lineRule="auto"/>
              <w:jc w:val="center"/>
              <w:rPr>
                <w:rFonts w:cs="Times New Roman"/>
                <w:sz w:val="18"/>
                <w:szCs w:val="18"/>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2415" w:type="dxa"/>
            <w:vAlign w:val="center"/>
          </w:tcPr>
          <w:p>
            <w:pPr>
              <w:spacing w:before="0" w:after="0" w:line="240" w:lineRule="auto"/>
              <w:jc w:val="center"/>
              <w:textAlignment w:val="center"/>
              <w:rPr>
                <w:rFonts w:cs="Times New Roman"/>
                <w:color w:val="000000"/>
                <w:sz w:val="18"/>
                <w:szCs w:val="18"/>
                <w:lang w:bidi="ar"/>
              </w:rPr>
            </w:pPr>
            <w:r>
              <w:rPr>
                <w:rFonts w:cs="Times New Roman"/>
                <w:color w:val="000000"/>
                <w:sz w:val="18"/>
                <w:szCs w:val="18"/>
                <w:lang w:bidi="ar"/>
              </w:rPr>
              <w:t>合计</w:t>
            </w:r>
          </w:p>
        </w:tc>
        <w:tc>
          <w:tcPr>
            <w:tcW w:w="2140" w:type="dxa"/>
            <w:vAlign w:val="center"/>
          </w:tcPr>
          <w:p>
            <w:pPr>
              <w:spacing w:before="0" w:after="0" w:line="240" w:lineRule="auto"/>
              <w:jc w:val="center"/>
              <w:textAlignment w:val="center"/>
              <w:rPr>
                <w:rFonts w:cs="Times New Roman"/>
                <w:color w:val="000000"/>
                <w:sz w:val="18"/>
                <w:szCs w:val="18"/>
                <w:lang w:bidi="ar"/>
              </w:rPr>
            </w:pPr>
            <w:r>
              <w:rPr>
                <w:rFonts w:hint="eastAsia" w:cs="Times New Roman"/>
                <w:color w:val="000000"/>
                <w:sz w:val="18"/>
                <w:szCs w:val="18"/>
                <w:lang w:bidi="ar"/>
              </w:rPr>
              <w:t>880.06</w:t>
            </w:r>
          </w:p>
        </w:tc>
        <w:tc>
          <w:tcPr>
            <w:tcW w:w="2016" w:type="dxa"/>
            <w:vAlign w:val="center"/>
          </w:tcPr>
          <w:p>
            <w:pPr>
              <w:spacing w:before="0" w:after="0" w:line="240" w:lineRule="auto"/>
              <w:jc w:val="center"/>
              <w:textAlignment w:val="center"/>
              <w:rPr>
                <w:rFonts w:cs="Times New Roman"/>
                <w:color w:val="000000"/>
                <w:sz w:val="18"/>
                <w:szCs w:val="18"/>
                <w:lang w:bidi="ar"/>
              </w:rPr>
            </w:pPr>
            <w:r>
              <w:rPr>
                <w:rFonts w:hint="eastAsia" w:cs="Times New Roman"/>
                <w:color w:val="000000"/>
                <w:sz w:val="18"/>
                <w:szCs w:val="18"/>
                <w:lang w:bidi="ar"/>
              </w:rPr>
              <w:t>/</w:t>
            </w:r>
          </w:p>
        </w:tc>
        <w:tc>
          <w:tcPr>
            <w:tcW w:w="1144" w:type="pct"/>
            <w:vMerge w:val="continue"/>
            <w:vAlign w:val="center"/>
          </w:tcPr>
          <w:p>
            <w:pPr>
              <w:spacing w:before="0" w:after="0" w:line="240" w:lineRule="auto"/>
              <w:jc w:val="center"/>
              <w:rPr>
                <w:rFonts w:cs="Times New Roman"/>
                <w:bCs/>
                <w:sz w:val="18"/>
                <w:szCs w:val="18"/>
              </w:rPr>
            </w:pPr>
          </w:p>
        </w:tc>
      </w:tr>
    </w:tbl>
    <w:p>
      <w:pPr>
        <w:rPr>
          <w:rFonts w:cs="Times New Roman"/>
          <w:szCs w:val="24"/>
        </w:rPr>
      </w:pPr>
      <w:r>
        <w:rPr>
          <w:rFonts w:cs="Times New Roman"/>
          <w:szCs w:val="24"/>
        </w:rPr>
        <w:br w:type="page"/>
      </w:r>
    </w:p>
    <w:p>
      <w:pPr>
        <w:pStyle w:val="2"/>
      </w:pPr>
      <w:bookmarkStart w:id="89" w:name="_Toc29429"/>
      <w:r>
        <w:rPr>
          <w:rFonts w:hint="eastAsia"/>
        </w:rPr>
        <w:t>工业生产过程</w:t>
      </w:r>
      <w:bookmarkEnd w:id="89"/>
    </w:p>
    <w:p>
      <w:pPr>
        <w:spacing w:before="0" w:after="0"/>
        <w:ind w:firstLine="475" w:firstLineChars="198"/>
        <w:rPr>
          <w:rFonts w:cs="Times New Roman"/>
          <w:szCs w:val="24"/>
        </w:rPr>
      </w:pPr>
      <w:r>
        <w:rPr>
          <w:rFonts w:hint="eastAsia" w:cs="Times New Roman"/>
          <w:szCs w:val="24"/>
        </w:rPr>
        <w:t>2019年益阳市</w:t>
      </w:r>
      <w:r>
        <w:rPr>
          <w:rFonts w:cs="Times New Roman"/>
          <w:szCs w:val="24"/>
        </w:rPr>
        <w:t>工业生产过程温室气体排放共计</w:t>
      </w:r>
      <w:r>
        <w:rPr>
          <w:rFonts w:hint="eastAsia" w:cs="Times New Roman"/>
          <w:szCs w:val="24"/>
        </w:rPr>
        <w:t>241.26</w:t>
      </w:r>
      <w:r>
        <w:rPr>
          <w:rFonts w:cs="Times New Roman"/>
          <w:szCs w:val="24"/>
        </w:rPr>
        <w:t>万吨二氧化碳当量。从温室气体类型分布来看，</w:t>
      </w:r>
      <w:r>
        <w:rPr>
          <w:rFonts w:hint="eastAsia" w:cs="Times New Roman"/>
          <w:szCs w:val="24"/>
        </w:rPr>
        <w:t>益阳市</w:t>
      </w:r>
      <w:r>
        <w:rPr>
          <w:rFonts w:cs="Times New Roman"/>
          <w:szCs w:val="24"/>
        </w:rPr>
        <w:t>工业生产过程主要排放的温室气体为二氧化碳，共计</w:t>
      </w:r>
      <w:r>
        <w:rPr>
          <w:rFonts w:hint="eastAsia" w:cs="Times New Roman"/>
          <w:szCs w:val="24"/>
        </w:rPr>
        <w:t>240.88</w:t>
      </w:r>
      <w:r>
        <w:rPr>
          <w:rFonts w:cs="Times New Roman"/>
          <w:szCs w:val="24"/>
        </w:rPr>
        <w:t>万吨，占总排放量的</w:t>
      </w:r>
      <w:r>
        <w:rPr>
          <w:rFonts w:hint="eastAsia" w:cs="Times New Roman"/>
          <w:szCs w:val="24"/>
        </w:rPr>
        <w:t>99.84%</w:t>
      </w:r>
      <w:r>
        <w:rPr>
          <w:rFonts w:cs="Times New Roman"/>
          <w:szCs w:val="24"/>
        </w:rPr>
        <w:t>，六氟化硫合计</w:t>
      </w:r>
      <w:r>
        <w:rPr>
          <w:rFonts w:hint="eastAsia" w:cs="Times New Roman"/>
          <w:szCs w:val="24"/>
        </w:rPr>
        <w:t>0.38</w:t>
      </w:r>
      <w:r>
        <w:rPr>
          <w:rFonts w:cs="Times New Roman"/>
          <w:szCs w:val="24"/>
        </w:rPr>
        <w:t>万吨二氧化碳当量，仅占总排放量的</w:t>
      </w:r>
      <w:r>
        <w:rPr>
          <w:rFonts w:hint="eastAsia" w:cs="Times New Roman"/>
          <w:szCs w:val="24"/>
        </w:rPr>
        <w:t>0.16</w:t>
      </w:r>
      <w:r>
        <w:rPr>
          <w:rFonts w:cs="Times New Roman"/>
          <w:szCs w:val="24"/>
        </w:rPr>
        <w:t>%，</w:t>
      </w:r>
      <w:r>
        <w:rPr>
          <w:rFonts w:hint="eastAsia" w:cs="Times New Roman"/>
          <w:szCs w:val="24"/>
        </w:rPr>
        <w:t>氧化亚氮、全氟化碳和氢氟碳化物排放为0</w:t>
      </w:r>
      <w:r>
        <w:rPr>
          <w:rFonts w:cs="Times New Roman"/>
          <w:szCs w:val="24"/>
        </w:rPr>
        <w:t>。</w:t>
      </w:r>
    </w:p>
    <w:p>
      <w:pPr>
        <w:ind w:firstLine="480" w:firstLineChars="200"/>
      </w:pPr>
      <w:r>
        <w:rPr>
          <w:rFonts w:hint="eastAsia" w:cs="Times New Roman"/>
          <w:szCs w:val="24"/>
        </w:rPr>
        <w:t>从排放源分布来看，</w:t>
      </w:r>
      <w:r>
        <w:rPr>
          <w:rFonts w:cs="Times New Roman"/>
          <w:szCs w:val="24"/>
        </w:rPr>
        <w:t>水泥</w:t>
      </w:r>
      <w:r>
        <w:rPr>
          <w:rFonts w:hint="eastAsia" w:cs="Times New Roman"/>
          <w:szCs w:val="24"/>
        </w:rPr>
        <w:t>和</w:t>
      </w:r>
      <w:r>
        <w:rPr>
          <w:rFonts w:cs="Times New Roman"/>
          <w:szCs w:val="24"/>
        </w:rPr>
        <w:t>石灰行业是</w:t>
      </w:r>
      <w:r>
        <w:rPr>
          <w:rFonts w:hint="eastAsia" w:cs="Times New Roman"/>
          <w:szCs w:val="24"/>
        </w:rPr>
        <w:t>益阳市</w:t>
      </w:r>
      <w:r>
        <w:rPr>
          <w:rFonts w:cs="Times New Roman"/>
          <w:szCs w:val="24"/>
        </w:rPr>
        <w:t>最主要的温室气体排放源。其中水泥行业生产过程</w:t>
      </w:r>
      <w:r>
        <w:rPr>
          <w:rFonts w:hint="eastAsia" w:cs="Times New Roman"/>
          <w:szCs w:val="24"/>
        </w:rPr>
        <w:t>，</w:t>
      </w:r>
      <w:r>
        <w:rPr>
          <w:rFonts w:cs="Times New Roman"/>
          <w:szCs w:val="24"/>
        </w:rPr>
        <w:t>温室气体排放为</w:t>
      </w:r>
      <w:r>
        <w:rPr>
          <w:rFonts w:hint="eastAsia" w:cs="Times New Roman"/>
          <w:szCs w:val="24"/>
        </w:rPr>
        <w:t>230.96</w:t>
      </w:r>
      <w:r>
        <w:rPr>
          <w:rFonts w:cs="Times New Roman"/>
          <w:szCs w:val="24"/>
        </w:rPr>
        <w:t>万吨二氧化碳当量，占总排放量的</w:t>
      </w:r>
      <w:r>
        <w:rPr>
          <w:rFonts w:hint="eastAsia" w:cs="Times New Roman"/>
          <w:szCs w:val="24"/>
        </w:rPr>
        <w:t>95.73%</w:t>
      </w:r>
      <w:r>
        <w:rPr>
          <w:rFonts w:cs="Times New Roman"/>
          <w:szCs w:val="24"/>
        </w:rPr>
        <w:t>，石灰行业生产过程温室气体排放为</w:t>
      </w:r>
      <w:r>
        <w:rPr>
          <w:rFonts w:hint="eastAsia" w:cs="Times New Roman"/>
          <w:szCs w:val="24"/>
        </w:rPr>
        <w:t>9.92</w:t>
      </w:r>
      <w:r>
        <w:rPr>
          <w:rFonts w:cs="Times New Roman"/>
          <w:szCs w:val="24"/>
        </w:rPr>
        <w:t>吨二氧化碳当量，占总排放量的</w:t>
      </w:r>
      <w:r>
        <w:rPr>
          <w:rFonts w:hint="eastAsia" w:cs="Times New Roman"/>
          <w:szCs w:val="24"/>
        </w:rPr>
        <w:t>4.11</w:t>
      </w:r>
      <w:r>
        <w:rPr>
          <w:rFonts w:cs="Times New Roman"/>
          <w:szCs w:val="24"/>
        </w:rPr>
        <w:t>%，电力设备生产过程产生温室气体较少，仅占总排放量的</w:t>
      </w:r>
      <w:r>
        <w:rPr>
          <w:rFonts w:hint="eastAsia" w:cs="Times New Roman"/>
          <w:szCs w:val="24"/>
        </w:rPr>
        <w:t>0.16</w:t>
      </w:r>
      <w:r>
        <w:rPr>
          <w:rFonts w:cs="Times New Roman"/>
          <w:szCs w:val="24"/>
        </w:rPr>
        <w:t>%。</w:t>
      </w:r>
      <w:r>
        <w:rPr>
          <w:rFonts w:hint="eastAsia" w:cs="Times New Roman"/>
          <w:szCs w:val="24"/>
        </w:rPr>
        <w:t>益阳市</w:t>
      </w:r>
      <w:r>
        <w:rPr>
          <w:rFonts w:cs="Times New Roman"/>
          <w:szCs w:val="24"/>
        </w:rPr>
        <w:t>201</w:t>
      </w:r>
      <w:r>
        <w:rPr>
          <w:rFonts w:hint="eastAsia" w:cs="Times New Roman"/>
          <w:szCs w:val="24"/>
        </w:rPr>
        <w:t>9</w:t>
      </w:r>
      <w:r>
        <w:rPr>
          <w:rFonts w:cs="Times New Roman"/>
          <w:szCs w:val="24"/>
        </w:rPr>
        <w:t>年无</w:t>
      </w:r>
      <w:r>
        <w:rPr>
          <w:rFonts w:hint="eastAsia" w:cs="Times New Roman"/>
          <w:szCs w:val="24"/>
        </w:rPr>
        <w:t>长流程钢铁、电石、</w:t>
      </w:r>
      <w:r>
        <w:rPr>
          <w:rFonts w:cs="Times New Roman"/>
          <w:szCs w:val="24"/>
        </w:rPr>
        <w:t>己二酸、硝酸、一氯二氟甲烷、</w:t>
      </w:r>
      <w:r>
        <w:rPr>
          <w:rFonts w:hint="eastAsia" w:cs="Times New Roman"/>
          <w:szCs w:val="24"/>
        </w:rPr>
        <w:t>铝、</w:t>
      </w:r>
      <w:r>
        <w:rPr>
          <w:rFonts w:cs="Times New Roman"/>
          <w:szCs w:val="24"/>
        </w:rPr>
        <w:t>镁、半导体、氢氟烃行业生产企业，因此这些行业温室气体排放为0</w:t>
      </w:r>
      <w:r>
        <w:rPr>
          <w:rFonts w:hint="eastAsia"/>
        </w:rPr>
        <w:t>。</w:t>
      </w:r>
    </w:p>
    <w:p>
      <w:pPr>
        <w:pStyle w:val="3"/>
      </w:pPr>
      <w:bookmarkStart w:id="90" w:name="_Toc21572"/>
      <w:r>
        <w:rPr>
          <w:rFonts w:hint="eastAsia"/>
        </w:rPr>
        <w:t>报告范围</w:t>
      </w:r>
      <w:bookmarkEnd w:id="90"/>
    </w:p>
    <w:p>
      <w:pPr>
        <w:spacing w:before="0" w:after="0"/>
        <w:ind w:firstLine="480" w:firstLineChars="200"/>
        <w:rPr>
          <w:rFonts w:cs="Times New Roman"/>
          <w:szCs w:val="24"/>
        </w:rPr>
      </w:pPr>
      <w:r>
        <w:rPr>
          <w:rFonts w:hint="eastAsia" w:cs="Times New Roman"/>
          <w:szCs w:val="24"/>
        </w:rPr>
        <w:t>根据《省级温室气体清单编制指南》，工业生产过程温室气体清单编制包括的排放源包括：水泥、石灰、钢铁、电石、己二酸、硝酸、铝、镁、一氯二氟甲烷、半导体、氢氟烃等产品生产过程以及电力设备生产和安装。</w:t>
      </w:r>
    </w:p>
    <w:p>
      <w:pPr>
        <w:ind w:firstLine="480" w:firstLineChars="200"/>
      </w:pPr>
      <w:r>
        <w:rPr>
          <w:rFonts w:hint="eastAsia" w:cs="Times New Roman"/>
          <w:szCs w:val="24"/>
        </w:rPr>
        <w:t>根据调研结果，2019年益阳市无长流程钢铁、电石、己二酸、硝酸、一氯二氟甲烷、铝、镁、半导体、氢氟烃行业生产企业，因此本次省级温室气体清单编制中的工业生产过程清单主要报告了水泥、石灰、电力设备生产3个行业的温室气体排放情况</w:t>
      </w:r>
      <w:r>
        <w:rPr>
          <w:rFonts w:hint="eastAsia"/>
        </w:rPr>
        <w:t>。</w:t>
      </w:r>
    </w:p>
    <w:p>
      <w:pPr>
        <w:pStyle w:val="3"/>
      </w:pPr>
      <w:bookmarkStart w:id="91" w:name="_Toc6834"/>
      <w:r>
        <w:rPr>
          <w:rFonts w:hint="eastAsia"/>
        </w:rPr>
        <w:t>编制方法</w:t>
      </w:r>
      <w:bookmarkEnd w:id="91"/>
    </w:p>
    <w:p>
      <w:pPr>
        <w:spacing w:before="0" w:after="0"/>
        <w:ind w:firstLine="480" w:firstLineChars="200"/>
        <w:rPr>
          <w:rFonts w:cs="Times New Roman"/>
          <w:szCs w:val="24"/>
        </w:rPr>
      </w:pPr>
      <w:r>
        <w:rPr>
          <w:rFonts w:hint="eastAsia" w:cs="Times New Roman"/>
          <w:szCs w:val="24"/>
        </w:rPr>
        <w:t>本报告主要依据指南，同时参考IPCC国家温室气体清单指南进行编制，工业生产过程温室气体排放清单编制采用指南推荐方法。</w:t>
      </w:r>
    </w:p>
    <w:p>
      <w:pPr>
        <w:ind w:firstLine="480" w:firstLineChars="200"/>
      </w:pPr>
      <w:r>
        <w:rPr>
          <w:rFonts w:hint="eastAsia" w:cs="Times New Roman"/>
          <w:szCs w:val="24"/>
        </w:rPr>
        <w:t>课题组在报告编制过程中，严格按照指南要求，在保证清单报告数据一致性、完整性、透明度和可比性的原则下，对各类活动水平数据的数据质量进行了比对和鉴别，对排放因子的本地适用性开展了比对研究。报告编制中，课题组根据不同的数据来源情况和选取方式，进行了相应的不确定性分析，并论述了不确定性产生的原因及降低不确定性的方法</w:t>
      </w:r>
      <w:r>
        <w:rPr>
          <w:rFonts w:hint="eastAsia"/>
        </w:rPr>
        <w:t>。</w:t>
      </w:r>
    </w:p>
    <w:p>
      <w:pPr>
        <w:pStyle w:val="3"/>
      </w:pPr>
      <w:bookmarkStart w:id="92" w:name="_Toc29448"/>
      <w:r>
        <w:rPr>
          <w:rFonts w:hint="eastAsia"/>
        </w:rPr>
        <w:t>活动水平数据来源及排放因子选取</w:t>
      </w:r>
      <w:bookmarkEnd w:id="92"/>
    </w:p>
    <w:p>
      <w:pPr>
        <w:pStyle w:val="4"/>
      </w:pPr>
      <w:bookmarkStart w:id="93" w:name="_Toc53827511"/>
      <w:bookmarkStart w:id="94" w:name="_Toc51939026"/>
      <w:bookmarkStart w:id="95" w:name="_Toc26391"/>
      <w:bookmarkStart w:id="96" w:name="_Toc54097652"/>
      <w:bookmarkStart w:id="97" w:name="_Toc55311737"/>
      <w:bookmarkStart w:id="98" w:name="_Toc52177388"/>
      <w:r>
        <w:rPr>
          <w:rFonts w:hint="eastAsia"/>
        </w:rPr>
        <w:t>水泥生产过程</w:t>
      </w:r>
      <w:bookmarkEnd w:id="93"/>
      <w:bookmarkEnd w:id="94"/>
      <w:bookmarkEnd w:id="95"/>
      <w:bookmarkEnd w:id="96"/>
      <w:bookmarkEnd w:id="97"/>
      <w:bookmarkEnd w:id="98"/>
    </w:p>
    <w:p>
      <w:pPr>
        <w:spacing w:before="0" w:after="0"/>
        <w:ind w:firstLine="480" w:firstLineChars="200"/>
        <w:rPr>
          <w:rFonts w:cs="Times New Roman"/>
          <w:szCs w:val="24"/>
        </w:rPr>
      </w:pPr>
      <w:r>
        <w:rPr>
          <w:rFonts w:hint="eastAsia" w:cs="Times New Roman"/>
          <w:szCs w:val="24"/>
        </w:rPr>
        <w:t>（1）活动水平数据</w:t>
      </w:r>
    </w:p>
    <w:p>
      <w:pPr>
        <w:spacing w:before="0" w:after="0"/>
        <w:ind w:firstLine="480" w:firstLineChars="200"/>
        <w:rPr>
          <w:rFonts w:cs="Times New Roman"/>
          <w:szCs w:val="24"/>
        </w:rPr>
      </w:pPr>
      <w:r>
        <w:rPr>
          <w:rFonts w:hint="eastAsia" w:cs="Times New Roman"/>
          <w:szCs w:val="24"/>
        </w:rPr>
        <w:t>以熟料产量为活动水平数据对益阳市水泥生产过程二氧化碳排放量进行估算，计算所需的活动水平数据为市内扣除了用电石渣生产的熟料数量之后的水泥熟料产量，经咨询益阳市工业和信息化局节能科彭科长和原材料科曹科长，益阳市无水泥企业使用电石渣生产熟料。</w:t>
      </w:r>
    </w:p>
    <w:p>
      <w:pPr>
        <w:spacing w:before="0" w:after="0"/>
        <w:ind w:firstLine="480" w:firstLineChars="200"/>
        <w:rPr>
          <w:rFonts w:cs="Times New Roman"/>
          <w:szCs w:val="24"/>
        </w:rPr>
      </w:pPr>
      <w:r>
        <w:rPr>
          <w:rFonts w:hint="eastAsia" w:cs="Times New Roman"/>
          <w:szCs w:val="24"/>
        </w:rPr>
        <w:t>经过对上述三家水泥企业的调研，综合相应企业2019年度温室气体排放核查报告，得到益阳市2019年水泥熟料总产量为429.29万吨</w:t>
      </w:r>
      <w:r>
        <w:rPr>
          <w:rFonts w:cs="Times New Roman"/>
          <w:szCs w:val="24"/>
        </w:rPr>
        <w:t>。</w:t>
      </w:r>
    </w:p>
    <w:p>
      <w:pPr>
        <w:spacing w:before="0" w:after="0"/>
        <w:ind w:firstLine="480" w:firstLineChars="200"/>
        <w:rPr>
          <w:rFonts w:cs="Times New Roman"/>
          <w:szCs w:val="24"/>
        </w:rPr>
      </w:pPr>
      <w:r>
        <w:rPr>
          <w:rFonts w:hint="eastAsia" w:cs="Times New Roman"/>
          <w:szCs w:val="24"/>
        </w:rPr>
        <w:t>（2）排放因子</w:t>
      </w:r>
    </w:p>
    <w:p>
      <w:pPr>
        <w:ind w:firstLine="480" w:firstLineChars="200"/>
      </w:pPr>
      <w:r>
        <w:rPr>
          <w:rFonts w:hint="eastAsia" w:cs="Times New Roman"/>
          <w:szCs w:val="24"/>
        </w:rPr>
        <w:t>排放因子取指南中的推荐值，为0.538吨二氧化碳/吨熟料</w:t>
      </w:r>
      <w:r>
        <w:rPr>
          <w:rFonts w:hint="eastAsia"/>
        </w:rPr>
        <w:t>。</w:t>
      </w:r>
    </w:p>
    <w:p>
      <w:pPr>
        <w:pStyle w:val="4"/>
      </w:pPr>
      <w:bookmarkStart w:id="99" w:name="_Toc21477"/>
      <w:bookmarkStart w:id="100" w:name="_Toc55311738"/>
      <w:bookmarkStart w:id="101" w:name="_Toc54097653"/>
      <w:bookmarkStart w:id="102" w:name="_Toc52177389"/>
      <w:bookmarkStart w:id="103" w:name="_Toc53827512"/>
      <w:bookmarkStart w:id="104" w:name="_Toc51939027"/>
      <w:r>
        <w:rPr>
          <w:rFonts w:hint="eastAsia"/>
        </w:rPr>
        <w:t>石灰生产过程</w:t>
      </w:r>
      <w:bookmarkEnd w:id="99"/>
      <w:bookmarkEnd w:id="100"/>
      <w:bookmarkEnd w:id="101"/>
      <w:bookmarkEnd w:id="102"/>
      <w:bookmarkEnd w:id="103"/>
      <w:bookmarkEnd w:id="104"/>
    </w:p>
    <w:p>
      <w:pPr>
        <w:spacing w:before="0" w:after="0"/>
        <w:ind w:firstLine="480" w:firstLineChars="200"/>
        <w:rPr>
          <w:rFonts w:cs="Times New Roman"/>
          <w:szCs w:val="24"/>
        </w:rPr>
      </w:pPr>
      <w:r>
        <w:rPr>
          <w:rFonts w:hint="eastAsia" w:cs="Times New Roman"/>
          <w:szCs w:val="24"/>
        </w:rPr>
        <w:t>（1）活动水平数据</w:t>
      </w:r>
    </w:p>
    <w:p>
      <w:pPr>
        <w:ind w:firstLine="475" w:firstLineChars="198"/>
        <w:rPr>
          <w:rFonts w:cs="Times New Roman"/>
          <w:szCs w:val="24"/>
        </w:rPr>
      </w:pPr>
      <w:r>
        <w:rPr>
          <w:rFonts w:cs="Times New Roman"/>
          <w:szCs w:val="24"/>
        </w:rPr>
        <w:t>石灰生产过程温室气体排放活动水平数据采用</w:t>
      </w:r>
      <w:r>
        <w:rPr>
          <w:rFonts w:hint="eastAsia" w:cs="Times New Roman"/>
          <w:szCs w:val="24"/>
        </w:rPr>
        <w:t>2019年益阳市</w:t>
      </w:r>
      <w:r>
        <w:rPr>
          <w:rFonts w:cs="Times New Roman"/>
          <w:szCs w:val="24"/>
        </w:rPr>
        <w:t>的石灰产量。经调查，</w:t>
      </w:r>
      <w:r>
        <w:rPr>
          <w:rFonts w:hint="eastAsia" w:cs="Times New Roman"/>
          <w:szCs w:val="24"/>
        </w:rPr>
        <w:t>2019年度益阳市</w:t>
      </w:r>
      <w:r>
        <w:rPr>
          <w:rFonts w:cs="Times New Roman"/>
          <w:szCs w:val="24"/>
        </w:rPr>
        <w:t>石灰产量无官方统计数据，本报告以石灰消耗量代替石灰产量作为活动水平数据。</w:t>
      </w:r>
    </w:p>
    <w:p>
      <w:pPr>
        <w:ind w:firstLine="475" w:firstLineChars="198"/>
        <w:rPr>
          <w:rFonts w:cs="Times New Roman"/>
          <w:szCs w:val="24"/>
        </w:rPr>
      </w:pPr>
      <w:r>
        <w:rPr>
          <w:rFonts w:cs="Times New Roman"/>
          <w:szCs w:val="24"/>
        </w:rPr>
        <w:t>根据《中国温室气体清单研究》，石灰在我国主要用于建筑、冶金、化工领域，其它领域由于用量较少且无官方统计数据暂不报告。</w:t>
      </w:r>
      <w:r>
        <w:rPr>
          <w:rFonts w:hint="eastAsia" w:cs="Times New Roman"/>
          <w:szCs w:val="24"/>
        </w:rPr>
        <w:t>经调研，益阳市钢铁企业为短流程钢铁企业，生产流程中无炼钢和炼铁环节，不使用石灰。</w:t>
      </w:r>
    </w:p>
    <w:p>
      <w:pPr>
        <w:ind w:firstLine="475" w:firstLineChars="198"/>
        <w:rPr>
          <w:rFonts w:cs="Times New Roman"/>
          <w:szCs w:val="24"/>
        </w:rPr>
      </w:pPr>
      <w:r>
        <w:rPr>
          <w:rFonts w:hint="eastAsia" w:cs="Times New Roman"/>
          <w:szCs w:val="24"/>
        </w:rPr>
        <w:t>通过课题组对化工行业主管部门和行业协会专家的调研后了解到，省内消耗化工石灰的主要是电石行业，造纸行业消耗石灰量较少，制糖和制碱行业不消耗石灰，我省化工行业主要是电石与造纸消耗石灰，益阳市内无电石生产企业，另外，益阳市所有造纸企业已于2019年关停，无造纸行业石灰的使用，因此，本次报告仅对益阳市的建筑石灰进行统计，以此</w:t>
      </w:r>
      <w:r>
        <w:rPr>
          <w:rFonts w:cs="Times New Roman"/>
          <w:szCs w:val="24"/>
        </w:rPr>
        <w:t>来估算石灰产量。</w:t>
      </w:r>
    </w:p>
    <w:p>
      <w:pPr>
        <w:ind w:firstLine="475" w:firstLineChars="198"/>
        <w:rPr>
          <w:rFonts w:cs="Times New Roman"/>
          <w:szCs w:val="24"/>
        </w:rPr>
      </w:pPr>
      <w:r>
        <w:rPr>
          <w:rFonts w:hint="eastAsia" w:cs="Times New Roman"/>
          <w:szCs w:val="24"/>
        </w:rPr>
        <w:t>a）</w:t>
      </w:r>
      <w:r>
        <w:rPr>
          <w:rFonts w:cs="Times New Roman"/>
          <w:szCs w:val="24"/>
        </w:rPr>
        <w:t>建筑石灰</w:t>
      </w:r>
    </w:p>
    <w:p>
      <w:pPr>
        <w:ind w:firstLine="475" w:firstLineChars="198"/>
        <w:rPr>
          <w:rFonts w:cs="Times New Roman"/>
          <w:szCs w:val="24"/>
        </w:rPr>
      </w:pPr>
      <w:r>
        <w:rPr>
          <w:rFonts w:cs="Times New Roman"/>
          <w:szCs w:val="24"/>
        </w:rPr>
        <w:t>根据中国建筑科学研究院的王沨枫博士提供的意见，建筑石灰消耗量可以根据房屋建筑面积乘以每平米刷浆石灰的用量来估算。由于存在统计范围外的房屋建筑施工，实际建筑面积应采用统计数据乘以修正系数1.2。建筑每平米刷浆石灰的用量为8千克。</w:t>
      </w:r>
    </w:p>
    <w:p>
      <w:pPr>
        <w:spacing w:before="0" w:after="0"/>
        <w:ind w:firstLine="480" w:firstLineChars="200"/>
        <w:rPr>
          <w:rFonts w:cs="Times New Roman"/>
          <w:szCs w:val="24"/>
        </w:rPr>
      </w:pPr>
      <w:r>
        <w:rPr>
          <w:rFonts w:cs="Times New Roman"/>
          <w:szCs w:val="24"/>
        </w:rPr>
        <w:t>根据《</w:t>
      </w:r>
      <w:r>
        <w:rPr>
          <w:rFonts w:hint="eastAsia" w:cs="Times New Roman"/>
          <w:szCs w:val="24"/>
        </w:rPr>
        <w:t>益阳市2019年国民经济和社会发展统计公报</w:t>
      </w:r>
      <w:r>
        <w:rPr>
          <w:rFonts w:cs="Times New Roman"/>
          <w:szCs w:val="24"/>
        </w:rPr>
        <w:t>》中提供的</w:t>
      </w:r>
      <w:r>
        <w:rPr>
          <w:rFonts w:hint="eastAsia" w:cs="Times New Roman"/>
          <w:szCs w:val="24"/>
        </w:rPr>
        <w:t>2019</w:t>
      </w:r>
      <w:r>
        <w:rPr>
          <w:rFonts w:cs="Times New Roman"/>
          <w:szCs w:val="24"/>
        </w:rPr>
        <w:t>年</w:t>
      </w:r>
      <w:r>
        <w:rPr>
          <w:rFonts w:hint="eastAsia" w:cs="Times New Roman"/>
          <w:szCs w:val="24"/>
        </w:rPr>
        <w:t>益阳市</w:t>
      </w:r>
      <w:r>
        <w:rPr>
          <w:rFonts w:cs="Times New Roman"/>
          <w:szCs w:val="24"/>
        </w:rPr>
        <w:t>房屋建筑施工面积为</w:t>
      </w:r>
      <w:r>
        <w:rPr>
          <w:rFonts w:hint="eastAsia" w:cs="Times New Roman"/>
          <w:szCs w:val="24"/>
        </w:rPr>
        <w:t>1513.10</w:t>
      </w:r>
      <w:r>
        <w:rPr>
          <w:rFonts w:cs="Times New Roman"/>
          <w:szCs w:val="24"/>
        </w:rPr>
        <w:t>万平方米。</w:t>
      </w:r>
      <w:r>
        <w:rPr>
          <w:rFonts w:hint="eastAsia" w:cs="Times New Roman"/>
          <w:szCs w:val="24"/>
        </w:rPr>
        <w:t>经与益阳市统计局相关科室沟通后发现，统计局发布的益阳市内房屋建筑施工面积包括了市内农村地区的建筑，但不包括农村自建房与非公开买卖的房屋。不包括的部分比例较小，且本报告采用了修正系数1.2，修正后的建筑面积能较完整的体现益阳市城市与农村的情况。</w:t>
      </w:r>
    </w:p>
    <w:p>
      <w:pPr>
        <w:ind w:firstLine="475" w:firstLineChars="198"/>
        <w:rPr>
          <w:rFonts w:cs="Times New Roman"/>
          <w:szCs w:val="24"/>
        </w:rPr>
      </w:pPr>
      <w:r>
        <w:rPr>
          <w:rFonts w:cs="Times New Roman"/>
          <w:szCs w:val="24"/>
        </w:rPr>
        <w:t>建筑石灰消耗量=</w:t>
      </w:r>
      <w:r>
        <w:rPr>
          <w:rFonts w:hint="eastAsia" w:cs="Times New Roman"/>
          <w:szCs w:val="24"/>
        </w:rPr>
        <w:t>1513.1</w:t>
      </w:r>
      <w:r>
        <w:rPr>
          <w:rFonts w:cs="Times New Roman"/>
          <w:szCs w:val="24"/>
        </w:rPr>
        <w:t>×1.2 × 8×</w:t>
      </w:r>
      <w:r>
        <w:rPr>
          <w:rFonts w:hint="eastAsia" w:cs="Times New Roman"/>
          <w:szCs w:val="24"/>
        </w:rPr>
        <w:t>10</w:t>
      </w:r>
      <w:r>
        <w:rPr>
          <w:rFonts w:hint="eastAsia" w:cs="Times New Roman"/>
          <w:szCs w:val="24"/>
          <w:vertAlign w:val="superscript"/>
        </w:rPr>
        <w:t>-3</w:t>
      </w:r>
      <w:r>
        <w:rPr>
          <w:rFonts w:cs="Times New Roman"/>
          <w:szCs w:val="24"/>
        </w:rPr>
        <w:t xml:space="preserve">= </w:t>
      </w:r>
      <w:r>
        <w:rPr>
          <w:rFonts w:hint="eastAsia" w:cs="Times New Roman"/>
          <w:szCs w:val="24"/>
        </w:rPr>
        <w:t>14.53</w:t>
      </w:r>
      <w:r>
        <w:rPr>
          <w:rFonts w:cs="Times New Roman"/>
          <w:szCs w:val="24"/>
        </w:rPr>
        <w:t>万吨</w:t>
      </w:r>
    </w:p>
    <w:p>
      <w:pPr>
        <w:ind w:firstLine="475" w:firstLineChars="198"/>
        <w:rPr>
          <w:rFonts w:cs="Times New Roman"/>
          <w:szCs w:val="24"/>
        </w:rPr>
      </w:pPr>
      <w:r>
        <w:rPr>
          <w:rFonts w:cs="Times New Roman"/>
          <w:szCs w:val="24"/>
        </w:rPr>
        <w:t>由以上数据计算得出，建筑领域石灰消耗量</w:t>
      </w:r>
      <w:r>
        <w:rPr>
          <w:rFonts w:hint="eastAsia" w:cs="Times New Roman"/>
          <w:szCs w:val="24"/>
        </w:rPr>
        <w:t>14.53</w:t>
      </w:r>
      <w:r>
        <w:rPr>
          <w:rFonts w:cs="Times New Roman"/>
          <w:szCs w:val="24"/>
        </w:rPr>
        <w:t>万吨。</w:t>
      </w:r>
    </w:p>
    <w:p>
      <w:pPr>
        <w:spacing w:before="0" w:after="0"/>
        <w:ind w:firstLine="480" w:firstLineChars="200"/>
        <w:rPr>
          <w:rFonts w:cs="Times New Roman"/>
          <w:szCs w:val="24"/>
        </w:rPr>
      </w:pPr>
      <w:r>
        <w:rPr>
          <w:rFonts w:cs="Times New Roman"/>
          <w:szCs w:val="24"/>
        </w:rPr>
        <w:t>综上，201</w:t>
      </w:r>
      <w:r>
        <w:rPr>
          <w:rFonts w:hint="eastAsia" w:cs="Times New Roman"/>
          <w:szCs w:val="24"/>
        </w:rPr>
        <w:t>9年益阳市</w:t>
      </w:r>
      <w:r>
        <w:rPr>
          <w:rFonts w:cs="Times New Roman"/>
          <w:szCs w:val="24"/>
        </w:rPr>
        <w:t>建筑石灰消耗</w:t>
      </w:r>
      <w:r>
        <w:rPr>
          <w:rFonts w:hint="eastAsia" w:cs="Times New Roman"/>
          <w:szCs w:val="24"/>
        </w:rPr>
        <w:t>14.53</w:t>
      </w:r>
      <w:r>
        <w:rPr>
          <w:rFonts w:cs="Times New Roman"/>
          <w:szCs w:val="24"/>
        </w:rPr>
        <w:t>万吨。以此推断出20</w:t>
      </w:r>
      <w:r>
        <w:rPr>
          <w:rFonts w:hint="eastAsia" w:cs="Times New Roman"/>
          <w:szCs w:val="24"/>
        </w:rPr>
        <w:t>19年益阳市</w:t>
      </w:r>
      <w:r>
        <w:rPr>
          <w:rFonts w:cs="Times New Roman"/>
          <w:szCs w:val="24"/>
        </w:rPr>
        <w:t>石灰年产量为</w:t>
      </w:r>
      <w:r>
        <w:rPr>
          <w:rFonts w:hint="eastAsia" w:cs="Times New Roman"/>
          <w:szCs w:val="24"/>
        </w:rPr>
        <w:t>14.53</w:t>
      </w:r>
      <w:r>
        <w:rPr>
          <w:rFonts w:cs="Times New Roman"/>
          <w:szCs w:val="24"/>
        </w:rPr>
        <w:t>万吨。</w:t>
      </w:r>
    </w:p>
    <w:p>
      <w:pPr>
        <w:spacing w:before="0" w:after="0"/>
        <w:ind w:firstLine="480" w:firstLineChars="200"/>
      </w:pPr>
      <w:r>
        <w:rPr>
          <w:rFonts w:hint="eastAsia"/>
        </w:rPr>
        <w:t>（2）排放因子</w:t>
      </w:r>
    </w:p>
    <w:p>
      <w:pPr>
        <w:ind w:firstLine="480" w:firstLineChars="200"/>
      </w:pPr>
      <w:r>
        <w:rPr>
          <w:rFonts w:cs="Times New Roman"/>
          <w:szCs w:val="24"/>
        </w:rPr>
        <w:t>石灰生产过程排放因子采用</w:t>
      </w:r>
      <w:r>
        <w:rPr>
          <w:rFonts w:hint="eastAsia" w:cs="Times New Roman"/>
          <w:szCs w:val="24"/>
        </w:rPr>
        <w:t>指南</w:t>
      </w:r>
      <w:r>
        <w:rPr>
          <w:rFonts w:cs="Times New Roman"/>
          <w:szCs w:val="24"/>
        </w:rPr>
        <w:t>推荐值，0.683吨二氧化碳/吨石灰</w:t>
      </w:r>
      <w:r>
        <w:t>。</w:t>
      </w:r>
    </w:p>
    <w:p>
      <w:pPr>
        <w:pStyle w:val="4"/>
      </w:pPr>
      <w:bookmarkStart w:id="105" w:name="_Toc51939030"/>
      <w:bookmarkStart w:id="106" w:name="_Toc52177392"/>
      <w:bookmarkStart w:id="107" w:name="_Toc54097656"/>
      <w:bookmarkStart w:id="108" w:name="_Toc53827515"/>
      <w:bookmarkStart w:id="109" w:name="_Toc12799"/>
      <w:bookmarkStart w:id="110" w:name="_Toc55311741"/>
      <w:r>
        <w:rPr>
          <w:rFonts w:hint="eastAsia"/>
        </w:rPr>
        <w:t>电力设备生产过程</w:t>
      </w:r>
      <w:bookmarkEnd w:id="105"/>
      <w:bookmarkEnd w:id="106"/>
      <w:bookmarkEnd w:id="107"/>
      <w:bookmarkEnd w:id="108"/>
      <w:bookmarkEnd w:id="109"/>
      <w:bookmarkEnd w:id="110"/>
    </w:p>
    <w:p>
      <w:pPr>
        <w:spacing w:before="0" w:after="0"/>
        <w:ind w:firstLine="480" w:firstLineChars="200"/>
      </w:pPr>
      <w:r>
        <w:rPr>
          <w:rFonts w:hint="eastAsia"/>
        </w:rPr>
        <w:t>（1）活动水平数据</w:t>
      </w:r>
    </w:p>
    <w:p>
      <w:pPr>
        <w:ind w:firstLine="475" w:firstLineChars="198"/>
        <w:rPr>
          <w:rFonts w:cs="Times New Roman"/>
          <w:szCs w:val="24"/>
        </w:rPr>
      </w:pPr>
      <w:r>
        <w:rPr>
          <w:rFonts w:cs="Times New Roman"/>
          <w:szCs w:val="24"/>
        </w:rPr>
        <w:t>本报告采用典型调查方法获得</w:t>
      </w:r>
      <w:r>
        <w:rPr>
          <w:rFonts w:hint="eastAsia" w:cs="Times New Roman"/>
          <w:szCs w:val="24"/>
        </w:rPr>
        <w:t>益阳市</w:t>
      </w:r>
      <w:r>
        <w:rPr>
          <w:rFonts w:cs="Times New Roman"/>
          <w:szCs w:val="24"/>
        </w:rPr>
        <w:t>电力设备生产和安装环节六氟化硫使用量，作为电力设备生产过程的活动水平数据。</w:t>
      </w:r>
    </w:p>
    <w:p>
      <w:pPr>
        <w:spacing w:before="0" w:after="0"/>
        <w:ind w:firstLine="480" w:firstLineChars="200"/>
      </w:pPr>
      <w:r>
        <w:rPr>
          <w:rFonts w:hint="eastAsia" w:cs="Times New Roman"/>
          <w:szCs w:val="24"/>
        </w:rPr>
        <w:t>益阳市</w:t>
      </w:r>
      <w:r>
        <w:rPr>
          <w:rFonts w:cs="Times New Roman"/>
          <w:szCs w:val="24"/>
        </w:rPr>
        <w:t>电力设备生产企业主要产品为六氟化硫</w:t>
      </w:r>
      <w:r>
        <w:rPr>
          <w:rFonts w:hint="eastAsia" w:cs="Times New Roman"/>
          <w:szCs w:val="24"/>
        </w:rPr>
        <w:t>高压</w:t>
      </w:r>
      <w:r>
        <w:rPr>
          <w:rFonts w:cs="Times New Roman"/>
          <w:szCs w:val="24"/>
        </w:rPr>
        <w:t>环网柜。因此，本报告将上述设备生产企业的六氟化硫使用量作为</w:t>
      </w:r>
      <w:r>
        <w:rPr>
          <w:rFonts w:hint="eastAsia" w:cs="Times New Roman"/>
          <w:szCs w:val="24"/>
        </w:rPr>
        <w:t>益阳市</w:t>
      </w:r>
      <w:r>
        <w:rPr>
          <w:rFonts w:cs="Times New Roman"/>
          <w:szCs w:val="24"/>
        </w:rPr>
        <w:t>电力设备生产过程中六氟化硫排放的活动水平数据。通过咨询</w:t>
      </w:r>
      <w:r>
        <w:rPr>
          <w:rFonts w:hint="eastAsia" w:cs="Times New Roman"/>
          <w:szCs w:val="24"/>
        </w:rPr>
        <w:t>益阳市工业和信息化局</w:t>
      </w:r>
      <w:r>
        <w:rPr>
          <w:rFonts w:cs="Times New Roman"/>
          <w:szCs w:val="24"/>
        </w:rPr>
        <w:t>相关</w:t>
      </w:r>
      <w:r>
        <w:rPr>
          <w:rFonts w:hint="eastAsia" w:cs="Times New Roman"/>
          <w:szCs w:val="24"/>
        </w:rPr>
        <w:t>科</w:t>
      </w:r>
      <w:r>
        <w:rPr>
          <w:rFonts w:cs="Times New Roman"/>
          <w:szCs w:val="24"/>
        </w:rPr>
        <w:t>室、生产企业和行业专家后了解到，</w:t>
      </w:r>
      <w:r>
        <w:rPr>
          <w:rFonts w:hint="eastAsia" w:cs="Times New Roman"/>
          <w:szCs w:val="24"/>
        </w:rPr>
        <w:t>益阳市</w:t>
      </w:r>
      <w:r>
        <w:rPr>
          <w:rFonts w:cs="Times New Roman"/>
          <w:szCs w:val="24"/>
        </w:rPr>
        <w:t>使用六氟化硫的电力设备生产企业</w:t>
      </w:r>
      <w:r>
        <w:rPr>
          <w:rFonts w:hint="eastAsia" w:cs="Times New Roman"/>
          <w:szCs w:val="24"/>
        </w:rPr>
        <w:t>有华翔翔能科技股份有限公司，使用量为1.85t。</w:t>
      </w:r>
      <w:r>
        <w:rPr>
          <w:rFonts w:cs="Times New Roman"/>
          <w:szCs w:val="24"/>
        </w:rPr>
        <w:t>该数据为</w:t>
      </w:r>
      <w:r>
        <w:rPr>
          <w:rFonts w:hint="eastAsia" w:cs="Times New Roman"/>
          <w:szCs w:val="24"/>
        </w:rPr>
        <w:t>益阳市</w:t>
      </w:r>
      <w:r>
        <w:rPr>
          <w:rFonts w:cs="Times New Roman"/>
          <w:szCs w:val="24"/>
        </w:rPr>
        <w:t>电力设备生产过程活动水平数据。</w:t>
      </w:r>
    </w:p>
    <w:p>
      <w:pPr>
        <w:spacing w:before="0" w:after="0"/>
        <w:ind w:firstLine="480" w:firstLineChars="200"/>
      </w:pPr>
      <w:r>
        <w:rPr>
          <w:rFonts w:hint="eastAsia"/>
        </w:rPr>
        <w:t>（2）排放因子</w:t>
      </w:r>
    </w:p>
    <w:p>
      <w:pPr>
        <w:ind w:firstLine="480" w:firstLineChars="200"/>
        <w:rPr>
          <w:rFonts w:cs="Times New Roman"/>
          <w:szCs w:val="24"/>
        </w:rPr>
      </w:pPr>
      <w:r>
        <w:rPr>
          <w:rFonts w:cs="Times New Roman"/>
          <w:szCs w:val="24"/>
        </w:rPr>
        <w:t>排放因子选取</w:t>
      </w:r>
      <w:r>
        <w:rPr>
          <w:rFonts w:hint="eastAsia" w:cs="Times New Roman"/>
          <w:szCs w:val="24"/>
        </w:rPr>
        <w:t>指南</w:t>
      </w:r>
      <w:r>
        <w:rPr>
          <w:rFonts w:cs="Times New Roman"/>
          <w:szCs w:val="24"/>
        </w:rPr>
        <w:t>中的推荐值8.6%。</w:t>
      </w:r>
    </w:p>
    <w:p>
      <w:pPr>
        <w:pStyle w:val="3"/>
      </w:pPr>
      <w:bookmarkStart w:id="111" w:name="_Toc27602"/>
      <w:r>
        <w:rPr>
          <w:rFonts w:hint="eastAsia"/>
        </w:rPr>
        <w:t>排放清单</w:t>
      </w:r>
      <w:bookmarkEnd w:id="111"/>
    </w:p>
    <w:p>
      <w:pPr>
        <w:pStyle w:val="4"/>
      </w:pPr>
      <w:bookmarkStart w:id="112" w:name="_Toc51939032"/>
      <w:bookmarkStart w:id="113" w:name="_Toc52177394"/>
      <w:bookmarkStart w:id="114" w:name="_Toc55311743"/>
      <w:bookmarkStart w:id="115" w:name="_Toc15587"/>
      <w:bookmarkStart w:id="116" w:name="_Toc53827517"/>
      <w:bookmarkStart w:id="117" w:name="_Toc54097658"/>
      <w:r>
        <w:rPr>
          <w:rFonts w:hint="eastAsia"/>
        </w:rPr>
        <w:t>工业生产过程总体情况</w:t>
      </w:r>
      <w:bookmarkEnd w:id="112"/>
      <w:bookmarkEnd w:id="113"/>
      <w:bookmarkEnd w:id="114"/>
      <w:bookmarkEnd w:id="115"/>
      <w:bookmarkEnd w:id="116"/>
      <w:bookmarkEnd w:id="117"/>
    </w:p>
    <w:p>
      <w:pPr>
        <w:ind w:firstLine="480" w:firstLineChars="200"/>
        <w:rPr>
          <w:rFonts w:cs="Times New Roman"/>
          <w:szCs w:val="24"/>
        </w:rPr>
      </w:pPr>
      <w:r>
        <w:rPr>
          <w:rFonts w:hint="eastAsia"/>
        </w:rPr>
        <w:t>根据指南要求，工业生产过程各部门温室气体排放清单见</w:t>
      </w:r>
      <w:r>
        <w:fldChar w:fldCharType="begin"/>
      </w:r>
      <w:r>
        <w:instrText xml:space="preserve"> </w:instrText>
      </w:r>
      <w:r>
        <w:rPr>
          <w:rFonts w:hint="eastAsia"/>
        </w:rPr>
        <w:instrText xml:space="preserve">REF _Ref51166995 \h</w:instrText>
      </w:r>
      <w:r>
        <w:instrText xml:space="preserve"> </w:instrText>
      </w:r>
      <w:r>
        <w:fldChar w:fldCharType="separate"/>
      </w:r>
      <w:r>
        <w:rPr>
          <w:rFonts w:hint="eastAsia"/>
        </w:rPr>
        <w:t xml:space="preserve">表 </w:t>
      </w:r>
      <w:r>
        <w:t>3</w:t>
      </w:r>
      <w:r>
        <w:noBreakHyphen/>
      </w:r>
      <w:r>
        <w:t>1</w:t>
      </w:r>
      <w:r>
        <w:fldChar w:fldCharType="end"/>
      </w:r>
      <w:r>
        <w:rPr>
          <w:rFonts w:hint="eastAsia"/>
        </w:rPr>
        <w:t>所示，2019年益阳市工业生产过程温室气体排放量为241.26万吨二氧化碳当量。</w:t>
      </w:r>
    </w:p>
    <w:p>
      <w:pPr>
        <w:spacing w:before="0" w:after="0"/>
        <w:rPr>
          <w:rFonts w:cs="Times New Roman"/>
          <w:szCs w:val="24"/>
        </w:rPr>
        <w:sectPr>
          <w:footerReference r:id="rId6" w:type="default"/>
          <w:pgSz w:w="11906" w:h="16838"/>
          <w:pgMar w:top="1440" w:right="1797" w:bottom="1440" w:left="1797" w:header="851" w:footer="992" w:gutter="0"/>
          <w:pgNumType w:fmt="decimal" w:start="1"/>
          <w:cols w:space="425" w:num="1"/>
          <w:docGrid w:type="lines" w:linePitch="312" w:charSpace="0"/>
        </w:sectPr>
      </w:pPr>
    </w:p>
    <w:p>
      <w:pPr>
        <w:spacing w:before="0" w:after="0"/>
        <w:ind w:firstLine="475" w:firstLineChars="198"/>
      </w:pPr>
    </w:p>
    <w:p>
      <w:pPr>
        <w:pStyle w:val="12"/>
      </w:pPr>
      <w:bookmarkStart w:id="118" w:name="_Ref51166995"/>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1</w:t>
      </w:r>
      <w:r>
        <w:fldChar w:fldCharType="end"/>
      </w:r>
      <w:bookmarkEnd w:id="118"/>
      <w:r>
        <w:rPr>
          <w:rFonts w:hint="eastAsia"/>
        </w:rPr>
        <w:t>益阳市工业生产过程温室气体排放清单</w:t>
      </w:r>
    </w:p>
    <w:tbl>
      <w:tblPr>
        <w:tblStyle w:val="25"/>
        <w:tblW w:w="14367" w:type="dxa"/>
        <w:tblInd w:w="-318" w:type="dxa"/>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shd w:val="clear" w:color="auto" w:fill="FFFFFF" w:themeFill="background1"/>
        <w:tblLayout w:type="fixed"/>
        <w:tblCellMar>
          <w:top w:w="0" w:type="dxa"/>
          <w:left w:w="108" w:type="dxa"/>
          <w:bottom w:w="0" w:type="dxa"/>
          <w:right w:w="108" w:type="dxa"/>
        </w:tblCellMar>
      </w:tblPr>
      <w:tblGrid>
        <w:gridCol w:w="1702"/>
        <w:gridCol w:w="992"/>
        <w:gridCol w:w="792"/>
        <w:gridCol w:w="705"/>
        <w:gridCol w:w="782"/>
        <w:gridCol w:w="782"/>
        <w:gridCol w:w="939"/>
        <w:gridCol w:w="782"/>
        <w:gridCol w:w="782"/>
        <w:gridCol w:w="782"/>
        <w:gridCol w:w="781"/>
        <w:gridCol w:w="788"/>
        <w:gridCol w:w="782"/>
        <w:gridCol w:w="940"/>
        <w:gridCol w:w="941"/>
        <w:gridCol w:w="1095"/>
      </w:tblGrid>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shd w:val="clear" w:color="auto" w:fill="FFFFFF" w:themeFill="background1"/>
          <w:tblCellMar>
            <w:top w:w="0" w:type="dxa"/>
            <w:left w:w="108" w:type="dxa"/>
            <w:bottom w:w="0" w:type="dxa"/>
            <w:right w:w="108" w:type="dxa"/>
          </w:tblCellMar>
        </w:tblPrEx>
        <w:trPr>
          <w:trHeight w:val="284" w:hRule="atLeast"/>
          <w:tblHeader/>
        </w:trPr>
        <w:tc>
          <w:tcPr>
            <w:tcW w:w="1702" w:type="dxa"/>
            <w:vMerge w:val="restart"/>
            <w:tcBorders>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部门</w:t>
            </w:r>
          </w:p>
        </w:tc>
        <w:tc>
          <w:tcPr>
            <w:tcW w:w="992" w:type="dxa"/>
            <w:vMerge w:val="restart"/>
            <w:tcBorders>
              <w:left w:val="nil"/>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CO</w:t>
            </w:r>
            <w:r>
              <w:rPr>
                <w:rFonts w:cs="Times New Roman"/>
                <w:kern w:val="0"/>
                <w:sz w:val="18"/>
                <w:szCs w:val="18"/>
                <w:vertAlign w:val="subscript"/>
              </w:rPr>
              <w:t>2</w:t>
            </w:r>
          </w:p>
        </w:tc>
        <w:tc>
          <w:tcPr>
            <w:tcW w:w="792" w:type="dxa"/>
            <w:vMerge w:val="restart"/>
            <w:tcBorders>
              <w:left w:val="nil"/>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N</w:t>
            </w:r>
            <w:r>
              <w:rPr>
                <w:rFonts w:cs="Times New Roman"/>
                <w:kern w:val="0"/>
                <w:sz w:val="18"/>
                <w:szCs w:val="18"/>
                <w:vertAlign w:val="subscript"/>
              </w:rPr>
              <w:t>2</w:t>
            </w:r>
            <w:r>
              <w:rPr>
                <w:rFonts w:cs="Times New Roman"/>
                <w:kern w:val="0"/>
                <w:sz w:val="18"/>
                <w:szCs w:val="18"/>
              </w:rPr>
              <w:t>O</w:t>
            </w:r>
          </w:p>
        </w:tc>
        <w:tc>
          <w:tcPr>
            <w:tcW w:w="7123" w:type="dxa"/>
            <w:gridSpan w:val="9"/>
            <w:tcBorders>
              <w:left w:val="nil"/>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HFC</w:t>
            </w:r>
          </w:p>
        </w:tc>
        <w:tc>
          <w:tcPr>
            <w:tcW w:w="1722" w:type="dxa"/>
            <w:gridSpan w:val="2"/>
            <w:tcBorders>
              <w:left w:val="nil"/>
              <w:bottom w:val="nil"/>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PFC</w:t>
            </w:r>
          </w:p>
        </w:tc>
        <w:tc>
          <w:tcPr>
            <w:tcW w:w="941" w:type="dxa"/>
            <w:vMerge w:val="restart"/>
            <w:tcBorders>
              <w:left w:val="nil"/>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SF</w:t>
            </w:r>
            <w:r>
              <w:rPr>
                <w:rFonts w:cs="Times New Roman"/>
                <w:kern w:val="0"/>
                <w:sz w:val="18"/>
                <w:szCs w:val="18"/>
                <w:vertAlign w:val="subscript"/>
              </w:rPr>
              <w:t>6</w:t>
            </w:r>
          </w:p>
        </w:tc>
        <w:tc>
          <w:tcPr>
            <w:tcW w:w="1095" w:type="dxa"/>
            <w:vMerge w:val="restart"/>
            <w:tcBorders>
              <w:lef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CO</w:t>
            </w:r>
            <w:r>
              <w:rPr>
                <w:rFonts w:cs="Times New Roman"/>
                <w:kern w:val="0"/>
                <w:sz w:val="18"/>
                <w:szCs w:val="18"/>
                <w:vertAlign w:val="subscript"/>
              </w:rPr>
              <w:t>2</w:t>
            </w:r>
            <w:r>
              <w:rPr>
                <w:rFonts w:cs="Times New Roman"/>
                <w:kern w:val="0"/>
                <w:sz w:val="18"/>
                <w:szCs w:val="18"/>
              </w:rPr>
              <w:t>当量</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shd w:val="clear" w:color="auto" w:fill="FFFFFF" w:themeFill="background1"/>
          <w:tblCellMar>
            <w:top w:w="0" w:type="dxa"/>
            <w:left w:w="108" w:type="dxa"/>
            <w:bottom w:w="0" w:type="dxa"/>
            <w:right w:w="108" w:type="dxa"/>
          </w:tblCellMar>
        </w:tblPrEx>
        <w:trPr>
          <w:trHeight w:val="284" w:hRule="atLeast"/>
          <w:tblHeader/>
        </w:trPr>
        <w:tc>
          <w:tcPr>
            <w:tcW w:w="1702" w:type="dxa"/>
            <w:vMerge w:val="continue"/>
            <w:tcBorders>
              <w:right w:val="nil"/>
            </w:tcBorders>
            <w:shd w:val="clear" w:color="auto" w:fill="FFFFFF" w:themeFill="background1"/>
            <w:vAlign w:val="center"/>
          </w:tcPr>
          <w:p>
            <w:pPr>
              <w:widowControl/>
              <w:spacing w:before="0" w:after="0" w:line="240" w:lineRule="auto"/>
              <w:jc w:val="center"/>
              <w:rPr>
                <w:rFonts w:cs="Times New Roman"/>
                <w:kern w:val="0"/>
                <w:sz w:val="18"/>
                <w:szCs w:val="18"/>
              </w:rPr>
            </w:pPr>
          </w:p>
        </w:tc>
        <w:tc>
          <w:tcPr>
            <w:tcW w:w="992" w:type="dxa"/>
            <w:vMerge w:val="continue"/>
            <w:tcBorders>
              <w:left w:val="nil"/>
              <w:bottom w:val="nil"/>
              <w:right w:val="nil"/>
            </w:tcBorders>
            <w:shd w:val="clear" w:color="auto" w:fill="FFFFFF" w:themeFill="background1"/>
            <w:vAlign w:val="center"/>
          </w:tcPr>
          <w:p>
            <w:pPr>
              <w:widowControl/>
              <w:spacing w:before="0" w:after="0" w:line="240" w:lineRule="auto"/>
              <w:jc w:val="center"/>
              <w:rPr>
                <w:rFonts w:cs="Times New Roman"/>
                <w:kern w:val="0"/>
                <w:sz w:val="18"/>
                <w:szCs w:val="18"/>
              </w:rPr>
            </w:pPr>
          </w:p>
        </w:tc>
        <w:tc>
          <w:tcPr>
            <w:tcW w:w="792" w:type="dxa"/>
            <w:vMerge w:val="continue"/>
            <w:tcBorders>
              <w:left w:val="nil"/>
              <w:bottom w:val="nil"/>
              <w:right w:val="nil"/>
            </w:tcBorders>
            <w:shd w:val="clear" w:color="auto" w:fill="FFFFFF" w:themeFill="background1"/>
            <w:vAlign w:val="center"/>
          </w:tcPr>
          <w:p>
            <w:pPr>
              <w:widowControl/>
              <w:spacing w:before="0" w:after="0" w:line="240" w:lineRule="auto"/>
              <w:jc w:val="center"/>
              <w:rPr>
                <w:rFonts w:cs="Times New Roman"/>
                <w:kern w:val="0"/>
                <w:sz w:val="18"/>
                <w:szCs w:val="18"/>
              </w:rPr>
            </w:pPr>
          </w:p>
        </w:tc>
        <w:tc>
          <w:tcPr>
            <w:tcW w:w="705" w:type="dxa"/>
            <w:tcBorders>
              <w:left w:val="nil"/>
              <w:bottom w:val="nil"/>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HFC-23</w:t>
            </w:r>
          </w:p>
        </w:tc>
        <w:tc>
          <w:tcPr>
            <w:tcW w:w="782" w:type="dxa"/>
            <w:tcBorders>
              <w:left w:val="nil"/>
              <w:bottom w:val="nil"/>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HFC-32</w:t>
            </w:r>
          </w:p>
        </w:tc>
        <w:tc>
          <w:tcPr>
            <w:tcW w:w="782" w:type="dxa"/>
            <w:tcBorders>
              <w:left w:val="nil"/>
              <w:bottom w:val="nil"/>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HFC-125</w:t>
            </w:r>
          </w:p>
        </w:tc>
        <w:tc>
          <w:tcPr>
            <w:tcW w:w="939" w:type="dxa"/>
            <w:tcBorders>
              <w:left w:val="nil"/>
              <w:bottom w:val="nil"/>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HFC-134a</w:t>
            </w:r>
          </w:p>
        </w:tc>
        <w:tc>
          <w:tcPr>
            <w:tcW w:w="782" w:type="dxa"/>
            <w:tcBorders>
              <w:left w:val="nil"/>
              <w:bottom w:val="nil"/>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HFC-143a</w:t>
            </w:r>
          </w:p>
        </w:tc>
        <w:tc>
          <w:tcPr>
            <w:tcW w:w="782" w:type="dxa"/>
            <w:tcBorders>
              <w:left w:val="nil"/>
              <w:bottom w:val="nil"/>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HFC-152a</w:t>
            </w:r>
          </w:p>
        </w:tc>
        <w:tc>
          <w:tcPr>
            <w:tcW w:w="782" w:type="dxa"/>
            <w:tcBorders>
              <w:left w:val="nil"/>
              <w:bottom w:val="nil"/>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HFC-227ea</w:t>
            </w:r>
          </w:p>
        </w:tc>
        <w:tc>
          <w:tcPr>
            <w:tcW w:w="781" w:type="dxa"/>
            <w:tcBorders>
              <w:left w:val="nil"/>
              <w:bottom w:val="nil"/>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HFC-236fa</w:t>
            </w:r>
          </w:p>
        </w:tc>
        <w:tc>
          <w:tcPr>
            <w:tcW w:w="788" w:type="dxa"/>
            <w:tcBorders>
              <w:left w:val="nil"/>
              <w:bottom w:val="nil"/>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HFC-245fa</w:t>
            </w:r>
          </w:p>
        </w:tc>
        <w:tc>
          <w:tcPr>
            <w:tcW w:w="782" w:type="dxa"/>
            <w:tcBorders>
              <w:top w:val="nil"/>
              <w:left w:val="nil"/>
              <w:bottom w:val="nil"/>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CF4</w:t>
            </w:r>
          </w:p>
        </w:tc>
        <w:tc>
          <w:tcPr>
            <w:tcW w:w="940" w:type="dxa"/>
            <w:tcBorders>
              <w:top w:val="nil"/>
              <w:left w:val="nil"/>
              <w:bottom w:val="nil"/>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C</w:t>
            </w:r>
            <w:r>
              <w:rPr>
                <w:rFonts w:cs="Times New Roman"/>
                <w:kern w:val="0"/>
                <w:sz w:val="18"/>
                <w:szCs w:val="18"/>
                <w:vertAlign w:val="subscript"/>
              </w:rPr>
              <w:t>2</w:t>
            </w:r>
            <w:r>
              <w:rPr>
                <w:rFonts w:cs="Times New Roman"/>
                <w:kern w:val="0"/>
                <w:sz w:val="18"/>
                <w:szCs w:val="18"/>
              </w:rPr>
              <w:t>F</w:t>
            </w:r>
            <w:r>
              <w:rPr>
                <w:rFonts w:cs="Times New Roman"/>
                <w:kern w:val="0"/>
                <w:sz w:val="18"/>
                <w:szCs w:val="18"/>
                <w:vertAlign w:val="subscript"/>
              </w:rPr>
              <w:t>6</w:t>
            </w:r>
          </w:p>
        </w:tc>
        <w:tc>
          <w:tcPr>
            <w:tcW w:w="941" w:type="dxa"/>
            <w:vMerge w:val="continue"/>
            <w:tcBorders>
              <w:left w:val="nil"/>
              <w:bottom w:val="nil"/>
              <w:right w:val="nil"/>
            </w:tcBorders>
            <w:shd w:val="clear" w:color="auto" w:fill="FFFFFF" w:themeFill="background1"/>
            <w:vAlign w:val="center"/>
          </w:tcPr>
          <w:p>
            <w:pPr>
              <w:widowControl/>
              <w:spacing w:before="0" w:after="0" w:line="240" w:lineRule="auto"/>
              <w:jc w:val="center"/>
              <w:rPr>
                <w:rFonts w:cs="Times New Roman"/>
                <w:kern w:val="0"/>
                <w:sz w:val="18"/>
                <w:szCs w:val="18"/>
              </w:rPr>
            </w:pPr>
          </w:p>
        </w:tc>
        <w:tc>
          <w:tcPr>
            <w:tcW w:w="1095" w:type="dxa"/>
            <w:vMerge w:val="continue"/>
            <w:tcBorders>
              <w:left w:val="nil"/>
              <w:bottom w:val="nil"/>
            </w:tcBorders>
            <w:shd w:val="clear" w:color="auto" w:fill="FFFFFF" w:themeFill="background1"/>
            <w:vAlign w:val="center"/>
          </w:tcPr>
          <w:p>
            <w:pPr>
              <w:widowControl/>
              <w:spacing w:before="0" w:after="0" w:line="240" w:lineRule="auto"/>
              <w:jc w:val="center"/>
              <w:rPr>
                <w:rFonts w:cs="Times New Roman"/>
                <w:kern w:val="0"/>
                <w:sz w:val="18"/>
                <w:szCs w:val="18"/>
              </w:rPr>
            </w:pP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shd w:val="clear" w:color="auto" w:fill="FFFFFF" w:themeFill="background1"/>
          <w:tblCellMar>
            <w:top w:w="0" w:type="dxa"/>
            <w:left w:w="108" w:type="dxa"/>
            <w:bottom w:w="0" w:type="dxa"/>
            <w:right w:w="108" w:type="dxa"/>
          </w:tblCellMar>
        </w:tblPrEx>
        <w:trPr>
          <w:trHeight w:val="284" w:hRule="atLeast"/>
          <w:tblHeader/>
        </w:trPr>
        <w:tc>
          <w:tcPr>
            <w:tcW w:w="1702" w:type="dxa"/>
            <w:vMerge w:val="continue"/>
            <w:tcBorders>
              <w:bottom w:val="single" w:color="000000" w:sz="4" w:space="0"/>
              <w:right w:val="nil"/>
            </w:tcBorders>
            <w:shd w:val="clear" w:color="auto" w:fill="FFFFFF" w:themeFill="background1"/>
            <w:vAlign w:val="center"/>
          </w:tcPr>
          <w:p>
            <w:pPr>
              <w:widowControl/>
              <w:spacing w:before="0" w:after="0" w:line="240" w:lineRule="auto"/>
              <w:jc w:val="center"/>
              <w:rPr>
                <w:rFonts w:cs="Times New Roman"/>
                <w:kern w:val="0"/>
                <w:sz w:val="18"/>
                <w:szCs w:val="18"/>
              </w:rPr>
            </w:pPr>
          </w:p>
        </w:tc>
        <w:tc>
          <w:tcPr>
            <w:tcW w:w="992" w:type="dxa"/>
            <w:tcBorders>
              <w:top w:val="nil"/>
              <w:left w:val="nil"/>
              <w:bottom w:val="single" w:color="000000" w:sz="4" w:space="0"/>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（万吨）</w:t>
            </w:r>
          </w:p>
        </w:tc>
        <w:tc>
          <w:tcPr>
            <w:tcW w:w="792" w:type="dxa"/>
            <w:tcBorders>
              <w:top w:val="nil"/>
              <w:left w:val="nil"/>
              <w:bottom w:val="single" w:color="000000" w:sz="4" w:space="0"/>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（吨）</w:t>
            </w:r>
          </w:p>
        </w:tc>
        <w:tc>
          <w:tcPr>
            <w:tcW w:w="705" w:type="dxa"/>
            <w:tcBorders>
              <w:top w:val="nil"/>
              <w:left w:val="nil"/>
              <w:bottom w:val="single" w:color="000000" w:sz="4" w:space="0"/>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(吨)</w:t>
            </w:r>
          </w:p>
        </w:tc>
        <w:tc>
          <w:tcPr>
            <w:tcW w:w="782" w:type="dxa"/>
            <w:tcBorders>
              <w:top w:val="nil"/>
              <w:left w:val="nil"/>
              <w:bottom w:val="single" w:color="000000" w:sz="4" w:space="0"/>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(吨)</w:t>
            </w:r>
          </w:p>
        </w:tc>
        <w:tc>
          <w:tcPr>
            <w:tcW w:w="782" w:type="dxa"/>
            <w:tcBorders>
              <w:top w:val="nil"/>
              <w:left w:val="nil"/>
              <w:bottom w:val="single" w:color="000000" w:sz="4" w:space="0"/>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(吨)</w:t>
            </w:r>
          </w:p>
        </w:tc>
        <w:tc>
          <w:tcPr>
            <w:tcW w:w="939" w:type="dxa"/>
            <w:tcBorders>
              <w:top w:val="nil"/>
              <w:left w:val="nil"/>
              <w:bottom w:val="single" w:color="000000" w:sz="4" w:space="0"/>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(吨)</w:t>
            </w:r>
          </w:p>
        </w:tc>
        <w:tc>
          <w:tcPr>
            <w:tcW w:w="782" w:type="dxa"/>
            <w:tcBorders>
              <w:top w:val="nil"/>
              <w:left w:val="nil"/>
              <w:bottom w:val="single" w:color="000000" w:sz="4" w:space="0"/>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(吨)</w:t>
            </w:r>
          </w:p>
        </w:tc>
        <w:tc>
          <w:tcPr>
            <w:tcW w:w="782" w:type="dxa"/>
            <w:tcBorders>
              <w:top w:val="nil"/>
              <w:left w:val="nil"/>
              <w:bottom w:val="single" w:color="000000" w:sz="4" w:space="0"/>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(吨)</w:t>
            </w:r>
          </w:p>
        </w:tc>
        <w:tc>
          <w:tcPr>
            <w:tcW w:w="782" w:type="dxa"/>
            <w:tcBorders>
              <w:top w:val="nil"/>
              <w:left w:val="nil"/>
              <w:bottom w:val="single" w:color="000000" w:sz="4" w:space="0"/>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(吨)</w:t>
            </w:r>
          </w:p>
        </w:tc>
        <w:tc>
          <w:tcPr>
            <w:tcW w:w="781" w:type="dxa"/>
            <w:tcBorders>
              <w:top w:val="nil"/>
              <w:left w:val="nil"/>
              <w:bottom w:val="single" w:color="000000" w:sz="4" w:space="0"/>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(吨)</w:t>
            </w:r>
          </w:p>
        </w:tc>
        <w:tc>
          <w:tcPr>
            <w:tcW w:w="788" w:type="dxa"/>
            <w:tcBorders>
              <w:top w:val="nil"/>
              <w:left w:val="nil"/>
              <w:bottom w:val="single" w:color="000000" w:sz="4" w:space="0"/>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(吨)</w:t>
            </w:r>
          </w:p>
        </w:tc>
        <w:tc>
          <w:tcPr>
            <w:tcW w:w="782" w:type="dxa"/>
            <w:tcBorders>
              <w:top w:val="nil"/>
              <w:left w:val="nil"/>
              <w:bottom w:val="single" w:color="000000" w:sz="4" w:space="0"/>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（吨）</w:t>
            </w:r>
          </w:p>
        </w:tc>
        <w:tc>
          <w:tcPr>
            <w:tcW w:w="940" w:type="dxa"/>
            <w:tcBorders>
              <w:top w:val="nil"/>
              <w:left w:val="nil"/>
              <w:bottom w:val="single" w:color="000000" w:sz="4" w:space="0"/>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（吨）</w:t>
            </w:r>
          </w:p>
        </w:tc>
        <w:tc>
          <w:tcPr>
            <w:tcW w:w="941" w:type="dxa"/>
            <w:tcBorders>
              <w:top w:val="nil"/>
              <w:left w:val="nil"/>
              <w:bottom w:val="single" w:color="000000" w:sz="4" w:space="0"/>
              <w:right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（吨）</w:t>
            </w:r>
          </w:p>
        </w:tc>
        <w:tc>
          <w:tcPr>
            <w:tcW w:w="1095" w:type="dxa"/>
            <w:tcBorders>
              <w:top w:val="nil"/>
              <w:left w:val="nil"/>
              <w:bottom w:val="single" w:color="000000" w:sz="4" w:space="0"/>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(万吨)</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shd w:val="clear" w:color="auto" w:fill="FFFFFF" w:themeFill="background1"/>
          <w:tblCellMar>
            <w:top w:w="0" w:type="dxa"/>
            <w:left w:w="108" w:type="dxa"/>
            <w:bottom w:w="0" w:type="dxa"/>
            <w:right w:w="108" w:type="dxa"/>
          </w:tblCellMar>
        </w:tblPrEx>
        <w:trPr>
          <w:trHeight w:val="284" w:hRule="atLeast"/>
          <w:tblHeader/>
        </w:trPr>
        <w:tc>
          <w:tcPr>
            <w:tcW w:w="1702" w:type="dxa"/>
            <w:tcBorders>
              <w:bottom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水泥生产过程</w:t>
            </w:r>
          </w:p>
        </w:tc>
        <w:tc>
          <w:tcPr>
            <w:tcW w:w="992" w:type="dxa"/>
            <w:tcBorders>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230.96</w:t>
            </w:r>
          </w:p>
        </w:tc>
        <w:tc>
          <w:tcPr>
            <w:tcW w:w="792" w:type="dxa"/>
            <w:tcBorders>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05" w:type="dxa"/>
            <w:tcBorders>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39" w:type="dxa"/>
            <w:tcBorders>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1" w:type="dxa"/>
            <w:tcBorders>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8" w:type="dxa"/>
            <w:tcBorders>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40" w:type="dxa"/>
            <w:tcBorders>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41" w:type="dxa"/>
            <w:tcBorders>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1095" w:type="dxa"/>
            <w:tcBorders>
              <w:bottom w:val="nil"/>
            </w:tcBorders>
            <w:shd w:val="clear" w:color="auto" w:fill="FFFFFF" w:themeFill="background1"/>
          </w:tcPr>
          <w:p>
            <w:pPr>
              <w:spacing w:before="0" w:after="0" w:line="240" w:lineRule="auto"/>
              <w:jc w:val="center"/>
              <w:rPr>
                <w:rFonts w:cs="Times New Roman"/>
                <w:sz w:val="18"/>
                <w:szCs w:val="18"/>
              </w:rPr>
            </w:pPr>
            <w:r>
              <w:rPr>
                <w:rFonts w:hint="eastAsia" w:cs="Times New Roman"/>
                <w:sz w:val="18"/>
                <w:szCs w:val="18"/>
              </w:rPr>
              <w:t>230.96</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shd w:val="clear" w:color="auto" w:fill="FFFFFF" w:themeFill="background1"/>
          <w:tblCellMar>
            <w:top w:w="0" w:type="dxa"/>
            <w:left w:w="108" w:type="dxa"/>
            <w:bottom w:w="0" w:type="dxa"/>
            <w:right w:w="108" w:type="dxa"/>
          </w:tblCellMar>
        </w:tblPrEx>
        <w:trPr>
          <w:trHeight w:val="284" w:hRule="atLeast"/>
          <w:tblHeader/>
        </w:trPr>
        <w:tc>
          <w:tcPr>
            <w:tcW w:w="1702" w:type="dxa"/>
            <w:tcBorders>
              <w:top w:val="nil"/>
              <w:bottom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石灰生产过程</w:t>
            </w:r>
          </w:p>
        </w:tc>
        <w:tc>
          <w:tcPr>
            <w:tcW w:w="9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9.92</w:t>
            </w:r>
          </w:p>
        </w:tc>
        <w:tc>
          <w:tcPr>
            <w:tcW w:w="7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05"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39"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8"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40"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4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1095" w:type="dxa"/>
            <w:tcBorders>
              <w:top w:val="nil"/>
              <w:bottom w:val="nil"/>
            </w:tcBorders>
            <w:shd w:val="clear" w:color="auto" w:fill="FFFFFF" w:themeFill="background1"/>
          </w:tcPr>
          <w:p>
            <w:pPr>
              <w:spacing w:before="0" w:after="0" w:line="240" w:lineRule="auto"/>
              <w:jc w:val="center"/>
              <w:rPr>
                <w:rFonts w:cs="Times New Roman"/>
                <w:sz w:val="18"/>
                <w:szCs w:val="18"/>
              </w:rPr>
            </w:pPr>
            <w:r>
              <w:rPr>
                <w:rFonts w:hint="eastAsia" w:cs="Times New Roman"/>
                <w:sz w:val="18"/>
                <w:szCs w:val="18"/>
              </w:rPr>
              <w:t>9.92</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shd w:val="clear" w:color="auto" w:fill="FFFFFF" w:themeFill="background1"/>
          <w:tblCellMar>
            <w:top w:w="0" w:type="dxa"/>
            <w:left w:w="108" w:type="dxa"/>
            <w:bottom w:w="0" w:type="dxa"/>
            <w:right w:w="108" w:type="dxa"/>
          </w:tblCellMar>
        </w:tblPrEx>
        <w:trPr>
          <w:trHeight w:val="284" w:hRule="atLeast"/>
          <w:tblHeader/>
        </w:trPr>
        <w:tc>
          <w:tcPr>
            <w:tcW w:w="1702" w:type="dxa"/>
            <w:tcBorders>
              <w:top w:val="nil"/>
              <w:bottom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钢铁生产过程</w:t>
            </w:r>
          </w:p>
        </w:tc>
        <w:tc>
          <w:tcPr>
            <w:tcW w:w="9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05"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39"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8"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40"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4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1095" w:type="dxa"/>
            <w:tcBorders>
              <w:top w:val="nil"/>
              <w:bottom w:val="nil"/>
            </w:tcBorders>
            <w:shd w:val="clear" w:color="auto" w:fill="FFFFFF" w:themeFill="background1"/>
          </w:tcPr>
          <w:p>
            <w:pPr>
              <w:spacing w:before="0" w:after="0" w:line="240" w:lineRule="auto"/>
              <w:jc w:val="center"/>
              <w:rPr>
                <w:rFonts w:cs="Times New Roman"/>
                <w:sz w:val="18"/>
                <w:szCs w:val="18"/>
              </w:rPr>
            </w:pPr>
            <w:r>
              <w:rPr>
                <w:rFonts w:hint="eastAsia" w:cs="Times New Roman"/>
                <w:sz w:val="18"/>
                <w:szCs w:val="18"/>
              </w:rPr>
              <w:t>0.00</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shd w:val="clear" w:color="auto" w:fill="FFFFFF" w:themeFill="background1"/>
          <w:tblCellMar>
            <w:top w:w="0" w:type="dxa"/>
            <w:left w:w="108" w:type="dxa"/>
            <w:bottom w:w="0" w:type="dxa"/>
            <w:right w:w="108" w:type="dxa"/>
          </w:tblCellMar>
        </w:tblPrEx>
        <w:trPr>
          <w:trHeight w:val="284" w:hRule="atLeast"/>
          <w:tblHeader/>
        </w:trPr>
        <w:tc>
          <w:tcPr>
            <w:tcW w:w="1702" w:type="dxa"/>
            <w:tcBorders>
              <w:top w:val="nil"/>
              <w:bottom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电石生产过程</w:t>
            </w:r>
          </w:p>
        </w:tc>
        <w:tc>
          <w:tcPr>
            <w:tcW w:w="9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05"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39"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8"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40"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4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1095" w:type="dxa"/>
            <w:tcBorders>
              <w:top w:val="nil"/>
              <w:bottom w:val="nil"/>
            </w:tcBorders>
            <w:shd w:val="clear" w:color="auto" w:fill="FFFFFF" w:themeFill="background1"/>
          </w:tcPr>
          <w:p>
            <w:pPr>
              <w:spacing w:before="0" w:after="0" w:line="240" w:lineRule="auto"/>
              <w:jc w:val="center"/>
              <w:rPr>
                <w:rFonts w:cs="Times New Roman"/>
                <w:sz w:val="18"/>
                <w:szCs w:val="18"/>
              </w:rPr>
            </w:pPr>
            <w:r>
              <w:rPr>
                <w:rFonts w:hint="eastAsia" w:cs="Times New Roman"/>
                <w:sz w:val="18"/>
                <w:szCs w:val="18"/>
              </w:rPr>
              <w:t>0.00</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shd w:val="clear" w:color="auto" w:fill="FFFFFF" w:themeFill="background1"/>
          <w:tblCellMar>
            <w:top w:w="0" w:type="dxa"/>
            <w:left w:w="108" w:type="dxa"/>
            <w:bottom w:w="0" w:type="dxa"/>
            <w:right w:w="108" w:type="dxa"/>
          </w:tblCellMar>
        </w:tblPrEx>
        <w:trPr>
          <w:trHeight w:val="284" w:hRule="atLeast"/>
          <w:tblHeader/>
        </w:trPr>
        <w:tc>
          <w:tcPr>
            <w:tcW w:w="1702" w:type="dxa"/>
            <w:tcBorders>
              <w:top w:val="nil"/>
              <w:bottom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己二酸生产过程</w:t>
            </w:r>
          </w:p>
        </w:tc>
        <w:tc>
          <w:tcPr>
            <w:tcW w:w="9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05"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39"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8"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40"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4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1095"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shd w:val="clear" w:color="auto" w:fill="FFFFFF" w:themeFill="background1"/>
          <w:tblCellMar>
            <w:top w:w="0" w:type="dxa"/>
            <w:left w:w="108" w:type="dxa"/>
            <w:bottom w:w="0" w:type="dxa"/>
            <w:right w:w="108" w:type="dxa"/>
          </w:tblCellMar>
        </w:tblPrEx>
        <w:trPr>
          <w:trHeight w:val="284" w:hRule="atLeast"/>
          <w:tblHeader/>
        </w:trPr>
        <w:tc>
          <w:tcPr>
            <w:tcW w:w="1702" w:type="dxa"/>
            <w:tcBorders>
              <w:top w:val="nil"/>
              <w:bottom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硝酸生产过程</w:t>
            </w:r>
          </w:p>
        </w:tc>
        <w:tc>
          <w:tcPr>
            <w:tcW w:w="9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05"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39"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8"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40"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4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1095"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shd w:val="clear" w:color="auto" w:fill="FFFFFF" w:themeFill="background1"/>
          <w:tblCellMar>
            <w:top w:w="0" w:type="dxa"/>
            <w:left w:w="108" w:type="dxa"/>
            <w:bottom w:w="0" w:type="dxa"/>
            <w:right w:w="108" w:type="dxa"/>
          </w:tblCellMar>
        </w:tblPrEx>
        <w:trPr>
          <w:trHeight w:val="284" w:hRule="atLeast"/>
          <w:tblHeader/>
        </w:trPr>
        <w:tc>
          <w:tcPr>
            <w:tcW w:w="1702" w:type="dxa"/>
            <w:tcBorders>
              <w:top w:val="nil"/>
              <w:bottom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铝生产过程</w:t>
            </w:r>
          </w:p>
        </w:tc>
        <w:tc>
          <w:tcPr>
            <w:tcW w:w="9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05"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39"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8"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940"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94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1095"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shd w:val="clear" w:color="auto" w:fill="FFFFFF" w:themeFill="background1"/>
          <w:tblCellMar>
            <w:top w:w="0" w:type="dxa"/>
            <w:left w:w="108" w:type="dxa"/>
            <w:bottom w:w="0" w:type="dxa"/>
            <w:right w:w="108" w:type="dxa"/>
          </w:tblCellMar>
        </w:tblPrEx>
        <w:trPr>
          <w:trHeight w:val="284" w:hRule="atLeast"/>
          <w:tblHeader/>
        </w:trPr>
        <w:tc>
          <w:tcPr>
            <w:tcW w:w="1702" w:type="dxa"/>
            <w:tcBorders>
              <w:top w:val="nil"/>
              <w:bottom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镁生产过程</w:t>
            </w:r>
          </w:p>
        </w:tc>
        <w:tc>
          <w:tcPr>
            <w:tcW w:w="9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05"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39"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8"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40"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4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1095"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shd w:val="clear" w:color="auto" w:fill="FFFFFF" w:themeFill="background1"/>
          <w:tblCellMar>
            <w:top w:w="0" w:type="dxa"/>
            <w:left w:w="108" w:type="dxa"/>
            <w:bottom w:w="0" w:type="dxa"/>
            <w:right w:w="108" w:type="dxa"/>
          </w:tblCellMar>
        </w:tblPrEx>
        <w:trPr>
          <w:trHeight w:val="284" w:hRule="atLeast"/>
          <w:tblHeader/>
        </w:trPr>
        <w:tc>
          <w:tcPr>
            <w:tcW w:w="1702" w:type="dxa"/>
            <w:tcBorders>
              <w:top w:val="nil"/>
              <w:bottom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电力设备生产过程</w:t>
            </w:r>
          </w:p>
        </w:tc>
        <w:tc>
          <w:tcPr>
            <w:tcW w:w="9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05"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39"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8"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40"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4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0.159</w:t>
            </w:r>
          </w:p>
        </w:tc>
        <w:tc>
          <w:tcPr>
            <w:tcW w:w="1095"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0.380</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shd w:val="clear" w:color="auto" w:fill="FFFFFF" w:themeFill="background1"/>
          <w:tblCellMar>
            <w:top w:w="0" w:type="dxa"/>
            <w:left w:w="108" w:type="dxa"/>
            <w:bottom w:w="0" w:type="dxa"/>
            <w:right w:w="108" w:type="dxa"/>
          </w:tblCellMar>
        </w:tblPrEx>
        <w:trPr>
          <w:trHeight w:val="284" w:hRule="atLeast"/>
          <w:tblHeader/>
        </w:trPr>
        <w:tc>
          <w:tcPr>
            <w:tcW w:w="1702" w:type="dxa"/>
            <w:tcBorders>
              <w:top w:val="nil"/>
              <w:bottom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半导体生产过程</w:t>
            </w:r>
          </w:p>
        </w:tc>
        <w:tc>
          <w:tcPr>
            <w:tcW w:w="9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05"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39"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8"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940"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94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1095"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shd w:val="clear" w:color="auto" w:fill="FFFFFF" w:themeFill="background1"/>
          <w:tblCellMar>
            <w:top w:w="0" w:type="dxa"/>
            <w:left w:w="108" w:type="dxa"/>
            <w:bottom w:w="0" w:type="dxa"/>
            <w:right w:w="108" w:type="dxa"/>
          </w:tblCellMar>
        </w:tblPrEx>
        <w:trPr>
          <w:trHeight w:val="284" w:hRule="atLeast"/>
          <w:tblHeader/>
        </w:trPr>
        <w:tc>
          <w:tcPr>
            <w:tcW w:w="1702" w:type="dxa"/>
            <w:tcBorders>
              <w:top w:val="nil"/>
              <w:bottom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HCFC-22生产过程</w:t>
            </w:r>
          </w:p>
        </w:tc>
        <w:tc>
          <w:tcPr>
            <w:tcW w:w="9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05"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39"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8"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40"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4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1095"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shd w:val="clear" w:color="auto" w:fill="FFFFFF" w:themeFill="background1"/>
          <w:tblCellMar>
            <w:top w:w="0" w:type="dxa"/>
            <w:left w:w="108" w:type="dxa"/>
            <w:bottom w:w="0" w:type="dxa"/>
            <w:right w:w="108" w:type="dxa"/>
          </w:tblCellMar>
        </w:tblPrEx>
        <w:trPr>
          <w:trHeight w:val="284" w:hRule="atLeast"/>
          <w:tblHeader/>
        </w:trPr>
        <w:tc>
          <w:tcPr>
            <w:tcW w:w="1702" w:type="dxa"/>
            <w:tcBorders>
              <w:top w:val="nil"/>
              <w:bottom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HFC生产过程</w:t>
            </w:r>
          </w:p>
        </w:tc>
        <w:tc>
          <w:tcPr>
            <w:tcW w:w="9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05"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939"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8"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40"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94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c>
          <w:tcPr>
            <w:tcW w:w="1095"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shd w:val="clear" w:color="auto" w:fill="FFFFFF" w:themeFill="background1"/>
          <w:tblCellMar>
            <w:top w:w="0" w:type="dxa"/>
            <w:left w:w="108" w:type="dxa"/>
            <w:bottom w:w="0" w:type="dxa"/>
            <w:right w:w="108" w:type="dxa"/>
          </w:tblCellMar>
        </w:tblPrEx>
        <w:trPr>
          <w:trHeight w:val="284" w:hRule="atLeast"/>
          <w:tblHeader/>
        </w:trPr>
        <w:tc>
          <w:tcPr>
            <w:tcW w:w="1702" w:type="dxa"/>
            <w:tcBorders>
              <w:top w:val="nil"/>
              <w:bottom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合计（实物量）</w:t>
            </w:r>
          </w:p>
        </w:tc>
        <w:tc>
          <w:tcPr>
            <w:tcW w:w="9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240.88</w:t>
            </w:r>
          </w:p>
        </w:tc>
        <w:tc>
          <w:tcPr>
            <w:tcW w:w="79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05"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939"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8"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2"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940"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941"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0.159</w:t>
            </w:r>
          </w:p>
        </w:tc>
        <w:tc>
          <w:tcPr>
            <w:tcW w:w="1095" w:type="dxa"/>
            <w:tcBorders>
              <w:top w:val="nil"/>
              <w:bottom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w:t>
            </w:r>
          </w:p>
        </w:tc>
      </w:tr>
      <w:tr>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shd w:val="clear" w:color="auto" w:fill="FFFFFF" w:themeFill="background1"/>
          <w:tblCellMar>
            <w:top w:w="0" w:type="dxa"/>
            <w:left w:w="108" w:type="dxa"/>
            <w:bottom w:w="0" w:type="dxa"/>
            <w:right w:w="108" w:type="dxa"/>
          </w:tblCellMar>
        </w:tblPrEx>
        <w:trPr>
          <w:trHeight w:val="284" w:hRule="atLeast"/>
          <w:tblHeader/>
        </w:trPr>
        <w:tc>
          <w:tcPr>
            <w:tcW w:w="1702" w:type="dxa"/>
            <w:tcBorders>
              <w:top w:val="nil"/>
            </w:tcBorders>
            <w:shd w:val="clear" w:color="auto" w:fill="FFFFFF" w:themeFill="background1"/>
            <w:vAlign w:val="center"/>
          </w:tcPr>
          <w:p>
            <w:pPr>
              <w:widowControl/>
              <w:spacing w:before="0" w:after="0" w:line="240" w:lineRule="auto"/>
              <w:jc w:val="center"/>
              <w:rPr>
                <w:rFonts w:cs="Times New Roman"/>
                <w:kern w:val="0"/>
                <w:sz w:val="18"/>
                <w:szCs w:val="18"/>
              </w:rPr>
            </w:pPr>
            <w:r>
              <w:rPr>
                <w:rFonts w:cs="Times New Roman"/>
                <w:kern w:val="0"/>
                <w:sz w:val="18"/>
                <w:szCs w:val="18"/>
              </w:rPr>
              <w:t>合计</w:t>
            </w:r>
          </w:p>
          <w:p>
            <w:pPr>
              <w:widowControl/>
              <w:spacing w:before="0" w:after="0" w:line="240" w:lineRule="auto"/>
              <w:jc w:val="center"/>
              <w:rPr>
                <w:rFonts w:cs="Times New Roman"/>
                <w:kern w:val="0"/>
                <w:sz w:val="18"/>
                <w:szCs w:val="18"/>
              </w:rPr>
            </w:pPr>
            <w:r>
              <w:rPr>
                <w:rFonts w:cs="Times New Roman"/>
                <w:kern w:val="0"/>
                <w:sz w:val="18"/>
                <w:szCs w:val="18"/>
              </w:rPr>
              <w:t>（</w:t>
            </w:r>
            <w:r>
              <w:rPr>
                <w:rFonts w:hint="eastAsia" w:cs="Times New Roman"/>
                <w:kern w:val="0"/>
                <w:sz w:val="18"/>
                <w:szCs w:val="18"/>
              </w:rPr>
              <w:t>CO</w:t>
            </w:r>
            <w:r>
              <w:rPr>
                <w:rFonts w:hint="eastAsia" w:cs="Times New Roman"/>
                <w:kern w:val="0"/>
                <w:sz w:val="18"/>
                <w:szCs w:val="18"/>
                <w:vertAlign w:val="subscript"/>
              </w:rPr>
              <w:t>2</w:t>
            </w:r>
            <w:r>
              <w:rPr>
                <w:rFonts w:cs="Times New Roman"/>
                <w:kern w:val="0"/>
                <w:sz w:val="18"/>
                <w:szCs w:val="18"/>
              </w:rPr>
              <w:t>当量/万吨）</w:t>
            </w:r>
          </w:p>
        </w:tc>
        <w:tc>
          <w:tcPr>
            <w:tcW w:w="992" w:type="dxa"/>
            <w:tcBorders>
              <w:top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240.88</w:t>
            </w:r>
          </w:p>
        </w:tc>
        <w:tc>
          <w:tcPr>
            <w:tcW w:w="792" w:type="dxa"/>
            <w:tcBorders>
              <w:top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05" w:type="dxa"/>
            <w:tcBorders>
              <w:top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2" w:type="dxa"/>
            <w:tcBorders>
              <w:top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2" w:type="dxa"/>
            <w:tcBorders>
              <w:top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939" w:type="dxa"/>
            <w:tcBorders>
              <w:top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2" w:type="dxa"/>
            <w:tcBorders>
              <w:top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2" w:type="dxa"/>
            <w:tcBorders>
              <w:top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2" w:type="dxa"/>
            <w:tcBorders>
              <w:top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1" w:type="dxa"/>
            <w:tcBorders>
              <w:top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8" w:type="dxa"/>
            <w:tcBorders>
              <w:top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782" w:type="dxa"/>
            <w:tcBorders>
              <w:top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940" w:type="dxa"/>
            <w:tcBorders>
              <w:top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0.00</w:t>
            </w:r>
          </w:p>
        </w:tc>
        <w:tc>
          <w:tcPr>
            <w:tcW w:w="941" w:type="dxa"/>
            <w:tcBorders>
              <w:top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0.380</w:t>
            </w:r>
          </w:p>
        </w:tc>
        <w:tc>
          <w:tcPr>
            <w:tcW w:w="1095" w:type="dxa"/>
            <w:tcBorders>
              <w:top w:val="nil"/>
            </w:tcBorders>
            <w:shd w:val="clear" w:color="auto" w:fill="FFFFFF" w:themeFill="background1"/>
            <w:vAlign w:val="center"/>
          </w:tcPr>
          <w:p>
            <w:pPr>
              <w:spacing w:before="0" w:after="0" w:line="240" w:lineRule="auto"/>
              <w:jc w:val="center"/>
              <w:rPr>
                <w:rFonts w:cs="Times New Roman"/>
                <w:sz w:val="18"/>
                <w:szCs w:val="18"/>
              </w:rPr>
            </w:pPr>
            <w:r>
              <w:rPr>
                <w:rFonts w:hint="eastAsia" w:cs="Times New Roman"/>
                <w:sz w:val="18"/>
                <w:szCs w:val="18"/>
              </w:rPr>
              <w:t>241.26</w:t>
            </w:r>
          </w:p>
        </w:tc>
      </w:tr>
    </w:tbl>
    <w:p>
      <w:pPr>
        <w:spacing w:before="0" w:after="0"/>
        <w:rPr>
          <w:rFonts w:cs="Times New Roman"/>
          <w:szCs w:val="24"/>
        </w:rPr>
      </w:pPr>
    </w:p>
    <w:p>
      <w:pPr>
        <w:spacing w:before="0" w:after="0"/>
        <w:rPr>
          <w:rFonts w:cs="Times New Roman"/>
          <w:szCs w:val="24"/>
        </w:rPr>
        <w:sectPr>
          <w:pgSz w:w="16838" w:h="11906" w:orient="landscape"/>
          <w:pgMar w:top="1440" w:right="1440" w:bottom="1440" w:left="1440" w:header="851" w:footer="992" w:gutter="0"/>
          <w:pgNumType w:fmt="decimal"/>
          <w:cols w:space="425" w:num="1"/>
          <w:docGrid w:type="linesAndChars" w:linePitch="312" w:charSpace="0"/>
        </w:sectPr>
      </w:pPr>
    </w:p>
    <w:p>
      <w:pPr>
        <w:pStyle w:val="4"/>
      </w:pPr>
      <w:bookmarkStart w:id="119" w:name="_Toc53827518"/>
      <w:bookmarkStart w:id="120" w:name="_Toc7491"/>
      <w:bookmarkStart w:id="121" w:name="_Toc52177395"/>
      <w:bookmarkStart w:id="122" w:name="_Toc54097659"/>
      <w:bookmarkStart w:id="123" w:name="_Toc55311744"/>
      <w:bookmarkStart w:id="124" w:name="_Toc51939033"/>
      <w:r>
        <w:rPr>
          <w:rFonts w:hint="eastAsia"/>
        </w:rPr>
        <w:t>不同类型工业生产过程排放情况</w:t>
      </w:r>
      <w:bookmarkEnd w:id="119"/>
      <w:bookmarkEnd w:id="120"/>
      <w:bookmarkEnd w:id="121"/>
      <w:bookmarkEnd w:id="122"/>
      <w:bookmarkEnd w:id="123"/>
      <w:bookmarkEnd w:id="124"/>
    </w:p>
    <w:p>
      <w:pPr>
        <w:ind w:firstLine="480" w:firstLineChars="200"/>
      </w:pPr>
      <w:bookmarkStart w:id="125" w:name="_Toc338854921"/>
      <w:r>
        <w:rPr>
          <w:rFonts w:hint="eastAsia" w:cs="Times New Roman" w:eastAsiaTheme="minorEastAsia"/>
          <w:szCs w:val="24"/>
        </w:rPr>
        <w:t>2019年益阳市工业生产过程各行业温室气体排放比例见图3-1</w:t>
      </w:r>
      <w:r>
        <w:rPr>
          <w:rFonts w:cs="Times New Roman"/>
          <w:szCs w:val="24"/>
        </w:rPr>
        <w:t>。由</w:t>
      </w:r>
      <w:r>
        <w:rPr>
          <w:rFonts w:hint="eastAsia" w:cs="Times New Roman"/>
          <w:szCs w:val="24"/>
        </w:rPr>
        <w:t>图</w:t>
      </w:r>
      <w:r>
        <w:rPr>
          <w:rFonts w:cs="Times New Roman"/>
          <w:szCs w:val="24"/>
        </w:rPr>
        <w:t>可知</w:t>
      </w:r>
      <w:r>
        <w:rPr>
          <w:rFonts w:hint="eastAsia" w:cs="Times New Roman"/>
          <w:szCs w:val="24"/>
        </w:rPr>
        <w:t>，</w:t>
      </w:r>
      <w:r>
        <w:rPr>
          <w:rFonts w:cs="Times New Roman"/>
          <w:szCs w:val="24"/>
        </w:rPr>
        <w:t>从排放源分布来看，水泥</w:t>
      </w:r>
      <w:r>
        <w:rPr>
          <w:rFonts w:hint="eastAsia" w:cs="Times New Roman"/>
          <w:szCs w:val="24"/>
        </w:rPr>
        <w:t>和</w:t>
      </w:r>
      <w:r>
        <w:rPr>
          <w:rFonts w:cs="Times New Roman"/>
          <w:szCs w:val="24"/>
        </w:rPr>
        <w:t>石灰行业是</w:t>
      </w:r>
      <w:r>
        <w:rPr>
          <w:rFonts w:hint="eastAsia" w:cs="Times New Roman"/>
          <w:szCs w:val="24"/>
        </w:rPr>
        <w:t>益阳市</w:t>
      </w:r>
      <w:r>
        <w:rPr>
          <w:rFonts w:cs="Times New Roman"/>
          <w:szCs w:val="24"/>
        </w:rPr>
        <w:t>最主要的温室气体排放源。其中水泥行业生产过程</w:t>
      </w:r>
      <w:r>
        <w:rPr>
          <w:rFonts w:hint="eastAsia" w:cs="Times New Roman"/>
          <w:szCs w:val="24"/>
        </w:rPr>
        <w:t>，</w:t>
      </w:r>
      <w:r>
        <w:rPr>
          <w:rFonts w:cs="Times New Roman"/>
          <w:szCs w:val="24"/>
        </w:rPr>
        <w:t>温室气体排放为</w:t>
      </w:r>
      <w:r>
        <w:rPr>
          <w:rFonts w:hint="eastAsia" w:cs="Times New Roman"/>
          <w:szCs w:val="24"/>
        </w:rPr>
        <w:t>230.96</w:t>
      </w:r>
      <w:r>
        <w:rPr>
          <w:rFonts w:cs="Times New Roman"/>
          <w:szCs w:val="24"/>
        </w:rPr>
        <w:t>万吨二氧化碳当量，占总排放量的</w:t>
      </w:r>
      <w:r>
        <w:rPr>
          <w:rFonts w:hint="eastAsia" w:cs="Times New Roman"/>
          <w:szCs w:val="24"/>
        </w:rPr>
        <w:t>95.73%</w:t>
      </w:r>
      <w:r>
        <w:rPr>
          <w:rFonts w:cs="Times New Roman"/>
          <w:szCs w:val="24"/>
        </w:rPr>
        <w:t>，石灰行业生产过程温室气体排放为</w:t>
      </w:r>
      <w:r>
        <w:rPr>
          <w:rFonts w:hint="eastAsia" w:cs="Times New Roman"/>
          <w:szCs w:val="24"/>
        </w:rPr>
        <w:t>9.92</w:t>
      </w:r>
      <w:r>
        <w:rPr>
          <w:rFonts w:cs="Times New Roman"/>
          <w:szCs w:val="24"/>
        </w:rPr>
        <w:t>吨二氧化碳当量，占总排放量的</w:t>
      </w:r>
      <w:r>
        <w:rPr>
          <w:rFonts w:hint="eastAsia" w:cs="Times New Roman"/>
          <w:szCs w:val="24"/>
        </w:rPr>
        <w:t>4.11</w:t>
      </w:r>
      <w:r>
        <w:rPr>
          <w:rFonts w:cs="Times New Roman"/>
          <w:szCs w:val="24"/>
        </w:rPr>
        <w:t>%，电力设备生产过程产生温室气体较少，仅占总排放量的</w:t>
      </w:r>
      <w:r>
        <w:rPr>
          <w:rFonts w:hint="eastAsia" w:cs="Times New Roman"/>
          <w:szCs w:val="24"/>
        </w:rPr>
        <w:t>0.16</w:t>
      </w:r>
      <w:r>
        <w:rPr>
          <w:rFonts w:cs="Times New Roman"/>
          <w:szCs w:val="24"/>
        </w:rPr>
        <w:t>%。</w:t>
      </w:r>
      <w:r>
        <w:rPr>
          <w:rFonts w:hint="eastAsia" w:cs="Times New Roman"/>
          <w:szCs w:val="24"/>
        </w:rPr>
        <w:t>益阳市</w:t>
      </w:r>
      <w:r>
        <w:rPr>
          <w:rFonts w:cs="Times New Roman"/>
          <w:szCs w:val="24"/>
        </w:rPr>
        <w:t>201</w:t>
      </w:r>
      <w:r>
        <w:rPr>
          <w:rFonts w:hint="eastAsia" w:cs="Times New Roman"/>
          <w:szCs w:val="24"/>
        </w:rPr>
        <w:t>9</w:t>
      </w:r>
      <w:r>
        <w:rPr>
          <w:rFonts w:cs="Times New Roman"/>
          <w:szCs w:val="24"/>
        </w:rPr>
        <w:t>年无</w:t>
      </w:r>
      <w:r>
        <w:rPr>
          <w:rFonts w:hint="eastAsia" w:cs="Times New Roman"/>
          <w:szCs w:val="24"/>
        </w:rPr>
        <w:t>长流程钢铁、电石、</w:t>
      </w:r>
      <w:r>
        <w:rPr>
          <w:rFonts w:cs="Times New Roman"/>
          <w:szCs w:val="24"/>
        </w:rPr>
        <w:t>己二酸、硝酸、一氯二氟甲烷、</w:t>
      </w:r>
      <w:r>
        <w:rPr>
          <w:rFonts w:hint="eastAsia" w:cs="Times New Roman"/>
          <w:szCs w:val="24"/>
        </w:rPr>
        <w:t>铝、</w:t>
      </w:r>
      <w:r>
        <w:rPr>
          <w:rFonts w:cs="Times New Roman"/>
          <w:szCs w:val="24"/>
        </w:rPr>
        <w:t>镁、半导体、氢氟烃行业生产企业，因此这些行业温室气体排放为0</w:t>
      </w:r>
      <w:r>
        <w:t>。</w:t>
      </w:r>
    </w:p>
    <w:p>
      <w:pPr>
        <w:keepNext/>
        <w:spacing w:before="0" w:after="0"/>
        <w:jc w:val="center"/>
      </w:pPr>
      <w:r>
        <w:drawing>
          <wp:inline distT="0" distB="0" distL="0" distR="0">
            <wp:extent cx="3550920" cy="28797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a:extLst>
                        <a:ext uri="{28A0092B-C50C-407E-A947-70E740481C1C}">
                          <a14:useLocalDpi xmlns:a14="http://schemas.microsoft.com/office/drawing/2010/main" val="0"/>
                        </a:ext>
                      </a:extLst>
                    </a:blip>
                    <a:srcRect l="8258" r="18787"/>
                    <a:stretch>
                      <a:fillRect/>
                    </a:stretch>
                  </pic:blipFill>
                  <pic:spPr>
                    <a:xfrm>
                      <a:off x="0" y="0"/>
                      <a:ext cx="3550920" cy="2880000"/>
                    </a:xfrm>
                    <a:prstGeom prst="rect">
                      <a:avLst/>
                    </a:prstGeom>
                    <a:noFill/>
                  </pic:spPr>
                </pic:pic>
              </a:graphicData>
            </a:graphic>
          </wp:inline>
        </w:drawing>
      </w:r>
    </w:p>
    <w:p>
      <w:pPr>
        <w:pStyle w:val="12"/>
      </w:pPr>
      <w:bookmarkStart w:id="126" w:name="_Ref51167350"/>
      <w:bookmarkStart w:id="127" w:name="_Ref51167346"/>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bookmarkEnd w:id="126"/>
      <w:r>
        <w:t>各行业温室气体排放分布图</w:t>
      </w:r>
      <w:bookmarkEnd w:id="127"/>
    </w:p>
    <w:p>
      <w:pPr>
        <w:ind w:firstLine="420"/>
      </w:pPr>
      <w:r>
        <w:rPr>
          <w:rFonts w:hint="eastAsia" w:cs="Times New Roman" w:eastAsiaTheme="minorEastAsia"/>
          <w:szCs w:val="24"/>
        </w:rPr>
        <w:t>2019年益阳市工业生产过程各类型温室气体排放比例见</w:t>
      </w:r>
      <w:r>
        <w:rPr>
          <w:rFonts w:hint="eastAsia" w:cs="Times New Roman" w:eastAsiaTheme="minorEastAsia"/>
          <w:szCs w:val="24"/>
        </w:rPr>
        <w:fldChar w:fldCharType="begin"/>
      </w:r>
      <w:r>
        <w:rPr>
          <w:rFonts w:hint="eastAsia" w:cs="Times New Roman" w:eastAsiaTheme="minorEastAsia"/>
          <w:szCs w:val="24"/>
        </w:rPr>
        <w:instrText xml:space="preserve"> REF _Ref51167379 \h </w:instrText>
      </w:r>
      <w:r>
        <w:rPr>
          <w:rFonts w:hint="eastAsia" w:cs="Times New Roman" w:eastAsiaTheme="minorEastAsia"/>
          <w:szCs w:val="24"/>
        </w:rPr>
        <w:fldChar w:fldCharType="separate"/>
      </w:r>
      <w:r>
        <w:rPr>
          <w:rFonts w:hint="eastAsia" w:cs="Times New Roman" w:eastAsiaTheme="minorEastAsia"/>
          <w:szCs w:val="24"/>
        </w:rPr>
        <w:t>图 3</w:t>
      </w:r>
      <w:r>
        <w:rPr>
          <w:rFonts w:hint="eastAsia" w:cs="Times New Roman" w:eastAsiaTheme="minorEastAsia"/>
          <w:szCs w:val="24"/>
        </w:rPr>
        <w:noBreakHyphen/>
      </w:r>
      <w:r>
        <w:rPr>
          <w:rFonts w:hint="eastAsia" w:cs="Times New Roman" w:eastAsiaTheme="minorEastAsia"/>
          <w:szCs w:val="24"/>
        </w:rPr>
        <w:t>2</w:t>
      </w:r>
      <w:r>
        <w:rPr>
          <w:rFonts w:hint="eastAsia" w:cs="Times New Roman" w:eastAsiaTheme="minorEastAsia"/>
          <w:szCs w:val="24"/>
        </w:rPr>
        <w:fldChar w:fldCharType="end"/>
      </w:r>
      <w:r>
        <w:rPr>
          <w:rFonts w:hint="eastAsia" w:cs="Times New Roman" w:eastAsiaTheme="minorEastAsia"/>
          <w:szCs w:val="24"/>
        </w:rPr>
        <w:t>。由图可知，从气体类型分布来看，工业生产过程主要排放的温室气体为二氧化碳，共计240.88万吨，占总排放量的99.84%，六氟化硫排放较少，排放量为0.380万吨二氧化碳当量，仅占总排放量的0.16%，其他温室气体排放为0</w:t>
      </w:r>
      <w:r>
        <w:t>。</w:t>
      </w:r>
    </w:p>
    <w:p>
      <w:pPr>
        <w:keepNext/>
        <w:spacing w:before="0" w:after="0"/>
        <w:ind w:firstLine="475" w:firstLineChars="198"/>
        <w:jc w:val="center"/>
      </w:pPr>
      <w:r>
        <w:drawing>
          <wp:inline distT="0" distB="0" distL="114300" distR="114300">
            <wp:extent cx="4194175" cy="2156460"/>
            <wp:effectExtent l="0" t="0" r="0" b="0"/>
            <wp:docPr id="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pic:cNvPicPr>
                      <a:picLocks noChangeAspect="1"/>
                    </pic:cNvPicPr>
                  </pic:nvPicPr>
                  <pic:blipFill>
                    <a:blip r:embed="rId11"/>
                    <a:srcRect b="9052"/>
                    <a:stretch>
                      <a:fillRect/>
                    </a:stretch>
                  </pic:blipFill>
                  <pic:spPr>
                    <a:xfrm>
                      <a:off x="0" y="0"/>
                      <a:ext cx="4194175" cy="2156460"/>
                    </a:xfrm>
                    <a:prstGeom prst="rect">
                      <a:avLst/>
                    </a:prstGeom>
                    <a:noFill/>
                    <a:ln>
                      <a:noFill/>
                    </a:ln>
                  </pic:spPr>
                </pic:pic>
              </a:graphicData>
            </a:graphic>
          </wp:inline>
        </w:drawing>
      </w:r>
    </w:p>
    <w:p>
      <w:pPr>
        <w:pStyle w:val="12"/>
      </w:pPr>
      <w:bookmarkStart w:id="128" w:name="_Ref51167379"/>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w:t>
      </w:r>
      <w:r>
        <w:fldChar w:fldCharType="end"/>
      </w:r>
      <w:bookmarkEnd w:id="128"/>
      <w:r>
        <w:rPr>
          <w:rFonts w:hint="eastAsia"/>
        </w:rPr>
        <w:t>各类型温室气体排放分布图</w:t>
      </w:r>
    </w:p>
    <w:p>
      <w:pPr>
        <w:pStyle w:val="4"/>
      </w:pPr>
      <w:bookmarkStart w:id="129" w:name="_Toc55311745"/>
      <w:bookmarkStart w:id="130" w:name="_Toc52177396"/>
      <w:bookmarkStart w:id="131" w:name="_Toc54097660"/>
      <w:bookmarkStart w:id="132" w:name="_Toc21469"/>
      <w:bookmarkStart w:id="133" w:name="_Toc53827519"/>
      <w:bookmarkStart w:id="134" w:name="_Toc51939034"/>
      <w:r>
        <w:rPr>
          <w:rFonts w:hint="eastAsia"/>
        </w:rPr>
        <w:t>工业生产过程总体不确定性</w:t>
      </w:r>
      <w:bookmarkEnd w:id="129"/>
      <w:bookmarkEnd w:id="130"/>
      <w:bookmarkEnd w:id="131"/>
      <w:bookmarkEnd w:id="132"/>
      <w:bookmarkEnd w:id="133"/>
      <w:bookmarkEnd w:id="134"/>
    </w:p>
    <w:p>
      <w:pPr>
        <w:ind w:firstLine="480" w:firstLineChars="200"/>
      </w:pPr>
      <w:r>
        <w:rPr>
          <w:rFonts w:hint="eastAsia"/>
        </w:rPr>
        <w:t>益阳市2019年工业生产过程各行业不确定性详见</w:t>
      </w:r>
      <w:r>
        <w:fldChar w:fldCharType="begin"/>
      </w:r>
      <w:r>
        <w:instrText xml:space="preserve"> </w:instrText>
      </w:r>
      <w:r>
        <w:rPr>
          <w:rFonts w:hint="eastAsia"/>
        </w:rPr>
        <w:instrText xml:space="preserve">REF _Ref51831884 \h</w:instrText>
      </w:r>
      <w:r>
        <w:instrText xml:space="preserve">  \* MERGEFORMAT </w:instrText>
      </w:r>
      <w:r>
        <w:fldChar w:fldCharType="separate"/>
      </w:r>
      <w:r>
        <w:rPr>
          <w:rFonts w:hint="eastAsia"/>
        </w:rPr>
        <w:t>表</w:t>
      </w:r>
      <w:r>
        <w:t>3</w:t>
      </w:r>
      <w:r>
        <w:noBreakHyphen/>
      </w:r>
      <w:r>
        <w:t>2</w:t>
      </w:r>
      <w:r>
        <w:fldChar w:fldCharType="end"/>
      </w:r>
      <w:r>
        <w:rPr>
          <w:rFonts w:hint="eastAsia"/>
        </w:rPr>
        <w:t>，本报告使用指南推荐的误差传递公式合并不确定性，得到益阳市工业生产过程温室气体排放清单总体不确定性为±2.89%。</w:t>
      </w:r>
    </w:p>
    <w:bookmarkEnd w:id="125"/>
    <w:p>
      <w:pPr>
        <w:pStyle w:val="12"/>
      </w:pPr>
      <w:bookmarkStart w:id="135" w:name="_Ref51831884"/>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2</w:t>
      </w:r>
      <w:r>
        <w:fldChar w:fldCharType="end"/>
      </w:r>
      <w:bookmarkEnd w:id="135"/>
      <w:r>
        <w:rPr>
          <w:rFonts w:hint="eastAsia"/>
        </w:rPr>
        <w:t>益阳市工业生产过程各行业温室气体排放量及不确定性</w:t>
      </w:r>
    </w:p>
    <w:tbl>
      <w:tblPr>
        <w:tblStyle w:val="25"/>
        <w:tblW w:w="7518" w:type="dxa"/>
        <w:jc w:val="center"/>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32"/>
        <w:gridCol w:w="4247"/>
        <w:gridCol w:w="1639"/>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632" w:type="dxa"/>
            <w:tcBorders>
              <w:top w:val="single" w:color="000000" w:sz="4" w:space="0"/>
              <w:bottom w:val="single" w:color="000000" w:sz="4" w:space="0"/>
            </w:tcBorders>
            <w:vAlign w:val="center"/>
          </w:tcPr>
          <w:p>
            <w:pPr>
              <w:spacing w:before="0" w:after="0" w:line="240" w:lineRule="auto"/>
              <w:jc w:val="center"/>
              <w:rPr>
                <w:rFonts w:cs="Times New Roman"/>
                <w:sz w:val="18"/>
                <w:szCs w:val="18"/>
              </w:rPr>
            </w:pPr>
            <w:r>
              <w:rPr>
                <w:rFonts w:cs="Times New Roman"/>
                <w:sz w:val="18"/>
                <w:szCs w:val="18"/>
              </w:rPr>
              <w:t>行业</w:t>
            </w:r>
          </w:p>
        </w:tc>
        <w:tc>
          <w:tcPr>
            <w:tcW w:w="4247" w:type="dxa"/>
            <w:tcBorders>
              <w:top w:val="single" w:color="000000" w:sz="4" w:space="0"/>
              <w:bottom w:val="single" w:color="000000" w:sz="4" w:space="0"/>
            </w:tcBorders>
            <w:vAlign w:val="center"/>
          </w:tcPr>
          <w:p>
            <w:pPr>
              <w:spacing w:before="0" w:after="0" w:line="240" w:lineRule="auto"/>
              <w:jc w:val="center"/>
              <w:rPr>
                <w:rFonts w:cs="Times New Roman"/>
                <w:sz w:val="18"/>
                <w:szCs w:val="18"/>
              </w:rPr>
            </w:pPr>
            <w:r>
              <w:rPr>
                <w:rFonts w:cs="Times New Roman"/>
                <w:sz w:val="18"/>
                <w:szCs w:val="18"/>
              </w:rPr>
              <w:t>二氧化碳当量（当量/万吨）</w:t>
            </w:r>
          </w:p>
        </w:tc>
        <w:tc>
          <w:tcPr>
            <w:tcW w:w="1639" w:type="dxa"/>
            <w:tcBorders>
              <w:top w:val="single" w:color="000000" w:sz="4" w:space="0"/>
              <w:bottom w:val="single" w:color="000000" w:sz="4" w:space="0"/>
            </w:tcBorders>
            <w:vAlign w:val="center"/>
          </w:tcPr>
          <w:p>
            <w:pPr>
              <w:spacing w:before="0" w:after="0" w:line="240" w:lineRule="auto"/>
              <w:jc w:val="center"/>
              <w:rPr>
                <w:rFonts w:cs="Times New Roman"/>
                <w:sz w:val="18"/>
                <w:szCs w:val="18"/>
              </w:rPr>
            </w:pPr>
            <w:r>
              <w:rPr>
                <w:rFonts w:cs="Times New Roman"/>
                <w:sz w:val="18"/>
                <w:szCs w:val="18"/>
              </w:rPr>
              <w:t>不确定性</w:t>
            </w:r>
            <w:r>
              <w:rPr>
                <w:rFonts w:hint="eastAsia" w:cs="Times New Roman"/>
                <w:sz w:val="18"/>
                <w:szCs w:val="18"/>
              </w:rPr>
              <w:t>（%）</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632" w:type="dxa"/>
            <w:tcBorders>
              <w:top w:val="single" w:color="000000" w:sz="4" w:space="0"/>
            </w:tcBorders>
          </w:tcPr>
          <w:p>
            <w:pPr>
              <w:spacing w:before="0" w:after="0" w:line="240" w:lineRule="auto"/>
              <w:jc w:val="center"/>
              <w:rPr>
                <w:rFonts w:cs="Times New Roman"/>
                <w:sz w:val="18"/>
                <w:szCs w:val="18"/>
              </w:rPr>
            </w:pPr>
            <w:r>
              <w:rPr>
                <w:rFonts w:cs="Times New Roman"/>
                <w:sz w:val="18"/>
                <w:szCs w:val="18"/>
              </w:rPr>
              <w:t>水泥</w:t>
            </w:r>
          </w:p>
        </w:tc>
        <w:tc>
          <w:tcPr>
            <w:tcW w:w="4247" w:type="dxa"/>
            <w:tcBorders>
              <w:top w:val="single" w:color="000000" w:sz="4" w:space="0"/>
            </w:tcBorders>
            <w:vAlign w:val="center"/>
          </w:tcPr>
          <w:p>
            <w:pPr>
              <w:spacing w:before="0" w:after="0" w:line="240" w:lineRule="auto"/>
              <w:jc w:val="center"/>
              <w:rPr>
                <w:rFonts w:cs="Times New Roman"/>
                <w:sz w:val="18"/>
                <w:szCs w:val="18"/>
              </w:rPr>
            </w:pPr>
            <w:r>
              <w:rPr>
                <w:rFonts w:hint="eastAsia" w:cs="Times New Roman"/>
                <w:sz w:val="18"/>
                <w:szCs w:val="18"/>
              </w:rPr>
              <w:t>230.96</w:t>
            </w:r>
          </w:p>
        </w:tc>
        <w:tc>
          <w:tcPr>
            <w:tcW w:w="1639" w:type="dxa"/>
            <w:tcBorders>
              <w:top w:val="single" w:color="000000" w:sz="4" w:space="0"/>
            </w:tcBorders>
            <w:vAlign w:val="center"/>
          </w:tcPr>
          <w:p>
            <w:pPr>
              <w:spacing w:before="0" w:after="0" w:line="240" w:lineRule="auto"/>
              <w:jc w:val="center"/>
              <w:rPr>
                <w:rFonts w:cs="Times New Roman"/>
                <w:sz w:val="18"/>
                <w:szCs w:val="18"/>
              </w:rPr>
            </w:pPr>
            <w:r>
              <w:rPr>
                <w:rFonts w:hint="eastAsia" w:cs="Times New Roman"/>
                <w:sz w:val="18"/>
                <w:szCs w:val="18"/>
              </w:rPr>
              <w:t>2.83</w:t>
            </w:r>
            <w:r>
              <w:rPr>
                <w:rFonts w:cs="Times New Roman"/>
                <w:sz w:val="18"/>
                <w:szCs w:val="18"/>
              </w:rPr>
              <w:t>%</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632" w:type="dxa"/>
          </w:tcPr>
          <w:p>
            <w:pPr>
              <w:spacing w:before="0" w:after="0" w:line="240" w:lineRule="auto"/>
              <w:jc w:val="center"/>
              <w:rPr>
                <w:rFonts w:cs="Times New Roman"/>
                <w:sz w:val="18"/>
                <w:szCs w:val="18"/>
              </w:rPr>
            </w:pPr>
            <w:r>
              <w:rPr>
                <w:rFonts w:cs="Times New Roman"/>
                <w:sz w:val="18"/>
                <w:szCs w:val="18"/>
              </w:rPr>
              <w:t>石灰</w:t>
            </w:r>
          </w:p>
        </w:tc>
        <w:tc>
          <w:tcPr>
            <w:tcW w:w="4247" w:type="dxa"/>
            <w:vAlign w:val="center"/>
          </w:tcPr>
          <w:p>
            <w:pPr>
              <w:spacing w:before="0" w:after="0" w:line="240" w:lineRule="auto"/>
              <w:jc w:val="center"/>
              <w:rPr>
                <w:rFonts w:cs="Times New Roman"/>
                <w:sz w:val="18"/>
                <w:szCs w:val="18"/>
              </w:rPr>
            </w:pPr>
            <w:r>
              <w:rPr>
                <w:rFonts w:hint="eastAsia" w:cs="Times New Roman"/>
                <w:sz w:val="18"/>
                <w:szCs w:val="18"/>
              </w:rPr>
              <w:t>9.92</w:t>
            </w:r>
          </w:p>
        </w:tc>
        <w:tc>
          <w:tcPr>
            <w:tcW w:w="1639" w:type="dxa"/>
            <w:vAlign w:val="center"/>
          </w:tcPr>
          <w:p>
            <w:pPr>
              <w:spacing w:before="0" w:after="0" w:line="240" w:lineRule="auto"/>
              <w:jc w:val="center"/>
              <w:rPr>
                <w:rFonts w:cs="Times New Roman"/>
                <w:sz w:val="18"/>
                <w:szCs w:val="18"/>
              </w:rPr>
            </w:pPr>
            <w:r>
              <w:rPr>
                <w:rFonts w:hint="eastAsia" w:cs="Times New Roman"/>
                <w:sz w:val="18"/>
                <w:szCs w:val="18"/>
              </w:rPr>
              <w:t>24.53</w:t>
            </w:r>
            <w:r>
              <w:rPr>
                <w:rFonts w:cs="Times New Roman"/>
                <w:sz w:val="18"/>
                <w:szCs w:val="18"/>
              </w:rPr>
              <w:t>%</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632" w:type="dxa"/>
          </w:tcPr>
          <w:p>
            <w:pPr>
              <w:spacing w:before="0" w:after="0" w:line="240" w:lineRule="auto"/>
              <w:jc w:val="center"/>
              <w:rPr>
                <w:rFonts w:cs="Times New Roman"/>
                <w:sz w:val="18"/>
                <w:szCs w:val="18"/>
              </w:rPr>
            </w:pPr>
            <w:r>
              <w:rPr>
                <w:rFonts w:cs="Times New Roman"/>
                <w:sz w:val="18"/>
                <w:szCs w:val="18"/>
              </w:rPr>
              <w:t>钢铁</w:t>
            </w:r>
          </w:p>
        </w:tc>
        <w:tc>
          <w:tcPr>
            <w:tcW w:w="4247" w:type="dxa"/>
            <w:vAlign w:val="center"/>
          </w:tcPr>
          <w:p>
            <w:pPr>
              <w:spacing w:before="0" w:after="0" w:line="240" w:lineRule="auto"/>
              <w:jc w:val="center"/>
              <w:rPr>
                <w:rFonts w:cs="Times New Roman"/>
                <w:sz w:val="18"/>
                <w:szCs w:val="18"/>
              </w:rPr>
            </w:pPr>
            <w:r>
              <w:rPr>
                <w:rFonts w:hint="eastAsia" w:cs="Times New Roman"/>
                <w:sz w:val="18"/>
                <w:szCs w:val="18"/>
              </w:rPr>
              <w:t>0</w:t>
            </w:r>
          </w:p>
        </w:tc>
        <w:tc>
          <w:tcPr>
            <w:tcW w:w="1639" w:type="dxa"/>
            <w:vAlign w:val="center"/>
          </w:tcPr>
          <w:p>
            <w:pPr>
              <w:spacing w:before="0" w:after="0" w:line="240" w:lineRule="auto"/>
              <w:jc w:val="center"/>
              <w:rPr>
                <w:rFonts w:cs="Times New Roman"/>
                <w:sz w:val="18"/>
                <w:szCs w:val="18"/>
              </w:rPr>
            </w:pPr>
            <w:r>
              <w:rPr>
                <w:rFonts w:cs="Times New Roman"/>
                <w:sz w:val="18"/>
                <w:szCs w:val="18"/>
              </w:rPr>
              <w:t>0.00%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632" w:type="dxa"/>
          </w:tcPr>
          <w:p>
            <w:pPr>
              <w:spacing w:before="0" w:after="0" w:line="240" w:lineRule="auto"/>
              <w:jc w:val="center"/>
              <w:rPr>
                <w:rFonts w:cs="Times New Roman"/>
                <w:sz w:val="18"/>
                <w:szCs w:val="18"/>
              </w:rPr>
            </w:pPr>
            <w:r>
              <w:rPr>
                <w:rFonts w:cs="Times New Roman"/>
                <w:sz w:val="18"/>
                <w:szCs w:val="18"/>
              </w:rPr>
              <w:t>电石</w:t>
            </w:r>
          </w:p>
        </w:tc>
        <w:tc>
          <w:tcPr>
            <w:tcW w:w="4247" w:type="dxa"/>
            <w:vAlign w:val="center"/>
          </w:tcPr>
          <w:p>
            <w:pPr>
              <w:spacing w:before="0" w:after="0" w:line="240" w:lineRule="auto"/>
              <w:jc w:val="center"/>
              <w:rPr>
                <w:rFonts w:cs="Times New Roman"/>
                <w:sz w:val="18"/>
                <w:szCs w:val="18"/>
              </w:rPr>
            </w:pPr>
            <w:r>
              <w:rPr>
                <w:rFonts w:hint="eastAsia" w:cs="Times New Roman"/>
                <w:sz w:val="18"/>
                <w:szCs w:val="18"/>
              </w:rPr>
              <w:t>0</w:t>
            </w:r>
          </w:p>
        </w:tc>
        <w:tc>
          <w:tcPr>
            <w:tcW w:w="1639" w:type="dxa"/>
            <w:vAlign w:val="center"/>
          </w:tcPr>
          <w:p>
            <w:pPr>
              <w:spacing w:before="0" w:after="0" w:line="240" w:lineRule="auto"/>
              <w:jc w:val="center"/>
              <w:rPr>
                <w:rFonts w:cs="Times New Roman"/>
                <w:sz w:val="18"/>
                <w:szCs w:val="18"/>
              </w:rPr>
            </w:pPr>
            <w:r>
              <w:rPr>
                <w:rFonts w:cs="Times New Roman"/>
                <w:sz w:val="18"/>
                <w:szCs w:val="18"/>
              </w:rPr>
              <w:t>0.00%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632" w:type="dxa"/>
          </w:tcPr>
          <w:p>
            <w:pPr>
              <w:spacing w:before="0" w:after="0" w:line="240" w:lineRule="auto"/>
              <w:jc w:val="center"/>
              <w:rPr>
                <w:rFonts w:cs="Times New Roman"/>
                <w:sz w:val="18"/>
                <w:szCs w:val="18"/>
              </w:rPr>
            </w:pPr>
            <w:r>
              <w:rPr>
                <w:rFonts w:cs="Times New Roman"/>
                <w:sz w:val="18"/>
                <w:szCs w:val="18"/>
              </w:rPr>
              <w:t>己二酸</w:t>
            </w:r>
          </w:p>
        </w:tc>
        <w:tc>
          <w:tcPr>
            <w:tcW w:w="4247" w:type="dxa"/>
            <w:vAlign w:val="center"/>
          </w:tcPr>
          <w:p>
            <w:pPr>
              <w:spacing w:before="0" w:after="0" w:line="240" w:lineRule="auto"/>
              <w:jc w:val="center"/>
              <w:rPr>
                <w:rFonts w:cs="Times New Roman"/>
                <w:sz w:val="18"/>
                <w:szCs w:val="18"/>
              </w:rPr>
            </w:pPr>
            <w:r>
              <w:rPr>
                <w:rFonts w:cs="Times New Roman"/>
                <w:sz w:val="18"/>
                <w:szCs w:val="18"/>
              </w:rPr>
              <w:t>0</w:t>
            </w:r>
          </w:p>
        </w:tc>
        <w:tc>
          <w:tcPr>
            <w:tcW w:w="1639" w:type="dxa"/>
            <w:vAlign w:val="center"/>
          </w:tcPr>
          <w:p>
            <w:pPr>
              <w:spacing w:before="0" w:after="0" w:line="240" w:lineRule="auto"/>
              <w:jc w:val="center"/>
              <w:rPr>
                <w:rFonts w:cs="Times New Roman"/>
                <w:sz w:val="18"/>
                <w:szCs w:val="18"/>
              </w:rPr>
            </w:pPr>
            <w:r>
              <w:rPr>
                <w:rFonts w:cs="Times New Roman"/>
                <w:sz w:val="18"/>
                <w:szCs w:val="18"/>
              </w:rPr>
              <w:t>0.00%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632" w:type="dxa"/>
          </w:tcPr>
          <w:p>
            <w:pPr>
              <w:spacing w:before="0" w:after="0" w:line="240" w:lineRule="auto"/>
              <w:jc w:val="center"/>
              <w:rPr>
                <w:rFonts w:cs="Times New Roman"/>
                <w:sz w:val="18"/>
                <w:szCs w:val="18"/>
              </w:rPr>
            </w:pPr>
            <w:r>
              <w:rPr>
                <w:rFonts w:cs="Times New Roman"/>
                <w:sz w:val="18"/>
                <w:szCs w:val="18"/>
              </w:rPr>
              <w:t>硝酸</w:t>
            </w:r>
          </w:p>
        </w:tc>
        <w:tc>
          <w:tcPr>
            <w:tcW w:w="4247" w:type="dxa"/>
            <w:vAlign w:val="center"/>
          </w:tcPr>
          <w:p>
            <w:pPr>
              <w:spacing w:before="0" w:after="0" w:line="240" w:lineRule="auto"/>
              <w:jc w:val="center"/>
              <w:rPr>
                <w:rFonts w:cs="Times New Roman"/>
                <w:sz w:val="18"/>
                <w:szCs w:val="18"/>
              </w:rPr>
            </w:pPr>
            <w:r>
              <w:rPr>
                <w:rFonts w:cs="Times New Roman"/>
                <w:sz w:val="18"/>
                <w:szCs w:val="18"/>
              </w:rPr>
              <w:t>0</w:t>
            </w:r>
          </w:p>
        </w:tc>
        <w:tc>
          <w:tcPr>
            <w:tcW w:w="1639" w:type="dxa"/>
            <w:vAlign w:val="center"/>
          </w:tcPr>
          <w:p>
            <w:pPr>
              <w:spacing w:before="0" w:after="0" w:line="240" w:lineRule="auto"/>
              <w:jc w:val="center"/>
              <w:rPr>
                <w:rFonts w:cs="Times New Roman"/>
                <w:sz w:val="18"/>
                <w:szCs w:val="18"/>
              </w:rPr>
            </w:pPr>
            <w:r>
              <w:rPr>
                <w:rFonts w:cs="Times New Roman"/>
                <w:sz w:val="18"/>
                <w:szCs w:val="18"/>
              </w:rPr>
              <w:t>0.00%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632" w:type="dxa"/>
          </w:tcPr>
          <w:p>
            <w:pPr>
              <w:spacing w:before="0" w:after="0" w:line="240" w:lineRule="auto"/>
              <w:jc w:val="center"/>
              <w:rPr>
                <w:rFonts w:cs="Times New Roman"/>
                <w:sz w:val="18"/>
                <w:szCs w:val="18"/>
              </w:rPr>
            </w:pPr>
            <w:r>
              <w:rPr>
                <w:rFonts w:cs="Times New Roman"/>
                <w:sz w:val="18"/>
                <w:szCs w:val="18"/>
              </w:rPr>
              <w:t>铝</w:t>
            </w:r>
          </w:p>
        </w:tc>
        <w:tc>
          <w:tcPr>
            <w:tcW w:w="4247" w:type="dxa"/>
            <w:vAlign w:val="center"/>
          </w:tcPr>
          <w:p>
            <w:pPr>
              <w:spacing w:before="0" w:after="0" w:line="240" w:lineRule="auto"/>
              <w:jc w:val="center"/>
              <w:rPr>
                <w:rFonts w:cs="Times New Roman"/>
                <w:sz w:val="18"/>
                <w:szCs w:val="18"/>
              </w:rPr>
            </w:pPr>
            <w:r>
              <w:rPr>
                <w:rFonts w:cs="Times New Roman"/>
                <w:sz w:val="18"/>
                <w:szCs w:val="18"/>
              </w:rPr>
              <w:t>0</w:t>
            </w:r>
          </w:p>
        </w:tc>
        <w:tc>
          <w:tcPr>
            <w:tcW w:w="1639" w:type="dxa"/>
            <w:vAlign w:val="center"/>
          </w:tcPr>
          <w:p>
            <w:pPr>
              <w:spacing w:before="0" w:after="0" w:line="240" w:lineRule="auto"/>
              <w:jc w:val="center"/>
              <w:rPr>
                <w:rFonts w:cs="Times New Roman"/>
                <w:sz w:val="18"/>
                <w:szCs w:val="18"/>
              </w:rPr>
            </w:pPr>
            <w:r>
              <w:rPr>
                <w:rFonts w:cs="Times New Roman"/>
                <w:sz w:val="18"/>
                <w:szCs w:val="18"/>
              </w:rPr>
              <w:t>0.00%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632" w:type="dxa"/>
          </w:tcPr>
          <w:p>
            <w:pPr>
              <w:spacing w:before="0" w:after="0" w:line="240" w:lineRule="auto"/>
              <w:jc w:val="center"/>
              <w:rPr>
                <w:rFonts w:cs="Times New Roman"/>
                <w:sz w:val="18"/>
                <w:szCs w:val="18"/>
              </w:rPr>
            </w:pPr>
            <w:r>
              <w:rPr>
                <w:rFonts w:cs="Times New Roman"/>
                <w:sz w:val="18"/>
                <w:szCs w:val="18"/>
              </w:rPr>
              <w:t>镁</w:t>
            </w:r>
          </w:p>
        </w:tc>
        <w:tc>
          <w:tcPr>
            <w:tcW w:w="4247" w:type="dxa"/>
            <w:vAlign w:val="center"/>
          </w:tcPr>
          <w:p>
            <w:pPr>
              <w:spacing w:before="0" w:after="0" w:line="240" w:lineRule="auto"/>
              <w:jc w:val="center"/>
              <w:rPr>
                <w:rFonts w:cs="Times New Roman"/>
                <w:sz w:val="18"/>
                <w:szCs w:val="18"/>
              </w:rPr>
            </w:pPr>
            <w:r>
              <w:rPr>
                <w:rFonts w:cs="Times New Roman"/>
                <w:sz w:val="18"/>
                <w:szCs w:val="18"/>
              </w:rPr>
              <w:t>0</w:t>
            </w:r>
          </w:p>
        </w:tc>
        <w:tc>
          <w:tcPr>
            <w:tcW w:w="1639" w:type="dxa"/>
            <w:vAlign w:val="center"/>
          </w:tcPr>
          <w:p>
            <w:pPr>
              <w:spacing w:before="0" w:after="0" w:line="240" w:lineRule="auto"/>
              <w:jc w:val="center"/>
              <w:rPr>
                <w:rFonts w:cs="Times New Roman"/>
                <w:sz w:val="18"/>
                <w:szCs w:val="18"/>
              </w:rPr>
            </w:pPr>
            <w:r>
              <w:rPr>
                <w:rFonts w:cs="Times New Roman"/>
                <w:sz w:val="18"/>
                <w:szCs w:val="18"/>
              </w:rPr>
              <w:t>0.00%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632" w:type="dxa"/>
          </w:tcPr>
          <w:p>
            <w:pPr>
              <w:spacing w:before="0" w:after="0" w:line="240" w:lineRule="auto"/>
              <w:jc w:val="center"/>
              <w:rPr>
                <w:rFonts w:cs="Times New Roman"/>
                <w:sz w:val="18"/>
                <w:szCs w:val="18"/>
              </w:rPr>
            </w:pPr>
            <w:r>
              <w:rPr>
                <w:rFonts w:cs="Times New Roman"/>
                <w:sz w:val="18"/>
                <w:szCs w:val="18"/>
              </w:rPr>
              <w:t>电力设备</w:t>
            </w:r>
          </w:p>
        </w:tc>
        <w:tc>
          <w:tcPr>
            <w:tcW w:w="4247" w:type="dxa"/>
            <w:vAlign w:val="center"/>
          </w:tcPr>
          <w:p>
            <w:pPr>
              <w:spacing w:before="0" w:after="0" w:line="240" w:lineRule="auto"/>
              <w:jc w:val="center"/>
              <w:rPr>
                <w:rFonts w:cs="Times New Roman"/>
                <w:sz w:val="18"/>
                <w:szCs w:val="18"/>
              </w:rPr>
            </w:pPr>
            <w:r>
              <w:rPr>
                <w:rFonts w:hint="eastAsia" w:cs="Times New Roman"/>
                <w:sz w:val="18"/>
                <w:szCs w:val="18"/>
              </w:rPr>
              <w:t>0.38</w:t>
            </w:r>
          </w:p>
        </w:tc>
        <w:tc>
          <w:tcPr>
            <w:tcW w:w="1639" w:type="dxa"/>
            <w:vAlign w:val="center"/>
          </w:tcPr>
          <w:p>
            <w:pPr>
              <w:spacing w:before="0" w:after="0" w:line="240" w:lineRule="auto"/>
              <w:jc w:val="center"/>
              <w:rPr>
                <w:rFonts w:cs="Times New Roman"/>
                <w:sz w:val="18"/>
                <w:szCs w:val="18"/>
              </w:rPr>
            </w:pPr>
            <w:r>
              <w:rPr>
                <w:rFonts w:hint="eastAsia" w:cs="Times New Roman"/>
                <w:sz w:val="18"/>
                <w:szCs w:val="18"/>
              </w:rPr>
              <w:t>4.24</w:t>
            </w:r>
            <w:r>
              <w:rPr>
                <w:rFonts w:cs="Times New Roman"/>
                <w:sz w:val="18"/>
                <w:szCs w:val="18"/>
              </w:rPr>
              <w:t>%</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632" w:type="dxa"/>
          </w:tcPr>
          <w:p>
            <w:pPr>
              <w:spacing w:before="0" w:after="0" w:line="240" w:lineRule="auto"/>
              <w:jc w:val="center"/>
              <w:rPr>
                <w:rFonts w:cs="Times New Roman"/>
                <w:sz w:val="18"/>
                <w:szCs w:val="18"/>
              </w:rPr>
            </w:pPr>
            <w:r>
              <w:rPr>
                <w:rFonts w:cs="Times New Roman"/>
                <w:sz w:val="18"/>
                <w:szCs w:val="18"/>
              </w:rPr>
              <w:t>半导体</w:t>
            </w:r>
          </w:p>
        </w:tc>
        <w:tc>
          <w:tcPr>
            <w:tcW w:w="4247" w:type="dxa"/>
            <w:vAlign w:val="center"/>
          </w:tcPr>
          <w:p>
            <w:pPr>
              <w:spacing w:before="0" w:after="0" w:line="240" w:lineRule="auto"/>
              <w:jc w:val="center"/>
              <w:rPr>
                <w:rFonts w:cs="Times New Roman"/>
                <w:sz w:val="18"/>
                <w:szCs w:val="18"/>
              </w:rPr>
            </w:pPr>
            <w:r>
              <w:rPr>
                <w:rFonts w:cs="Times New Roman"/>
                <w:sz w:val="18"/>
                <w:szCs w:val="18"/>
              </w:rPr>
              <w:t>0</w:t>
            </w:r>
          </w:p>
        </w:tc>
        <w:tc>
          <w:tcPr>
            <w:tcW w:w="1639" w:type="dxa"/>
            <w:vAlign w:val="center"/>
          </w:tcPr>
          <w:p>
            <w:pPr>
              <w:spacing w:before="0" w:after="0" w:line="240" w:lineRule="auto"/>
              <w:jc w:val="center"/>
              <w:rPr>
                <w:rFonts w:cs="Times New Roman"/>
                <w:sz w:val="18"/>
                <w:szCs w:val="18"/>
              </w:rPr>
            </w:pPr>
            <w:r>
              <w:rPr>
                <w:rFonts w:cs="Times New Roman"/>
                <w:sz w:val="18"/>
                <w:szCs w:val="18"/>
              </w:rPr>
              <w:t>0.00%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632" w:type="dxa"/>
            <w:vAlign w:val="center"/>
          </w:tcPr>
          <w:p>
            <w:pPr>
              <w:spacing w:before="0" w:after="0" w:line="240" w:lineRule="auto"/>
              <w:jc w:val="center"/>
              <w:rPr>
                <w:rFonts w:cs="Times New Roman"/>
                <w:sz w:val="18"/>
                <w:szCs w:val="18"/>
              </w:rPr>
            </w:pPr>
            <w:r>
              <w:rPr>
                <w:rFonts w:cs="Times New Roman"/>
                <w:sz w:val="18"/>
                <w:szCs w:val="18"/>
              </w:rPr>
              <w:t>HCFC-22</w:t>
            </w:r>
          </w:p>
        </w:tc>
        <w:tc>
          <w:tcPr>
            <w:tcW w:w="4247" w:type="dxa"/>
            <w:vAlign w:val="center"/>
          </w:tcPr>
          <w:p>
            <w:pPr>
              <w:spacing w:before="0" w:after="0" w:line="240" w:lineRule="auto"/>
              <w:jc w:val="center"/>
              <w:rPr>
                <w:rFonts w:cs="Times New Roman"/>
                <w:sz w:val="18"/>
                <w:szCs w:val="18"/>
              </w:rPr>
            </w:pPr>
            <w:r>
              <w:rPr>
                <w:rFonts w:cs="Times New Roman"/>
                <w:sz w:val="18"/>
                <w:szCs w:val="18"/>
              </w:rPr>
              <w:t>0</w:t>
            </w:r>
          </w:p>
        </w:tc>
        <w:tc>
          <w:tcPr>
            <w:tcW w:w="1639" w:type="dxa"/>
            <w:vAlign w:val="center"/>
          </w:tcPr>
          <w:p>
            <w:pPr>
              <w:spacing w:before="0" w:after="0" w:line="240" w:lineRule="auto"/>
              <w:jc w:val="center"/>
              <w:rPr>
                <w:rFonts w:cs="Times New Roman"/>
                <w:sz w:val="18"/>
                <w:szCs w:val="18"/>
              </w:rPr>
            </w:pPr>
            <w:r>
              <w:rPr>
                <w:rFonts w:cs="Times New Roman"/>
                <w:sz w:val="18"/>
                <w:szCs w:val="18"/>
              </w:rPr>
              <w:t>0.00%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632" w:type="dxa"/>
            <w:tcBorders>
              <w:bottom w:val="nil"/>
            </w:tcBorders>
            <w:vAlign w:val="center"/>
          </w:tcPr>
          <w:p>
            <w:pPr>
              <w:spacing w:before="0" w:after="0" w:line="240" w:lineRule="auto"/>
              <w:jc w:val="center"/>
              <w:rPr>
                <w:rFonts w:cs="Times New Roman"/>
                <w:sz w:val="18"/>
                <w:szCs w:val="18"/>
              </w:rPr>
            </w:pPr>
            <w:r>
              <w:rPr>
                <w:rFonts w:cs="Times New Roman"/>
                <w:sz w:val="18"/>
                <w:szCs w:val="18"/>
              </w:rPr>
              <w:t>HFC</w:t>
            </w:r>
          </w:p>
        </w:tc>
        <w:tc>
          <w:tcPr>
            <w:tcW w:w="4247" w:type="dxa"/>
            <w:tcBorders>
              <w:bottom w:val="nil"/>
            </w:tcBorders>
            <w:vAlign w:val="center"/>
          </w:tcPr>
          <w:p>
            <w:pPr>
              <w:spacing w:before="0" w:after="0" w:line="240" w:lineRule="auto"/>
              <w:jc w:val="center"/>
              <w:rPr>
                <w:rFonts w:cs="Times New Roman"/>
                <w:sz w:val="18"/>
                <w:szCs w:val="18"/>
              </w:rPr>
            </w:pPr>
            <w:r>
              <w:rPr>
                <w:rFonts w:cs="Times New Roman"/>
                <w:sz w:val="18"/>
                <w:szCs w:val="18"/>
              </w:rPr>
              <w:t>0</w:t>
            </w:r>
          </w:p>
        </w:tc>
        <w:tc>
          <w:tcPr>
            <w:tcW w:w="1639" w:type="dxa"/>
            <w:tcBorders>
              <w:bottom w:val="nil"/>
            </w:tcBorders>
            <w:vAlign w:val="center"/>
          </w:tcPr>
          <w:p>
            <w:pPr>
              <w:spacing w:before="0" w:after="0" w:line="240" w:lineRule="auto"/>
              <w:jc w:val="center"/>
              <w:rPr>
                <w:rFonts w:cs="Times New Roman"/>
                <w:sz w:val="18"/>
                <w:szCs w:val="18"/>
              </w:rPr>
            </w:pPr>
            <w:r>
              <w:rPr>
                <w:rFonts w:cs="Times New Roman"/>
                <w:sz w:val="18"/>
                <w:szCs w:val="18"/>
              </w:rPr>
              <w:t>0.00%</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1632" w:type="dxa"/>
            <w:tcBorders>
              <w:top w:val="nil"/>
              <w:bottom w:val="single" w:color="000000" w:sz="4" w:space="0"/>
            </w:tcBorders>
          </w:tcPr>
          <w:p>
            <w:pPr>
              <w:spacing w:before="0" w:after="0" w:line="240" w:lineRule="auto"/>
              <w:jc w:val="center"/>
              <w:rPr>
                <w:rFonts w:cs="Times New Roman"/>
                <w:sz w:val="18"/>
                <w:szCs w:val="18"/>
              </w:rPr>
            </w:pPr>
            <w:r>
              <w:rPr>
                <w:rFonts w:cs="Times New Roman"/>
                <w:sz w:val="18"/>
                <w:szCs w:val="18"/>
              </w:rPr>
              <w:t>合计</w:t>
            </w:r>
          </w:p>
        </w:tc>
        <w:tc>
          <w:tcPr>
            <w:tcW w:w="4247" w:type="dxa"/>
            <w:tcBorders>
              <w:top w:val="nil"/>
              <w:bottom w:val="single" w:color="000000" w:sz="4" w:space="0"/>
            </w:tcBorders>
            <w:vAlign w:val="center"/>
          </w:tcPr>
          <w:p>
            <w:pPr>
              <w:spacing w:before="0" w:after="0" w:line="240" w:lineRule="auto"/>
              <w:jc w:val="center"/>
              <w:rPr>
                <w:rFonts w:cs="Times New Roman"/>
                <w:sz w:val="18"/>
                <w:szCs w:val="18"/>
              </w:rPr>
            </w:pPr>
            <w:r>
              <w:rPr>
                <w:rFonts w:hint="eastAsia" w:cs="Times New Roman"/>
                <w:sz w:val="18"/>
                <w:szCs w:val="18"/>
              </w:rPr>
              <w:t>241.26</w:t>
            </w:r>
          </w:p>
        </w:tc>
        <w:tc>
          <w:tcPr>
            <w:tcW w:w="1639" w:type="dxa"/>
            <w:tcBorders>
              <w:top w:val="nil"/>
              <w:bottom w:val="single" w:color="000000" w:sz="4" w:space="0"/>
            </w:tcBorders>
            <w:vAlign w:val="center"/>
          </w:tcPr>
          <w:p>
            <w:pPr>
              <w:spacing w:before="0" w:after="0" w:line="240" w:lineRule="auto"/>
              <w:jc w:val="center"/>
              <w:rPr>
                <w:rFonts w:cs="Times New Roman"/>
                <w:sz w:val="18"/>
                <w:szCs w:val="18"/>
              </w:rPr>
            </w:pPr>
            <w:r>
              <w:rPr>
                <w:rFonts w:hint="eastAsia" w:cs="Times New Roman"/>
                <w:sz w:val="18"/>
                <w:szCs w:val="18"/>
              </w:rPr>
              <w:t>2.89%</w:t>
            </w:r>
          </w:p>
        </w:tc>
      </w:tr>
    </w:tbl>
    <w:p>
      <w:pPr>
        <w:pStyle w:val="4"/>
        <w:numPr>
          <w:ilvl w:val="0"/>
          <w:numId w:val="0"/>
        </w:numPr>
        <w:spacing w:before="0"/>
        <w:sectPr>
          <w:pgSz w:w="11906" w:h="16838"/>
          <w:pgMar w:top="1440" w:right="1800" w:bottom="1440" w:left="1800" w:header="851" w:footer="992" w:gutter="0"/>
          <w:pgNumType w:fmt="decimal"/>
          <w:cols w:space="425" w:num="1"/>
          <w:docGrid w:type="lines" w:linePitch="312" w:charSpace="0"/>
        </w:sectPr>
      </w:pPr>
    </w:p>
    <w:p>
      <w:pPr>
        <w:pStyle w:val="2"/>
      </w:pPr>
      <w:bookmarkStart w:id="136" w:name="_Toc29070"/>
      <w:r>
        <w:rPr>
          <w:rFonts w:hint="eastAsia"/>
        </w:rPr>
        <w:t>农业活动</w:t>
      </w:r>
      <w:bookmarkEnd w:id="136"/>
    </w:p>
    <w:p>
      <w:pPr>
        <w:spacing w:before="0" w:after="0"/>
        <w:ind w:firstLine="480" w:firstLineChars="200"/>
      </w:pPr>
      <w:r>
        <w:rPr>
          <w:rFonts w:hint="eastAsia"/>
        </w:rPr>
        <w:t>益阳市2019年农业活动温室气体排放总量为369.93万吨CO</w:t>
      </w:r>
      <w:r>
        <w:rPr>
          <w:rFonts w:hint="eastAsia"/>
          <w:vertAlign w:val="subscript"/>
        </w:rPr>
        <w:t>2</w:t>
      </w:r>
      <w:r>
        <w:rPr>
          <w:rFonts w:hint="eastAsia"/>
        </w:rPr>
        <w:t>当量，农业甲烷总排放量为12.70万吨，折合二氧化碳当量为266.70万吨，占总排放量72.09%；氧化亚氮总排放量为0.33万吨，折合二氧化碳当量为103.23万吨，占总排放量27.91%。</w:t>
      </w:r>
    </w:p>
    <w:p>
      <w:pPr>
        <w:ind w:firstLine="480" w:firstLineChars="200"/>
      </w:pPr>
      <w:r>
        <w:rPr>
          <w:rFonts w:hint="eastAsia"/>
        </w:rPr>
        <w:t>按照排放部门分，其中稻田甲烷排放量为203.07万吨CO</w:t>
      </w:r>
      <w:r>
        <w:rPr>
          <w:rFonts w:hint="eastAsia"/>
          <w:vertAlign w:val="subscript"/>
        </w:rPr>
        <w:t>2</w:t>
      </w:r>
      <w:r>
        <w:rPr>
          <w:rFonts w:hint="eastAsia"/>
        </w:rPr>
        <w:t>当量，占总排放量的54.89%，农用地氧化亚氮排放量为80.60万吨CO</w:t>
      </w:r>
      <w:r>
        <w:rPr>
          <w:rFonts w:hint="eastAsia"/>
          <w:vertAlign w:val="subscript"/>
        </w:rPr>
        <w:t>2</w:t>
      </w:r>
      <w:r>
        <w:rPr>
          <w:rFonts w:hint="eastAsia"/>
        </w:rPr>
        <w:t>当量，占总排放量的21.79%，动物肠道发酵甲烷排放量为34.65万吨CO</w:t>
      </w:r>
      <w:r>
        <w:rPr>
          <w:rFonts w:hint="eastAsia"/>
          <w:vertAlign w:val="subscript"/>
        </w:rPr>
        <w:t>2</w:t>
      </w:r>
      <w:r>
        <w:rPr>
          <w:rFonts w:hint="eastAsia"/>
        </w:rPr>
        <w:t>当量，占总排放量的13.95%，动物粪便管理甲烷和氧化亚氮排放量为51.61万吨CO</w:t>
      </w:r>
      <w:r>
        <w:rPr>
          <w:rFonts w:hint="eastAsia"/>
          <w:vertAlign w:val="subscript"/>
        </w:rPr>
        <w:t>2</w:t>
      </w:r>
      <w:r>
        <w:rPr>
          <w:rFonts w:hint="eastAsia"/>
        </w:rPr>
        <w:t>当量，占总排放量的13.95%。</w:t>
      </w:r>
    </w:p>
    <w:p>
      <w:pPr>
        <w:pStyle w:val="3"/>
      </w:pPr>
      <w:bookmarkStart w:id="137" w:name="_Toc14825"/>
      <w:r>
        <w:rPr>
          <w:rFonts w:hint="eastAsia"/>
        </w:rPr>
        <w:t>报告范围</w:t>
      </w:r>
      <w:bookmarkEnd w:id="137"/>
    </w:p>
    <w:p>
      <w:pPr>
        <w:ind w:firstLine="480" w:firstLineChars="200"/>
      </w:pPr>
      <w:r>
        <w:rPr>
          <w:rFonts w:hint="eastAsia" w:cs="Times New Roman"/>
          <w:szCs w:val="24"/>
        </w:rPr>
        <w:t>2019年益阳市农业活动排放的温室气体清单报告内容主要分为四个部分：分别为稻田甲烷（CH</w:t>
      </w:r>
      <w:r>
        <w:rPr>
          <w:rFonts w:hint="eastAsia" w:cs="Times New Roman"/>
          <w:szCs w:val="24"/>
          <w:vertAlign w:val="subscript"/>
        </w:rPr>
        <w:t>4</w:t>
      </w:r>
      <w:r>
        <w:rPr>
          <w:rFonts w:hint="eastAsia" w:cs="Times New Roman"/>
          <w:szCs w:val="24"/>
        </w:rPr>
        <w:t>）排放；农用地氧化亚氮（N</w:t>
      </w:r>
      <w:r>
        <w:rPr>
          <w:rFonts w:hint="eastAsia" w:cs="Times New Roman"/>
          <w:szCs w:val="24"/>
          <w:vertAlign w:val="subscript"/>
        </w:rPr>
        <w:t>2</w:t>
      </w:r>
      <w:r>
        <w:rPr>
          <w:rFonts w:hint="eastAsia" w:cs="Times New Roman"/>
          <w:szCs w:val="24"/>
        </w:rPr>
        <w:t>O）的排放，包括化学氮肥输入、粪肥氮输入以及主要农作物秸秆还田氮输入引起的N</w:t>
      </w:r>
      <w:r>
        <w:rPr>
          <w:rFonts w:hint="eastAsia" w:cs="Times New Roman"/>
          <w:szCs w:val="24"/>
          <w:vertAlign w:val="subscript"/>
        </w:rPr>
        <w:t>2</w:t>
      </w:r>
      <w:r>
        <w:rPr>
          <w:rFonts w:hint="eastAsia" w:cs="Times New Roman"/>
          <w:szCs w:val="24"/>
        </w:rPr>
        <w:t>O的直接排放，以及大气氮沉降和氮淋溶径流损失引起的N</w:t>
      </w:r>
      <w:r>
        <w:rPr>
          <w:rFonts w:hint="eastAsia" w:cs="Times New Roman"/>
          <w:szCs w:val="24"/>
          <w:vertAlign w:val="subscript"/>
        </w:rPr>
        <w:t>2</w:t>
      </w:r>
      <w:r>
        <w:rPr>
          <w:rFonts w:hint="eastAsia" w:cs="Times New Roman"/>
          <w:szCs w:val="24"/>
        </w:rPr>
        <w:t>O的间接排放；动物肠道发酵CH</w:t>
      </w:r>
      <w:r>
        <w:rPr>
          <w:rFonts w:hint="eastAsia" w:cs="Times New Roman"/>
          <w:szCs w:val="24"/>
          <w:vertAlign w:val="subscript"/>
        </w:rPr>
        <w:t>4</w:t>
      </w:r>
      <w:r>
        <w:rPr>
          <w:rFonts w:hint="eastAsia" w:cs="Times New Roman"/>
          <w:szCs w:val="24"/>
        </w:rPr>
        <w:t>排放以及动物粪便管理中CH</w:t>
      </w:r>
      <w:r>
        <w:rPr>
          <w:rFonts w:hint="eastAsia" w:cs="Times New Roman"/>
          <w:szCs w:val="24"/>
          <w:vertAlign w:val="subscript"/>
        </w:rPr>
        <w:t>4</w:t>
      </w:r>
      <w:r>
        <w:rPr>
          <w:rFonts w:hint="eastAsia" w:cs="Times New Roman"/>
          <w:szCs w:val="24"/>
        </w:rPr>
        <w:t>和N</w:t>
      </w:r>
      <w:r>
        <w:rPr>
          <w:rFonts w:hint="eastAsia" w:cs="Times New Roman"/>
          <w:szCs w:val="24"/>
          <w:vertAlign w:val="subscript"/>
        </w:rPr>
        <w:t>2</w:t>
      </w:r>
      <w:r>
        <w:rPr>
          <w:rFonts w:hint="eastAsia" w:cs="Times New Roman"/>
          <w:szCs w:val="24"/>
        </w:rPr>
        <w:t>O的排放</w:t>
      </w:r>
      <w:r>
        <w:rPr>
          <w:rFonts w:hint="eastAsia"/>
        </w:rPr>
        <w:t>。</w:t>
      </w:r>
    </w:p>
    <w:p>
      <w:pPr>
        <w:pStyle w:val="3"/>
      </w:pPr>
      <w:bookmarkStart w:id="138" w:name="_Toc2752"/>
      <w:r>
        <w:rPr>
          <w:rFonts w:hint="eastAsia"/>
        </w:rPr>
        <w:t>编制方法</w:t>
      </w:r>
      <w:bookmarkEnd w:id="138"/>
    </w:p>
    <w:p>
      <w:pPr>
        <w:pStyle w:val="4"/>
      </w:pPr>
      <w:bookmarkStart w:id="139" w:name="_Toc53827523"/>
      <w:bookmarkStart w:id="140" w:name="_Toc55311749"/>
      <w:bookmarkStart w:id="141" w:name="_Toc54097664"/>
      <w:bookmarkStart w:id="142" w:name="_Toc51939038"/>
      <w:bookmarkStart w:id="143" w:name="_Toc52177400"/>
      <w:bookmarkStart w:id="144" w:name="_Toc12280"/>
      <w:r>
        <w:rPr>
          <w:rFonts w:hint="eastAsia"/>
        </w:rPr>
        <w:t>稻田甲烷排放</w:t>
      </w:r>
      <w:bookmarkEnd w:id="139"/>
      <w:bookmarkEnd w:id="140"/>
      <w:bookmarkEnd w:id="141"/>
      <w:bookmarkEnd w:id="142"/>
      <w:bookmarkEnd w:id="143"/>
      <w:bookmarkEnd w:id="144"/>
    </w:p>
    <w:p>
      <w:pPr>
        <w:ind w:firstLine="480" w:firstLineChars="200"/>
      </w:pPr>
      <w:r>
        <w:rPr>
          <w:rFonts w:hint="eastAsia"/>
        </w:rPr>
        <w:t>稻田甲烷（CH</w:t>
      </w:r>
      <w:r>
        <w:rPr>
          <w:rFonts w:hint="eastAsia"/>
          <w:vertAlign w:val="subscript"/>
        </w:rPr>
        <w:t>4</w:t>
      </w:r>
      <w:r>
        <w:rPr>
          <w:rFonts w:hint="eastAsia"/>
        </w:rPr>
        <w:t>）排放清单编制方法总体上遵循IPCC指南的基本方法框架和要求，即首先分别确定分稻田类型的排放因子和活动水平，然后根据指南计算公式计算得出排放量。</w:t>
      </w:r>
    </w:p>
    <w:p>
      <w:pPr>
        <w:pStyle w:val="4"/>
      </w:pPr>
      <w:bookmarkStart w:id="145" w:name="_Toc54097665"/>
      <w:bookmarkStart w:id="146" w:name="_Toc30922"/>
      <w:bookmarkStart w:id="147" w:name="_Toc51939039"/>
      <w:bookmarkStart w:id="148" w:name="_Toc53827524"/>
      <w:bookmarkStart w:id="149" w:name="_Toc55311750"/>
      <w:bookmarkStart w:id="150" w:name="_Toc52177401"/>
      <w:r>
        <w:rPr>
          <w:rFonts w:hint="eastAsia"/>
        </w:rPr>
        <w:t>农用地氧化亚氮排放</w:t>
      </w:r>
      <w:bookmarkEnd w:id="145"/>
      <w:bookmarkEnd w:id="146"/>
      <w:bookmarkEnd w:id="147"/>
      <w:bookmarkEnd w:id="148"/>
      <w:bookmarkEnd w:id="149"/>
      <w:bookmarkEnd w:id="150"/>
    </w:p>
    <w:p>
      <w:pPr>
        <w:ind w:firstLine="480" w:firstLineChars="200"/>
      </w:pPr>
      <w:r>
        <w:rPr>
          <w:rFonts w:hint="eastAsia"/>
        </w:rPr>
        <w:t>农用地氧化亚氮排放包括两部分：直接排放和间接排放。直接排放是由农用地当季氮输入引起的排放。输入的氮包括氮肥、粪肥和秸秆还田。间接排放包括大气氮沉降引起的氧化亚氮排放和氮淋溶径流损失引起的氧化亚氮排放。农用地氧化亚氮排放等于各排放过程的氮输入量乘以其相应的氧化亚氮排放因子。</w:t>
      </w:r>
    </w:p>
    <w:p>
      <w:pPr>
        <w:pStyle w:val="4"/>
      </w:pPr>
      <w:bookmarkStart w:id="151" w:name="_Toc52177402"/>
      <w:bookmarkStart w:id="152" w:name="_Toc55311751"/>
      <w:bookmarkStart w:id="153" w:name="_Toc54097666"/>
      <w:bookmarkStart w:id="154" w:name="_Toc51939040"/>
      <w:bookmarkStart w:id="155" w:name="_Toc13778"/>
      <w:bookmarkStart w:id="156" w:name="_Toc53827525"/>
      <w:r>
        <w:rPr>
          <w:rFonts w:hint="eastAsia"/>
        </w:rPr>
        <w:t>动物肠道发酵甲烷排放</w:t>
      </w:r>
      <w:bookmarkEnd w:id="151"/>
      <w:bookmarkEnd w:id="152"/>
      <w:bookmarkEnd w:id="153"/>
      <w:bookmarkEnd w:id="154"/>
      <w:bookmarkEnd w:id="155"/>
      <w:bookmarkEnd w:id="156"/>
    </w:p>
    <w:p>
      <w:pPr>
        <w:ind w:firstLine="480" w:firstLineChars="200"/>
      </w:pPr>
      <w:r>
        <w:rPr>
          <w:rFonts w:hint="eastAsia"/>
        </w:rPr>
        <w:t>各种动物肠道发酵甲烷排放等于动物的存栏数量乘以适当的排放因子，然后将各种动物的排放量求和得到总排放量。</w:t>
      </w:r>
    </w:p>
    <w:p>
      <w:pPr>
        <w:pStyle w:val="4"/>
      </w:pPr>
      <w:bookmarkStart w:id="157" w:name="_Toc51939041"/>
      <w:bookmarkStart w:id="158" w:name="_Toc54097667"/>
      <w:bookmarkStart w:id="159" w:name="_Toc52177403"/>
      <w:bookmarkStart w:id="160" w:name="_Toc55311752"/>
      <w:bookmarkStart w:id="161" w:name="_Toc53827526"/>
      <w:bookmarkStart w:id="162" w:name="_Toc13681"/>
      <w:r>
        <w:rPr>
          <w:rFonts w:hint="eastAsia"/>
        </w:rPr>
        <w:t>动物粪便管理甲烷和氧化亚氮排放</w:t>
      </w:r>
      <w:bookmarkEnd w:id="157"/>
      <w:bookmarkEnd w:id="158"/>
      <w:bookmarkEnd w:id="159"/>
      <w:bookmarkEnd w:id="160"/>
      <w:bookmarkEnd w:id="161"/>
      <w:bookmarkEnd w:id="162"/>
    </w:p>
    <w:p>
      <w:pPr>
        <w:ind w:firstLine="480" w:firstLineChars="200"/>
      </w:pPr>
      <w:r>
        <w:rPr>
          <w:rFonts w:hint="eastAsia"/>
        </w:rPr>
        <w:t>各种动物粪便管理甲烷排放清单等于不同动物粪便管理方式下甲烷排放因子乘以动物数量，然后相加可得总排放量。</w:t>
      </w:r>
    </w:p>
    <w:p>
      <w:pPr>
        <w:pStyle w:val="3"/>
      </w:pPr>
      <w:bookmarkStart w:id="163" w:name="_Toc23262"/>
      <w:r>
        <w:rPr>
          <w:rFonts w:hint="eastAsia"/>
        </w:rPr>
        <w:t>活动水平数据来源及排放因子选取</w:t>
      </w:r>
      <w:bookmarkEnd w:id="163"/>
    </w:p>
    <w:p>
      <w:pPr>
        <w:pStyle w:val="4"/>
      </w:pPr>
      <w:bookmarkStart w:id="164" w:name="_Toc52177405"/>
      <w:bookmarkStart w:id="165" w:name="_Toc54097669"/>
      <w:bookmarkStart w:id="166" w:name="_Toc53827528"/>
      <w:bookmarkStart w:id="167" w:name="_Toc51939043"/>
      <w:bookmarkStart w:id="168" w:name="_Toc25704"/>
      <w:bookmarkStart w:id="169" w:name="_Toc55311754"/>
      <w:r>
        <w:rPr>
          <w:rFonts w:hint="eastAsia"/>
        </w:rPr>
        <w:t>稻田甲烷排放</w:t>
      </w:r>
      <w:bookmarkEnd w:id="164"/>
      <w:bookmarkEnd w:id="165"/>
      <w:bookmarkEnd w:id="166"/>
      <w:bookmarkEnd w:id="167"/>
      <w:bookmarkEnd w:id="168"/>
      <w:bookmarkEnd w:id="169"/>
    </w:p>
    <w:p>
      <w:pPr>
        <w:spacing w:before="0" w:after="0"/>
        <w:ind w:firstLine="480" w:firstLineChars="200"/>
      </w:pPr>
      <w:r>
        <w:rPr>
          <w:rFonts w:hint="eastAsia"/>
        </w:rPr>
        <w:t>（1）活动水平数据</w:t>
      </w:r>
    </w:p>
    <w:p>
      <w:pPr>
        <w:spacing w:before="0" w:after="0"/>
        <w:ind w:firstLine="480" w:firstLineChars="200"/>
      </w:pPr>
      <w:r>
        <w:rPr>
          <w:szCs w:val="24"/>
        </w:rPr>
        <w:t>稻田甲烷清单的活动水平数据为各种类型水稻播种面积，包括双季早稻、双季晚稻和单季稻的播种面积，</w:t>
      </w:r>
      <w:r>
        <w:rPr>
          <w:rFonts w:hint="eastAsia"/>
          <w:szCs w:val="24"/>
        </w:rPr>
        <w:t>2019年稻田面积数据由益阳市农业农村局提供，面积数据以播种时间划分为早稻、中稻与一季晚稻、双季晚稻播种面积进行统计，该部分数据需根据指南要求进行调整，实际双季稻播种面积=min[晚稻，早稻]，取两者最小值为双季稻播种面积，剩余稻田面积即为单季稻播种面积</w:t>
      </w:r>
      <w:r>
        <w:rPr>
          <w:rFonts w:hint="eastAsia"/>
        </w:rPr>
        <w:t>。</w:t>
      </w:r>
    </w:p>
    <w:p>
      <w:pPr>
        <w:spacing w:before="0" w:after="0"/>
        <w:ind w:firstLine="480" w:firstLineChars="200"/>
      </w:pPr>
      <w:r>
        <w:rPr>
          <w:rFonts w:hint="eastAsia"/>
        </w:rPr>
        <w:t>（2）排放因子选取</w:t>
      </w:r>
    </w:p>
    <w:p>
      <w:pPr>
        <w:ind w:firstLine="480" w:firstLineChars="200"/>
        <w:rPr>
          <w:szCs w:val="24"/>
        </w:rPr>
      </w:pPr>
      <w:r>
        <w:rPr>
          <w:rFonts w:hint="eastAsia"/>
          <w:szCs w:val="24"/>
        </w:rPr>
        <w:t>稻田甲烷排放量计算中主要采用《省级温室气体清单编制指南（试行）》中所推荐的排放因子（中南地区）。在指南中该排放因子基于2005年稻田平均的有机肥（包括作物秸秆和农家肥）施用水平、稻田水管理方式、气候条件，水稻生产力水平（水稻单产）等得到</w:t>
      </w:r>
      <w:r>
        <w:rPr>
          <w:szCs w:val="24"/>
        </w:rPr>
        <w:t>。</w:t>
      </w:r>
    </w:p>
    <w:p>
      <w:pPr>
        <w:pStyle w:val="12"/>
      </w:pPr>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4</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1</w:t>
      </w:r>
      <w:r>
        <w:fldChar w:fldCharType="end"/>
      </w:r>
      <w:r>
        <w:rPr>
          <w:rFonts w:hint="eastAsia"/>
        </w:rPr>
        <w:t xml:space="preserve"> 2005年稻田甲烷排放因子（单位：千克/公顷）</w:t>
      </w:r>
    </w:p>
    <w:tbl>
      <w:tblPr>
        <w:tblStyle w:val="25"/>
        <w:tblW w:w="6852"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33"/>
        <w:gridCol w:w="2292"/>
        <w:gridCol w:w="212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blHeader/>
          <w:jc w:val="center"/>
        </w:trPr>
        <w:tc>
          <w:tcPr>
            <w:tcW w:w="2433" w:type="dxa"/>
            <w:tcBorders>
              <w:top w:val="single" w:color="auto" w:sz="4" w:space="0"/>
              <w:bottom w:val="single" w:color="auto" w:sz="4" w:space="0"/>
            </w:tcBorders>
            <w:shd w:val="clear" w:color="auto" w:fill="auto"/>
            <w:noWrap/>
            <w:vAlign w:val="center"/>
          </w:tcPr>
          <w:p>
            <w:pPr>
              <w:spacing w:before="0" w:after="0" w:line="240" w:lineRule="auto"/>
              <w:ind w:firstLine="482"/>
              <w:jc w:val="center"/>
              <w:rPr>
                <w:bCs/>
                <w:kern w:val="0"/>
                <w:sz w:val="18"/>
                <w:szCs w:val="18"/>
              </w:rPr>
            </w:pPr>
            <w:r>
              <w:rPr>
                <w:bCs/>
                <w:kern w:val="0"/>
                <w:sz w:val="18"/>
                <w:szCs w:val="18"/>
              </w:rPr>
              <w:t>稻田CH</w:t>
            </w:r>
            <w:r>
              <w:rPr>
                <w:bCs/>
                <w:kern w:val="0"/>
                <w:sz w:val="18"/>
                <w:szCs w:val="18"/>
                <w:vertAlign w:val="subscript"/>
              </w:rPr>
              <w:t>4</w:t>
            </w:r>
            <w:r>
              <w:rPr>
                <w:bCs/>
                <w:kern w:val="0"/>
                <w:sz w:val="18"/>
                <w:szCs w:val="18"/>
              </w:rPr>
              <w:t>排放因子</w:t>
            </w:r>
          </w:p>
        </w:tc>
        <w:tc>
          <w:tcPr>
            <w:tcW w:w="2292" w:type="dxa"/>
            <w:tcBorders>
              <w:top w:val="single" w:color="auto" w:sz="4" w:space="0"/>
              <w:bottom w:val="single" w:color="auto" w:sz="4" w:space="0"/>
            </w:tcBorders>
            <w:shd w:val="clear" w:color="auto" w:fill="auto"/>
            <w:noWrap/>
            <w:vAlign w:val="center"/>
          </w:tcPr>
          <w:p>
            <w:pPr>
              <w:spacing w:before="0" w:after="0" w:line="240" w:lineRule="auto"/>
              <w:ind w:firstLine="482"/>
              <w:jc w:val="center"/>
              <w:rPr>
                <w:bCs/>
                <w:kern w:val="0"/>
                <w:sz w:val="18"/>
                <w:szCs w:val="18"/>
              </w:rPr>
            </w:pPr>
            <w:r>
              <w:rPr>
                <w:bCs/>
                <w:kern w:val="0"/>
                <w:sz w:val="18"/>
                <w:szCs w:val="18"/>
              </w:rPr>
              <w:t>推荐值</w:t>
            </w:r>
          </w:p>
        </w:tc>
        <w:tc>
          <w:tcPr>
            <w:tcW w:w="2127" w:type="dxa"/>
            <w:tcBorders>
              <w:top w:val="single" w:color="auto" w:sz="4" w:space="0"/>
              <w:bottom w:val="single" w:color="auto" w:sz="4" w:space="0"/>
            </w:tcBorders>
            <w:shd w:val="clear" w:color="auto" w:fill="auto"/>
            <w:noWrap/>
            <w:vAlign w:val="center"/>
          </w:tcPr>
          <w:p>
            <w:pPr>
              <w:spacing w:before="0" w:after="0" w:line="240" w:lineRule="auto"/>
              <w:ind w:firstLine="482"/>
              <w:jc w:val="center"/>
              <w:rPr>
                <w:bCs/>
                <w:kern w:val="0"/>
                <w:sz w:val="18"/>
                <w:szCs w:val="18"/>
              </w:rPr>
            </w:pPr>
            <w:r>
              <w:rPr>
                <w:bCs/>
                <w:kern w:val="0"/>
                <w:sz w:val="18"/>
                <w:szCs w:val="18"/>
              </w:rPr>
              <w:t>范围</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blHeader/>
          <w:jc w:val="center"/>
        </w:trPr>
        <w:tc>
          <w:tcPr>
            <w:tcW w:w="2433" w:type="dxa"/>
            <w:tcBorders>
              <w:top w:val="single" w:color="auto" w:sz="4" w:space="0"/>
            </w:tcBorders>
            <w:shd w:val="clear" w:color="auto" w:fill="auto"/>
            <w:noWrap/>
            <w:vAlign w:val="center"/>
          </w:tcPr>
          <w:p>
            <w:pPr>
              <w:spacing w:before="0" w:after="0" w:line="240" w:lineRule="auto"/>
              <w:ind w:firstLine="480"/>
              <w:jc w:val="center"/>
              <w:rPr>
                <w:kern w:val="0"/>
                <w:sz w:val="18"/>
                <w:szCs w:val="18"/>
              </w:rPr>
            </w:pPr>
            <w:r>
              <w:rPr>
                <w:kern w:val="0"/>
                <w:sz w:val="18"/>
                <w:szCs w:val="18"/>
              </w:rPr>
              <w:t>单季稻</w:t>
            </w:r>
          </w:p>
        </w:tc>
        <w:tc>
          <w:tcPr>
            <w:tcW w:w="2292" w:type="dxa"/>
            <w:tcBorders>
              <w:top w:val="single" w:color="auto" w:sz="4" w:space="0"/>
            </w:tcBorders>
            <w:shd w:val="clear" w:color="auto" w:fill="auto"/>
            <w:noWrap/>
            <w:vAlign w:val="center"/>
          </w:tcPr>
          <w:p>
            <w:pPr>
              <w:spacing w:before="0" w:after="0" w:line="240" w:lineRule="auto"/>
              <w:ind w:firstLine="480"/>
              <w:jc w:val="center"/>
              <w:rPr>
                <w:kern w:val="0"/>
                <w:sz w:val="18"/>
                <w:szCs w:val="18"/>
              </w:rPr>
            </w:pPr>
            <w:r>
              <w:rPr>
                <w:kern w:val="0"/>
                <w:sz w:val="18"/>
                <w:szCs w:val="18"/>
              </w:rPr>
              <w:t>236.7</w:t>
            </w:r>
          </w:p>
        </w:tc>
        <w:tc>
          <w:tcPr>
            <w:tcW w:w="2127" w:type="dxa"/>
            <w:tcBorders>
              <w:top w:val="single" w:color="auto" w:sz="4" w:space="0"/>
            </w:tcBorders>
            <w:shd w:val="clear" w:color="auto" w:fill="auto"/>
            <w:noWrap/>
            <w:vAlign w:val="center"/>
          </w:tcPr>
          <w:p>
            <w:pPr>
              <w:spacing w:before="0" w:after="0" w:line="240" w:lineRule="auto"/>
              <w:ind w:firstLine="480"/>
              <w:jc w:val="center"/>
              <w:rPr>
                <w:kern w:val="0"/>
                <w:sz w:val="18"/>
                <w:szCs w:val="18"/>
              </w:rPr>
            </w:pPr>
            <w:r>
              <w:rPr>
                <w:kern w:val="0"/>
                <w:sz w:val="18"/>
                <w:szCs w:val="18"/>
              </w:rPr>
              <w:t>170.2-320.1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tblHeader/>
          <w:jc w:val="center"/>
        </w:trPr>
        <w:tc>
          <w:tcPr>
            <w:tcW w:w="2433" w:type="dxa"/>
            <w:shd w:val="clear" w:color="auto" w:fill="auto"/>
            <w:noWrap/>
            <w:vAlign w:val="center"/>
          </w:tcPr>
          <w:p>
            <w:pPr>
              <w:spacing w:before="0" w:after="0" w:line="240" w:lineRule="auto"/>
              <w:ind w:firstLine="480"/>
              <w:jc w:val="center"/>
              <w:rPr>
                <w:kern w:val="0"/>
                <w:sz w:val="18"/>
                <w:szCs w:val="18"/>
              </w:rPr>
            </w:pPr>
            <w:r>
              <w:rPr>
                <w:kern w:val="0"/>
                <w:sz w:val="18"/>
                <w:szCs w:val="18"/>
              </w:rPr>
              <w:t>双季早稻</w:t>
            </w:r>
          </w:p>
        </w:tc>
        <w:tc>
          <w:tcPr>
            <w:tcW w:w="2292" w:type="dxa"/>
            <w:shd w:val="clear" w:color="auto" w:fill="auto"/>
            <w:noWrap/>
            <w:vAlign w:val="center"/>
          </w:tcPr>
          <w:p>
            <w:pPr>
              <w:spacing w:before="0" w:after="0" w:line="240" w:lineRule="auto"/>
              <w:ind w:firstLine="480"/>
              <w:jc w:val="center"/>
              <w:rPr>
                <w:kern w:val="0"/>
                <w:sz w:val="18"/>
                <w:szCs w:val="18"/>
              </w:rPr>
            </w:pPr>
            <w:r>
              <w:rPr>
                <w:kern w:val="0"/>
                <w:sz w:val="18"/>
                <w:szCs w:val="18"/>
              </w:rPr>
              <w:t>241.0</w:t>
            </w:r>
          </w:p>
        </w:tc>
        <w:tc>
          <w:tcPr>
            <w:tcW w:w="2127" w:type="dxa"/>
            <w:shd w:val="clear" w:color="auto" w:fill="auto"/>
            <w:noWrap/>
            <w:vAlign w:val="center"/>
          </w:tcPr>
          <w:p>
            <w:pPr>
              <w:spacing w:before="0" w:after="0" w:line="240" w:lineRule="auto"/>
              <w:ind w:firstLine="480"/>
              <w:jc w:val="center"/>
              <w:rPr>
                <w:kern w:val="0"/>
                <w:sz w:val="18"/>
                <w:szCs w:val="18"/>
              </w:rPr>
            </w:pPr>
            <w:r>
              <w:rPr>
                <w:kern w:val="0"/>
                <w:sz w:val="18"/>
                <w:szCs w:val="18"/>
              </w:rPr>
              <w:t>169.5-387.2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2433" w:type="dxa"/>
            <w:shd w:val="clear" w:color="auto" w:fill="auto"/>
            <w:noWrap/>
            <w:vAlign w:val="center"/>
          </w:tcPr>
          <w:p>
            <w:pPr>
              <w:spacing w:before="0" w:after="0" w:line="240" w:lineRule="auto"/>
              <w:ind w:firstLine="480"/>
              <w:jc w:val="center"/>
              <w:rPr>
                <w:kern w:val="0"/>
                <w:sz w:val="18"/>
                <w:szCs w:val="18"/>
              </w:rPr>
            </w:pPr>
            <w:r>
              <w:rPr>
                <w:kern w:val="0"/>
                <w:sz w:val="18"/>
                <w:szCs w:val="18"/>
              </w:rPr>
              <w:t>双季晚稻</w:t>
            </w:r>
          </w:p>
        </w:tc>
        <w:tc>
          <w:tcPr>
            <w:tcW w:w="2292" w:type="dxa"/>
            <w:shd w:val="clear" w:color="auto" w:fill="auto"/>
            <w:noWrap/>
            <w:vAlign w:val="center"/>
          </w:tcPr>
          <w:p>
            <w:pPr>
              <w:spacing w:before="0" w:after="0" w:line="240" w:lineRule="auto"/>
              <w:ind w:firstLine="480"/>
              <w:jc w:val="center"/>
              <w:rPr>
                <w:kern w:val="0"/>
                <w:sz w:val="18"/>
                <w:szCs w:val="18"/>
              </w:rPr>
            </w:pPr>
            <w:r>
              <w:rPr>
                <w:kern w:val="0"/>
                <w:sz w:val="18"/>
                <w:szCs w:val="18"/>
              </w:rPr>
              <w:t>273.2</w:t>
            </w:r>
          </w:p>
        </w:tc>
        <w:tc>
          <w:tcPr>
            <w:tcW w:w="2127" w:type="dxa"/>
            <w:shd w:val="clear" w:color="auto" w:fill="auto"/>
            <w:noWrap/>
            <w:vAlign w:val="center"/>
          </w:tcPr>
          <w:p>
            <w:pPr>
              <w:spacing w:before="0" w:after="0" w:line="240" w:lineRule="auto"/>
              <w:ind w:firstLine="480"/>
              <w:jc w:val="center"/>
              <w:rPr>
                <w:kern w:val="0"/>
                <w:sz w:val="18"/>
                <w:szCs w:val="18"/>
              </w:rPr>
            </w:pPr>
            <w:r>
              <w:rPr>
                <w:kern w:val="0"/>
                <w:sz w:val="18"/>
                <w:szCs w:val="18"/>
              </w:rPr>
              <w:t>185.3-357.9</w:t>
            </w:r>
          </w:p>
        </w:tc>
      </w:tr>
    </w:tbl>
    <w:p>
      <w:pPr>
        <w:pStyle w:val="4"/>
      </w:pPr>
      <w:bookmarkStart w:id="170" w:name="_Toc26180"/>
      <w:bookmarkStart w:id="171" w:name="_Toc53827529"/>
      <w:bookmarkStart w:id="172" w:name="_Toc54097670"/>
      <w:bookmarkStart w:id="173" w:name="_Toc52177406"/>
      <w:bookmarkStart w:id="174" w:name="_Toc55311755"/>
      <w:r>
        <w:rPr>
          <w:rFonts w:hint="eastAsia"/>
        </w:rPr>
        <w:t>农用地氧化亚氮排放</w:t>
      </w:r>
      <w:bookmarkEnd w:id="170"/>
      <w:bookmarkEnd w:id="171"/>
      <w:bookmarkEnd w:id="172"/>
      <w:bookmarkEnd w:id="173"/>
      <w:bookmarkEnd w:id="174"/>
    </w:p>
    <w:p>
      <w:pPr>
        <w:ind w:firstLine="480" w:firstLineChars="200"/>
      </w:pPr>
      <w:r>
        <w:rPr>
          <w:rFonts w:hint="eastAsia"/>
        </w:rPr>
        <w:t>（1）活动水平数据</w:t>
      </w:r>
    </w:p>
    <w:p>
      <w:pPr>
        <w:ind w:firstLine="480" w:firstLineChars="200"/>
        <w:rPr>
          <w:szCs w:val="24"/>
        </w:rPr>
      </w:pPr>
      <w:r>
        <w:rPr>
          <w:rFonts w:hint="eastAsia"/>
          <w:szCs w:val="24"/>
        </w:rPr>
        <w:t>a）化肥氮</w:t>
      </w:r>
    </w:p>
    <w:p>
      <w:pPr>
        <w:ind w:firstLine="480" w:firstLineChars="200"/>
        <w:rPr>
          <w:szCs w:val="24"/>
        </w:rPr>
      </w:pPr>
      <w:r>
        <w:rPr>
          <w:rFonts w:hint="eastAsia"/>
          <w:szCs w:val="24"/>
        </w:rPr>
        <w:t>根据益阳市供销合作社提供的统计数据，2019年益阳市氮肥施用量为70106吨，复合肥施用量为160651吨，氮肥和复合肥品种繁多，结合历年湖南农村统计年鉴和益阳市供销社提供的各类复合肥含氮比例，得到氮肥和复合肥平均含氮率为26.1%和17.5%，折纯后，2019年氮肥和复合肥折纯量分别为18298吨、28114吨，可得到益阳市2019年化肥氮投入量为46412吨。</w:t>
      </w:r>
    </w:p>
    <w:p>
      <w:pPr>
        <w:ind w:firstLine="480" w:firstLineChars="200"/>
        <w:rPr>
          <w:szCs w:val="24"/>
        </w:rPr>
      </w:pPr>
      <w:r>
        <w:rPr>
          <w:rFonts w:hint="eastAsia"/>
          <w:szCs w:val="24"/>
        </w:rPr>
        <w:t>b）粪肥氮</w:t>
      </w:r>
    </w:p>
    <w:p>
      <w:pPr>
        <w:ind w:firstLine="480" w:firstLineChars="200"/>
        <w:rPr>
          <w:szCs w:val="24"/>
        </w:rPr>
      </w:pPr>
      <w:r>
        <w:rPr>
          <w:rFonts w:hint="eastAsia"/>
          <w:szCs w:val="24"/>
        </w:rPr>
        <w:t>根据指南要求和统计数据的可获得性，本报告将统计牛（非奶牛）、奶牛、山羊、马驴骡、家禽、猪、兔和乡村人口数量，以获取粪肥氮数据，根据益阳市农业农村局统计数据，益阳市无奶牛和绵羊养殖。另外，根据益阳市2019年度统计公报，益阳市常住人口442.07万人，常住人口城镇化率为52.9%，则乡村人口为208.21万人。</w:t>
      </w:r>
    </w:p>
    <w:p>
      <w:pPr>
        <w:ind w:firstLine="480" w:firstLineChars="200"/>
        <w:rPr>
          <w:szCs w:val="24"/>
        </w:rPr>
      </w:pPr>
      <w:r>
        <w:rPr>
          <w:rFonts w:hint="eastAsia"/>
          <w:szCs w:val="24"/>
        </w:rPr>
        <w:t>c）秸秆还田氮</w:t>
      </w:r>
    </w:p>
    <w:p>
      <w:pPr>
        <w:ind w:firstLine="480" w:firstLineChars="200"/>
        <w:rPr>
          <w:szCs w:val="24"/>
        </w:rPr>
      </w:pPr>
      <w:r>
        <w:rPr>
          <w:rFonts w:hint="eastAsia"/>
          <w:szCs w:val="24"/>
        </w:rPr>
        <w:t>2019年益阳市</w:t>
      </w:r>
      <w:r>
        <w:rPr>
          <w:szCs w:val="24"/>
        </w:rPr>
        <w:t>主要农作物产量数据</w:t>
      </w:r>
      <w:r>
        <w:rPr>
          <w:rFonts w:hint="eastAsia"/>
          <w:szCs w:val="24"/>
        </w:rPr>
        <w:t>由益阳市农业农村局提供，秸秆还田率数据由益阳市农业农村局土肥科提供。</w:t>
      </w:r>
    </w:p>
    <w:p>
      <w:pPr>
        <w:ind w:firstLine="480" w:firstLineChars="200"/>
        <w:rPr>
          <w:szCs w:val="24"/>
        </w:rPr>
      </w:pPr>
      <w:r>
        <w:rPr>
          <w:rFonts w:hint="eastAsia"/>
          <w:szCs w:val="24"/>
        </w:rPr>
        <w:t>d）农用地直接还氮量</w:t>
      </w:r>
    </w:p>
    <w:p>
      <w:pPr>
        <w:ind w:firstLine="480" w:firstLineChars="200"/>
        <w:rPr>
          <w:szCs w:val="24"/>
        </w:rPr>
      </w:pPr>
      <w:r>
        <w:rPr>
          <w:rFonts w:hint="eastAsia"/>
          <w:szCs w:val="24"/>
        </w:rPr>
        <w:t>该项数据为化肥氮、粪肥氮和秸秆还氮量的总和。</w:t>
      </w:r>
    </w:p>
    <w:p>
      <w:pPr>
        <w:ind w:firstLine="480" w:firstLineChars="200"/>
        <w:rPr>
          <w:szCs w:val="24"/>
        </w:rPr>
      </w:pPr>
      <w:r>
        <w:rPr>
          <w:rFonts w:hint="eastAsia"/>
          <w:szCs w:val="24"/>
        </w:rPr>
        <w:t>e）间接排放</w:t>
      </w:r>
    </w:p>
    <w:p>
      <w:pPr>
        <w:ind w:firstLine="480" w:firstLineChars="200"/>
        <w:rPr>
          <w:szCs w:val="24"/>
        </w:rPr>
      </w:pPr>
      <w:r>
        <w:rPr>
          <w:rFonts w:hint="eastAsia"/>
          <w:szCs w:val="24"/>
        </w:rPr>
        <w:t>根据直接氮排放量数据，再采用公式计算得到。</w:t>
      </w:r>
    </w:p>
    <w:p>
      <w:pPr>
        <w:ind w:firstLine="480" w:firstLineChars="200"/>
      </w:pPr>
      <w:r>
        <w:rPr>
          <w:rFonts w:hint="eastAsia"/>
        </w:rPr>
        <w:t>（2）排放因子</w:t>
      </w:r>
    </w:p>
    <w:p>
      <w:pPr>
        <w:ind w:firstLine="480" w:firstLineChars="200"/>
      </w:pPr>
      <w:r>
        <w:rPr>
          <w:rFonts w:hint="eastAsia"/>
        </w:rPr>
        <w:t>采用指南和IPCC相关指南中推荐因子。</w:t>
      </w:r>
    </w:p>
    <w:p>
      <w:pPr>
        <w:pStyle w:val="4"/>
      </w:pPr>
      <w:bookmarkStart w:id="175" w:name="_Toc54097671"/>
      <w:bookmarkStart w:id="176" w:name="_Toc55311756"/>
      <w:bookmarkStart w:id="177" w:name="_Toc52177407"/>
      <w:bookmarkStart w:id="178" w:name="_Toc53827530"/>
      <w:bookmarkStart w:id="179" w:name="_Toc8565"/>
      <w:r>
        <w:rPr>
          <w:rFonts w:hint="eastAsia"/>
        </w:rPr>
        <w:t>动物肠道发酵甲烷排放</w:t>
      </w:r>
      <w:bookmarkEnd w:id="175"/>
      <w:bookmarkEnd w:id="176"/>
      <w:bookmarkEnd w:id="177"/>
      <w:bookmarkEnd w:id="178"/>
      <w:bookmarkEnd w:id="179"/>
    </w:p>
    <w:p>
      <w:pPr>
        <w:ind w:firstLine="480" w:firstLineChars="200"/>
      </w:pPr>
      <w:r>
        <w:rPr>
          <w:rFonts w:hint="eastAsia"/>
        </w:rPr>
        <w:t>（1）活动水平数据</w:t>
      </w:r>
    </w:p>
    <w:p>
      <w:pPr>
        <w:ind w:firstLine="480" w:firstLineChars="200"/>
      </w:pPr>
      <w:r>
        <w:rPr>
          <w:rFonts w:hint="eastAsia" w:cs="Times New Roman" w:eastAsiaTheme="minorEastAsia"/>
          <w:szCs w:val="24"/>
        </w:rPr>
        <w:t>益阳市</w:t>
      </w:r>
      <w:r>
        <w:rPr>
          <w:rFonts w:cs="Times New Roman" w:eastAsiaTheme="minorEastAsia"/>
          <w:szCs w:val="24"/>
        </w:rPr>
        <w:t>动物肠道发酵甲烷排放需要的活动水平数据为不同饲养方式的畜禽年末存栏量数据，</w:t>
      </w:r>
      <w:r>
        <w:rPr>
          <w:rFonts w:hint="eastAsia" w:cs="Times New Roman" w:eastAsiaTheme="minorEastAsia"/>
          <w:szCs w:val="24"/>
        </w:rPr>
        <w:t>分为规模化养殖和农户散养两种方式，益阳市无放牧养殖方式，数据全部由益阳市农业</w:t>
      </w:r>
      <w:r>
        <w:rPr>
          <w:rFonts w:cs="Times New Roman" w:eastAsiaTheme="minorEastAsia"/>
          <w:szCs w:val="24"/>
        </w:rPr>
        <w:t>农村局提供</w:t>
      </w:r>
      <w:r>
        <w:rPr>
          <w:rFonts w:hint="eastAsia"/>
        </w:rPr>
        <w:t>。</w:t>
      </w:r>
    </w:p>
    <w:p>
      <w:pPr>
        <w:ind w:firstLine="480" w:firstLineChars="200"/>
      </w:pPr>
      <w:r>
        <w:rPr>
          <w:rFonts w:hint="eastAsia"/>
        </w:rPr>
        <w:t>（2）排放因子</w:t>
      </w:r>
    </w:p>
    <w:p>
      <w:pPr>
        <w:ind w:firstLine="480" w:firstLineChars="200"/>
      </w:pPr>
      <w:r>
        <w:rPr>
          <w:rFonts w:hint="eastAsia"/>
        </w:rPr>
        <w:t>采用</w:t>
      </w:r>
      <w:r>
        <w:rPr>
          <w:szCs w:val="24"/>
        </w:rPr>
        <w:t>《省级温室气体清单编制指南（试行）》</w:t>
      </w:r>
      <w:r>
        <w:rPr>
          <w:rFonts w:hint="eastAsia"/>
        </w:rPr>
        <w:t>推荐排放因子进行计算。</w:t>
      </w:r>
    </w:p>
    <w:p>
      <w:pPr>
        <w:pStyle w:val="4"/>
      </w:pPr>
      <w:bookmarkStart w:id="180" w:name="_Toc52177408"/>
      <w:bookmarkStart w:id="181" w:name="_Toc6406"/>
      <w:bookmarkStart w:id="182" w:name="_Toc54097672"/>
      <w:bookmarkStart w:id="183" w:name="_Toc53827531"/>
      <w:bookmarkStart w:id="184" w:name="_Toc55311757"/>
      <w:r>
        <w:rPr>
          <w:rFonts w:hint="eastAsia"/>
        </w:rPr>
        <w:t>动物粪便管理甲烷和氧化亚氮排放</w:t>
      </w:r>
      <w:bookmarkEnd w:id="180"/>
      <w:bookmarkEnd w:id="181"/>
      <w:bookmarkEnd w:id="182"/>
      <w:bookmarkEnd w:id="183"/>
      <w:bookmarkEnd w:id="184"/>
    </w:p>
    <w:p>
      <w:pPr>
        <w:ind w:firstLine="480" w:firstLineChars="200"/>
      </w:pPr>
      <w:r>
        <w:rPr>
          <w:rFonts w:hint="eastAsia"/>
        </w:rPr>
        <w:t>（1）活动水平数据</w:t>
      </w:r>
    </w:p>
    <w:p>
      <w:pPr>
        <w:ind w:firstLine="480" w:firstLineChars="200"/>
      </w:pPr>
      <w:r>
        <w:rPr>
          <w:rFonts w:hint="eastAsia"/>
        </w:rPr>
        <w:t>该部分活动水平数据来源与动物肠道发酵甲烷排放单元活动水平数据来源一致。</w:t>
      </w:r>
    </w:p>
    <w:p>
      <w:pPr>
        <w:ind w:firstLine="480" w:firstLineChars="200"/>
      </w:pPr>
      <w:r>
        <w:rPr>
          <w:rFonts w:hint="eastAsia"/>
        </w:rPr>
        <w:t>（2）活动水平数据</w:t>
      </w:r>
    </w:p>
    <w:p>
      <w:pPr>
        <w:ind w:firstLine="480" w:firstLineChars="200"/>
      </w:pPr>
      <w:r>
        <w:rPr>
          <w:rFonts w:hint="eastAsia"/>
        </w:rPr>
        <w:t>采用指南推荐的中南地区排放因子进行计算。</w:t>
      </w:r>
    </w:p>
    <w:p>
      <w:pPr>
        <w:pStyle w:val="3"/>
      </w:pPr>
      <w:bookmarkStart w:id="185" w:name="_Toc13463"/>
      <w:r>
        <w:rPr>
          <w:rFonts w:hint="eastAsia"/>
        </w:rPr>
        <w:t>排放清单</w:t>
      </w:r>
      <w:bookmarkEnd w:id="185"/>
    </w:p>
    <w:p>
      <w:pPr>
        <w:pStyle w:val="4"/>
      </w:pPr>
      <w:bookmarkStart w:id="186" w:name="_Toc8710"/>
      <w:bookmarkStart w:id="187" w:name="_Toc54097674"/>
      <w:bookmarkStart w:id="188" w:name="_Toc55311759"/>
      <w:bookmarkStart w:id="189" w:name="_Toc51939045"/>
      <w:bookmarkStart w:id="190" w:name="_Toc53827533"/>
      <w:bookmarkStart w:id="191" w:name="_Toc52177410"/>
      <w:r>
        <w:rPr>
          <w:rFonts w:hint="eastAsia"/>
        </w:rPr>
        <w:t>农业活动总体情况</w:t>
      </w:r>
      <w:bookmarkEnd w:id="186"/>
      <w:bookmarkEnd w:id="187"/>
      <w:bookmarkEnd w:id="188"/>
      <w:bookmarkEnd w:id="189"/>
      <w:bookmarkEnd w:id="190"/>
      <w:bookmarkEnd w:id="191"/>
    </w:p>
    <w:p>
      <w:pPr>
        <w:ind w:firstLine="480" w:firstLineChars="200"/>
      </w:pPr>
      <w:r>
        <w:rPr>
          <w:rFonts w:hint="eastAsia"/>
          <w:szCs w:val="24"/>
        </w:rPr>
        <w:t>益阳市</w:t>
      </w:r>
      <w:r>
        <w:rPr>
          <w:szCs w:val="24"/>
        </w:rPr>
        <w:t>201</w:t>
      </w:r>
      <w:r>
        <w:rPr>
          <w:rFonts w:hint="eastAsia"/>
          <w:szCs w:val="24"/>
        </w:rPr>
        <w:t>9</w:t>
      </w:r>
      <w:r>
        <w:rPr>
          <w:szCs w:val="24"/>
        </w:rPr>
        <w:t>年农业活动温室气体总排放清单见</w:t>
      </w:r>
      <w:r>
        <w:rPr>
          <w:szCs w:val="24"/>
        </w:rPr>
        <w:fldChar w:fldCharType="begin"/>
      </w:r>
      <w:r>
        <w:rPr>
          <w:szCs w:val="24"/>
        </w:rPr>
        <w:instrText xml:space="preserve"> REF _Ref52098676 \h </w:instrText>
      </w:r>
      <w:r>
        <w:rPr>
          <w:szCs w:val="24"/>
        </w:rPr>
        <w:fldChar w:fldCharType="separate"/>
      </w:r>
      <w:r>
        <w:rPr>
          <w:rFonts w:hint="eastAsia"/>
        </w:rPr>
        <w:t xml:space="preserve">表 </w:t>
      </w:r>
      <w:r>
        <w:t>4</w:t>
      </w:r>
      <w:r>
        <w:noBreakHyphen/>
      </w:r>
      <w:r>
        <w:t>2</w:t>
      </w:r>
      <w:r>
        <w:rPr>
          <w:szCs w:val="24"/>
        </w:rPr>
        <w:fldChar w:fldCharType="end"/>
      </w:r>
      <w:r>
        <w:rPr>
          <w:szCs w:val="24"/>
        </w:rPr>
        <w:t>。</w:t>
      </w:r>
      <w:r>
        <w:rPr>
          <w:rFonts w:hint="eastAsia"/>
          <w:szCs w:val="24"/>
        </w:rPr>
        <w:t>益阳市2019年农业活动温室气体排放总量为369.93万吨CO</w:t>
      </w:r>
      <w:r>
        <w:rPr>
          <w:rFonts w:hint="eastAsia"/>
          <w:szCs w:val="24"/>
          <w:vertAlign w:val="subscript"/>
        </w:rPr>
        <w:t>2</w:t>
      </w:r>
      <w:r>
        <w:rPr>
          <w:rFonts w:hint="eastAsia"/>
          <w:szCs w:val="24"/>
        </w:rPr>
        <w:t>当量，农业甲烷总排放量为12.70万吨，折合二氧化碳当量为266.70万吨，占总排放量72.09%；氧化亚氮总排放量为0.33万吨，折合二氧化碳当量为103.23万吨，占总排放量27.91%</w:t>
      </w:r>
      <w:r>
        <w:t>。</w:t>
      </w:r>
    </w:p>
    <w:p>
      <w:pPr>
        <w:pStyle w:val="12"/>
      </w:pPr>
      <w:bookmarkStart w:id="192" w:name="_Ref52098676"/>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4</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2</w:t>
      </w:r>
      <w:r>
        <w:fldChar w:fldCharType="end"/>
      </w:r>
      <w:bookmarkEnd w:id="192"/>
      <w:r>
        <w:t xml:space="preserve"> </w:t>
      </w:r>
      <w:r>
        <w:rPr>
          <w:rFonts w:hint="eastAsia"/>
        </w:rPr>
        <w:t xml:space="preserve"> 2019年益阳市</w:t>
      </w:r>
      <w:r>
        <w:t>农业温室气体清单</w:t>
      </w:r>
    </w:p>
    <w:tbl>
      <w:tblPr>
        <w:tblStyle w:val="25"/>
        <w:tblW w:w="7196"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235"/>
        <w:gridCol w:w="1842"/>
        <w:gridCol w:w="1418"/>
        <w:gridCol w:w="1701"/>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2235" w:type="dxa"/>
            <w:tcBorders>
              <w:bottom w:val="single" w:color="auto" w:sz="4" w:space="0"/>
            </w:tcBorders>
            <w:shd w:val="clear" w:color="auto" w:fill="auto"/>
            <w:noWrap/>
            <w:vAlign w:val="center"/>
          </w:tcPr>
          <w:p>
            <w:pPr>
              <w:spacing w:before="0" w:after="0" w:line="240" w:lineRule="auto"/>
              <w:jc w:val="center"/>
              <w:rPr>
                <w:bCs/>
                <w:sz w:val="18"/>
                <w:szCs w:val="18"/>
              </w:rPr>
            </w:pPr>
            <w:r>
              <w:rPr>
                <w:bCs/>
                <w:sz w:val="18"/>
                <w:szCs w:val="18"/>
              </w:rPr>
              <w:t>部门</w:t>
            </w:r>
          </w:p>
        </w:tc>
        <w:tc>
          <w:tcPr>
            <w:tcW w:w="1842" w:type="dxa"/>
            <w:tcBorders>
              <w:bottom w:val="single" w:color="auto" w:sz="4" w:space="0"/>
            </w:tcBorders>
            <w:shd w:val="clear" w:color="auto" w:fill="auto"/>
            <w:noWrap/>
            <w:vAlign w:val="center"/>
          </w:tcPr>
          <w:p>
            <w:pPr>
              <w:spacing w:before="0" w:after="0" w:line="240" w:lineRule="auto"/>
              <w:jc w:val="center"/>
              <w:rPr>
                <w:bCs/>
                <w:sz w:val="18"/>
                <w:szCs w:val="18"/>
              </w:rPr>
            </w:pPr>
            <w:r>
              <w:rPr>
                <w:bCs/>
                <w:sz w:val="18"/>
                <w:szCs w:val="18"/>
              </w:rPr>
              <w:t>甲烷</w:t>
            </w:r>
          </w:p>
          <w:p>
            <w:pPr>
              <w:spacing w:before="0" w:after="0" w:line="240" w:lineRule="auto"/>
              <w:jc w:val="center"/>
              <w:rPr>
                <w:bCs/>
                <w:sz w:val="18"/>
                <w:szCs w:val="18"/>
              </w:rPr>
            </w:pPr>
            <w:r>
              <w:rPr>
                <w:bCs/>
                <w:sz w:val="18"/>
                <w:szCs w:val="18"/>
              </w:rPr>
              <w:t>（万吨）</w:t>
            </w:r>
          </w:p>
        </w:tc>
        <w:tc>
          <w:tcPr>
            <w:tcW w:w="1418" w:type="dxa"/>
            <w:tcBorders>
              <w:bottom w:val="single" w:color="auto" w:sz="4" w:space="0"/>
            </w:tcBorders>
            <w:shd w:val="clear" w:color="auto" w:fill="auto"/>
            <w:noWrap/>
            <w:vAlign w:val="center"/>
          </w:tcPr>
          <w:p>
            <w:pPr>
              <w:spacing w:before="0" w:after="0" w:line="240" w:lineRule="auto"/>
              <w:jc w:val="center"/>
              <w:rPr>
                <w:bCs/>
                <w:sz w:val="18"/>
                <w:szCs w:val="18"/>
              </w:rPr>
            </w:pPr>
            <w:r>
              <w:rPr>
                <w:bCs/>
                <w:sz w:val="18"/>
                <w:szCs w:val="18"/>
              </w:rPr>
              <w:t>氧化亚氮</w:t>
            </w:r>
          </w:p>
          <w:p>
            <w:pPr>
              <w:spacing w:before="0" w:after="0" w:line="240" w:lineRule="auto"/>
              <w:jc w:val="center"/>
              <w:rPr>
                <w:bCs/>
                <w:sz w:val="18"/>
                <w:szCs w:val="18"/>
              </w:rPr>
            </w:pPr>
            <w:r>
              <w:rPr>
                <w:bCs/>
                <w:sz w:val="18"/>
                <w:szCs w:val="18"/>
              </w:rPr>
              <w:t>（万吨）</w:t>
            </w:r>
          </w:p>
        </w:tc>
        <w:tc>
          <w:tcPr>
            <w:tcW w:w="1701" w:type="dxa"/>
            <w:tcBorders>
              <w:bottom w:val="single" w:color="auto" w:sz="4" w:space="0"/>
            </w:tcBorders>
            <w:shd w:val="clear" w:color="auto" w:fill="auto"/>
            <w:noWrap/>
            <w:vAlign w:val="center"/>
          </w:tcPr>
          <w:p>
            <w:pPr>
              <w:spacing w:before="0" w:after="0" w:line="240" w:lineRule="auto"/>
              <w:jc w:val="center"/>
              <w:rPr>
                <w:bCs/>
                <w:sz w:val="18"/>
                <w:szCs w:val="18"/>
              </w:rPr>
            </w:pPr>
            <w:r>
              <w:rPr>
                <w:bCs/>
                <w:sz w:val="18"/>
                <w:szCs w:val="18"/>
              </w:rPr>
              <w:t>二氧化碳当量</w:t>
            </w:r>
          </w:p>
          <w:p>
            <w:pPr>
              <w:spacing w:before="0" w:after="0" w:line="240" w:lineRule="auto"/>
              <w:jc w:val="center"/>
              <w:rPr>
                <w:bCs/>
                <w:sz w:val="18"/>
                <w:szCs w:val="18"/>
              </w:rPr>
            </w:pPr>
            <w:r>
              <w:rPr>
                <w:bCs/>
                <w:sz w:val="18"/>
                <w:szCs w:val="18"/>
              </w:rPr>
              <w:t>（万吨）</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2235" w:type="dxa"/>
            <w:tcBorders>
              <w:bottom w:val="nil"/>
            </w:tcBorders>
            <w:shd w:val="clear" w:color="auto" w:fill="auto"/>
            <w:noWrap/>
            <w:vAlign w:val="center"/>
          </w:tcPr>
          <w:p>
            <w:pPr>
              <w:spacing w:before="0" w:after="0" w:line="240" w:lineRule="auto"/>
              <w:jc w:val="center"/>
              <w:rPr>
                <w:sz w:val="18"/>
                <w:szCs w:val="18"/>
              </w:rPr>
            </w:pPr>
            <w:r>
              <w:rPr>
                <w:sz w:val="18"/>
                <w:szCs w:val="18"/>
              </w:rPr>
              <w:t>稻田甲烷</w:t>
            </w:r>
          </w:p>
        </w:tc>
        <w:tc>
          <w:tcPr>
            <w:tcW w:w="1842" w:type="dxa"/>
            <w:tcBorders>
              <w:bottom w:val="nil"/>
            </w:tcBorders>
            <w:shd w:val="clear" w:color="auto" w:fill="auto"/>
            <w:noWrap/>
            <w:vAlign w:val="center"/>
          </w:tcPr>
          <w:p>
            <w:pPr>
              <w:spacing w:before="0" w:after="0" w:line="240" w:lineRule="auto"/>
              <w:jc w:val="center"/>
              <w:rPr>
                <w:sz w:val="18"/>
                <w:szCs w:val="18"/>
              </w:rPr>
            </w:pPr>
            <w:r>
              <w:rPr>
                <w:rFonts w:hint="eastAsia"/>
                <w:sz w:val="18"/>
                <w:szCs w:val="18"/>
              </w:rPr>
              <w:t>9.67</w:t>
            </w:r>
          </w:p>
        </w:tc>
        <w:tc>
          <w:tcPr>
            <w:tcW w:w="1418" w:type="dxa"/>
            <w:tcBorders>
              <w:bottom w:val="nil"/>
            </w:tcBorders>
            <w:shd w:val="clear" w:color="auto" w:fill="auto"/>
            <w:noWrap/>
            <w:vAlign w:val="center"/>
          </w:tcPr>
          <w:p>
            <w:pPr>
              <w:spacing w:before="0" w:after="0" w:line="240" w:lineRule="auto"/>
              <w:jc w:val="center"/>
              <w:rPr>
                <w:sz w:val="18"/>
                <w:szCs w:val="18"/>
              </w:rPr>
            </w:pPr>
            <w:r>
              <w:rPr>
                <w:rFonts w:hint="eastAsia"/>
                <w:sz w:val="18"/>
                <w:szCs w:val="18"/>
              </w:rPr>
              <w:t>/</w:t>
            </w:r>
          </w:p>
        </w:tc>
        <w:tc>
          <w:tcPr>
            <w:tcW w:w="1701" w:type="dxa"/>
            <w:tcBorders>
              <w:bottom w:val="nil"/>
            </w:tcBorders>
            <w:shd w:val="clear" w:color="auto" w:fill="auto"/>
            <w:noWrap/>
            <w:vAlign w:val="center"/>
          </w:tcPr>
          <w:p>
            <w:pPr>
              <w:spacing w:before="0" w:after="0" w:line="240" w:lineRule="auto"/>
              <w:jc w:val="center"/>
              <w:rPr>
                <w:sz w:val="18"/>
                <w:szCs w:val="18"/>
              </w:rPr>
            </w:pPr>
            <w:r>
              <w:rPr>
                <w:rFonts w:hint="eastAsia"/>
                <w:sz w:val="18"/>
                <w:szCs w:val="18"/>
              </w:rPr>
              <w:t>203.07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2235" w:type="dxa"/>
            <w:tcBorders>
              <w:top w:val="nil"/>
              <w:bottom w:val="nil"/>
            </w:tcBorders>
            <w:shd w:val="clear" w:color="auto" w:fill="auto"/>
            <w:noWrap/>
            <w:vAlign w:val="center"/>
          </w:tcPr>
          <w:p>
            <w:pPr>
              <w:spacing w:before="0" w:after="0" w:line="240" w:lineRule="auto"/>
              <w:jc w:val="center"/>
              <w:rPr>
                <w:sz w:val="18"/>
                <w:szCs w:val="18"/>
              </w:rPr>
            </w:pPr>
            <w:r>
              <w:rPr>
                <w:sz w:val="18"/>
                <w:szCs w:val="18"/>
              </w:rPr>
              <w:t>农用地氧化亚氮</w:t>
            </w:r>
          </w:p>
        </w:tc>
        <w:tc>
          <w:tcPr>
            <w:tcW w:w="1842" w:type="dxa"/>
            <w:tcBorders>
              <w:top w:val="nil"/>
              <w:bottom w:val="nil"/>
            </w:tcBorders>
            <w:shd w:val="clear" w:color="auto" w:fill="auto"/>
            <w:noWrap/>
            <w:vAlign w:val="center"/>
          </w:tcPr>
          <w:p>
            <w:pPr>
              <w:spacing w:before="0" w:after="0" w:line="240" w:lineRule="auto"/>
              <w:jc w:val="center"/>
              <w:rPr>
                <w:sz w:val="18"/>
                <w:szCs w:val="18"/>
              </w:rPr>
            </w:pPr>
            <w:r>
              <w:rPr>
                <w:rFonts w:hint="eastAsia"/>
                <w:sz w:val="18"/>
                <w:szCs w:val="18"/>
              </w:rPr>
              <w:t>/</w:t>
            </w:r>
          </w:p>
        </w:tc>
        <w:tc>
          <w:tcPr>
            <w:tcW w:w="1418" w:type="dxa"/>
            <w:tcBorders>
              <w:top w:val="nil"/>
              <w:bottom w:val="nil"/>
            </w:tcBorders>
            <w:shd w:val="clear" w:color="auto" w:fill="auto"/>
            <w:noWrap/>
            <w:vAlign w:val="center"/>
          </w:tcPr>
          <w:p>
            <w:pPr>
              <w:spacing w:before="0" w:after="0" w:line="240" w:lineRule="auto"/>
              <w:jc w:val="center"/>
              <w:rPr>
                <w:sz w:val="18"/>
                <w:szCs w:val="18"/>
              </w:rPr>
            </w:pPr>
            <w:r>
              <w:rPr>
                <w:rFonts w:hint="eastAsia"/>
                <w:sz w:val="18"/>
                <w:szCs w:val="18"/>
              </w:rPr>
              <w:t>0.26</w:t>
            </w:r>
          </w:p>
        </w:tc>
        <w:tc>
          <w:tcPr>
            <w:tcW w:w="1701" w:type="dxa"/>
            <w:tcBorders>
              <w:top w:val="nil"/>
              <w:bottom w:val="nil"/>
            </w:tcBorders>
            <w:shd w:val="clear" w:color="auto" w:fill="auto"/>
            <w:noWrap/>
            <w:vAlign w:val="center"/>
          </w:tcPr>
          <w:p>
            <w:pPr>
              <w:spacing w:before="0" w:after="0" w:line="240" w:lineRule="auto"/>
              <w:jc w:val="center"/>
              <w:rPr>
                <w:sz w:val="18"/>
                <w:szCs w:val="18"/>
              </w:rPr>
            </w:pPr>
            <w:r>
              <w:rPr>
                <w:rFonts w:hint="eastAsia"/>
                <w:sz w:val="18"/>
                <w:szCs w:val="18"/>
              </w:rPr>
              <w:t>80.6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2235" w:type="dxa"/>
            <w:tcBorders>
              <w:top w:val="nil"/>
              <w:bottom w:val="nil"/>
            </w:tcBorders>
            <w:shd w:val="clear" w:color="auto" w:fill="auto"/>
            <w:noWrap/>
            <w:vAlign w:val="center"/>
          </w:tcPr>
          <w:p>
            <w:pPr>
              <w:spacing w:before="0" w:after="0" w:line="240" w:lineRule="auto"/>
              <w:jc w:val="center"/>
              <w:rPr>
                <w:sz w:val="18"/>
                <w:szCs w:val="18"/>
              </w:rPr>
            </w:pPr>
            <w:r>
              <w:rPr>
                <w:sz w:val="18"/>
                <w:szCs w:val="18"/>
              </w:rPr>
              <w:t>动物肠道发酵</w:t>
            </w:r>
          </w:p>
        </w:tc>
        <w:tc>
          <w:tcPr>
            <w:tcW w:w="1842" w:type="dxa"/>
            <w:tcBorders>
              <w:top w:val="nil"/>
              <w:bottom w:val="nil"/>
            </w:tcBorders>
            <w:shd w:val="clear" w:color="auto" w:fill="auto"/>
            <w:noWrap/>
            <w:vAlign w:val="center"/>
          </w:tcPr>
          <w:p>
            <w:pPr>
              <w:spacing w:before="0" w:after="0" w:line="240" w:lineRule="auto"/>
              <w:jc w:val="center"/>
              <w:rPr>
                <w:sz w:val="18"/>
                <w:szCs w:val="18"/>
              </w:rPr>
            </w:pPr>
            <w:r>
              <w:rPr>
                <w:rFonts w:hint="eastAsia"/>
                <w:sz w:val="18"/>
                <w:szCs w:val="18"/>
              </w:rPr>
              <w:t>1.65</w:t>
            </w:r>
          </w:p>
        </w:tc>
        <w:tc>
          <w:tcPr>
            <w:tcW w:w="1418" w:type="dxa"/>
            <w:tcBorders>
              <w:top w:val="nil"/>
              <w:bottom w:val="nil"/>
            </w:tcBorders>
            <w:shd w:val="clear" w:color="auto" w:fill="auto"/>
            <w:noWrap/>
            <w:vAlign w:val="center"/>
          </w:tcPr>
          <w:p>
            <w:pPr>
              <w:spacing w:before="0" w:after="0" w:line="240" w:lineRule="auto"/>
              <w:jc w:val="center"/>
              <w:rPr>
                <w:sz w:val="18"/>
                <w:szCs w:val="18"/>
              </w:rPr>
            </w:pPr>
            <w:r>
              <w:rPr>
                <w:rFonts w:hint="eastAsia"/>
                <w:sz w:val="18"/>
                <w:szCs w:val="18"/>
              </w:rPr>
              <w:t>/</w:t>
            </w:r>
          </w:p>
        </w:tc>
        <w:tc>
          <w:tcPr>
            <w:tcW w:w="1701" w:type="dxa"/>
            <w:tcBorders>
              <w:top w:val="nil"/>
              <w:bottom w:val="nil"/>
            </w:tcBorders>
            <w:shd w:val="clear" w:color="auto" w:fill="auto"/>
            <w:noWrap/>
            <w:vAlign w:val="center"/>
          </w:tcPr>
          <w:p>
            <w:pPr>
              <w:spacing w:before="0" w:after="0" w:line="240" w:lineRule="auto"/>
              <w:jc w:val="center"/>
              <w:rPr>
                <w:sz w:val="18"/>
                <w:szCs w:val="18"/>
              </w:rPr>
            </w:pPr>
            <w:r>
              <w:rPr>
                <w:rFonts w:hint="eastAsia"/>
                <w:sz w:val="18"/>
                <w:szCs w:val="18"/>
              </w:rPr>
              <w:t>34.65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2235" w:type="dxa"/>
            <w:tcBorders>
              <w:top w:val="nil"/>
              <w:bottom w:val="nil"/>
            </w:tcBorders>
            <w:shd w:val="clear" w:color="auto" w:fill="auto"/>
            <w:noWrap/>
            <w:vAlign w:val="center"/>
          </w:tcPr>
          <w:p>
            <w:pPr>
              <w:spacing w:before="0" w:after="0" w:line="240" w:lineRule="auto"/>
              <w:jc w:val="center"/>
              <w:rPr>
                <w:sz w:val="18"/>
                <w:szCs w:val="18"/>
              </w:rPr>
            </w:pPr>
            <w:r>
              <w:rPr>
                <w:sz w:val="18"/>
                <w:szCs w:val="18"/>
              </w:rPr>
              <w:t>动物粪便管理系统</w:t>
            </w:r>
          </w:p>
        </w:tc>
        <w:tc>
          <w:tcPr>
            <w:tcW w:w="1842" w:type="dxa"/>
            <w:tcBorders>
              <w:top w:val="nil"/>
              <w:bottom w:val="nil"/>
            </w:tcBorders>
            <w:shd w:val="clear" w:color="auto" w:fill="auto"/>
            <w:noWrap/>
            <w:vAlign w:val="center"/>
          </w:tcPr>
          <w:p>
            <w:pPr>
              <w:spacing w:before="0" w:after="0" w:line="240" w:lineRule="auto"/>
              <w:jc w:val="center"/>
              <w:rPr>
                <w:sz w:val="18"/>
                <w:szCs w:val="18"/>
              </w:rPr>
            </w:pPr>
            <w:r>
              <w:rPr>
                <w:rFonts w:hint="eastAsia"/>
                <w:sz w:val="18"/>
                <w:szCs w:val="18"/>
              </w:rPr>
              <w:t>1.38</w:t>
            </w:r>
          </w:p>
        </w:tc>
        <w:tc>
          <w:tcPr>
            <w:tcW w:w="1418" w:type="dxa"/>
            <w:tcBorders>
              <w:top w:val="nil"/>
              <w:bottom w:val="nil"/>
            </w:tcBorders>
            <w:shd w:val="clear" w:color="auto" w:fill="auto"/>
            <w:noWrap/>
            <w:vAlign w:val="center"/>
          </w:tcPr>
          <w:p>
            <w:pPr>
              <w:spacing w:before="0" w:after="0" w:line="240" w:lineRule="auto"/>
              <w:jc w:val="center"/>
              <w:rPr>
                <w:sz w:val="18"/>
                <w:szCs w:val="18"/>
              </w:rPr>
            </w:pPr>
            <w:r>
              <w:rPr>
                <w:rFonts w:hint="eastAsia"/>
                <w:sz w:val="18"/>
                <w:szCs w:val="18"/>
              </w:rPr>
              <w:t>0.073</w:t>
            </w:r>
          </w:p>
        </w:tc>
        <w:tc>
          <w:tcPr>
            <w:tcW w:w="1701" w:type="dxa"/>
            <w:tcBorders>
              <w:top w:val="nil"/>
              <w:bottom w:val="nil"/>
            </w:tcBorders>
            <w:shd w:val="clear" w:color="auto" w:fill="auto"/>
            <w:noWrap/>
            <w:vAlign w:val="center"/>
          </w:tcPr>
          <w:p>
            <w:pPr>
              <w:spacing w:before="0" w:after="0" w:line="240" w:lineRule="auto"/>
              <w:jc w:val="center"/>
              <w:rPr>
                <w:sz w:val="18"/>
                <w:szCs w:val="18"/>
              </w:rPr>
            </w:pPr>
            <w:r>
              <w:rPr>
                <w:rFonts w:hint="eastAsia"/>
                <w:sz w:val="18"/>
                <w:szCs w:val="18"/>
              </w:rPr>
              <w:t>51.61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2235" w:type="dxa"/>
            <w:tcBorders>
              <w:top w:val="nil"/>
            </w:tcBorders>
            <w:shd w:val="clear" w:color="auto" w:fill="auto"/>
            <w:noWrap/>
            <w:vAlign w:val="center"/>
          </w:tcPr>
          <w:p>
            <w:pPr>
              <w:spacing w:before="0" w:after="0" w:line="240" w:lineRule="auto"/>
              <w:jc w:val="center"/>
              <w:rPr>
                <w:sz w:val="18"/>
                <w:szCs w:val="18"/>
              </w:rPr>
            </w:pPr>
            <w:r>
              <w:rPr>
                <w:sz w:val="18"/>
                <w:szCs w:val="18"/>
              </w:rPr>
              <w:t>总计</w:t>
            </w:r>
          </w:p>
        </w:tc>
        <w:tc>
          <w:tcPr>
            <w:tcW w:w="1842" w:type="dxa"/>
            <w:tcBorders>
              <w:top w:val="nil"/>
            </w:tcBorders>
            <w:shd w:val="clear" w:color="auto" w:fill="auto"/>
            <w:noWrap/>
            <w:vAlign w:val="center"/>
          </w:tcPr>
          <w:p>
            <w:pPr>
              <w:spacing w:before="0" w:after="0" w:line="240" w:lineRule="auto"/>
              <w:jc w:val="center"/>
              <w:rPr>
                <w:sz w:val="18"/>
                <w:szCs w:val="18"/>
              </w:rPr>
            </w:pPr>
            <w:r>
              <w:rPr>
                <w:sz w:val="18"/>
                <w:szCs w:val="18"/>
              </w:rPr>
              <w:t>12.7</w:t>
            </w:r>
          </w:p>
        </w:tc>
        <w:tc>
          <w:tcPr>
            <w:tcW w:w="1418" w:type="dxa"/>
            <w:tcBorders>
              <w:top w:val="nil"/>
            </w:tcBorders>
            <w:shd w:val="clear" w:color="auto" w:fill="auto"/>
            <w:noWrap/>
            <w:vAlign w:val="center"/>
          </w:tcPr>
          <w:p>
            <w:pPr>
              <w:spacing w:before="0" w:after="0" w:line="240" w:lineRule="auto"/>
              <w:jc w:val="center"/>
              <w:rPr>
                <w:sz w:val="18"/>
                <w:szCs w:val="18"/>
              </w:rPr>
            </w:pPr>
            <w:r>
              <w:rPr>
                <w:sz w:val="18"/>
                <w:szCs w:val="18"/>
              </w:rPr>
              <w:t>0.333</w:t>
            </w:r>
          </w:p>
        </w:tc>
        <w:tc>
          <w:tcPr>
            <w:tcW w:w="1701" w:type="dxa"/>
            <w:tcBorders>
              <w:top w:val="nil"/>
            </w:tcBorders>
            <w:shd w:val="clear" w:color="auto" w:fill="auto"/>
            <w:noWrap/>
            <w:vAlign w:val="center"/>
          </w:tcPr>
          <w:p>
            <w:pPr>
              <w:spacing w:before="0" w:after="0" w:line="240" w:lineRule="auto"/>
              <w:jc w:val="center"/>
              <w:rPr>
                <w:sz w:val="18"/>
                <w:szCs w:val="18"/>
              </w:rPr>
            </w:pPr>
            <w:r>
              <w:rPr>
                <w:rFonts w:hint="eastAsia"/>
                <w:sz w:val="18"/>
                <w:szCs w:val="18"/>
              </w:rPr>
              <w:t>369.93</w:t>
            </w:r>
          </w:p>
        </w:tc>
      </w:tr>
    </w:tbl>
    <w:p>
      <w:pPr>
        <w:ind w:firstLine="480" w:firstLineChars="200"/>
      </w:pPr>
      <w:r>
        <w:rPr>
          <w:rFonts w:hint="eastAsia"/>
        </w:rPr>
        <w:t>按照排放部门分，其中稻田甲烷排放量为203.07万吨CO</w:t>
      </w:r>
      <w:r>
        <w:rPr>
          <w:rFonts w:hint="eastAsia"/>
          <w:vertAlign w:val="subscript"/>
        </w:rPr>
        <w:t>2</w:t>
      </w:r>
      <w:r>
        <w:rPr>
          <w:rFonts w:hint="eastAsia"/>
        </w:rPr>
        <w:t>当量，占总排放量的54.89%，农用地氧化亚氮排放量为80.60万吨CO</w:t>
      </w:r>
      <w:r>
        <w:rPr>
          <w:rFonts w:hint="eastAsia"/>
          <w:vertAlign w:val="subscript"/>
        </w:rPr>
        <w:t>2</w:t>
      </w:r>
      <w:r>
        <w:rPr>
          <w:rFonts w:hint="eastAsia"/>
        </w:rPr>
        <w:t>当量，占总排放量的21.79%，动物肠道发酵甲烷排放量为34.65万吨CO</w:t>
      </w:r>
      <w:r>
        <w:rPr>
          <w:rFonts w:hint="eastAsia"/>
          <w:vertAlign w:val="subscript"/>
        </w:rPr>
        <w:t>2</w:t>
      </w:r>
      <w:r>
        <w:rPr>
          <w:rFonts w:hint="eastAsia"/>
        </w:rPr>
        <w:t>当量，占总排放量的9.37%，动物粪便管理甲烷和氧化亚氮排放量为51.61万吨CO</w:t>
      </w:r>
      <w:r>
        <w:rPr>
          <w:rFonts w:hint="eastAsia"/>
          <w:vertAlign w:val="subscript"/>
        </w:rPr>
        <w:t>2</w:t>
      </w:r>
      <w:r>
        <w:rPr>
          <w:rFonts w:hint="eastAsia"/>
        </w:rPr>
        <w:t>当量，占总排放量的13.95%</w:t>
      </w:r>
      <w:r>
        <w:t>。</w:t>
      </w:r>
      <w:r>
        <w:rPr>
          <w:kern w:val="0"/>
        </w:rPr>
        <w:t>详见</w:t>
      </w:r>
      <w:r>
        <w:rPr>
          <w:kern w:val="0"/>
        </w:rPr>
        <w:fldChar w:fldCharType="begin"/>
      </w:r>
      <w:r>
        <w:rPr>
          <w:kern w:val="0"/>
        </w:rPr>
        <w:instrText xml:space="preserve"> REF _Ref52098795 \h  \* MERGEFORMAT </w:instrText>
      </w:r>
      <w:r>
        <w:rPr>
          <w:kern w:val="0"/>
        </w:rPr>
        <w:fldChar w:fldCharType="separate"/>
      </w:r>
      <w:r>
        <w:rPr>
          <w:rFonts w:hint="eastAsia"/>
        </w:rPr>
        <w:t>图</w:t>
      </w:r>
      <w:r>
        <w:t>4</w:t>
      </w:r>
      <w:r>
        <w:noBreakHyphen/>
      </w:r>
      <w:r>
        <w:t>1</w:t>
      </w:r>
      <w:r>
        <w:rPr>
          <w:kern w:val="0"/>
        </w:rPr>
        <w:fldChar w:fldCharType="end"/>
      </w:r>
      <w:r>
        <w:rPr>
          <w:kern w:val="0"/>
        </w:rPr>
        <w:t>和</w:t>
      </w:r>
      <w:r>
        <w:rPr>
          <w:kern w:val="0"/>
        </w:rPr>
        <w:fldChar w:fldCharType="begin"/>
      </w:r>
      <w:r>
        <w:rPr>
          <w:kern w:val="0"/>
        </w:rPr>
        <w:instrText xml:space="preserve"> REF _Ref49940722 \h  \* MERGEFORMAT </w:instrText>
      </w:r>
      <w:r>
        <w:rPr>
          <w:kern w:val="0"/>
        </w:rPr>
        <w:fldChar w:fldCharType="separate"/>
      </w:r>
      <w:r>
        <w:rPr>
          <w:rFonts w:hint="eastAsia" w:cs="Times New Roman"/>
          <w:szCs w:val="21"/>
        </w:rPr>
        <w:t>图</w:t>
      </w:r>
      <w:r>
        <w:rPr>
          <w:rFonts w:cs="Times New Roman"/>
          <w:szCs w:val="21"/>
        </w:rPr>
        <w:t>4</w:t>
      </w:r>
      <w:r>
        <w:rPr>
          <w:rFonts w:cs="Times New Roman"/>
          <w:szCs w:val="21"/>
        </w:rPr>
        <w:noBreakHyphen/>
      </w:r>
      <w:r>
        <w:rPr>
          <w:rFonts w:cs="Times New Roman"/>
          <w:szCs w:val="21"/>
        </w:rPr>
        <w:t>2</w:t>
      </w:r>
      <w:r>
        <w:rPr>
          <w:kern w:val="0"/>
        </w:rPr>
        <w:fldChar w:fldCharType="end"/>
      </w:r>
      <w:r>
        <w:rPr>
          <w:kern w:val="0"/>
        </w:rPr>
        <w:t>。</w:t>
      </w:r>
    </w:p>
    <w:p>
      <w:pPr>
        <w:spacing w:before="0" w:after="0"/>
        <w:ind w:firstLine="480" w:firstLineChars="200"/>
        <w:jc w:val="center"/>
        <w:rPr>
          <w:rFonts w:eastAsia="仿宋_GB2312"/>
        </w:rPr>
      </w:pPr>
      <w:r>
        <w:rPr>
          <w:rFonts w:eastAsia="仿宋_GB2312"/>
        </w:rPr>
        <w:drawing>
          <wp:inline distT="0" distB="0" distL="0" distR="0">
            <wp:extent cx="3959860" cy="25196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960000" cy="2520000"/>
                    </a:xfrm>
                    <a:prstGeom prst="rect">
                      <a:avLst/>
                    </a:prstGeom>
                    <a:noFill/>
                  </pic:spPr>
                </pic:pic>
              </a:graphicData>
            </a:graphic>
          </wp:inline>
        </w:drawing>
      </w:r>
    </w:p>
    <w:p>
      <w:pPr>
        <w:pStyle w:val="12"/>
      </w:pPr>
      <w:bookmarkStart w:id="193" w:name="_Ref52098795"/>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4</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bookmarkEnd w:id="193"/>
      <w:r>
        <w:rPr>
          <w:rFonts w:hint="eastAsia"/>
        </w:rPr>
        <w:t xml:space="preserve"> </w:t>
      </w:r>
      <w:r>
        <w:t>不同气体在农业温室气体排放中的贡献</w:t>
      </w:r>
    </w:p>
    <w:p>
      <w:pPr>
        <w:spacing w:before="0" w:after="0"/>
        <w:ind w:firstLine="723" w:firstLineChars="300"/>
        <w:jc w:val="center"/>
        <w:rPr>
          <w:rFonts w:eastAsia="仿宋_GB2312"/>
          <w:b/>
        </w:rPr>
      </w:pPr>
      <w:r>
        <w:rPr>
          <w:rFonts w:eastAsia="仿宋_GB2312"/>
          <w:b/>
        </w:rPr>
        <w:drawing>
          <wp:inline distT="0" distB="0" distL="0" distR="0">
            <wp:extent cx="3959860" cy="25196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60000" cy="2520000"/>
                    </a:xfrm>
                    <a:prstGeom prst="rect">
                      <a:avLst/>
                    </a:prstGeom>
                    <a:noFill/>
                  </pic:spPr>
                </pic:pic>
              </a:graphicData>
            </a:graphic>
          </wp:inline>
        </w:drawing>
      </w:r>
    </w:p>
    <w:p>
      <w:pPr>
        <w:pStyle w:val="12"/>
      </w:pPr>
      <w:bookmarkStart w:id="194" w:name="_Ref49940722"/>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4</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w:t>
      </w:r>
      <w:r>
        <w:fldChar w:fldCharType="end"/>
      </w:r>
      <w:bookmarkEnd w:id="194"/>
      <w:r>
        <w:t xml:space="preserve"> </w:t>
      </w:r>
      <w:r>
        <w:rPr>
          <w:rFonts w:hint="eastAsia"/>
        </w:rPr>
        <w:t xml:space="preserve"> </w:t>
      </w:r>
      <w:r>
        <w:t>不同部门温室气体排放占比</w:t>
      </w:r>
    </w:p>
    <w:p>
      <w:pPr>
        <w:pStyle w:val="4"/>
      </w:pPr>
      <w:bookmarkStart w:id="195" w:name="_Toc54097675"/>
      <w:bookmarkStart w:id="196" w:name="_Toc53827534"/>
      <w:bookmarkStart w:id="197" w:name="_Toc52177411"/>
      <w:bookmarkStart w:id="198" w:name="_Toc1157"/>
      <w:bookmarkStart w:id="199" w:name="_Toc51939046"/>
      <w:bookmarkStart w:id="200" w:name="_Toc55311760"/>
      <w:r>
        <w:rPr>
          <w:rFonts w:hint="eastAsia"/>
        </w:rPr>
        <w:t>农业活动总体不确定性</w:t>
      </w:r>
      <w:bookmarkEnd w:id="195"/>
      <w:bookmarkEnd w:id="196"/>
      <w:bookmarkEnd w:id="197"/>
      <w:bookmarkEnd w:id="198"/>
      <w:bookmarkEnd w:id="199"/>
      <w:bookmarkEnd w:id="200"/>
    </w:p>
    <w:p>
      <w:pPr>
        <w:ind w:firstLine="480" w:firstLineChars="200"/>
      </w:pPr>
      <w:r>
        <w:rPr>
          <w:rFonts w:hint="eastAsia"/>
          <w:szCs w:val="24"/>
        </w:rPr>
        <w:t>益阳市2019</w:t>
      </w:r>
      <w:r>
        <w:rPr>
          <w:szCs w:val="24"/>
        </w:rPr>
        <w:t>年农业活动温室气体总排放清单总不确定性</w:t>
      </w:r>
      <w:r>
        <w:rPr>
          <w:rFonts w:hint="eastAsia"/>
          <w:szCs w:val="24"/>
        </w:rPr>
        <w:t>为±13.24</w:t>
      </w:r>
      <w:r>
        <w:rPr>
          <w:szCs w:val="24"/>
        </w:rPr>
        <w:t>%</w:t>
      </w:r>
      <w:r>
        <w:rPr>
          <w:rFonts w:hint="eastAsia"/>
        </w:rPr>
        <w:t>，详</w:t>
      </w:r>
      <w:r>
        <w:t>见</w:t>
      </w:r>
      <w:r>
        <w:fldChar w:fldCharType="begin"/>
      </w:r>
      <w:r>
        <w:instrText xml:space="preserve"> REF _Ref52098930 \h  \* MERGEFORMAT </w:instrText>
      </w:r>
      <w:r>
        <w:fldChar w:fldCharType="separate"/>
      </w:r>
      <w:r>
        <w:rPr>
          <w:rFonts w:hint="eastAsia"/>
        </w:rPr>
        <w:t>表</w:t>
      </w:r>
      <w:r>
        <w:t>4</w:t>
      </w:r>
      <w:r>
        <w:noBreakHyphen/>
      </w:r>
      <w:r>
        <w:t>3</w:t>
      </w:r>
      <w:r>
        <w:fldChar w:fldCharType="end"/>
      </w:r>
      <w:r>
        <w:rPr>
          <w:rFonts w:hint="eastAsia"/>
        </w:rPr>
        <w:t>。</w:t>
      </w:r>
    </w:p>
    <w:p>
      <w:pPr>
        <w:pStyle w:val="12"/>
      </w:pPr>
      <w:bookmarkStart w:id="201" w:name="_Ref52098930"/>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4</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3</w:t>
      </w:r>
      <w:r>
        <w:fldChar w:fldCharType="end"/>
      </w:r>
      <w:bookmarkEnd w:id="201"/>
      <w:r>
        <w:t xml:space="preserve"> 农业活动温室气体总排放清单不确定性分析汇总表</w:t>
      </w:r>
    </w:p>
    <w:tbl>
      <w:tblPr>
        <w:tblStyle w:val="25"/>
        <w:tblW w:w="8522"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785"/>
        <w:gridCol w:w="2894"/>
        <w:gridCol w:w="2843"/>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jc w:val="center"/>
        </w:trPr>
        <w:tc>
          <w:tcPr>
            <w:tcW w:w="2785" w:type="dxa"/>
            <w:tcBorders>
              <w:bottom w:val="single" w:color="auto" w:sz="4" w:space="0"/>
            </w:tcBorders>
            <w:shd w:val="clear" w:color="auto" w:fill="auto"/>
            <w:noWrap/>
            <w:vAlign w:val="center"/>
          </w:tcPr>
          <w:p>
            <w:pPr>
              <w:spacing w:before="0" w:after="0" w:line="240" w:lineRule="auto"/>
              <w:jc w:val="center"/>
              <w:rPr>
                <w:sz w:val="18"/>
                <w:szCs w:val="18"/>
              </w:rPr>
            </w:pPr>
            <w:r>
              <w:rPr>
                <w:sz w:val="18"/>
                <w:szCs w:val="18"/>
              </w:rPr>
              <w:t>部门</w:t>
            </w:r>
          </w:p>
        </w:tc>
        <w:tc>
          <w:tcPr>
            <w:tcW w:w="2894" w:type="dxa"/>
            <w:tcBorders>
              <w:bottom w:val="single" w:color="auto" w:sz="4" w:space="0"/>
            </w:tcBorders>
            <w:shd w:val="clear" w:color="auto" w:fill="auto"/>
            <w:noWrap/>
            <w:vAlign w:val="center"/>
          </w:tcPr>
          <w:p>
            <w:pPr>
              <w:spacing w:before="0" w:after="0" w:line="240" w:lineRule="auto"/>
              <w:jc w:val="center"/>
              <w:rPr>
                <w:sz w:val="18"/>
                <w:szCs w:val="18"/>
              </w:rPr>
            </w:pPr>
            <w:r>
              <w:rPr>
                <w:sz w:val="18"/>
                <w:szCs w:val="18"/>
              </w:rPr>
              <w:t>总排放量</w:t>
            </w:r>
          </w:p>
          <w:p>
            <w:pPr>
              <w:spacing w:before="0" w:after="0" w:line="240" w:lineRule="auto"/>
              <w:jc w:val="center"/>
              <w:rPr>
                <w:sz w:val="18"/>
                <w:szCs w:val="18"/>
              </w:rPr>
            </w:pPr>
            <w:r>
              <w:rPr>
                <w:sz w:val="18"/>
                <w:szCs w:val="18"/>
              </w:rPr>
              <w:t>（万吨</w:t>
            </w:r>
            <w:r>
              <w:rPr>
                <w:rFonts w:hint="eastAsia"/>
                <w:sz w:val="18"/>
                <w:szCs w:val="18"/>
              </w:rPr>
              <w:t>二氧化碳</w:t>
            </w:r>
            <w:r>
              <w:rPr>
                <w:sz w:val="18"/>
                <w:szCs w:val="18"/>
              </w:rPr>
              <w:t>当量）</w:t>
            </w:r>
          </w:p>
        </w:tc>
        <w:tc>
          <w:tcPr>
            <w:tcW w:w="2843" w:type="dxa"/>
            <w:tcBorders>
              <w:bottom w:val="single" w:color="auto" w:sz="4" w:space="0"/>
            </w:tcBorders>
            <w:shd w:val="clear" w:color="auto" w:fill="auto"/>
            <w:noWrap/>
            <w:vAlign w:val="center"/>
          </w:tcPr>
          <w:p>
            <w:pPr>
              <w:spacing w:before="0" w:after="0" w:line="240" w:lineRule="auto"/>
              <w:jc w:val="center"/>
              <w:rPr>
                <w:sz w:val="18"/>
                <w:szCs w:val="18"/>
              </w:rPr>
            </w:pPr>
            <w:r>
              <w:rPr>
                <w:sz w:val="18"/>
                <w:szCs w:val="18"/>
              </w:rPr>
              <w:t>合并不确定性(</w:t>
            </w:r>
            <w:r>
              <w:rPr>
                <w:rFonts w:hint="eastAsia"/>
                <w:sz w:val="18"/>
                <w:szCs w:val="18"/>
              </w:rPr>
              <w:t>±</w:t>
            </w:r>
            <w:r>
              <w:rPr>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2785" w:type="dxa"/>
            <w:tcBorders>
              <w:bottom w:val="nil"/>
            </w:tcBorders>
            <w:shd w:val="clear" w:color="auto" w:fill="auto"/>
            <w:noWrap/>
            <w:vAlign w:val="center"/>
          </w:tcPr>
          <w:p>
            <w:pPr>
              <w:spacing w:before="0" w:after="0" w:line="240" w:lineRule="auto"/>
              <w:jc w:val="center"/>
              <w:rPr>
                <w:sz w:val="18"/>
                <w:szCs w:val="18"/>
              </w:rPr>
            </w:pPr>
            <w:r>
              <w:rPr>
                <w:sz w:val="18"/>
                <w:szCs w:val="18"/>
              </w:rPr>
              <w:t>稻田甲烷</w:t>
            </w:r>
          </w:p>
        </w:tc>
        <w:tc>
          <w:tcPr>
            <w:tcW w:w="2894" w:type="dxa"/>
            <w:tcBorders>
              <w:bottom w:val="nil"/>
            </w:tcBorders>
            <w:shd w:val="clear" w:color="auto" w:fill="auto"/>
            <w:noWrap/>
            <w:vAlign w:val="center"/>
          </w:tcPr>
          <w:p>
            <w:pPr>
              <w:spacing w:before="0" w:after="0" w:line="240" w:lineRule="auto"/>
              <w:jc w:val="center"/>
              <w:rPr>
                <w:sz w:val="18"/>
                <w:szCs w:val="18"/>
              </w:rPr>
            </w:pPr>
            <w:r>
              <w:rPr>
                <w:rFonts w:hint="eastAsia"/>
                <w:sz w:val="18"/>
                <w:szCs w:val="18"/>
              </w:rPr>
              <w:t>203.07</w:t>
            </w:r>
          </w:p>
        </w:tc>
        <w:tc>
          <w:tcPr>
            <w:tcW w:w="2843" w:type="dxa"/>
            <w:tcBorders>
              <w:bottom w:val="nil"/>
            </w:tcBorders>
            <w:shd w:val="clear" w:color="auto" w:fill="auto"/>
            <w:noWrap/>
            <w:vAlign w:val="center"/>
          </w:tcPr>
          <w:p>
            <w:pPr>
              <w:spacing w:before="0" w:after="0" w:line="240" w:lineRule="auto"/>
              <w:jc w:val="center"/>
              <w:rPr>
                <w:sz w:val="18"/>
                <w:szCs w:val="18"/>
              </w:rPr>
            </w:pPr>
            <w:r>
              <w:rPr>
                <w:rFonts w:hint="eastAsia"/>
                <w:sz w:val="18"/>
                <w:szCs w:val="18"/>
              </w:rPr>
              <w:t>21.11%</w:t>
            </w:r>
            <w:r>
              <w:rPr>
                <w:sz w:val="18"/>
                <w:szCs w:val="18"/>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2785" w:type="dxa"/>
            <w:tcBorders>
              <w:top w:val="nil"/>
              <w:bottom w:val="nil"/>
            </w:tcBorders>
            <w:shd w:val="clear" w:color="auto" w:fill="auto"/>
            <w:noWrap/>
            <w:vAlign w:val="center"/>
          </w:tcPr>
          <w:p>
            <w:pPr>
              <w:spacing w:before="0" w:after="0" w:line="240" w:lineRule="auto"/>
              <w:jc w:val="center"/>
              <w:rPr>
                <w:sz w:val="18"/>
                <w:szCs w:val="18"/>
              </w:rPr>
            </w:pPr>
            <w:r>
              <w:rPr>
                <w:sz w:val="18"/>
                <w:szCs w:val="18"/>
              </w:rPr>
              <w:t>农用地氧化亚氮</w:t>
            </w:r>
          </w:p>
        </w:tc>
        <w:tc>
          <w:tcPr>
            <w:tcW w:w="2894" w:type="dxa"/>
            <w:tcBorders>
              <w:top w:val="nil"/>
              <w:bottom w:val="nil"/>
            </w:tcBorders>
            <w:shd w:val="clear" w:color="auto" w:fill="auto"/>
            <w:noWrap/>
            <w:vAlign w:val="center"/>
          </w:tcPr>
          <w:p>
            <w:pPr>
              <w:spacing w:before="0" w:after="0" w:line="240" w:lineRule="auto"/>
              <w:jc w:val="center"/>
              <w:rPr>
                <w:sz w:val="18"/>
                <w:szCs w:val="18"/>
              </w:rPr>
            </w:pPr>
            <w:r>
              <w:rPr>
                <w:rFonts w:hint="eastAsia"/>
                <w:sz w:val="18"/>
                <w:szCs w:val="18"/>
              </w:rPr>
              <w:t>80.6</w:t>
            </w:r>
          </w:p>
        </w:tc>
        <w:tc>
          <w:tcPr>
            <w:tcW w:w="2843" w:type="dxa"/>
            <w:tcBorders>
              <w:top w:val="nil"/>
              <w:bottom w:val="nil"/>
            </w:tcBorders>
            <w:shd w:val="clear" w:color="auto" w:fill="auto"/>
            <w:noWrap/>
            <w:vAlign w:val="center"/>
          </w:tcPr>
          <w:p>
            <w:pPr>
              <w:spacing w:before="0" w:after="0" w:line="240" w:lineRule="auto"/>
              <w:jc w:val="center"/>
              <w:rPr>
                <w:sz w:val="18"/>
                <w:szCs w:val="18"/>
              </w:rPr>
            </w:pPr>
            <w:r>
              <w:rPr>
                <w:rFonts w:hint="eastAsia"/>
                <w:sz w:val="18"/>
                <w:szCs w:val="18"/>
              </w:rPr>
              <w:t>13.56%</w:t>
            </w:r>
            <w:r>
              <w:rPr>
                <w:sz w:val="18"/>
                <w:szCs w:val="18"/>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2785" w:type="dxa"/>
            <w:tcBorders>
              <w:top w:val="nil"/>
              <w:bottom w:val="nil"/>
            </w:tcBorders>
            <w:shd w:val="clear" w:color="auto" w:fill="auto"/>
            <w:noWrap/>
            <w:vAlign w:val="center"/>
          </w:tcPr>
          <w:p>
            <w:pPr>
              <w:spacing w:before="0" w:after="0" w:line="240" w:lineRule="auto"/>
              <w:jc w:val="center"/>
              <w:rPr>
                <w:sz w:val="18"/>
                <w:szCs w:val="18"/>
              </w:rPr>
            </w:pPr>
            <w:r>
              <w:rPr>
                <w:sz w:val="18"/>
                <w:szCs w:val="18"/>
              </w:rPr>
              <w:t>动物肠道发酵甲烷</w:t>
            </w:r>
          </w:p>
        </w:tc>
        <w:tc>
          <w:tcPr>
            <w:tcW w:w="2894" w:type="dxa"/>
            <w:tcBorders>
              <w:top w:val="nil"/>
              <w:bottom w:val="nil"/>
            </w:tcBorders>
            <w:shd w:val="clear" w:color="auto" w:fill="auto"/>
            <w:noWrap/>
            <w:vAlign w:val="center"/>
          </w:tcPr>
          <w:p>
            <w:pPr>
              <w:spacing w:before="0" w:after="0" w:line="240" w:lineRule="auto"/>
              <w:jc w:val="center"/>
              <w:rPr>
                <w:sz w:val="18"/>
                <w:szCs w:val="18"/>
              </w:rPr>
            </w:pPr>
            <w:r>
              <w:rPr>
                <w:rFonts w:hint="eastAsia"/>
                <w:sz w:val="18"/>
                <w:szCs w:val="18"/>
              </w:rPr>
              <w:t>34.65</w:t>
            </w:r>
          </w:p>
        </w:tc>
        <w:tc>
          <w:tcPr>
            <w:tcW w:w="2843" w:type="dxa"/>
            <w:tcBorders>
              <w:top w:val="nil"/>
              <w:bottom w:val="nil"/>
            </w:tcBorders>
            <w:shd w:val="clear" w:color="auto" w:fill="auto"/>
            <w:noWrap/>
            <w:vAlign w:val="center"/>
          </w:tcPr>
          <w:p>
            <w:pPr>
              <w:spacing w:before="0" w:after="0" w:line="240" w:lineRule="auto"/>
              <w:jc w:val="center"/>
              <w:rPr>
                <w:sz w:val="18"/>
                <w:szCs w:val="18"/>
              </w:rPr>
            </w:pPr>
            <w:r>
              <w:rPr>
                <w:rFonts w:hint="eastAsia"/>
                <w:sz w:val="18"/>
                <w:szCs w:val="18"/>
              </w:rPr>
              <w:t>40.30%</w:t>
            </w:r>
            <w:r>
              <w:rPr>
                <w:sz w:val="18"/>
                <w:szCs w:val="18"/>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2785" w:type="dxa"/>
            <w:tcBorders>
              <w:top w:val="nil"/>
              <w:bottom w:val="nil"/>
            </w:tcBorders>
            <w:shd w:val="clear" w:color="auto" w:fill="auto"/>
            <w:noWrap/>
            <w:vAlign w:val="center"/>
          </w:tcPr>
          <w:p>
            <w:pPr>
              <w:spacing w:before="0" w:after="0" w:line="240" w:lineRule="auto"/>
              <w:jc w:val="center"/>
              <w:rPr>
                <w:sz w:val="18"/>
                <w:szCs w:val="18"/>
              </w:rPr>
            </w:pPr>
            <w:r>
              <w:rPr>
                <w:sz w:val="18"/>
                <w:szCs w:val="18"/>
              </w:rPr>
              <w:t>动物粪便管理</w:t>
            </w:r>
          </w:p>
        </w:tc>
        <w:tc>
          <w:tcPr>
            <w:tcW w:w="2894" w:type="dxa"/>
            <w:tcBorders>
              <w:top w:val="nil"/>
              <w:bottom w:val="nil"/>
            </w:tcBorders>
            <w:shd w:val="clear" w:color="auto" w:fill="auto"/>
            <w:noWrap/>
            <w:vAlign w:val="center"/>
          </w:tcPr>
          <w:p>
            <w:pPr>
              <w:spacing w:before="0" w:after="0" w:line="240" w:lineRule="auto"/>
              <w:jc w:val="center"/>
              <w:rPr>
                <w:sz w:val="18"/>
                <w:szCs w:val="18"/>
              </w:rPr>
            </w:pPr>
            <w:r>
              <w:rPr>
                <w:rFonts w:hint="eastAsia"/>
                <w:sz w:val="18"/>
                <w:szCs w:val="18"/>
              </w:rPr>
              <w:t>51.61</w:t>
            </w:r>
          </w:p>
        </w:tc>
        <w:tc>
          <w:tcPr>
            <w:tcW w:w="2843" w:type="dxa"/>
            <w:tcBorders>
              <w:top w:val="nil"/>
              <w:bottom w:val="nil"/>
            </w:tcBorders>
            <w:shd w:val="clear" w:color="auto" w:fill="auto"/>
            <w:noWrap/>
            <w:vAlign w:val="center"/>
          </w:tcPr>
          <w:p>
            <w:pPr>
              <w:spacing w:before="0" w:after="0" w:line="240" w:lineRule="auto"/>
              <w:jc w:val="center"/>
              <w:rPr>
                <w:sz w:val="18"/>
                <w:szCs w:val="18"/>
              </w:rPr>
            </w:pPr>
            <w:r>
              <w:rPr>
                <w:rFonts w:hint="eastAsia"/>
                <w:sz w:val="18"/>
                <w:szCs w:val="18"/>
              </w:rPr>
              <w:t>30.4%</w:t>
            </w:r>
            <w:r>
              <w:rPr>
                <w:sz w:val="18"/>
                <w:szCs w:val="18"/>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2785" w:type="dxa"/>
            <w:tcBorders>
              <w:top w:val="nil"/>
            </w:tcBorders>
            <w:shd w:val="clear" w:color="auto" w:fill="auto"/>
            <w:noWrap/>
            <w:vAlign w:val="center"/>
          </w:tcPr>
          <w:p>
            <w:pPr>
              <w:spacing w:before="0" w:after="0" w:line="240" w:lineRule="auto"/>
              <w:jc w:val="center"/>
              <w:rPr>
                <w:sz w:val="18"/>
                <w:szCs w:val="18"/>
              </w:rPr>
            </w:pPr>
            <w:r>
              <w:rPr>
                <w:sz w:val="18"/>
                <w:szCs w:val="18"/>
              </w:rPr>
              <w:t>总计</w:t>
            </w:r>
          </w:p>
        </w:tc>
        <w:tc>
          <w:tcPr>
            <w:tcW w:w="2894" w:type="dxa"/>
            <w:tcBorders>
              <w:top w:val="nil"/>
            </w:tcBorders>
            <w:shd w:val="clear" w:color="auto" w:fill="auto"/>
            <w:noWrap/>
            <w:vAlign w:val="center"/>
          </w:tcPr>
          <w:p>
            <w:pPr>
              <w:spacing w:before="0" w:after="0" w:line="240" w:lineRule="auto"/>
              <w:jc w:val="center"/>
              <w:rPr>
                <w:sz w:val="18"/>
                <w:szCs w:val="18"/>
              </w:rPr>
            </w:pPr>
            <w:r>
              <w:rPr>
                <w:rFonts w:hint="eastAsia"/>
                <w:sz w:val="18"/>
                <w:szCs w:val="18"/>
              </w:rPr>
              <w:t>369.93</w:t>
            </w:r>
          </w:p>
        </w:tc>
        <w:tc>
          <w:tcPr>
            <w:tcW w:w="2843" w:type="dxa"/>
            <w:tcBorders>
              <w:top w:val="nil"/>
            </w:tcBorders>
            <w:shd w:val="clear" w:color="auto" w:fill="auto"/>
            <w:noWrap/>
            <w:vAlign w:val="center"/>
          </w:tcPr>
          <w:p>
            <w:pPr>
              <w:spacing w:before="0" w:after="0" w:line="240" w:lineRule="auto"/>
              <w:jc w:val="center"/>
              <w:rPr>
                <w:sz w:val="18"/>
                <w:szCs w:val="18"/>
              </w:rPr>
            </w:pPr>
            <w:r>
              <w:rPr>
                <w:rFonts w:hint="eastAsia"/>
                <w:sz w:val="18"/>
                <w:szCs w:val="18"/>
              </w:rPr>
              <w:t>13.24%</w:t>
            </w:r>
          </w:p>
        </w:tc>
      </w:tr>
    </w:tbl>
    <w:p>
      <w:pPr>
        <w:pStyle w:val="2"/>
        <w:spacing w:before="0" w:after="0"/>
        <w:sectPr>
          <w:pgSz w:w="11906" w:h="16838"/>
          <w:pgMar w:top="1440" w:right="1800" w:bottom="1440" w:left="1800" w:header="851" w:footer="992" w:gutter="0"/>
          <w:pgNumType w:fmt="decimal"/>
          <w:cols w:space="425" w:num="1"/>
          <w:docGrid w:type="lines" w:linePitch="312" w:charSpace="0"/>
        </w:sectPr>
      </w:pPr>
    </w:p>
    <w:p>
      <w:pPr>
        <w:pStyle w:val="2"/>
      </w:pPr>
      <w:bookmarkStart w:id="202" w:name="_Toc8706"/>
      <w:r>
        <w:rPr>
          <w:rFonts w:hint="eastAsia"/>
        </w:rPr>
        <w:t>土地利用变化和林业</w:t>
      </w:r>
      <w:bookmarkEnd w:id="202"/>
    </w:p>
    <w:p>
      <w:pPr>
        <w:ind w:firstLine="480" w:firstLineChars="200"/>
        <w:rPr>
          <w:rFonts w:cs="Times New Roman"/>
        </w:rPr>
      </w:pPr>
      <w:r>
        <w:rPr>
          <w:rFonts w:cs="Times New Roman"/>
        </w:rPr>
        <w:t>土地利用变化和林业（简称“LUCF”）温室气体清单包括温室气体的排放，如森林采伐或毁林排放的二氧化碳，也包括温室气体的吸收，如森林生长时吸收的二氧化碳。2019年益阳市LUCF的CO</w:t>
      </w:r>
      <w:r>
        <w:rPr>
          <w:rFonts w:cs="Times New Roman"/>
          <w:vertAlign w:val="subscript"/>
        </w:rPr>
        <w:t>2</w:t>
      </w:r>
      <w:r>
        <w:rPr>
          <w:rFonts w:cs="Times New Roman"/>
        </w:rPr>
        <w:t>净吸收量约为100.14万吨，同时排放CH</w:t>
      </w:r>
      <w:r>
        <w:rPr>
          <w:rFonts w:cs="Times New Roman"/>
          <w:vertAlign w:val="subscript"/>
        </w:rPr>
        <w:t>4</w:t>
      </w:r>
      <w:r>
        <w:rPr>
          <w:rFonts w:cs="Times New Roman"/>
        </w:rPr>
        <w:t>量43.71 吨，N</w:t>
      </w:r>
      <w:r>
        <w:rPr>
          <w:rFonts w:cs="Times New Roman"/>
          <w:vertAlign w:val="subscript"/>
        </w:rPr>
        <w:t>2</w:t>
      </w:r>
      <w:r>
        <w:rPr>
          <w:rFonts w:cs="Times New Roman"/>
        </w:rPr>
        <w:t>O量0.25吨，合计净吸收温室气体100.03万吨二氧化碳当量。</w:t>
      </w:r>
    </w:p>
    <w:p>
      <w:pPr>
        <w:pStyle w:val="3"/>
      </w:pPr>
      <w:bookmarkStart w:id="203" w:name="_Toc24421"/>
      <w:r>
        <w:rPr>
          <w:rFonts w:hint="eastAsia"/>
        </w:rPr>
        <w:t>报告范围</w:t>
      </w:r>
      <w:bookmarkEnd w:id="203"/>
    </w:p>
    <w:p>
      <w:pPr>
        <w:ind w:firstLine="480" w:firstLineChars="200"/>
      </w:pPr>
      <w:r>
        <w:rPr>
          <w:rFonts w:hint="eastAsia"/>
        </w:rPr>
        <w:t>2019年益阳市土地利用变化和林业温室气体清单编制和报告的范围包括温室气体的排放和吸收两部分，主要是森林和其它木质生物质碳储量变化、森林转化温室气体排放两个方面的温室气体吸收及排放情况。同时期，如果森林采伐或毁林的生物量损失超过森林生长的生物量增加，则称为碳排放源，反之则为碳吸收汇。</w:t>
      </w:r>
    </w:p>
    <w:p>
      <w:pPr>
        <w:pStyle w:val="3"/>
      </w:pPr>
      <w:bookmarkStart w:id="204" w:name="_Toc23245"/>
      <w:r>
        <w:rPr>
          <w:rFonts w:hint="eastAsia"/>
        </w:rPr>
        <w:t>编制方法</w:t>
      </w:r>
      <w:bookmarkEnd w:id="204"/>
    </w:p>
    <w:p>
      <w:pPr>
        <w:pStyle w:val="4"/>
      </w:pPr>
      <w:bookmarkStart w:id="205" w:name="_Toc55311764"/>
      <w:bookmarkStart w:id="206" w:name="_Toc53827538"/>
      <w:bookmarkStart w:id="207" w:name="_Toc54097679"/>
      <w:bookmarkStart w:id="208" w:name="_Toc52177415"/>
      <w:bookmarkStart w:id="209" w:name="_Toc51939050"/>
      <w:bookmarkStart w:id="210" w:name="_Toc20303"/>
      <w:r>
        <w:rPr>
          <w:rFonts w:hint="eastAsia"/>
        </w:rPr>
        <w:t>森林和其他木质生物质碳储量变化</w:t>
      </w:r>
      <w:bookmarkEnd w:id="205"/>
      <w:bookmarkEnd w:id="206"/>
      <w:bookmarkEnd w:id="207"/>
      <w:bookmarkEnd w:id="208"/>
      <w:bookmarkEnd w:id="209"/>
      <w:bookmarkEnd w:id="210"/>
    </w:p>
    <w:p>
      <w:pPr>
        <w:ind w:firstLine="480" w:firstLineChars="200"/>
      </w:pPr>
      <w:r>
        <w:rPr>
          <w:rFonts w:hint="eastAsia" w:cs="Times New Roman" w:eastAsiaTheme="minorEastAsia"/>
          <w:szCs w:val="24"/>
        </w:rPr>
        <w:t>益阳市LUCF清单的“森林和其它木质生物质碳储量变化”，主要包括包括乔木林生物量碳储量的变化、散生木、四旁树、疏林生物量碳储量的变化；竹林、经济林、国家特别规定的灌木林生物量碳储量变化；以及活立木消耗碳排放。具体计算方法见（公式5.1）</w:t>
      </w:r>
      <w:r>
        <w:rPr>
          <w:rFonts w:cs="Times New Roman" w:eastAsiaTheme="minorEastAsia"/>
          <w:szCs w:val="24"/>
        </w:rPr>
        <w:t>。</w:t>
      </w:r>
    </w:p>
    <w:p>
      <w:pPr>
        <w:adjustRightInd/>
        <w:snapToGrid/>
        <w:spacing w:before="0" w:after="0"/>
        <w:ind w:firstLine="480" w:firstLineChars="200"/>
        <w:jc w:val="right"/>
        <w:rPr>
          <w:rFonts w:cs="Times New Roman" w:eastAsiaTheme="minorEastAsia"/>
          <w:szCs w:val="24"/>
        </w:rPr>
      </w:pPr>
      <w:r>
        <w:rPr>
          <w:rFonts w:hint="eastAsia"/>
          <w:szCs w:val="24"/>
        </w:rPr>
        <w:object>
          <v:shape id="_x0000_i1025" o:spt="75" type="#_x0000_t75" style="height:18.35pt;width:219.65pt;" o:ole="t" filled="f" o:preferrelative="t" stroked="f" coordsize="21600,21600">
            <v:path/>
            <v:fill on="f" focussize="0,0"/>
            <v:stroke on="f" joinstyle="miter"/>
            <v:imagedata r:id="rId15" o:title=""/>
            <o:lock v:ext="edit" aspectratio="t"/>
            <w10:wrap type="none"/>
            <w10:anchorlock/>
          </v:shape>
          <o:OLEObject Type="Embed" ProgID="Equation.DSMT4" ShapeID="_x0000_i1025" DrawAspect="Content" ObjectID="_1468075725" r:id="rId14">
            <o:LockedField>false</o:LockedField>
          </o:OLEObject>
        </w:object>
      </w:r>
      <w:r>
        <w:rPr>
          <w:rFonts w:cs="Times New Roman" w:eastAsiaTheme="minorEastAsia"/>
          <w:szCs w:val="24"/>
        </w:rPr>
        <w:t xml:space="preserve">            （</w:t>
      </w:r>
      <w:r>
        <w:rPr>
          <w:rFonts w:hint="eastAsia" w:cs="Times New Roman" w:eastAsiaTheme="minorEastAsia"/>
          <w:szCs w:val="24"/>
        </w:rPr>
        <w:t>5</w:t>
      </w:r>
      <w:r>
        <w:rPr>
          <w:rFonts w:cs="Times New Roman" w:eastAsiaTheme="minorEastAsia"/>
          <w:szCs w:val="24"/>
        </w:rPr>
        <w:t>.1）</w:t>
      </w:r>
    </w:p>
    <w:p>
      <w:pPr>
        <w:adjustRightInd/>
        <w:snapToGrid/>
        <w:spacing w:before="0" w:after="0"/>
        <w:ind w:firstLine="480" w:firstLineChars="200"/>
        <w:rPr>
          <w:rFonts w:cs="Times New Roman" w:eastAsiaTheme="minorEastAsia"/>
          <w:szCs w:val="24"/>
        </w:rPr>
      </w:pPr>
      <w:r>
        <w:rPr>
          <w:rFonts w:cs="Times New Roman" w:eastAsiaTheme="minorEastAsia"/>
          <w:szCs w:val="24"/>
        </w:rPr>
        <w:t>式中：</w:t>
      </w:r>
    </w:p>
    <w:p>
      <w:pPr>
        <w:tabs>
          <w:tab w:val="left" w:pos="7088"/>
        </w:tabs>
        <w:ind w:firstLine="480" w:firstLineChars="200"/>
        <w:textAlignment w:val="center"/>
        <w:rPr>
          <w:szCs w:val="24"/>
        </w:rPr>
      </w:pPr>
      <w:r>
        <w:rPr>
          <w:rFonts w:hint="eastAsia"/>
          <w:szCs w:val="24"/>
        </w:rPr>
        <w:object>
          <v:shape id="_x0000_i1026" o:spt="75" type="#_x0000_t75" style="height:18.35pt;width:38.95pt;" o:ole="t" filled="f" o:preferrelative="t" stroked="f" coordsize="21600,21600">
            <v:path/>
            <v:fill on="f" focussize="0,0"/>
            <v:stroke on="f" joinstyle="miter"/>
            <v:imagedata r:id="rId17" o:title=""/>
            <o:lock v:ext="edit" aspectratio="t"/>
            <w10:wrap type="none"/>
            <w10:anchorlock/>
          </v:shape>
          <o:OLEObject Type="Embed" ProgID="Equation.DSMT4" ShapeID="_x0000_i1026" DrawAspect="Content" ObjectID="_1468075726" r:id="rId16">
            <o:LockedField>false</o:LockedField>
          </o:OLEObject>
        </w:object>
      </w:r>
      <w:r>
        <w:rPr>
          <w:rFonts w:hint="eastAsia"/>
          <w:szCs w:val="24"/>
        </w:rPr>
        <w:t>：森林和其它木质生物质碳储量变化（吨碳）；</w:t>
      </w:r>
    </w:p>
    <w:p>
      <w:pPr>
        <w:tabs>
          <w:tab w:val="left" w:pos="7088"/>
        </w:tabs>
        <w:ind w:firstLine="480" w:firstLineChars="200"/>
        <w:textAlignment w:val="center"/>
        <w:rPr>
          <w:szCs w:val="24"/>
        </w:rPr>
      </w:pPr>
      <w:r>
        <w:rPr>
          <w:rFonts w:hint="eastAsia"/>
          <w:szCs w:val="24"/>
        </w:rPr>
        <w:object>
          <v:shape id="_x0000_i1027" o:spt="75" type="#_x0000_t75" style="height:18.35pt;width:27.2pt;" o:ole="t" filled="f" o:preferrelative="t" stroked="f" coordsize="21600,21600">
            <v:path/>
            <v:fill on="f" focussize="0,0"/>
            <v:stroke on="f" joinstyle="miter"/>
            <v:imagedata r:id="rId19" o:title=""/>
            <o:lock v:ext="edit" aspectratio="t"/>
            <w10:wrap type="none"/>
            <w10:anchorlock/>
          </v:shape>
          <o:OLEObject Type="Embed" ProgID="Equation.DSMT4" ShapeID="_x0000_i1027" DrawAspect="Content" ObjectID="_1468075727" r:id="rId18">
            <o:LockedField>false</o:LockedField>
          </o:OLEObject>
        </w:object>
      </w:r>
      <w:r>
        <w:rPr>
          <w:rFonts w:hint="eastAsia"/>
          <w:szCs w:val="24"/>
        </w:rPr>
        <w:t>：乔木林（林分）生物质碳储量变化（吨碳）；</w:t>
      </w:r>
    </w:p>
    <w:p>
      <w:pPr>
        <w:tabs>
          <w:tab w:val="left" w:pos="7088"/>
        </w:tabs>
        <w:ind w:firstLine="480" w:firstLineChars="200"/>
        <w:textAlignment w:val="center"/>
        <w:rPr>
          <w:szCs w:val="24"/>
        </w:rPr>
      </w:pPr>
      <w:r>
        <w:rPr>
          <w:rFonts w:hint="eastAsia"/>
          <w:szCs w:val="24"/>
        </w:rPr>
        <w:object>
          <v:shape id="_x0000_i1028" o:spt="75" type="#_x0000_t75" style="height:18.35pt;width:38.95pt;" o:ole="t" filled="f" o:preferrelative="t" stroked="f" coordsize="21600,21600">
            <v:path/>
            <v:fill on="f" focussize="0,0"/>
            <v:stroke on="f" joinstyle="miter"/>
            <v:imagedata r:id="rId21" o:title=""/>
            <o:lock v:ext="edit" aspectratio="t"/>
            <w10:wrap type="none"/>
            <w10:anchorlock/>
          </v:shape>
          <o:OLEObject Type="Embed" ProgID="Equation.DSMT4" ShapeID="_x0000_i1028" DrawAspect="Content" ObjectID="_1468075728" r:id="rId20">
            <o:LockedField>false</o:LockedField>
          </o:OLEObject>
        </w:object>
      </w:r>
      <w:r>
        <w:rPr>
          <w:rFonts w:hint="eastAsia"/>
          <w:szCs w:val="24"/>
        </w:rPr>
        <w:t>：散生木、四旁树、疏林生长生物质碳储量变化（吨碳）；</w:t>
      </w:r>
    </w:p>
    <w:p>
      <w:pPr>
        <w:tabs>
          <w:tab w:val="left" w:pos="7088"/>
        </w:tabs>
        <w:ind w:firstLine="480" w:firstLineChars="200"/>
        <w:textAlignment w:val="center"/>
        <w:rPr>
          <w:szCs w:val="24"/>
        </w:rPr>
      </w:pPr>
      <w:r>
        <w:rPr>
          <w:rFonts w:hint="eastAsia"/>
          <w:szCs w:val="24"/>
        </w:rPr>
        <w:object>
          <v:shape id="_x0000_i1029" o:spt="75" type="#_x0000_t75" style="height:18.35pt;width:46.3pt;" o:ole="t" filled="f" o:preferrelative="t" stroked="f" coordsize="21600,21600">
            <v:path/>
            <v:fill on="f" focussize="0,0"/>
            <v:stroke on="f" joinstyle="miter"/>
            <v:imagedata r:id="rId23" o:title=""/>
            <o:lock v:ext="edit" aspectratio="t"/>
            <w10:wrap type="none"/>
            <w10:anchorlock/>
          </v:shape>
          <o:OLEObject Type="Embed" ProgID="Equation.DSMT4" ShapeID="_x0000_i1029" DrawAspect="Content" ObjectID="_1468075729" r:id="rId22">
            <o:LockedField>false</o:LockedField>
          </o:OLEObject>
        </w:object>
      </w:r>
      <w:r>
        <w:rPr>
          <w:rFonts w:hint="eastAsia"/>
          <w:szCs w:val="24"/>
        </w:rPr>
        <w:t>：竹林（或经济林、国家特别规定的灌木林）生物质碳储量变化（吨碳）；</w:t>
      </w:r>
    </w:p>
    <w:p>
      <w:pPr>
        <w:tabs>
          <w:tab w:val="left" w:pos="7088"/>
        </w:tabs>
        <w:ind w:firstLine="480" w:firstLineChars="200"/>
        <w:textAlignment w:val="center"/>
        <w:rPr>
          <w:szCs w:val="24"/>
        </w:rPr>
      </w:pPr>
      <w:r>
        <w:rPr>
          <w:rFonts w:hint="eastAsia"/>
          <w:szCs w:val="24"/>
        </w:rPr>
        <w:object>
          <v:shape id="_x0000_i1030" o:spt="75" type="#_x0000_t75" style="height:18.35pt;width:33.05pt;" o:ole="t" filled="f" o:preferrelative="t" stroked="f" coordsize="21600,21600">
            <v:path/>
            <v:fill on="f" focussize="0,0"/>
            <v:stroke on="f" joinstyle="miter"/>
            <v:imagedata r:id="rId25" o:title=""/>
            <o:lock v:ext="edit" aspectratio="t"/>
            <w10:wrap type="none"/>
            <w10:anchorlock/>
          </v:shape>
          <o:OLEObject Type="Embed" ProgID="Equation.DSMT4" ShapeID="_x0000_i1030" DrawAspect="Content" ObjectID="_1468075730" r:id="rId24">
            <o:LockedField>false</o:LockedField>
          </o:OLEObject>
        </w:object>
      </w:r>
      <w:r>
        <w:rPr>
          <w:rFonts w:hint="eastAsia"/>
          <w:szCs w:val="24"/>
        </w:rPr>
        <w:t>：活立木消耗生物量碳排放（吨碳）。</w:t>
      </w:r>
    </w:p>
    <w:p>
      <w:pPr>
        <w:ind w:firstLine="480" w:firstLineChars="200"/>
      </w:pPr>
      <w:r>
        <w:rPr>
          <w:rFonts w:hint="eastAsia"/>
        </w:rPr>
        <w:t>（1）乔木林生长生物量碳储量年变化量</w:t>
      </w:r>
    </w:p>
    <w:p>
      <w:pPr>
        <w:tabs>
          <w:tab w:val="left" w:pos="7088"/>
        </w:tabs>
        <w:adjustRightInd/>
        <w:snapToGrid/>
        <w:ind w:firstLine="480" w:firstLineChars="200"/>
        <w:textAlignment w:val="center"/>
        <w:rPr>
          <w:szCs w:val="24"/>
        </w:rPr>
      </w:pPr>
      <w:r>
        <w:rPr>
          <w:rFonts w:hint="eastAsia"/>
          <w:szCs w:val="24"/>
        </w:rPr>
        <w:t>首先，根据益阳市森林资源调查数据获得乔木林总蓄积量（V</w:t>
      </w:r>
      <w:r>
        <w:rPr>
          <w:rFonts w:hint="eastAsia"/>
          <w:szCs w:val="24"/>
          <w:vertAlign w:val="subscript"/>
        </w:rPr>
        <w:t>乔</w:t>
      </w:r>
      <w:r>
        <w:rPr>
          <w:rFonts w:hint="eastAsia"/>
          <w:szCs w:val="24"/>
        </w:rPr>
        <w:t>）、活立木蓄积量年生长率（GR）；然后，通过查阅相关文献或资料获取湖南省平均基本木材密度（</w:t>
      </w:r>
      <w:r>
        <w:rPr>
          <w:rFonts w:hint="eastAsia"/>
          <w:szCs w:val="24"/>
        </w:rPr>
        <w:object>
          <v:shape id="_x0000_i1031" o:spt="75" type="#_x0000_t75" style="height:18.35pt;width:25.7pt;" o:ole="t" filled="f" o:preferrelative="t" stroked="f" coordsize="21600,21600">
            <v:path/>
            <v:fill on="f" focussize="0,0"/>
            <v:stroke on="f" joinstyle="miter"/>
            <v:imagedata r:id="rId27" o:title=""/>
            <o:lock v:ext="edit" aspectratio="t"/>
            <w10:wrap type="none"/>
            <w10:anchorlock/>
          </v:shape>
          <o:OLEObject Type="Embed" ProgID="Equation.DSMT4" ShapeID="_x0000_i1031" DrawAspect="Content" ObjectID="_1468075731" r:id="rId26">
            <o:LockedField>false</o:LockedField>
          </o:OLEObject>
        </w:object>
      </w:r>
      <w:r>
        <w:rPr>
          <w:rFonts w:hint="eastAsia"/>
          <w:szCs w:val="24"/>
        </w:rPr>
        <w:t>）、生物量转换系数（</w:t>
      </w:r>
      <w:r>
        <w:rPr>
          <w:rFonts w:hint="eastAsia"/>
          <w:szCs w:val="24"/>
        </w:rPr>
        <w:object>
          <v:shape id="_x0000_i1032" o:spt="75" type="#_x0000_t75" style="height:16.15pt;width:25.7pt;" o:ole="t" filled="f" o:preferrelative="t" stroked="f" coordsize="21600,21600">
            <v:path/>
            <v:fill on="f" focussize="0,0"/>
            <v:stroke on="f" joinstyle="miter"/>
            <v:imagedata r:id="rId29" o:title=""/>
            <o:lock v:ext="edit" aspectratio="t"/>
            <w10:wrap type="none"/>
            <w10:anchorlock/>
          </v:shape>
          <o:OLEObject Type="Embed" ProgID="Equation.DSMT4" ShapeID="_x0000_i1032" DrawAspect="Content" ObjectID="_1468075732" r:id="rId28">
            <o:LockedField>false</o:LockedField>
          </o:OLEObject>
        </w:object>
      </w:r>
      <w:r>
        <w:rPr>
          <w:rFonts w:hint="eastAsia"/>
          <w:szCs w:val="24"/>
        </w:rPr>
        <w:t>）和生物量含碳率等相关系数，从而估算益阳市乔木林生物量碳储量年变化量（公式5.2）。</w:t>
      </w:r>
    </w:p>
    <w:p>
      <w:pPr>
        <w:tabs>
          <w:tab w:val="left" w:pos="7088"/>
        </w:tabs>
        <w:ind w:firstLine="480" w:firstLineChars="200"/>
        <w:textAlignment w:val="center"/>
        <w:rPr>
          <w:szCs w:val="24"/>
        </w:rPr>
      </w:pPr>
      <w:r>
        <w:rPr>
          <w:rFonts w:hint="eastAsia"/>
          <w:szCs w:val="24"/>
        </w:rPr>
        <w:object>
          <v:shape id="_x0000_i1033" o:spt="75" type="#_x0000_t75" style="height:19.85pt;width:174.1pt;" o:ole="t" filled="f" o:preferrelative="t" stroked="f" coordsize="21600,21600">
            <v:path/>
            <v:fill on="f" focussize="0,0"/>
            <v:stroke on="f" joinstyle="miter"/>
            <v:imagedata r:id="rId31" o:title=""/>
            <o:lock v:ext="edit" aspectratio="t"/>
            <w10:wrap type="none"/>
            <w10:anchorlock/>
          </v:shape>
          <o:OLEObject Type="Embed" ProgID="Equation.3" ShapeID="_x0000_i1033" DrawAspect="Content" ObjectID="_1468075733" r:id="rId30">
            <o:LockedField>false</o:LockedField>
          </o:OLEObject>
        </w:object>
      </w:r>
      <w:r>
        <w:rPr>
          <w:rFonts w:hint="eastAsia"/>
          <w:szCs w:val="24"/>
        </w:rPr>
        <w:t xml:space="preserve">                               （5.2）</w:t>
      </w:r>
    </w:p>
    <w:p>
      <w:pPr>
        <w:tabs>
          <w:tab w:val="left" w:pos="7088"/>
        </w:tabs>
        <w:ind w:firstLine="480" w:firstLineChars="200"/>
        <w:rPr>
          <w:szCs w:val="24"/>
        </w:rPr>
      </w:pPr>
      <w:r>
        <w:rPr>
          <w:rFonts w:hint="eastAsia"/>
          <w:szCs w:val="24"/>
        </w:rPr>
        <w:t>式中：</w:t>
      </w:r>
    </w:p>
    <w:p>
      <w:pPr>
        <w:tabs>
          <w:tab w:val="left" w:pos="7088"/>
        </w:tabs>
        <w:ind w:firstLine="480" w:firstLineChars="200"/>
        <w:rPr>
          <w:szCs w:val="24"/>
        </w:rPr>
      </w:pPr>
      <w:r>
        <w:rPr>
          <w:rFonts w:hint="eastAsia"/>
          <w:i/>
          <w:iCs/>
          <w:szCs w:val="24"/>
        </w:rPr>
        <w:t>V</w:t>
      </w:r>
      <w:r>
        <w:rPr>
          <w:rFonts w:hint="eastAsia"/>
          <w:szCs w:val="24"/>
          <w:vertAlign w:val="subscript"/>
        </w:rPr>
        <w:t>乔</w:t>
      </w:r>
      <w:r>
        <w:rPr>
          <w:rFonts w:hint="eastAsia"/>
          <w:szCs w:val="24"/>
        </w:rPr>
        <w:t>：乔木林总蓄积量（立方米）；</w:t>
      </w:r>
    </w:p>
    <w:p>
      <w:pPr>
        <w:tabs>
          <w:tab w:val="left" w:pos="7088"/>
        </w:tabs>
        <w:ind w:firstLine="480" w:firstLineChars="200"/>
        <w:rPr>
          <w:szCs w:val="24"/>
        </w:rPr>
      </w:pPr>
      <w:r>
        <w:rPr>
          <w:rFonts w:hint="eastAsia"/>
          <w:i/>
          <w:iCs/>
          <w:szCs w:val="24"/>
        </w:rPr>
        <w:t>GR</w:t>
      </w:r>
      <w:r>
        <w:rPr>
          <w:rFonts w:hint="eastAsia"/>
          <w:szCs w:val="24"/>
        </w:rPr>
        <w:t>：活立木蓄积量年生长率（%）；</w:t>
      </w:r>
    </w:p>
    <w:p>
      <w:pPr>
        <w:tabs>
          <w:tab w:val="left" w:pos="7088"/>
        </w:tabs>
        <w:adjustRightInd/>
        <w:snapToGrid/>
        <w:ind w:firstLine="480" w:firstLineChars="200"/>
        <w:textAlignment w:val="center"/>
        <w:rPr>
          <w:szCs w:val="24"/>
        </w:rPr>
      </w:pPr>
      <w:r>
        <w:rPr>
          <w:rFonts w:hint="eastAsia"/>
          <w:szCs w:val="24"/>
        </w:rPr>
        <w:object>
          <v:shape id="_x0000_i1034" o:spt="75" type="#_x0000_t75" style="height:18.35pt;width:25.7pt;" o:ole="t" filled="f" o:preferrelative="t" stroked="f" coordsize="21600,21600">
            <v:path/>
            <v:fill on="f" focussize="0,0"/>
            <v:stroke on="f" joinstyle="miter"/>
            <v:imagedata r:id="rId27" o:title=""/>
            <o:lock v:ext="edit" aspectratio="t"/>
            <w10:wrap type="none"/>
            <w10:anchorlock/>
          </v:shape>
          <o:OLEObject Type="Embed" ProgID="Equation.DSMT4" ShapeID="_x0000_i1034" DrawAspect="Content" ObjectID="_1468075734" r:id="rId32">
            <o:LockedField>false</o:LockedField>
          </o:OLEObject>
        </w:object>
      </w:r>
      <w:r>
        <w:rPr>
          <w:rFonts w:hint="eastAsia"/>
          <w:szCs w:val="24"/>
        </w:rPr>
        <w:t>：湖南省乔木林SVD加权平均值；</w:t>
      </w:r>
    </w:p>
    <w:p>
      <w:pPr>
        <w:ind w:firstLine="480" w:firstLineChars="200"/>
        <w:rPr>
          <w:szCs w:val="24"/>
        </w:rPr>
      </w:pPr>
      <w:r>
        <w:rPr>
          <w:rFonts w:hint="eastAsia"/>
          <w:szCs w:val="24"/>
        </w:rPr>
        <w:object>
          <v:shape id="_x0000_i1035" o:spt="75" type="#_x0000_t75" style="height:16.15pt;width:25.7pt;" o:ole="t" filled="f" o:preferrelative="t" stroked="f" coordsize="21600,21600">
            <v:path/>
            <v:fill on="f" focussize="0,0"/>
            <v:stroke on="f" joinstyle="miter"/>
            <v:imagedata r:id="rId29" o:title=""/>
            <o:lock v:ext="edit" aspectratio="t"/>
            <w10:wrap type="none"/>
            <w10:anchorlock/>
          </v:shape>
          <o:OLEObject Type="Embed" ProgID="Equation.DSMT4" ShapeID="_x0000_i1035" DrawAspect="Content" ObjectID="_1468075735" r:id="rId33">
            <o:LockedField>false</o:LockedField>
          </o:OLEObject>
        </w:object>
      </w:r>
      <w:r>
        <w:rPr>
          <w:rFonts w:hint="eastAsia"/>
          <w:szCs w:val="24"/>
        </w:rPr>
        <w:t>：湖南省乔木林BEF加权平均值；</w:t>
      </w:r>
    </w:p>
    <w:p>
      <w:pPr>
        <w:ind w:firstLine="480" w:firstLineChars="200"/>
        <w:rPr>
          <w:szCs w:val="24"/>
        </w:rPr>
      </w:pPr>
      <w:r>
        <w:rPr>
          <w:rFonts w:hint="eastAsia"/>
          <w:i/>
          <w:iCs/>
          <w:szCs w:val="24"/>
        </w:rPr>
        <w:t>CF</w:t>
      </w:r>
      <w:r>
        <w:rPr>
          <w:rFonts w:hint="eastAsia"/>
          <w:szCs w:val="24"/>
          <w:vertAlign w:val="subscript"/>
        </w:rPr>
        <w:t>乔</w:t>
      </w:r>
      <w:r>
        <w:rPr>
          <w:rFonts w:hint="eastAsia"/>
          <w:szCs w:val="24"/>
        </w:rPr>
        <w:t>：生物量含碳率。</w:t>
      </w:r>
    </w:p>
    <w:p>
      <w:pPr>
        <w:ind w:firstLine="480" w:firstLineChars="200"/>
      </w:pPr>
      <w:r>
        <w:rPr>
          <w:rFonts w:hint="eastAsia"/>
        </w:rPr>
        <w:t>（2）</w:t>
      </w:r>
      <w:r>
        <w:rPr>
          <w:rFonts w:hint="eastAsia"/>
          <w:szCs w:val="24"/>
        </w:rPr>
        <w:t>散生木、四旁树、疏林碳储量年变化量</w:t>
      </w:r>
    </w:p>
    <w:p>
      <w:pPr>
        <w:tabs>
          <w:tab w:val="left" w:pos="7088"/>
        </w:tabs>
        <w:ind w:firstLine="480" w:firstLineChars="200"/>
        <w:jc w:val="left"/>
        <w:rPr>
          <w:szCs w:val="24"/>
        </w:rPr>
      </w:pPr>
      <w:r>
        <w:rPr>
          <w:rFonts w:hint="eastAsia"/>
          <w:szCs w:val="24"/>
        </w:rPr>
        <w:t>其它木质生物质散生木、四旁树、疏林生长碳吸收估算方法与乔木林类似（公式5.3），将散生木、四旁树和疏林作为一个总体，获得散生木、四旁树、疏林的总蓄积量（V</w:t>
      </w:r>
      <w:r>
        <w:rPr>
          <w:rFonts w:hint="eastAsia"/>
          <w:szCs w:val="24"/>
          <w:vertAlign w:val="subscript"/>
        </w:rPr>
        <w:t>散四疏</w:t>
      </w:r>
      <w:r>
        <w:rPr>
          <w:rFonts w:hint="eastAsia"/>
          <w:szCs w:val="24"/>
        </w:rPr>
        <w:t>）和活立木蓄积年生长率（GR）。由于益阳市森林资源统计资料难以区分散生木、四旁树、疏林的树种，因此，其基本木材密度（SVD）和生物量转换因子（BEF）用湖南省的加权平均值代替。</w:t>
      </w:r>
    </w:p>
    <w:p>
      <w:pPr>
        <w:tabs>
          <w:tab w:val="left" w:pos="7088"/>
        </w:tabs>
        <w:ind w:firstLine="480" w:firstLineChars="200"/>
        <w:jc w:val="center"/>
        <w:textAlignment w:val="center"/>
        <w:rPr>
          <w:szCs w:val="24"/>
        </w:rPr>
      </w:pPr>
      <w:r>
        <w:rPr>
          <w:rFonts w:hint="eastAsia"/>
          <w:szCs w:val="24"/>
        </w:rPr>
        <w:object>
          <v:shape id="_x0000_i1036" o:spt="75" type="#_x0000_t75" style="height:21.3pt;width:216.75pt;" o:ole="t" filled="f" o:preferrelative="t" stroked="f" coordsize="21600,21600">
            <v:path/>
            <v:fill on="f" focussize="0,0"/>
            <v:stroke on="f" joinstyle="miter"/>
            <v:imagedata r:id="rId35" o:title=""/>
            <o:lock v:ext="edit" aspectratio="t"/>
            <w10:wrap type="none"/>
            <w10:anchorlock/>
          </v:shape>
          <o:OLEObject Type="Embed" ProgID="Equation.3" ShapeID="_x0000_i1036" DrawAspect="Content" ObjectID="_1468075736" r:id="rId34">
            <o:LockedField>false</o:LockedField>
          </o:OLEObject>
        </w:object>
      </w:r>
      <w:r>
        <w:rPr>
          <w:rFonts w:hint="eastAsia"/>
          <w:szCs w:val="24"/>
        </w:rPr>
        <w:t xml:space="preserve">                        （5.3）</w:t>
      </w:r>
    </w:p>
    <w:p>
      <w:pPr>
        <w:tabs>
          <w:tab w:val="left" w:pos="7088"/>
        </w:tabs>
        <w:ind w:firstLine="480" w:firstLineChars="200"/>
        <w:textAlignment w:val="center"/>
        <w:rPr>
          <w:szCs w:val="24"/>
        </w:rPr>
      </w:pPr>
      <w:r>
        <w:rPr>
          <w:rFonts w:hint="eastAsia"/>
          <w:szCs w:val="24"/>
        </w:rPr>
        <w:t>式中：</w:t>
      </w:r>
      <w:r>
        <w:rPr>
          <w:rFonts w:hint="eastAsia"/>
          <w:szCs w:val="24"/>
        </w:rPr>
        <w:tab/>
      </w:r>
    </w:p>
    <w:p>
      <w:pPr>
        <w:tabs>
          <w:tab w:val="left" w:pos="7088"/>
        </w:tabs>
        <w:ind w:firstLine="480" w:firstLineChars="200"/>
        <w:rPr>
          <w:szCs w:val="24"/>
        </w:rPr>
      </w:pPr>
      <w:r>
        <w:rPr>
          <w:rFonts w:hint="eastAsia"/>
          <w:i/>
          <w:iCs/>
          <w:szCs w:val="24"/>
        </w:rPr>
        <w:t>V</w:t>
      </w:r>
      <w:r>
        <w:rPr>
          <w:rFonts w:hint="eastAsia"/>
          <w:szCs w:val="24"/>
          <w:vertAlign w:val="subscript"/>
        </w:rPr>
        <w:t>散四疏</w:t>
      </w:r>
      <w:r>
        <w:rPr>
          <w:rFonts w:hint="eastAsia"/>
          <w:szCs w:val="24"/>
        </w:rPr>
        <w:t>：散生木、四旁树、疏林总蓄积量（立方米）；</w:t>
      </w:r>
    </w:p>
    <w:p>
      <w:pPr>
        <w:tabs>
          <w:tab w:val="left" w:pos="7088"/>
        </w:tabs>
        <w:ind w:firstLine="480" w:firstLineChars="200"/>
        <w:rPr>
          <w:szCs w:val="24"/>
        </w:rPr>
      </w:pPr>
      <w:r>
        <w:rPr>
          <w:rFonts w:hint="eastAsia"/>
          <w:i/>
          <w:iCs/>
          <w:szCs w:val="24"/>
        </w:rPr>
        <w:t>GR</w:t>
      </w:r>
      <w:r>
        <w:rPr>
          <w:rFonts w:hint="eastAsia"/>
          <w:szCs w:val="24"/>
        </w:rPr>
        <w:t>：活立木蓄积量年生长率（%）；</w:t>
      </w:r>
    </w:p>
    <w:p>
      <w:pPr>
        <w:tabs>
          <w:tab w:val="left" w:pos="7088"/>
        </w:tabs>
        <w:ind w:firstLine="480" w:firstLineChars="200"/>
        <w:textAlignment w:val="center"/>
        <w:rPr>
          <w:szCs w:val="24"/>
        </w:rPr>
      </w:pPr>
      <w:r>
        <w:rPr>
          <w:rFonts w:hint="eastAsia"/>
          <w:szCs w:val="24"/>
        </w:rPr>
        <w:object>
          <v:shape id="_x0000_i1037" o:spt="75" type="#_x0000_t75" style="height:18.35pt;width:25.7pt;" o:ole="t" filled="f" o:preferrelative="t" stroked="f" coordsize="21600,21600">
            <v:path/>
            <v:fill on="f" focussize="0,0"/>
            <v:stroke on="f" joinstyle="miter"/>
            <v:imagedata r:id="rId27" o:title=""/>
            <o:lock v:ext="edit" aspectratio="t"/>
            <w10:wrap type="none"/>
            <w10:anchorlock/>
          </v:shape>
          <o:OLEObject Type="Embed" ProgID="Equation.DSMT4" ShapeID="_x0000_i1037" DrawAspect="Content" ObjectID="_1468075737" r:id="rId36">
            <o:LockedField>false</o:LockedField>
          </o:OLEObject>
        </w:object>
      </w:r>
      <w:r>
        <w:rPr>
          <w:rFonts w:hint="eastAsia"/>
          <w:szCs w:val="24"/>
        </w:rPr>
        <w:t>：湖南省SVD加权平均值；</w:t>
      </w:r>
    </w:p>
    <w:p>
      <w:pPr>
        <w:tabs>
          <w:tab w:val="left" w:pos="7088"/>
        </w:tabs>
        <w:ind w:firstLine="480" w:firstLineChars="200"/>
        <w:textAlignment w:val="center"/>
        <w:rPr>
          <w:szCs w:val="24"/>
        </w:rPr>
      </w:pPr>
      <w:r>
        <w:rPr>
          <w:rFonts w:hint="eastAsia"/>
          <w:szCs w:val="24"/>
        </w:rPr>
        <w:object>
          <v:shape id="_x0000_i1038" o:spt="75" type="#_x0000_t75" style="height:16.15pt;width:25.7pt;" o:ole="t" filled="f" o:preferrelative="t" stroked="f" coordsize="21600,21600">
            <v:path/>
            <v:fill on="f" focussize="0,0"/>
            <v:stroke on="f" joinstyle="miter"/>
            <v:imagedata r:id="rId29" o:title=""/>
            <o:lock v:ext="edit" aspectratio="t"/>
            <w10:wrap type="none"/>
            <w10:anchorlock/>
          </v:shape>
          <o:OLEObject Type="Embed" ProgID="Equation.DSMT4" ShapeID="_x0000_i1038" DrawAspect="Content" ObjectID="_1468075738" r:id="rId37">
            <o:LockedField>false</o:LockedField>
          </o:OLEObject>
        </w:object>
      </w:r>
      <w:r>
        <w:rPr>
          <w:rFonts w:hint="eastAsia"/>
          <w:szCs w:val="24"/>
        </w:rPr>
        <w:t>：湖南省BEF加权平均值；</w:t>
      </w:r>
    </w:p>
    <w:p>
      <w:pPr>
        <w:ind w:firstLine="480" w:firstLineChars="200"/>
      </w:pPr>
      <w:r>
        <w:rPr>
          <w:rFonts w:hint="eastAsia"/>
          <w:i/>
          <w:iCs/>
          <w:szCs w:val="24"/>
        </w:rPr>
        <w:t>CF</w:t>
      </w:r>
      <w:r>
        <w:rPr>
          <w:rFonts w:hint="eastAsia"/>
          <w:szCs w:val="24"/>
          <w:vertAlign w:val="subscript"/>
        </w:rPr>
        <w:t>散四疏</w:t>
      </w:r>
      <w:r>
        <w:rPr>
          <w:rFonts w:hint="eastAsia"/>
          <w:szCs w:val="24"/>
        </w:rPr>
        <w:t>：生物量含碳率</w:t>
      </w:r>
      <w:r>
        <w:rPr>
          <w:rFonts w:hint="eastAsia"/>
        </w:rPr>
        <w:t>。</w:t>
      </w:r>
    </w:p>
    <w:p>
      <w:pPr>
        <w:ind w:firstLine="480" w:firstLineChars="200"/>
      </w:pPr>
      <w:r>
        <w:rPr>
          <w:rFonts w:hint="eastAsia"/>
        </w:rPr>
        <w:t>（3）竹林、经济林、国家特别规定的灌木林生物量碳储量年变化量</w:t>
      </w:r>
    </w:p>
    <w:p>
      <w:pPr>
        <w:tabs>
          <w:tab w:val="left" w:pos="7088"/>
        </w:tabs>
        <w:ind w:firstLine="480" w:firstLineChars="200"/>
        <w:rPr>
          <w:szCs w:val="24"/>
        </w:rPr>
      </w:pPr>
      <w:r>
        <w:rPr>
          <w:rFonts w:hint="eastAsia"/>
          <w:szCs w:val="24"/>
        </w:rPr>
        <w:t>由于竹林、经济林、国家特别规定的灌木林通常不具有蓄积量统计指标，其生物量的生长量和消耗量也难以进行测定或统计。因此主要采用“碳平衡法”，根据竹林、经济林、国家特别规定的灌木林面积变化和单位面积生物量来估算生物量碳储量变化（公式5.4）。</w:t>
      </w:r>
    </w:p>
    <w:p>
      <w:pPr>
        <w:tabs>
          <w:tab w:val="left" w:pos="7088"/>
        </w:tabs>
        <w:ind w:firstLine="480" w:firstLineChars="200"/>
        <w:textAlignment w:val="center"/>
        <w:rPr>
          <w:szCs w:val="24"/>
        </w:rPr>
      </w:pPr>
      <w:r>
        <w:rPr>
          <w:rFonts w:hint="eastAsia"/>
          <w:szCs w:val="24"/>
        </w:rPr>
        <w:object>
          <v:shape id="_x0000_i1039" o:spt="75" type="#_x0000_t75" style="height:19.1pt;width:180.75pt;" o:ole="t" filled="f" o:preferrelative="t" stroked="f" coordsize="21600,21600">
            <v:path/>
            <v:fill on="f" focussize="0,0"/>
            <v:stroke on="f" joinstyle="miter"/>
            <v:imagedata r:id="rId39" o:title=""/>
            <o:lock v:ext="edit" aspectratio="t"/>
            <w10:wrap type="none"/>
            <w10:anchorlock/>
          </v:shape>
          <o:OLEObject Type="Embed" ProgID="Equation.3" ShapeID="_x0000_i1039" DrawAspect="Content" ObjectID="_1468075739" r:id="rId38">
            <o:LockedField>false</o:LockedField>
          </o:OLEObject>
        </w:object>
      </w:r>
      <w:r>
        <w:rPr>
          <w:rFonts w:hint="eastAsia"/>
          <w:szCs w:val="24"/>
        </w:rPr>
        <w:t xml:space="preserve">                              （5.4）</w:t>
      </w:r>
    </w:p>
    <w:p>
      <w:pPr>
        <w:tabs>
          <w:tab w:val="left" w:pos="7088"/>
        </w:tabs>
        <w:ind w:firstLine="480" w:firstLineChars="200"/>
        <w:rPr>
          <w:szCs w:val="24"/>
        </w:rPr>
      </w:pPr>
      <w:r>
        <w:rPr>
          <w:rFonts w:hint="eastAsia"/>
          <w:szCs w:val="24"/>
        </w:rPr>
        <w:t>式中：</w:t>
      </w:r>
    </w:p>
    <w:p>
      <w:pPr>
        <w:tabs>
          <w:tab w:val="left" w:pos="7088"/>
        </w:tabs>
        <w:ind w:firstLine="480" w:firstLineChars="200"/>
        <w:textAlignment w:val="center"/>
        <w:rPr>
          <w:szCs w:val="24"/>
        </w:rPr>
      </w:pPr>
      <w:r>
        <w:rPr>
          <w:rFonts w:hint="eastAsia"/>
          <w:szCs w:val="24"/>
        </w:rPr>
        <w:object>
          <v:shape id="_x0000_i1040" o:spt="75" type="#_x0000_t75" style="height:18.35pt;width:46.3pt;" o:ole="t" filled="f" o:preferrelative="t" stroked="f" coordsize="21600,21600">
            <v:path/>
            <v:fill on="f" focussize="0,0"/>
            <v:stroke on="f" joinstyle="miter"/>
            <v:imagedata r:id="rId41" o:title=""/>
            <o:lock v:ext="edit" aspectratio="t"/>
            <w10:wrap type="none"/>
            <w10:anchorlock/>
          </v:shape>
          <o:OLEObject Type="Embed" ProgID="Equation.DSMT4" ShapeID="_x0000_i1040" DrawAspect="Content" ObjectID="_1468075740" r:id="rId40">
            <o:LockedField>false</o:LockedField>
          </o:OLEObject>
        </w:object>
      </w:r>
      <w:r>
        <w:rPr>
          <w:rFonts w:hint="eastAsia"/>
          <w:szCs w:val="24"/>
        </w:rPr>
        <w:t>：竹林（或经济林、国家特别规定的灌木林）生物量碳储量变化（吨碳）；</w:t>
      </w:r>
    </w:p>
    <w:p>
      <w:pPr>
        <w:tabs>
          <w:tab w:val="left" w:pos="7088"/>
        </w:tabs>
        <w:ind w:firstLine="480" w:firstLineChars="200"/>
        <w:textAlignment w:val="center"/>
        <w:rPr>
          <w:szCs w:val="24"/>
        </w:rPr>
      </w:pPr>
      <w:r>
        <w:rPr>
          <w:rFonts w:hint="eastAsia"/>
          <w:szCs w:val="24"/>
        </w:rPr>
        <w:object>
          <v:shape id="_x0000_i1041" o:spt="75" type="#_x0000_t75" style="height:18.35pt;width:46.3pt;" o:ole="t" filled="f" o:preferrelative="t" stroked="f" coordsize="21600,21600">
            <v:path/>
            <v:fill on="f" focussize="0,0"/>
            <v:stroke on="f" joinstyle="miter"/>
            <v:imagedata r:id="rId43" o:title=""/>
            <o:lock v:ext="edit" aspectratio="t"/>
            <w10:wrap type="none"/>
            <w10:anchorlock/>
          </v:shape>
          <o:OLEObject Type="Embed" ProgID="Equation.DSMT4" ShapeID="_x0000_i1041" DrawAspect="Content" ObjectID="_1468075741" r:id="rId42">
            <o:LockedField>false</o:LockedField>
          </o:OLEObject>
        </w:object>
      </w:r>
      <w:r>
        <w:rPr>
          <w:rFonts w:hint="eastAsia"/>
          <w:szCs w:val="24"/>
        </w:rPr>
        <w:t>：竹林（或经济林、国家特别规定的灌木林）面积年变化（公顷）；</w:t>
      </w:r>
    </w:p>
    <w:p>
      <w:pPr>
        <w:tabs>
          <w:tab w:val="left" w:pos="7088"/>
        </w:tabs>
        <w:ind w:firstLine="480" w:firstLineChars="200"/>
        <w:textAlignment w:val="center"/>
        <w:rPr>
          <w:szCs w:val="24"/>
        </w:rPr>
      </w:pPr>
      <w:r>
        <w:rPr>
          <w:rFonts w:hint="eastAsia"/>
          <w:i/>
          <w:iCs/>
          <w:szCs w:val="24"/>
        </w:rPr>
        <w:t>B</w:t>
      </w:r>
      <w:r>
        <w:rPr>
          <w:rFonts w:hint="eastAsia"/>
          <w:szCs w:val="24"/>
          <w:vertAlign w:val="subscript"/>
        </w:rPr>
        <w:t>竹/经/灌</w:t>
      </w:r>
      <w:r>
        <w:rPr>
          <w:rFonts w:hint="eastAsia"/>
          <w:szCs w:val="24"/>
        </w:rPr>
        <w:t>：竹林（或经济林、国家特别规定的灌木林）平均单位面积生物量（吨干物质）。</w:t>
      </w:r>
    </w:p>
    <w:p>
      <w:pPr>
        <w:ind w:firstLine="480" w:firstLineChars="200"/>
      </w:pPr>
      <w:r>
        <w:rPr>
          <w:rFonts w:hint="eastAsia"/>
          <w:i/>
          <w:iCs/>
          <w:szCs w:val="24"/>
        </w:rPr>
        <w:t>CF</w:t>
      </w:r>
      <w:r>
        <w:rPr>
          <w:rFonts w:hint="eastAsia"/>
          <w:szCs w:val="24"/>
          <w:vertAlign w:val="subscript"/>
        </w:rPr>
        <w:t>竹/经/灌</w:t>
      </w:r>
      <w:r>
        <w:rPr>
          <w:rFonts w:hint="eastAsia"/>
          <w:szCs w:val="24"/>
        </w:rPr>
        <w:t>：生物量含碳率</w:t>
      </w:r>
      <w:r>
        <w:rPr>
          <w:rFonts w:hint="eastAsia"/>
        </w:rPr>
        <w:t>。</w:t>
      </w:r>
    </w:p>
    <w:p>
      <w:pPr>
        <w:tabs>
          <w:tab w:val="left" w:pos="7088"/>
        </w:tabs>
        <w:ind w:firstLine="480" w:firstLineChars="200"/>
        <w:rPr>
          <w:szCs w:val="24"/>
        </w:rPr>
      </w:pPr>
      <w:r>
        <w:rPr>
          <w:rFonts w:hint="eastAsia"/>
          <w:szCs w:val="24"/>
        </w:rPr>
        <w:t>（4）活立木消耗碳排放</w:t>
      </w:r>
    </w:p>
    <w:p>
      <w:pPr>
        <w:tabs>
          <w:tab w:val="left" w:pos="7088"/>
        </w:tabs>
        <w:ind w:firstLine="480" w:firstLineChars="200"/>
        <w:textAlignment w:val="center"/>
        <w:rPr>
          <w:szCs w:val="24"/>
        </w:rPr>
      </w:pPr>
      <w:r>
        <w:rPr>
          <w:rFonts w:hint="eastAsia"/>
          <w:szCs w:val="24"/>
        </w:rPr>
        <w:t>根据益阳市林业局数据，获得活立木总蓄积量（V</w:t>
      </w:r>
      <w:r>
        <w:rPr>
          <w:rFonts w:hint="eastAsia"/>
          <w:szCs w:val="24"/>
          <w:vertAlign w:val="subscript"/>
        </w:rPr>
        <w:t>活立木</w:t>
      </w:r>
      <w:r>
        <w:rPr>
          <w:rFonts w:hint="eastAsia"/>
          <w:szCs w:val="24"/>
        </w:rPr>
        <w:t>），即乔木林、散生木、四旁树、疏林的蓄积量总和。根据活立木蓄积消耗率（CR）、全省平均基本木材密度（</w:t>
      </w:r>
      <w:r>
        <w:rPr>
          <w:rFonts w:hint="eastAsia"/>
          <w:szCs w:val="24"/>
        </w:rPr>
        <w:object>
          <v:shape id="_x0000_i1042" o:spt="75" type="#_x0000_t75" style="height:18.35pt;width:25.7pt;" o:ole="t" filled="f" o:preferrelative="t" stroked="f" coordsize="21600,21600">
            <v:path/>
            <v:fill on="f" focussize="0,0"/>
            <v:stroke on="f" joinstyle="miter"/>
            <v:imagedata r:id="rId45" o:title=""/>
            <o:lock v:ext="edit" aspectratio="t"/>
            <w10:wrap type="none"/>
            <w10:anchorlock/>
          </v:shape>
          <o:OLEObject Type="Embed" ProgID="Equation.DSMT4" ShapeID="_x0000_i1042" DrawAspect="Content" ObjectID="_1468075742" r:id="rId44">
            <o:LockedField>false</o:LockedField>
          </o:OLEObject>
        </w:object>
      </w:r>
      <w:r>
        <w:rPr>
          <w:rFonts w:hint="eastAsia"/>
          <w:szCs w:val="24"/>
        </w:rPr>
        <w:t>）和生物量转换系数（</w:t>
      </w:r>
      <w:r>
        <w:rPr>
          <w:rFonts w:hint="eastAsia"/>
          <w:szCs w:val="24"/>
        </w:rPr>
        <w:object>
          <v:shape id="_x0000_i1043" o:spt="75" type="#_x0000_t75" style="height:16.15pt;width:25.7pt;" o:ole="t" filled="f" o:preferrelative="t" stroked="f" coordsize="21600,21600">
            <v:path/>
            <v:fill on="f" focussize="0,0"/>
            <v:stroke on="f" joinstyle="miter"/>
            <v:imagedata r:id="rId47" o:title=""/>
            <o:lock v:ext="edit" aspectratio="t"/>
            <w10:wrap type="none"/>
            <w10:anchorlock/>
          </v:shape>
          <o:OLEObject Type="Embed" ProgID="Equation.DSMT4" ShapeID="_x0000_i1043" DrawAspect="Content" ObjectID="_1468075743" r:id="rId46">
            <o:LockedField>false</o:LockedField>
          </o:OLEObject>
        </w:object>
      </w:r>
      <w:r>
        <w:rPr>
          <w:rFonts w:hint="eastAsia"/>
          <w:szCs w:val="24"/>
        </w:rPr>
        <w:t>）估算活立木消耗产生的碳排放（公式5.5）。</w:t>
      </w:r>
    </w:p>
    <w:p>
      <w:pPr>
        <w:tabs>
          <w:tab w:val="left" w:pos="7088"/>
        </w:tabs>
        <w:ind w:firstLine="480" w:firstLineChars="200"/>
        <w:textAlignment w:val="center"/>
        <w:rPr>
          <w:szCs w:val="24"/>
        </w:rPr>
      </w:pPr>
      <w:r>
        <w:rPr>
          <w:rFonts w:hint="eastAsia"/>
          <w:szCs w:val="24"/>
        </w:rPr>
        <w:object>
          <v:shape id="_x0000_i1044" o:spt="75" type="#_x0000_t75" style="height:21.3pt;width:207.9pt;" o:ole="t" filled="f" o:preferrelative="t" stroked="f" coordsize="21600,21600">
            <v:path/>
            <v:fill on="f" focussize="0,0"/>
            <v:stroke on="f" joinstyle="miter"/>
            <v:imagedata r:id="rId49" o:title=""/>
            <o:lock v:ext="edit" aspectratio="t"/>
            <w10:wrap type="none"/>
            <w10:anchorlock/>
          </v:shape>
          <o:OLEObject Type="Embed" ProgID="Equation.3" ShapeID="_x0000_i1044" DrawAspect="Content" ObjectID="_1468075744" r:id="rId48">
            <o:LockedField>false</o:LockedField>
          </o:OLEObject>
        </w:object>
      </w:r>
      <w:r>
        <w:rPr>
          <w:rFonts w:hint="eastAsia"/>
          <w:szCs w:val="24"/>
        </w:rPr>
        <w:t xml:space="preserve">                        （5.5）</w:t>
      </w:r>
    </w:p>
    <w:p>
      <w:pPr>
        <w:tabs>
          <w:tab w:val="left" w:pos="7088"/>
        </w:tabs>
        <w:ind w:firstLine="480" w:firstLineChars="200"/>
        <w:rPr>
          <w:szCs w:val="24"/>
        </w:rPr>
      </w:pPr>
      <w:r>
        <w:rPr>
          <w:rFonts w:hint="eastAsia"/>
          <w:szCs w:val="24"/>
        </w:rPr>
        <w:t>式中：</w:t>
      </w:r>
      <w:r>
        <w:rPr>
          <w:rFonts w:hint="eastAsia"/>
          <w:szCs w:val="24"/>
        </w:rPr>
        <w:tab/>
      </w:r>
    </w:p>
    <w:p>
      <w:pPr>
        <w:tabs>
          <w:tab w:val="left" w:pos="7088"/>
        </w:tabs>
        <w:ind w:firstLine="480" w:firstLineChars="200"/>
        <w:textAlignment w:val="center"/>
        <w:rPr>
          <w:szCs w:val="24"/>
        </w:rPr>
      </w:pPr>
      <w:r>
        <w:rPr>
          <w:rFonts w:hint="eastAsia"/>
          <w:i/>
          <w:iCs/>
          <w:szCs w:val="24"/>
        </w:rPr>
        <w:t>V</w:t>
      </w:r>
      <w:r>
        <w:rPr>
          <w:rFonts w:hint="eastAsia"/>
          <w:szCs w:val="24"/>
          <w:vertAlign w:val="subscript"/>
        </w:rPr>
        <w:t>活立木</w:t>
      </w:r>
      <w:r>
        <w:rPr>
          <w:rFonts w:hint="eastAsia"/>
          <w:szCs w:val="24"/>
        </w:rPr>
        <w:t>：活立木总蓄积量（立方米）；</w:t>
      </w:r>
    </w:p>
    <w:p>
      <w:pPr>
        <w:tabs>
          <w:tab w:val="left" w:pos="7088"/>
        </w:tabs>
        <w:ind w:firstLine="480" w:firstLineChars="200"/>
        <w:textAlignment w:val="center"/>
        <w:rPr>
          <w:szCs w:val="24"/>
        </w:rPr>
      </w:pPr>
      <w:r>
        <w:rPr>
          <w:rFonts w:hint="eastAsia"/>
          <w:i/>
          <w:iCs/>
          <w:szCs w:val="24"/>
        </w:rPr>
        <w:t>CR</w:t>
      </w:r>
      <w:r>
        <w:rPr>
          <w:rFonts w:hint="eastAsia"/>
          <w:szCs w:val="24"/>
        </w:rPr>
        <w:t>：活立木蓄积量年消耗率（%）；</w:t>
      </w:r>
    </w:p>
    <w:p>
      <w:pPr>
        <w:tabs>
          <w:tab w:val="left" w:pos="7088"/>
        </w:tabs>
        <w:ind w:firstLine="480" w:firstLineChars="200"/>
        <w:textAlignment w:val="center"/>
        <w:rPr>
          <w:szCs w:val="24"/>
        </w:rPr>
      </w:pPr>
      <w:r>
        <w:rPr>
          <w:rFonts w:hint="eastAsia"/>
          <w:szCs w:val="24"/>
        </w:rPr>
        <w:object>
          <v:shape id="_x0000_i1045" o:spt="75" type="#_x0000_t75" style="height:18.35pt;width:25.7pt;" o:ole="t" filled="f" o:preferrelative="t" stroked="f" coordsize="21600,21600">
            <v:path/>
            <v:fill on="f" focussize="0,0"/>
            <v:stroke on="f" joinstyle="miter"/>
            <v:imagedata r:id="rId27" o:title=""/>
            <o:lock v:ext="edit" aspectratio="t"/>
            <w10:wrap type="none"/>
            <w10:anchorlock/>
          </v:shape>
          <o:OLEObject Type="Embed" ProgID="Equation.DSMT4" ShapeID="_x0000_i1045" DrawAspect="Content" ObjectID="_1468075745" r:id="rId50">
            <o:LockedField>false</o:LockedField>
          </o:OLEObject>
        </w:object>
      </w:r>
      <w:r>
        <w:rPr>
          <w:rFonts w:hint="eastAsia"/>
          <w:szCs w:val="24"/>
        </w:rPr>
        <w:t>：湖南省SVD加权平均值；</w:t>
      </w:r>
    </w:p>
    <w:p>
      <w:pPr>
        <w:tabs>
          <w:tab w:val="left" w:pos="7088"/>
        </w:tabs>
        <w:ind w:firstLine="480" w:firstLineChars="200"/>
        <w:textAlignment w:val="center"/>
        <w:rPr>
          <w:szCs w:val="24"/>
        </w:rPr>
      </w:pPr>
      <w:r>
        <w:rPr>
          <w:rFonts w:hint="eastAsia"/>
          <w:szCs w:val="24"/>
        </w:rPr>
        <w:object>
          <v:shape id="_x0000_i1046" o:spt="75" type="#_x0000_t75" style="height:16.15pt;width:25.7pt;" o:ole="t" filled="f" o:preferrelative="t" stroked="f" coordsize="21600,21600">
            <v:path/>
            <v:fill on="f" focussize="0,0"/>
            <v:stroke on="f" joinstyle="miter"/>
            <v:imagedata r:id="rId29" o:title=""/>
            <o:lock v:ext="edit" aspectratio="t"/>
            <w10:wrap type="none"/>
            <w10:anchorlock/>
          </v:shape>
          <o:OLEObject Type="Embed" ProgID="Equation.DSMT4" ShapeID="_x0000_i1046" DrawAspect="Content" ObjectID="_1468075746" r:id="rId51">
            <o:LockedField>false</o:LockedField>
          </o:OLEObject>
        </w:object>
      </w:r>
      <w:r>
        <w:rPr>
          <w:rFonts w:hint="eastAsia"/>
          <w:szCs w:val="24"/>
        </w:rPr>
        <w:t>：湖南省BEF加权平均值；</w:t>
      </w:r>
    </w:p>
    <w:p>
      <w:pPr>
        <w:ind w:firstLine="480" w:firstLineChars="200"/>
      </w:pPr>
      <w:r>
        <w:rPr>
          <w:rFonts w:hint="eastAsia"/>
          <w:i/>
          <w:iCs/>
          <w:szCs w:val="24"/>
        </w:rPr>
        <w:t>CF</w:t>
      </w:r>
      <w:r>
        <w:rPr>
          <w:rFonts w:hint="eastAsia"/>
          <w:szCs w:val="24"/>
          <w:vertAlign w:val="subscript"/>
        </w:rPr>
        <w:t>活立木</w:t>
      </w:r>
      <w:r>
        <w:rPr>
          <w:rFonts w:hint="eastAsia"/>
          <w:szCs w:val="24"/>
        </w:rPr>
        <w:t>：生物量含碳率</w:t>
      </w:r>
    </w:p>
    <w:p>
      <w:pPr>
        <w:pStyle w:val="4"/>
        <w:spacing w:before="0"/>
      </w:pPr>
      <w:bookmarkStart w:id="211" w:name="_Toc55311765"/>
      <w:bookmarkStart w:id="212" w:name="_Toc52177416"/>
      <w:bookmarkStart w:id="213" w:name="_Toc31047"/>
      <w:bookmarkStart w:id="214" w:name="_Toc51939051"/>
      <w:bookmarkStart w:id="215" w:name="_Toc54097680"/>
      <w:bookmarkStart w:id="216" w:name="_Toc53827539"/>
      <w:r>
        <w:rPr>
          <w:rFonts w:hint="eastAsia"/>
        </w:rPr>
        <w:t>森林转化温室气体排放</w:t>
      </w:r>
      <w:bookmarkEnd w:id="211"/>
      <w:bookmarkEnd w:id="212"/>
      <w:bookmarkEnd w:id="213"/>
      <w:bookmarkEnd w:id="214"/>
      <w:bookmarkEnd w:id="215"/>
      <w:bookmarkEnd w:id="216"/>
    </w:p>
    <w:p>
      <w:pPr>
        <w:ind w:firstLine="480" w:firstLineChars="200"/>
      </w:pPr>
      <w:r>
        <w:rPr>
          <w:rFonts w:hint="eastAsia"/>
        </w:rPr>
        <w:t>（1）森林转化燃烧引起的碳排放</w:t>
      </w:r>
    </w:p>
    <w:p>
      <w:pPr>
        <w:ind w:firstLine="480" w:firstLineChars="200"/>
      </w:pPr>
      <w:r>
        <w:rPr>
          <w:rFonts w:hint="eastAsia"/>
        </w:rPr>
        <w:t>包括现地燃烧（即发生在林地上的燃烧，如炼山等）和异地燃烧（被移走在林地外进行的燃烧，如薪柴等）。其中，现地燃烧除会产生直接的CO</w:t>
      </w:r>
      <w:r>
        <w:rPr>
          <w:rFonts w:hint="eastAsia"/>
          <w:vertAlign w:val="subscript"/>
        </w:rPr>
        <w:t>2</w:t>
      </w:r>
      <w:r>
        <w:rPr>
          <w:rFonts w:hint="eastAsia"/>
        </w:rPr>
        <w:t>外，还会排放CH</w:t>
      </w:r>
      <w:r>
        <w:rPr>
          <w:rFonts w:hint="eastAsia"/>
          <w:vertAlign w:val="subscript"/>
        </w:rPr>
        <w:t>4</w:t>
      </w:r>
      <w:r>
        <w:rPr>
          <w:rFonts w:hint="eastAsia"/>
        </w:rPr>
        <w:t>和N</w:t>
      </w:r>
      <w:r>
        <w:rPr>
          <w:rFonts w:hint="eastAsia"/>
          <w:vertAlign w:val="subscript"/>
        </w:rPr>
        <w:t>2</w:t>
      </w:r>
      <w:r>
        <w:rPr>
          <w:rFonts w:hint="eastAsia"/>
        </w:rPr>
        <w:t>O等温室气体。异地燃烧同样也会产生非CO</w:t>
      </w:r>
      <w:r>
        <w:rPr>
          <w:rFonts w:hint="eastAsia"/>
          <w:vertAlign w:val="subscript"/>
        </w:rPr>
        <w:t>2</w:t>
      </w:r>
      <w:r>
        <w:rPr>
          <w:rFonts w:hint="eastAsia"/>
        </w:rPr>
        <w:t>的温室气体，但由于能源领域温室气体清单中已对薪柴的非CO</w:t>
      </w:r>
      <w:r>
        <w:rPr>
          <w:rFonts w:hint="eastAsia"/>
          <w:vertAlign w:val="subscript"/>
        </w:rPr>
        <w:t>2</w:t>
      </w:r>
      <w:r>
        <w:rPr>
          <w:rFonts w:hint="eastAsia"/>
        </w:rPr>
        <w:t>温室气体排放做了估算，因此这里只估算异地燃烧产生的CO</w:t>
      </w:r>
      <w:r>
        <w:rPr>
          <w:rFonts w:hint="eastAsia"/>
          <w:vertAlign w:val="subscript"/>
        </w:rPr>
        <w:t>2</w:t>
      </w:r>
      <w:r>
        <w:rPr>
          <w:rFonts w:hint="eastAsia"/>
        </w:rPr>
        <w:t>排放。</w:t>
      </w:r>
    </w:p>
    <w:p>
      <w:pPr>
        <w:ind w:firstLine="480" w:firstLineChars="200"/>
      </w:pPr>
      <w:r>
        <w:rPr>
          <w:rFonts w:hint="eastAsia"/>
        </w:rPr>
        <w:t>（2）森林转化分解引起的碳排放</w:t>
      </w:r>
    </w:p>
    <w:p>
      <w:pPr>
        <w:ind w:firstLine="480" w:firstLineChars="200"/>
      </w:pPr>
      <w:r>
        <w:rPr>
          <w:rFonts w:hint="eastAsia"/>
        </w:rPr>
        <w:t>森林转化分解碳排放，主要考虑燃烧剩余物的缓慢分解造成的CO</w:t>
      </w:r>
      <w:r>
        <w:rPr>
          <w:rFonts w:hint="eastAsia"/>
          <w:vertAlign w:val="subscript"/>
        </w:rPr>
        <w:t>2</w:t>
      </w:r>
      <w:r>
        <w:rPr>
          <w:rFonts w:hint="eastAsia"/>
        </w:rPr>
        <w:t>排放。由于分解排放是一个缓慢的过程，采用10年平均的年转化面积进行计算。</w:t>
      </w:r>
    </w:p>
    <w:p>
      <w:pPr>
        <w:pStyle w:val="3"/>
      </w:pPr>
      <w:bookmarkStart w:id="217" w:name="_Toc29142"/>
      <w:r>
        <w:rPr>
          <w:rFonts w:hint="eastAsia"/>
        </w:rPr>
        <w:t>活动水平数据来源及排放因子选取</w:t>
      </w:r>
      <w:bookmarkEnd w:id="217"/>
    </w:p>
    <w:p>
      <w:pPr>
        <w:pStyle w:val="4"/>
      </w:pPr>
      <w:bookmarkStart w:id="218" w:name="_Toc54097682"/>
      <w:bookmarkStart w:id="219" w:name="_Toc53827541"/>
      <w:bookmarkStart w:id="220" w:name="_Toc15866"/>
      <w:bookmarkStart w:id="221" w:name="_Toc51939053"/>
      <w:bookmarkStart w:id="222" w:name="_Toc52177418"/>
      <w:bookmarkStart w:id="223" w:name="_Toc55311767"/>
      <w:r>
        <w:rPr>
          <w:rFonts w:hint="eastAsia"/>
        </w:rPr>
        <w:t>森林和其他木质生物质碳储量变化</w:t>
      </w:r>
      <w:bookmarkEnd w:id="218"/>
      <w:bookmarkEnd w:id="219"/>
      <w:bookmarkEnd w:id="220"/>
      <w:bookmarkEnd w:id="221"/>
      <w:bookmarkEnd w:id="222"/>
      <w:bookmarkEnd w:id="223"/>
    </w:p>
    <w:p>
      <w:pPr>
        <w:ind w:firstLine="480" w:firstLineChars="200"/>
      </w:pPr>
      <w:r>
        <w:rPr>
          <w:rFonts w:hint="eastAsia"/>
        </w:rPr>
        <w:t>（1）活动水平数据</w:t>
      </w:r>
    </w:p>
    <w:p>
      <w:pPr>
        <w:ind w:firstLine="480" w:firstLineChars="200"/>
      </w:pPr>
      <w:r>
        <w:rPr>
          <w:rFonts w:hint="eastAsia"/>
        </w:rPr>
        <w:t>本部分活动水平</w:t>
      </w:r>
      <w:r>
        <w:rPr>
          <w:rFonts w:hint="eastAsia"/>
          <w:szCs w:val="24"/>
        </w:rPr>
        <w:t>数据主要来源于《湖南省2018年度森林资源统计年报》和《湖南省2019年度森林资源统计年报》，具体情况</w:t>
      </w:r>
      <w:r>
        <w:rPr>
          <w:rFonts w:hint="eastAsia"/>
        </w:rPr>
        <w:t>见</w:t>
      </w:r>
      <w:r>
        <w:fldChar w:fldCharType="begin"/>
      </w:r>
      <w:r>
        <w:instrText xml:space="preserve"> </w:instrText>
      </w:r>
      <w:r>
        <w:rPr>
          <w:rFonts w:hint="eastAsia"/>
        </w:rPr>
        <w:instrText xml:space="preserve">REF _Ref51580839 \h</w:instrText>
      </w:r>
      <w:r>
        <w:instrText xml:space="preserve">  \* MERGEFORMAT </w:instrText>
      </w:r>
      <w:r>
        <w:fldChar w:fldCharType="separate"/>
      </w:r>
      <w:r>
        <w:rPr>
          <w:rFonts w:hint="eastAsia"/>
        </w:rPr>
        <w:t>表</w:t>
      </w:r>
      <w:r>
        <w:t>5</w:t>
      </w:r>
      <w:r>
        <w:noBreakHyphen/>
      </w:r>
      <w:r>
        <w:t>1</w:t>
      </w:r>
      <w:r>
        <w:fldChar w:fldCharType="end"/>
      </w:r>
      <w:r>
        <w:t>。</w:t>
      </w:r>
    </w:p>
    <w:p>
      <w:pPr>
        <w:pStyle w:val="12"/>
      </w:pPr>
      <w:bookmarkStart w:id="224" w:name="_Ref51580839"/>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1</w:t>
      </w:r>
      <w:r>
        <w:fldChar w:fldCharType="end"/>
      </w:r>
      <w:bookmarkEnd w:id="224"/>
      <w:r>
        <w:rPr>
          <w:rFonts w:hint="eastAsia"/>
        </w:rPr>
        <w:t>森林和其它木质生物质活动水平数据</w:t>
      </w:r>
    </w:p>
    <w:tbl>
      <w:tblPr>
        <w:tblStyle w:val="46"/>
        <w:tblW w:w="7791"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3095"/>
        <w:gridCol w:w="1106"/>
        <w:gridCol w:w="1106"/>
        <w:gridCol w:w="1323"/>
        <w:gridCol w:w="1161"/>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12" w:hRule="atLeast"/>
          <w:tblHeader/>
          <w:jc w:val="center"/>
        </w:trPr>
        <w:tc>
          <w:tcPr>
            <w:tcW w:w="3095" w:type="dxa"/>
            <w:tcBorders>
              <w:bottom w:val="single" w:color="auto" w:sz="4" w:space="0"/>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类别</w:t>
            </w:r>
          </w:p>
        </w:tc>
        <w:tc>
          <w:tcPr>
            <w:tcW w:w="1106" w:type="dxa"/>
            <w:tcBorders>
              <w:bottom w:val="single" w:color="auto" w:sz="4" w:space="0"/>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蓄积量</w:t>
            </w:r>
          </w:p>
        </w:tc>
        <w:tc>
          <w:tcPr>
            <w:tcW w:w="1106" w:type="dxa"/>
            <w:tcBorders>
              <w:bottom w:val="single" w:color="auto" w:sz="4" w:space="0"/>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单位</w:t>
            </w:r>
          </w:p>
        </w:tc>
        <w:tc>
          <w:tcPr>
            <w:tcW w:w="1323" w:type="dxa"/>
            <w:tcBorders>
              <w:bottom w:val="single" w:color="auto" w:sz="4" w:space="0"/>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总面积</w:t>
            </w:r>
          </w:p>
        </w:tc>
        <w:tc>
          <w:tcPr>
            <w:tcW w:w="1161" w:type="dxa"/>
            <w:tcBorders>
              <w:bottom w:val="single" w:color="auto" w:sz="4" w:space="0"/>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单位</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jc w:val="center"/>
        </w:trPr>
        <w:tc>
          <w:tcPr>
            <w:tcW w:w="3095" w:type="dxa"/>
            <w:tcBorders>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活立木</w:t>
            </w:r>
          </w:p>
        </w:tc>
        <w:tc>
          <w:tcPr>
            <w:tcW w:w="1106" w:type="dxa"/>
            <w:tcBorders>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34252743</w:t>
            </w:r>
          </w:p>
        </w:tc>
        <w:tc>
          <w:tcPr>
            <w:tcW w:w="1106" w:type="dxa"/>
            <w:tcBorders>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立方米</w:t>
            </w:r>
          </w:p>
        </w:tc>
        <w:tc>
          <w:tcPr>
            <w:tcW w:w="1323" w:type="dxa"/>
            <w:tcBorders>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w:t>
            </w:r>
          </w:p>
        </w:tc>
        <w:tc>
          <w:tcPr>
            <w:tcW w:w="1161" w:type="dxa"/>
            <w:tcBorders>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公顷</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jc w:val="center"/>
        </w:trPr>
        <w:tc>
          <w:tcPr>
            <w:tcW w:w="3095"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乔木林</w:t>
            </w:r>
          </w:p>
        </w:tc>
        <w:tc>
          <w:tcPr>
            <w:tcW w:w="1106"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30734537</w:t>
            </w:r>
          </w:p>
        </w:tc>
        <w:tc>
          <w:tcPr>
            <w:tcW w:w="1106"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立方米</w:t>
            </w:r>
          </w:p>
        </w:tc>
        <w:tc>
          <w:tcPr>
            <w:tcW w:w="1323"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407355.9</w:t>
            </w:r>
          </w:p>
        </w:tc>
        <w:tc>
          <w:tcPr>
            <w:tcW w:w="1161"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公顷</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jc w:val="center"/>
        </w:trPr>
        <w:tc>
          <w:tcPr>
            <w:tcW w:w="3095"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疏林、散生木、四旁树</w:t>
            </w:r>
          </w:p>
        </w:tc>
        <w:tc>
          <w:tcPr>
            <w:tcW w:w="1106"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3518206</w:t>
            </w:r>
          </w:p>
        </w:tc>
        <w:tc>
          <w:tcPr>
            <w:tcW w:w="1106"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立方米</w:t>
            </w:r>
          </w:p>
        </w:tc>
        <w:tc>
          <w:tcPr>
            <w:tcW w:w="1323"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w:t>
            </w:r>
          </w:p>
        </w:tc>
        <w:tc>
          <w:tcPr>
            <w:tcW w:w="1161"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公顷</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jc w:val="center"/>
        </w:trPr>
        <w:tc>
          <w:tcPr>
            <w:tcW w:w="3095"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竹林（年变化量）</w:t>
            </w:r>
          </w:p>
        </w:tc>
        <w:tc>
          <w:tcPr>
            <w:tcW w:w="1106"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w:t>
            </w:r>
          </w:p>
        </w:tc>
        <w:tc>
          <w:tcPr>
            <w:tcW w:w="1106"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立方米</w:t>
            </w:r>
          </w:p>
        </w:tc>
        <w:tc>
          <w:tcPr>
            <w:tcW w:w="1323"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-431.3</w:t>
            </w:r>
          </w:p>
        </w:tc>
        <w:tc>
          <w:tcPr>
            <w:tcW w:w="1161"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公顷</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jc w:val="center"/>
        </w:trPr>
        <w:tc>
          <w:tcPr>
            <w:tcW w:w="3095"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经济林（年变化量）</w:t>
            </w:r>
          </w:p>
        </w:tc>
        <w:tc>
          <w:tcPr>
            <w:tcW w:w="1106"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w:t>
            </w:r>
          </w:p>
        </w:tc>
        <w:tc>
          <w:tcPr>
            <w:tcW w:w="1106"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立方米</w:t>
            </w:r>
          </w:p>
        </w:tc>
        <w:tc>
          <w:tcPr>
            <w:tcW w:w="1323"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-2318.2</w:t>
            </w:r>
          </w:p>
        </w:tc>
        <w:tc>
          <w:tcPr>
            <w:tcW w:w="1161"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公顷</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jc w:val="center"/>
        </w:trPr>
        <w:tc>
          <w:tcPr>
            <w:tcW w:w="3095" w:type="dxa"/>
            <w:tcBorders>
              <w:top w:val="nil"/>
              <w:bottom w:val="single" w:color="auto" w:sz="4" w:space="0"/>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国家特别规定的灌木林（年变化量）</w:t>
            </w:r>
          </w:p>
        </w:tc>
        <w:tc>
          <w:tcPr>
            <w:tcW w:w="1106" w:type="dxa"/>
            <w:tcBorders>
              <w:top w:val="nil"/>
              <w:bottom w:val="single" w:color="auto" w:sz="4" w:space="0"/>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w:t>
            </w:r>
          </w:p>
        </w:tc>
        <w:tc>
          <w:tcPr>
            <w:tcW w:w="1106" w:type="dxa"/>
            <w:tcBorders>
              <w:top w:val="nil"/>
              <w:bottom w:val="single" w:color="auto" w:sz="4" w:space="0"/>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立方米</w:t>
            </w:r>
          </w:p>
        </w:tc>
        <w:tc>
          <w:tcPr>
            <w:tcW w:w="1323" w:type="dxa"/>
            <w:tcBorders>
              <w:top w:val="nil"/>
              <w:bottom w:val="single" w:color="auto" w:sz="4" w:space="0"/>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1517</w:t>
            </w:r>
          </w:p>
        </w:tc>
        <w:tc>
          <w:tcPr>
            <w:tcW w:w="1161" w:type="dxa"/>
            <w:tcBorders>
              <w:top w:val="nil"/>
              <w:bottom w:val="single" w:color="auto" w:sz="4" w:space="0"/>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公顷</w:t>
            </w:r>
          </w:p>
        </w:tc>
      </w:tr>
    </w:tbl>
    <w:p>
      <w:pPr>
        <w:ind w:firstLine="480" w:firstLineChars="200"/>
      </w:pPr>
      <w:r>
        <w:rPr>
          <w:rFonts w:hint="eastAsia"/>
        </w:rPr>
        <w:t>（2）排放因子</w:t>
      </w:r>
    </w:p>
    <w:p>
      <w:pPr>
        <w:ind w:firstLine="480" w:firstLineChars="200"/>
        <w:rPr>
          <w:rFonts w:cs="Times New Roman"/>
          <w:szCs w:val="24"/>
        </w:rPr>
      </w:pPr>
      <w:r>
        <w:rPr>
          <w:rFonts w:cs="Times New Roman"/>
          <w:szCs w:val="24"/>
        </w:rPr>
        <w:t>排放因子数据来源主要为</w:t>
      </w:r>
      <w:r>
        <w:rPr>
          <w:rFonts w:hint="eastAsia"/>
          <w:szCs w:val="24"/>
        </w:rPr>
        <w:t>《湖南省2018年土地利用变化和林业温室气体排放清单》和《省级温室气体清单编制指南（试行）》</w:t>
      </w:r>
      <w:r>
        <w:rPr>
          <w:rFonts w:cs="Times New Roman"/>
          <w:szCs w:val="24"/>
        </w:rPr>
        <w:t>。</w:t>
      </w:r>
    </w:p>
    <w:p>
      <w:pPr>
        <w:pStyle w:val="4"/>
      </w:pPr>
      <w:bookmarkStart w:id="225" w:name="_Toc53827542"/>
      <w:bookmarkStart w:id="226" w:name="_Toc51939054"/>
      <w:bookmarkStart w:id="227" w:name="_Toc54097683"/>
      <w:bookmarkStart w:id="228" w:name="_Toc52177419"/>
      <w:bookmarkStart w:id="229" w:name="_Toc11397"/>
      <w:bookmarkStart w:id="230" w:name="_Toc55311768"/>
      <w:r>
        <w:rPr>
          <w:rFonts w:hint="eastAsia"/>
        </w:rPr>
        <w:t>森林转化温室气体排放</w:t>
      </w:r>
      <w:bookmarkEnd w:id="225"/>
      <w:bookmarkEnd w:id="226"/>
      <w:bookmarkEnd w:id="227"/>
      <w:bookmarkEnd w:id="228"/>
      <w:bookmarkEnd w:id="229"/>
      <w:bookmarkEnd w:id="230"/>
    </w:p>
    <w:p>
      <w:pPr>
        <w:ind w:firstLine="480" w:firstLineChars="200"/>
      </w:pPr>
      <w:r>
        <w:rPr>
          <w:rFonts w:hint="eastAsia"/>
        </w:rPr>
        <w:t>（1）活动水平数据</w:t>
      </w:r>
    </w:p>
    <w:p>
      <w:pPr>
        <w:ind w:firstLine="480" w:firstLineChars="200"/>
      </w:pPr>
      <w:r>
        <w:rPr>
          <w:rFonts w:hint="eastAsia" w:eastAsiaTheme="minorEastAsia"/>
        </w:rPr>
        <w:t>活动水平数据包括：乔木林、竹林、经济林转化为非林地的面积。由于湖南省森林资源统计年报中没有林地各地类与非林地转移变化数据，湖南省森林资源连续清查数据也只提供了两次清查间隔期内湖南省的总转化面积，因此市级林地的年转化面积参考省级的总转化面积进行计算。本章数据来源于《湖南省森林资源连续清查第五次复查成果》（1999~2004）、《第八次全国森林资源清查湖南省森林资源清查成果》（2009）、《第九次全国森林资源清查湖南省森林资源清查成果》（2014）、《湖南省2018年森林资源统计年报》、《湖南省2019年森林资源统计年报》。</w:t>
      </w:r>
      <w:r>
        <w:t>详见</w:t>
      </w:r>
      <w:r>
        <w:fldChar w:fldCharType="begin"/>
      </w:r>
      <w:r>
        <w:instrText xml:space="preserve"> REF _Ref51581291 \h </w:instrText>
      </w:r>
      <w:r>
        <w:fldChar w:fldCharType="separate"/>
      </w:r>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rPr>
          <w:rFonts w:hint="eastAsia"/>
        </w:rPr>
        <w:t>2</w:t>
      </w:r>
      <w:r>
        <w:fldChar w:fldCharType="end"/>
      </w:r>
      <w:r>
        <w:t>。</w:t>
      </w:r>
    </w:p>
    <w:p>
      <w:pPr>
        <w:pStyle w:val="12"/>
      </w:pPr>
      <w:bookmarkStart w:id="231" w:name="_Ref51581291"/>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rPr>
          <w:rFonts w:hint="eastAsia"/>
        </w:rPr>
        <w:t>2</w:t>
      </w:r>
      <w:r>
        <w:fldChar w:fldCharType="end"/>
      </w:r>
      <w:bookmarkEnd w:id="231"/>
      <w:r>
        <w:t xml:space="preserve"> 森林转化活动水平数据</w:t>
      </w:r>
    </w:p>
    <w:tbl>
      <w:tblPr>
        <w:tblStyle w:val="46"/>
        <w:tblW w:w="7005"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003"/>
        <w:gridCol w:w="2068"/>
        <w:gridCol w:w="2046"/>
        <w:gridCol w:w="1888"/>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90" w:hRule="atLeast"/>
          <w:tblHeader/>
          <w:jc w:val="center"/>
        </w:trPr>
        <w:tc>
          <w:tcPr>
            <w:tcW w:w="1003" w:type="dxa"/>
            <w:tcBorders>
              <w:bottom w:val="single" w:color="auto" w:sz="4" w:space="0"/>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地类</w:t>
            </w:r>
          </w:p>
        </w:tc>
        <w:tc>
          <w:tcPr>
            <w:tcW w:w="2068" w:type="dxa"/>
            <w:tcBorders>
              <w:bottom w:val="single" w:color="auto" w:sz="4" w:space="0"/>
            </w:tcBorders>
            <w:vAlign w:val="center"/>
          </w:tcPr>
          <w:p>
            <w:pPr>
              <w:widowControl/>
              <w:spacing w:before="0" w:after="0" w:line="240" w:lineRule="auto"/>
              <w:jc w:val="center"/>
              <w:rPr>
                <w:rFonts w:cs="Times New Roman" w:eastAsiaTheme="minorEastAsia"/>
                <w:kern w:val="0"/>
                <w:sz w:val="18"/>
                <w:szCs w:val="18"/>
              </w:rPr>
            </w:pPr>
            <w:r>
              <w:rPr>
                <w:rFonts w:hint="eastAsia" w:cs="Times New Roman" w:eastAsiaTheme="minorEastAsia"/>
                <w:kern w:val="0"/>
                <w:sz w:val="18"/>
                <w:szCs w:val="18"/>
              </w:rPr>
              <w:t>年转化面积</w:t>
            </w:r>
          </w:p>
        </w:tc>
        <w:tc>
          <w:tcPr>
            <w:tcW w:w="2046" w:type="dxa"/>
            <w:tcBorders>
              <w:bottom w:val="single" w:color="auto" w:sz="4" w:space="0"/>
            </w:tcBorders>
            <w:vAlign w:val="center"/>
          </w:tcPr>
          <w:p>
            <w:pPr>
              <w:widowControl/>
              <w:spacing w:before="0" w:after="0" w:line="240" w:lineRule="auto"/>
              <w:jc w:val="center"/>
              <w:rPr>
                <w:rFonts w:cs="Times New Roman" w:eastAsiaTheme="minorEastAsia"/>
                <w:kern w:val="0"/>
                <w:sz w:val="18"/>
                <w:szCs w:val="18"/>
              </w:rPr>
            </w:pPr>
            <w:r>
              <w:rPr>
                <w:rFonts w:hint="eastAsia" w:cs="Times New Roman" w:eastAsiaTheme="minorEastAsia"/>
                <w:kern w:val="0"/>
                <w:sz w:val="18"/>
                <w:szCs w:val="18"/>
              </w:rPr>
              <w:t>10年平均年转化面积</w:t>
            </w:r>
          </w:p>
        </w:tc>
        <w:tc>
          <w:tcPr>
            <w:tcW w:w="1888" w:type="dxa"/>
            <w:tcBorders>
              <w:bottom w:val="single" w:color="auto" w:sz="4" w:space="0"/>
            </w:tcBorders>
            <w:vAlign w:val="center"/>
          </w:tcPr>
          <w:p>
            <w:pPr>
              <w:widowControl/>
              <w:spacing w:before="0" w:after="0" w:line="240" w:lineRule="auto"/>
              <w:jc w:val="center"/>
              <w:rPr>
                <w:rFonts w:cs="Times New Roman" w:eastAsiaTheme="minorEastAsia"/>
                <w:kern w:val="0"/>
                <w:sz w:val="18"/>
                <w:szCs w:val="18"/>
              </w:rPr>
            </w:pPr>
            <w:r>
              <w:rPr>
                <w:rFonts w:hint="eastAsia" w:cs="Times New Roman" w:eastAsiaTheme="minorEastAsia"/>
                <w:kern w:val="0"/>
                <w:sz w:val="18"/>
                <w:szCs w:val="18"/>
              </w:rPr>
              <w:t>单位</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90" w:hRule="atLeast"/>
          <w:tblHeader/>
          <w:jc w:val="center"/>
        </w:trPr>
        <w:tc>
          <w:tcPr>
            <w:tcW w:w="1003" w:type="dxa"/>
            <w:tcBorders>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乔木林</w:t>
            </w:r>
          </w:p>
        </w:tc>
        <w:tc>
          <w:tcPr>
            <w:tcW w:w="2068" w:type="dxa"/>
            <w:tcBorders>
              <w:bottom w:val="nil"/>
            </w:tcBorders>
            <w:vAlign w:val="center"/>
          </w:tcPr>
          <w:p>
            <w:pPr>
              <w:widowControl/>
              <w:spacing w:before="0" w:after="0" w:line="240" w:lineRule="auto"/>
              <w:jc w:val="center"/>
              <w:rPr>
                <w:rFonts w:cs="Times New Roman" w:eastAsiaTheme="minorEastAsia"/>
                <w:kern w:val="0"/>
                <w:sz w:val="18"/>
                <w:szCs w:val="18"/>
              </w:rPr>
            </w:pPr>
            <w:r>
              <w:rPr>
                <w:rFonts w:hint="eastAsia" w:cs="Times New Roman" w:eastAsiaTheme="minorEastAsia"/>
                <w:kern w:val="0"/>
                <w:sz w:val="18"/>
                <w:szCs w:val="18"/>
              </w:rPr>
              <w:t>672</w:t>
            </w:r>
          </w:p>
        </w:tc>
        <w:tc>
          <w:tcPr>
            <w:tcW w:w="2046" w:type="dxa"/>
            <w:tcBorders>
              <w:bottom w:val="nil"/>
            </w:tcBorders>
            <w:vAlign w:val="center"/>
          </w:tcPr>
          <w:p>
            <w:pPr>
              <w:widowControl/>
              <w:spacing w:before="0" w:after="0" w:line="240" w:lineRule="auto"/>
              <w:jc w:val="center"/>
              <w:rPr>
                <w:rFonts w:cs="Times New Roman" w:eastAsiaTheme="minorEastAsia"/>
                <w:kern w:val="0"/>
                <w:sz w:val="18"/>
                <w:szCs w:val="18"/>
              </w:rPr>
            </w:pPr>
            <w:r>
              <w:rPr>
                <w:rFonts w:hint="eastAsia" w:cs="Times New Roman" w:eastAsiaTheme="minorEastAsia"/>
                <w:kern w:val="0"/>
                <w:sz w:val="18"/>
                <w:szCs w:val="18"/>
              </w:rPr>
              <w:t>848</w:t>
            </w:r>
          </w:p>
        </w:tc>
        <w:tc>
          <w:tcPr>
            <w:tcW w:w="1888" w:type="dxa"/>
            <w:tcBorders>
              <w:bottom w:val="nil"/>
            </w:tcBorders>
            <w:vAlign w:val="center"/>
          </w:tcPr>
          <w:p>
            <w:pPr>
              <w:widowControl/>
              <w:spacing w:before="0" w:after="0" w:line="240" w:lineRule="auto"/>
              <w:jc w:val="center"/>
              <w:rPr>
                <w:rFonts w:cs="Times New Roman" w:eastAsiaTheme="minorEastAsia"/>
                <w:kern w:val="0"/>
                <w:sz w:val="18"/>
                <w:szCs w:val="18"/>
              </w:rPr>
            </w:pPr>
            <w:r>
              <w:rPr>
                <w:rFonts w:hint="eastAsia" w:cs="Times New Roman" w:eastAsiaTheme="minorEastAsia"/>
                <w:kern w:val="0"/>
                <w:sz w:val="18"/>
                <w:szCs w:val="18"/>
              </w:rPr>
              <w:t>公顷</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90" w:hRule="atLeast"/>
          <w:tblHeader/>
          <w:jc w:val="center"/>
        </w:trPr>
        <w:tc>
          <w:tcPr>
            <w:tcW w:w="1003"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竹林</w:t>
            </w:r>
          </w:p>
        </w:tc>
        <w:tc>
          <w:tcPr>
            <w:tcW w:w="2068"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hint="eastAsia" w:cs="Times New Roman" w:eastAsiaTheme="minorEastAsia"/>
                <w:kern w:val="0"/>
                <w:sz w:val="18"/>
                <w:szCs w:val="18"/>
              </w:rPr>
              <w:t>32</w:t>
            </w:r>
          </w:p>
        </w:tc>
        <w:tc>
          <w:tcPr>
            <w:tcW w:w="2046"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hint="eastAsia" w:cs="Times New Roman" w:eastAsiaTheme="minorEastAsia"/>
                <w:kern w:val="0"/>
                <w:sz w:val="18"/>
                <w:szCs w:val="18"/>
              </w:rPr>
              <w:t>48</w:t>
            </w:r>
          </w:p>
        </w:tc>
        <w:tc>
          <w:tcPr>
            <w:tcW w:w="1888" w:type="dxa"/>
            <w:tcBorders>
              <w:top w:val="nil"/>
              <w:bottom w:val="nil"/>
            </w:tcBorders>
            <w:vAlign w:val="center"/>
          </w:tcPr>
          <w:p>
            <w:pPr>
              <w:widowControl/>
              <w:spacing w:before="0" w:after="0" w:line="240" w:lineRule="auto"/>
              <w:jc w:val="center"/>
              <w:rPr>
                <w:rFonts w:cs="Times New Roman" w:eastAsiaTheme="minorEastAsia"/>
                <w:kern w:val="0"/>
                <w:sz w:val="18"/>
                <w:szCs w:val="18"/>
              </w:rPr>
            </w:pPr>
            <w:r>
              <w:rPr>
                <w:rFonts w:hint="eastAsia" w:cs="Times New Roman" w:eastAsiaTheme="minorEastAsia"/>
                <w:kern w:val="0"/>
                <w:sz w:val="18"/>
                <w:szCs w:val="18"/>
              </w:rPr>
              <w:t>公顷</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90" w:hRule="atLeast"/>
          <w:tblHeader/>
          <w:jc w:val="center"/>
        </w:trPr>
        <w:tc>
          <w:tcPr>
            <w:tcW w:w="1003" w:type="dxa"/>
            <w:tcBorders>
              <w:top w:val="nil"/>
            </w:tcBorders>
            <w:vAlign w:val="center"/>
          </w:tcPr>
          <w:p>
            <w:pPr>
              <w:widowControl/>
              <w:spacing w:before="0" w:after="0" w:line="240" w:lineRule="auto"/>
              <w:jc w:val="center"/>
              <w:rPr>
                <w:rFonts w:cs="Times New Roman" w:eastAsiaTheme="minorEastAsia"/>
                <w:kern w:val="0"/>
                <w:sz w:val="18"/>
                <w:szCs w:val="18"/>
              </w:rPr>
            </w:pPr>
            <w:r>
              <w:rPr>
                <w:rFonts w:cs="Times New Roman" w:eastAsiaTheme="minorEastAsia"/>
                <w:kern w:val="0"/>
                <w:sz w:val="18"/>
                <w:szCs w:val="18"/>
              </w:rPr>
              <w:t>经济林</w:t>
            </w:r>
          </w:p>
        </w:tc>
        <w:tc>
          <w:tcPr>
            <w:tcW w:w="2068" w:type="dxa"/>
            <w:tcBorders>
              <w:top w:val="nil"/>
            </w:tcBorders>
            <w:vAlign w:val="center"/>
          </w:tcPr>
          <w:p>
            <w:pPr>
              <w:widowControl/>
              <w:spacing w:before="0" w:after="0" w:line="240" w:lineRule="auto"/>
              <w:jc w:val="center"/>
              <w:rPr>
                <w:rFonts w:cs="Times New Roman" w:eastAsiaTheme="minorEastAsia"/>
                <w:kern w:val="0"/>
                <w:sz w:val="18"/>
                <w:szCs w:val="18"/>
              </w:rPr>
            </w:pPr>
            <w:r>
              <w:rPr>
                <w:rFonts w:hint="eastAsia" w:cs="Times New Roman" w:eastAsiaTheme="minorEastAsia"/>
                <w:kern w:val="0"/>
                <w:sz w:val="18"/>
                <w:szCs w:val="18"/>
              </w:rPr>
              <w:t>0</w:t>
            </w:r>
          </w:p>
        </w:tc>
        <w:tc>
          <w:tcPr>
            <w:tcW w:w="2046" w:type="dxa"/>
            <w:tcBorders>
              <w:top w:val="nil"/>
            </w:tcBorders>
            <w:vAlign w:val="center"/>
          </w:tcPr>
          <w:p>
            <w:pPr>
              <w:widowControl/>
              <w:spacing w:before="0" w:after="0" w:line="240" w:lineRule="auto"/>
              <w:jc w:val="center"/>
              <w:rPr>
                <w:rFonts w:cs="Times New Roman" w:eastAsiaTheme="minorEastAsia"/>
                <w:kern w:val="0"/>
                <w:sz w:val="18"/>
                <w:szCs w:val="18"/>
              </w:rPr>
            </w:pPr>
            <w:r>
              <w:rPr>
                <w:rFonts w:hint="eastAsia" w:cs="Times New Roman" w:eastAsiaTheme="minorEastAsia"/>
                <w:kern w:val="0"/>
                <w:sz w:val="18"/>
                <w:szCs w:val="18"/>
              </w:rPr>
              <w:t>304</w:t>
            </w:r>
          </w:p>
        </w:tc>
        <w:tc>
          <w:tcPr>
            <w:tcW w:w="1888" w:type="dxa"/>
            <w:tcBorders>
              <w:top w:val="nil"/>
            </w:tcBorders>
            <w:vAlign w:val="center"/>
          </w:tcPr>
          <w:p>
            <w:pPr>
              <w:widowControl/>
              <w:spacing w:before="0" w:after="0" w:line="240" w:lineRule="auto"/>
              <w:jc w:val="center"/>
              <w:rPr>
                <w:rFonts w:cs="Times New Roman" w:eastAsiaTheme="minorEastAsia"/>
                <w:kern w:val="0"/>
                <w:sz w:val="18"/>
                <w:szCs w:val="18"/>
              </w:rPr>
            </w:pPr>
            <w:r>
              <w:rPr>
                <w:rFonts w:hint="eastAsia" w:cs="Times New Roman" w:eastAsiaTheme="minorEastAsia"/>
                <w:kern w:val="0"/>
                <w:sz w:val="18"/>
                <w:szCs w:val="18"/>
              </w:rPr>
              <w:t>公顷</w:t>
            </w:r>
          </w:p>
        </w:tc>
      </w:tr>
    </w:tbl>
    <w:p>
      <w:pPr>
        <w:ind w:firstLine="480" w:firstLineChars="200"/>
      </w:pPr>
      <w:r>
        <w:rPr>
          <w:rFonts w:hint="eastAsia"/>
        </w:rPr>
        <w:t>（2）排放因子</w:t>
      </w:r>
    </w:p>
    <w:p>
      <w:pPr>
        <w:ind w:firstLine="480" w:firstLineChars="200"/>
        <w:rPr>
          <w:rFonts w:cs="Times New Roman"/>
          <w:szCs w:val="24"/>
        </w:rPr>
      </w:pPr>
      <w:r>
        <w:rPr>
          <w:rFonts w:hint="eastAsia" w:cs="Times New Roman"/>
          <w:szCs w:val="24"/>
        </w:rPr>
        <w:t>a）转化前单位面积地上生物量</w:t>
      </w:r>
    </w:p>
    <w:p>
      <w:pPr>
        <w:ind w:firstLine="480" w:firstLineChars="200"/>
        <w:rPr>
          <w:rFonts w:cs="Times New Roman"/>
          <w:szCs w:val="24"/>
        </w:rPr>
      </w:pPr>
      <w:r>
        <w:rPr>
          <w:rFonts w:hint="eastAsia" w:cs="Times New Roman"/>
          <w:szCs w:val="24"/>
        </w:rPr>
        <w:t>由于森林资源连续清查数据只提供了乔木林转化面积，而很难区分具体的林木种类，因此在实际估算过程中，首先通过全省乔木林总蓄积量和总面积，获得乔木林单位面积蓄积量，然后运用全省平均基本木材密度和地上部分生物量转换因子，计算乔木林转化前单位面积生物量，竹林和经济林的平均地上部分生物量参照全国平均值。</w:t>
      </w:r>
    </w:p>
    <w:p>
      <w:pPr>
        <w:ind w:firstLine="480" w:firstLineChars="200"/>
        <w:rPr>
          <w:rFonts w:cs="Times New Roman"/>
          <w:szCs w:val="24"/>
        </w:rPr>
      </w:pPr>
      <w:r>
        <w:rPr>
          <w:rFonts w:hint="eastAsia" w:cs="Times New Roman"/>
          <w:szCs w:val="24"/>
        </w:rPr>
        <w:t>b）转化后单位面积地上生物量</w:t>
      </w:r>
    </w:p>
    <w:p>
      <w:pPr>
        <w:ind w:firstLine="480" w:firstLineChars="200"/>
        <w:rPr>
          <w:rFonts w:cs="Times New Roman"/>
          <w:szCs w:val="24"/>
        </w:rPr>
      </w:pPr>
      <w:r>
        <w:rPr>
          <w:rFonts w:hint="eastAsia"/>
          <w:szCs w:val="24"/>
        </w:rPr>
        <w:t>益阳市有林地转化为非林地，主要用于建设用地，转化后地上部生物量基本上为0</w:t>
      </w:r>
      <w:r>
        <w:rPr>
          <w:rFonts w:hint="eastAsia" w:cs="Times New Roman"/>
          <w:szCs w:val="24"/>
        </w:rPr>
        <w:t>。</w:t>
      </w:r>
    </w:p>
    <w:p>
      <w:pPr>
        <w:ind w:firstLine="480" w:firstLineChars="200"/>
        <w:rPr>
          <w:rFonts w:cs="Times New Roman"/>
          <w:szCs w:val="24"/>
        </w:rPr>
      </w:pPr>
      <w:r>
        <w:rPr>
          <w:rFonts w:hint="eastAsia" w:cs="Times New Roman"/>
          <w:szCs w:val="24"/>
        </w:rPr>
        <w:t>c）现地/异地燃烧生物量比例、被分解的地上生物量比例</w:t>
      </w:r>
    </w:p>
    <w:p>
      <w:pPr>
        <w:ind w:firstLine="480" w:firstLineChars="200"/>
        <w:rPr>
          <w:rFonts w:cs="Times New Roman"/>
          <w:szCs w:val="24"/>
        </w:rPr>
      </w:pPr>
      <w:r>
        <w:rPr>
          <w:rFonts w:hint="eastAsia" w:cs="Times New Roman"/>
          <w:szCs w:val="24"/>
        </w:rPr>
        <w:t>根据《省级温室气体清单编制指南》（试行）及《湖南省森林资源调查常用数表(2013年)》及《湖南省伐区作业设计技术规定》，湖南省森林征占后，森林转化过程中乔木林平均出材率为62.40%、竹林与经济林收获的生物量比例为50%，除可用部分（木材）外，剩余部分通常采取现地火烧清理，现地燃烧的生物量比例约为地上剩余部分生物量的30%，用于异地燃烧的比例约为地上剩余部分生物量的40%，被分解的生物量比例约为地上剩余部分生物量的30%。</w:t>
      </w:r>
    </w:p>
    <w:p>
      <w:pPr>
        <w:ind w:firstLine="480" w:firstLineChars="200"/>
        <w:rPr>
          <w:rFonts w:cs="Times New Roman"/>
          <w:szCs w:val="24"/>
        </w:rPr>
      </w:pPr>
      <w:r>
        <w:rPr>
          <w:rFonts w:hint="eastAsia" w:cs="Times New Roman"/>
          <w:szCs w:val="24"/>
        </w:rPr>
        <w:t>d）现地/异地燃烧生物量氧化系数、非CO</w:t>
      </w:r>
      <w:r>
        <w:rPr>
          <w:rFonts w:hint="eastAsia" w:cs="Times New Roman"/>
          <w:szCs w:val="24"/>
          <w:vertAlign w:val="subscript"/>
        </w:rPr>
        <w:t>2</w:t>
      </w:r>
      <w:r>
        <w:rPr>
          <w:rFonts w:hint="eastAsia" w:cs="Times New Roman"/>
          <w:szCs w:val="24"/>
        </w:rPr>
        <w:t>温室气体排放比例、碳氮比均取IPCC国家温室气体清单指南的缺省值，地上生物量碳含量来源于《国家森林资源连续清查湖南省第六次复查森林生物量调查报告》和《第九次全国森林资源清查湖南省森林资源清查成果》（2014）。</w:t>
      </w:r>
    </w:p>
    <w:p>
      <w:pPr>
        <w:pStyle w:val="3"/>
      </w:pPr>
      <w:bookmarkStart w:id="232" w:name="_Toc19114"/>
      <w:r>
        <w:rPr>
          <w:rFonts w:hint="eastAsia"/>
        </w:rPr>
        <w:t>排放清单</w:t>
      </w:r>
      <w:bookmarkEnd w:id="232"/>
    </w:p>
    <w:p>
      <w:pPr>
        <w:pStyle w:val="4"/>
      </w:pPr>
      <w:bookmarkStart w:id="233" w:name="_Toc54097685"/>
      <w:bookmarkStart w:id="234" w:name="_Toc19164"/>
      <w:bookmarkStart w:id="235" w:name="_Toc55311770"/>
      <w:bookmarkStart w:id="236" w:name="_Toc53827544"/>
      <w:bookmarkStart w:id="237" w:name="_Toc51939056"/>
      <w:bookmarkStart w:id="238" w:name="_Toc52177421"/>
      <w:r>
        <w:rPr>
          <w:rFonts w:hint="eastAsia"/>
        </w:rPr>
        <w:t>土地利用变化和林业总体情况</w:t>
      </w:r>
      <w:bookmarkEnd w:id="233"/>
      <w:bookmarkEnd w:id="234"/>
      <w:bookmarkEnd w:id="235"/>
      <w:bookmarkEnd w:id="236"/>
      <w:bookmarkEnd w:id="237"/>
      <w:bookmarkEnd w:id="238"/>
    </w:p>
    <w:p>
      <w:pPr>
        <w:tabs>
          <w:tab w:val="left" w:pos="7088"/>
        </w:tabs>
        <w:ind w:firstLine="480" w:firstLineChars="200"/>
        <w:rPr>
          <w:rFonts w:cs="Times New Roman"/>
          <w:szCs w:val="24"/>
        </w:rPr>
      </w:pPr>
      <w:r>
        <w:rPr>
          <w:rFonts w:cs="Times New Roman"/>
          <w:szCs w:val="24"/>
        </w:rPr>
        <w:t>通过益阳市LUCF温室气体清单编制，可以得知，2019年益阳市森林和其它木质生物质碳储量变化量表现为增量，净增森林碳汇为105.7万吨CO</w:t>
      </w:r>
      <w:r>
        <w:rPr>
          <w:rFonts w:cs="Times New Roman"/>
          <w:szCs w:val="24"/>
          <w:vertAlign w:val="subscript"/>
        </w:rPr>
        <w:t>2</w:t>
      </w:r>
      <w:r>
        <w:rPr>
          <w:rFonts w:cs="Times New Roman"/>
          <w:szCs w:val="24"/>
        </w:rPr>
        <w:t>当量；森林转化引起温室气体排放，减少森林碳汇5.56万吨CO</w:t>
      </w:r>
      <w:r>
        <w:rPr>
          <w:rFonts w:cs="Times New Roman"/>
          <w:szCs w:val="24"/>
          <w:vertAlign w:val="subscript"/>
        </w:rPr>
        <w:t>2</w:t>
      </w:r>
      <w:r>
        <w:rPr>
          <w:rFonts w:cs="Times New Roman"/>
          <w:szCs w:val="24"/>
        </w:rPr>
        <w:t>当量。2019年益阳市LUCF的CO</w:t>
      </w:r>
      <w:r>
        <w:rPr>
          <w:rFonts w:cs="Times New Roman"/>
          <w:szCs w:val="24"/>
          <w:vertAlign w:val="subscript"/>
        </w:rPr>
        <w:t>2</w:t>
      </w:r>
      <w:r>
        <w:rPr>
          <w:rFonts w:cs="Times New Roman"/>
          <w:szCs w:val="24"/>
        </w:rPr>
        <w:t>净吸收量约为100.14万吨，同时排放CH</w:t>
      </w:r>
      <w:r>
        <w:rPr>
          <w:rFonts w:cs="Times New Roman"/>
          <w:szCs w:val="24"/>
          <w:vertAlign w:val="subscript"/>
        </w:rPr>
        <w:t>4</w:t>
      </w:r>
      <w:r>
        <w:rPr>
          <w:rFonts w:cs="Times New Roman"/>
          <w:szCs w:val="24"/>
        </w:rPr>
        <w:t>量43.71 吨，N</w:t>
      </w:r>
      <w:r>
        <w:rPr>
          <w:rFonts w:cs="Times New Roman"/>
          <w:szCs w:val="24"/>
          <w:vertAlign w:val="subscript"/>
        </w:rPr>
        <w:t>2</w:t>
      </w:r>
      <w:r>
        <w:rPr>
          <w:rFonts w:cs="Times New Roman"/>
          <w:szCs w:val="24"/>
        </w:rPr>
        <w:t>O量0.25吨。</w:t>
      </w:r>
    </w:p>
    <w:p>
      <w:pPr>
        <w:ind w:firstLine="480" w:firstLineChars="200"/>
      </w:pPr>
      <w:r>
        <w:rPr>
          <w:rFonts w:cs="Times New Roman"/>
          <w:szCs w:val="24"/>
        </w:rPr>
        <w:t>综合森林和其它木质生物质碳储量变化、森林转化温室气体排放两个LUCF领域的温室气体吸收及排放情况。在2019年，益阳市LUCF活动总共吸收温室气体100.03万吨CO</w:t>
      </w:r>
      <w:r>
        <w:rPr>
          <w:rFonts w:cs="Times New Roman"/>
          <w:szCs w:val="24"/>
          <w:vertAlign w:val="subscript"/>
        </w:rPr>
        <w:t>2</w:t>
      </w:r>
      <w:r>
        <w:rPr>
          <w:rFonts w:cs="Times New Roman"/>
          <w:szCs w:val="24"/>
        </w:rPr>
        <w:t>当量</w:t>
      </w:r>
      <w:r>
        <w:rPr>
          <w:rFonts w:hint="eastAsia"/>
        </w:rPr>
        <w:t>，详见</w:t>
      </w:r>
      <w:r>
        <w:rPr>
          <w:rFonts w:hint="eastAsia"/>
        </w:rPr>
        <w:fldChar w:fldCharType="begin"/>
      </w:r>
      <w:r>
        <w:rPr>
          <w:rFonts w:hint="eastAsia"/>
        </w:rPr>
        <w:instrText xml:space="preserve"> REF _Ref7934 \h </w:instrText>
      </w:r>
      <w:r>
        <w:rPr>
          <w:rFonts w:hint="eastAsia"/>
        </w:rPr>
        <w:fldChar w:fldCharType="separate"/>
      </w:r>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rPr>
          <w:rFonts w:hint="eastAsia"/>
        </w:rPr>
        <w:t>3</w:t>
      </w:r>
      <w:r>
        <w:rPr>
          <w:rFonts w:hint="eastAsia"/>
        </w:rPr>
        <w:fldChar w:fldCharType="end"/>
      </w:r>
      <w:r>
        <w:rPr>
          <w:rFonts w:hint="eastAsia"/>
        </w:rPr>
        <w:t>。</w:t>
      </w:r>
    </w:p>
    <w:p>
      <w:pPr>
        <w:pStyle w:val="12"/>
      </w:pPr>
      <w:bookmarkStart w:id="239" w:name="_Ref7934"/>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rPr>
          <w:rFonts w:hint="eastAsia"/>
        </w:rPr>
        <w:t>3</w:t>
      </w:r>
      <w:r>
        <w:fldChar w:fldCharType="end"/>
      </w:r>
      <w:bookmarkEnd w:id="239"/>
      <w:r>
        <w:t>林业和土地利用变化温室气体清单</w:t>
      </w:r>
    </w:p>
    <w:tbl>
      <w:tblPr>
        <w:tblStyle w:val="46"/>
        <w:tblW w:w="8850"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824"/>
        <w:gridCol w:w="1276"/>
        <w:gridCol w:w="1134"/>
        <w:gridCol w:w="850"/>
        <w:gridCol w:w="992"/>
        <w:gridCol w:w="1774"/>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jc w:val="center"/>
        </w:trPr>
        <w:tc>
          <w:tcPr>
            <w:tcW w:w="2824" w:type="dxa"/>
            <w:vAlign w:val="center"/>
          </w:tcPr>
          <w:p>
            <w:pPr>
              <w:widowControl/>
              <w:spacing w:before="0" w:after="0" w:line="240" w:lineRule="auto"/>
              <w:jc w:val="center"/>
              <w:rPr>
                <w:rFonts w:cs="Times New Roman"/>
                <w:kern w:val="0"/>
                <w:sz w:val="18"/>
                <w:szCs w:val="18"/>
              </w:rPr>
            </w:pPr>
            <w:r>
              <w:rPr>
                <w:rFonts w:cs="Times New Roman"/>
                <w:kern w:val="0"/>
                <w:sz w:val="18"/>
                <w:szCs w:val="18"/>
              </w:rPr>
              <w:t>部门</w:t>
            </w:r>
          </w:p>
        </w:tc>
        <w:tc>
          <w:tcPr>
            <w:tcW w:w="1276" w:type="dxa"/>
            <w:vAlign w:val="center"/>
          </w:tcPr>
          <w:p>
            <w:pPr>
              <w:widowControl/>
              <w:spacing w:before="0" w:after="0" w:line="240" w:lineRule="auto"/>
              <w:jc w:val="center"/>
              <w:rPr>
                <w:rFonts w:cs="Times New Roman"/>
                <w:kern w:val="0"/>
                <w:sz w:val="18"/>
                <w:szCs w:val="18"/>
              </w:rPr>
            </w:pPr>
            <w:r>
              <w:rPr>
                <w:rFonts w:cs="Times New Roman"/>
                <w:kern w:val="0"/>
                <w:sz w:val="18"/>
                <w:szCs w:val="18"/>
              </w:rPr>
              <w:t>C</w:t>
            </w:r>
          </w:p>
          <w:p>
            <w:pPr>
              <w:widowControl/>
              <w:spacing w:before="0" w:after="0" w:line="240" w:lineRule="auto"/>
              <w:jc w:val="center"/>
              <w:rPr>
                <w:rFonts w:cs="Times New Roman"/>
                <w:kern w:val="0"/>
                <w:sz w:val="18"/>
                <w:szCs w:val="18"/>
              </w:rPr>
            </w:pPr>
            <w:r>
              <w:rPr>
                <w:rFonts w:hint="eastAsia" w:cs="Times New Roman"/>
                <w:kern w:val="0"/>
                <w:sz w:val="18"/>
                <w:szCs w:val="18"/>
              </w:rPr>
              <w:t>(</w:t>
            </w:r>
            <w:r>
              <w:rPr>
                <w:rFonts w:cs="Times New Roman"/>
                <w:kern w:val="0"/>
                <w:sz w:val="18"/>
                <w:szCs w:val="18"/>
              </w:rPr>
              <w:t>万</w:t>
            </w:r>
            <w:r>
              <w:rPr>
                <w:rFonts w:hint="eastAsia" w:cs="Times New Roman"/>
                <w:kern w:val="0"/>
                <w:sz w:val="18"/>
                <w:szCs w:val="18"/>
              </w:rPr>
              <w:t>吨)</w:t>
            </w:r>
          </w:p>
        </w:tc>
        <w:tc>
          <w:tcPr>
            <w:tcW w:w="1134" w:type="dxa"/>
            <w:vAlign w:val="center"/>
          </w:tcPr>
          <w:p>
            <w:pPr>
              <w:widowControl/>
              <w:spacing w:before="0" w:after="0" w:line="240" w:lineRule="auto"/>
              <w:jc w:val="center"/>
              <w:rPr>
                <w:rFonts w:cs="Times New Roman"/>
                <w:kern w:val="0"/>
                <w:sz w:val="18"/>
                <w:szCs w:val="18"/>
              </w:rPr>
            </w:pPr>
            <w:r>
              <w:rPr>
                <w:rFonts w:cs="Times New Roman"/>
                <w:kern w:val="0"/>
                <w:sz w:val="18"/>
                <w:szCs w:val="18"/>
              </w:rPr>
              <w:t>CO</w:t>
            </w:r>
            <w:r>
              <w:rPr>
                <w:rFonts w:cs="Times New Roman"/>
                <w:kern w:val="0"/>
                <w:sz w:val="18"/>
                <w:szCs w:val="18"/>
                <w:vertAlign w:val="subscript"/>
              </w:rPr>
              <w:t>2</w:t>
            </w:r>
          </w:p>
          <w:p>
            <w:pPr>
              <w:widowControl/>
              <w:spacing w:before="0" w:after="0" w:line="240" w:lineRule="auto"/>
              <w:jc w:val="center"/>
              <w:rPr>
                <w:rFonts w:cs="Times New Roman"/>
                <w:kern w:val="0"/>
                <w:sz w:val="18"/>
                <w:szCs w:val="18"/>
              </w:rPr>
            </w:pPr>
            <w:r>
              <w:rPr>
                <w:rFonts w:hint="eastAsia" w:cs="Times New Roman"/>
                <w:kern w:val="0"/>
                <w:sz w:val="18"/>
                <w:szCs w:val="18"/>
              </w:rPr>
              <w:t>(</w:t>
            </w:r>
            <w:r>
              <w:rPr>
                <w:rFonts w:cs="Times New Roman"/>
                <w:kern w:val="0"/>
                <w:sz w:val="18"/>
                <w:szCs w:val="18"/>
              </w:rPr>
              <w:t>万</w:t>
            </w:r>
            <w:r>
              <w:rPr>
                <w:rFonts w:hint="eastAsia" w:cs="Times New Roman"/>
                <w:kern w:val="0"/>
                <w:sz w:val="18"/>
                <w:szCs w:val="18"/>
              </w:rPr>
              <w:t>吨)</w:t>
            </w:r>
          </w:p>
        </w:tc>
        <w:tc>
          <w:tcPr>
            <w:tcW w:w="850" w:type="dxa"/>
            <w:vAlign w:val="center"/>
          </w:tcPr>
          <w:p>
            <w:pPr>
              <w:widowControl/>
              <w:spacing w:before="0" w:after="0" w:line="240" w:lineRule="auto"/>
              <w:jc w:val="center"/>
              <w:rPr>
                <w:rFonts w:cs="Times New Roman"/>
                <w:kern w:val="0"/>
                <w:sz w:val="18"/>
                <w:szCs w:val="18"/>
              </w:rPr>
            </w:pPr>
            <w:r>
              <w:rPr>
                <w:rFonts w:cs="Times New Roman"/>
                <w:kern w:val="0"/>
                <w:sz w:val="18"/>
                <w:szCs w:val="18"/>
              </w:rPr>
              <w:t>CH</w:t>
            </w:r>
            <w:r>
              <w:rPr>
                <w:rFonts w:cs="Times New Roman"/>
                <w:kern w:val="0"/>
                <w:sz w:val="18"/>
                <w:szCs w:val="18"/>
                <w:vertAlign w:val="subscript"/>
              </w:rPr>
              <w:t>4</w:t>
            </w:r>
          </w:p>
          <w:p>
            <w:pPr>
              <w:widowControl/>
              <w:spacing w:before="0" w:after="0" w:line="240" w:lineRule="auto"/>
              <w:jc w:val="center"/>
              <w:rPr>
                <w:rFonts w:cs="Times New Roman"/>
                <w:kern w:val="0"/>
                <w:sz w:val="18"/>
                <w:szCs w:val="18"/>
              </w:rPr>
            </w:pPr>
            <w:r>
              <w:rPr>
                <w:rFonts w:hint="eastAsia" w:cs="Times New Roman"/>
                <w:kern w:val="0"/>
                <w:sz w:val="18"/>
                <w:szCs w:val="18"/>
              </w:rPr>
              <w:t>(吨)</w:t>
            </w:r>
          </w:p>
        </w:tc>
        <w:tc>
          <w:tcPr>
            <w:tcW w:w="992" w:type="dxa"/>
            <w:vAlign w:val="center"/>
          </w:tcPr>
          <w:p>
            <w:pPr>
              <w:widowControl/>
              <w:spacing w:before="0" w:after="0" w:line="240" w:lineRule="auto"/>
              <w:jc w:val="center"/>
              <w:rPr>
                <w:rFonts w:cs="Times New Roman"/>
                <w:kern w:val="0"/>
                <w:sz w:val="18"/>
                <w:szCs w:val="18"/>
              </w:rPr>
            </w:pPr>
            <w:r>
              <w:rPr>
                <w:rFonts w:cs="Times New Roman"/>
                <w:kern w:val="0"/>
                <w:sz w:val="18"/>
                <w:szCs w:val="18"/>
              </w:rPr>
              <w:t>N</w:t>
            </w:r>
            <w:r>
              <w:rPr>
                <w:rFonts w:cs="Times New Roman"/>
                <w:kern w:val="0"/>
                <w:sz w:val="18"/>
                <w:szCs w:val="18"/>
                <w:vertAlign w:val="subscript"/>
              </w:rPr>
              <w:t>2</w:t>
            </w:r>
            <w:r>
              <w:rPr>
                <w:rFonts w:cs="Times New Roman"/>
                <w:kern w:val="0"/>
                <w:sz w:val="18"/>
                <w:szCs w:val="18"/>
              </w:rPr>
              <w:t>O</w:t>
            </w:r>
          </w:p>
          <w:p>
            <w:pPr>
              <w:widowControl/>
              <w:spacing w:before="0" w:after="0" w:line="240" w:lineRule="auto"/>
              <w:jc w:val="center"/>
              <w:rPr>
                <w:rFonts w:cs="Times New Roman"/>
                <w:kern w:val="0"/>
                <w:sz w:val="18"/>
                <w:szCs w:val="18"/>
              </w:rPr>
            </w:pPr>
            <w:r>
              <w:rPr>
                <w:rFonts w:hint="eastAsia" w:cs="Times New Roman"/>
                <w:kern w:val="0"/>
                <w:sz w:val="18"/>
                <w:szCs w:val="18"/>
              </w:rPr>
              <w:t>(吨)</w:t>
            </w:r>
          </w:p>
        </w:tc>
        <w:tc>
          <w:tcPr>
            <w:tcW w:w="1774" w:type="dxa"/>
            <w:vAlign w:val="center"/>
          </w:tcPr>
          <w:p>
            <w:pPr>
              <w:widowControl/>
              <w:spacing w:before="0" w:after="0" w:line="240" w:lineRule="auto"/>
              <w:jc w:val="center"/>
              <w:rPr>
                <w:rFonts w:cs="Times New Roman"/>
                <w:kern w:val="0"/>
                <w:sz w:val="18"/>
                <w:szCs w:val="18"/>
              </w:rPr>
            </w:pPr>
            <w:r>
              <w:rPr>
                <w:rFonts w:cs="Times New Roman"/>
                <w:kern w:val="0"/>
                <w:sz w:val="18"/>
                <w:szCs w:val="18"/>
              </w:rPr>
              <w:t>温室气体</w:t>
            </w:r>
          </w:p>
          <w:p>
            <w:pPr>
              <w:widowControl/>
              <w:spacing w:before="0" w:after="0" w:line="240" w:lineRule="auto"/>
              <w:jc w:val="center"/>
              <w:rPr>
                <w:rFonts w:cs="Times New Roman"/>
                <w:kern w:val="0"/>
                <w:sz w:val="18"/>
                <w:szCs w:val="18"/>
              </w:rPr>
            </w:pPr>
            <w:r>
              <w:rPr>
                <w:rFonts w:hint="eastAsia" w:cs="Times New Roman"/>
                <w:kern w:val="0"/>
                <w:sz w:val="18"/>
                <w:szCs w:val="18"/>
              </w:rPr>
              <w:t>(</w:t>
            </w:r>
            <w:r>
              <w:rPr>
                <w:rFonts w:cs="Times New Roman"/>
                <w:kern w:val="0"/>
                <w:sz w:val="18"/>
                <w:szCs w:val="18"/>
              </w:rPr>
              <w:t>万</w:t>
            </w:r>
            <w:r>
              <w:rPr>
                <w:rFonts w:hint="eastAsia" w:cs="Times New Roman"/>
                <w:kern w:val="0"/>
                <w:sz w:val="18"/>
                <w:szCs w:val="18"/>
              </w:rPr>
              <w:t>吨CO</w:t>
            </w:r>
            <w:r>
              <w:rPr>
                <w:rFonts w:hint="eastAsia" w:cs="Times New Roman"/>
                <w:kern w:val="0"/>
                <w:sz w:val="18"/>
                <w:szCs w:val="18"/>
                <w:vertAlign w:val="subscript"/>
              </w:rPr>
              <w:t>2</w:t>
            </w:r>
            <w:r>
              <w:rPr>
                <w:rFonts w:cs="Times New Roman"/>
                <w:kern w:val="0"/>
                <w:sz w:val="18"/>
                <w:szCs w:val="18"/>
              </w:rPr>
              <w:t>当量</w:t>
            </w:r>
            <w:r>
              <w:rPr>
                <w:rFonts w:hint="eastAsia" w:cs="Times New Roman"/>
                <w:kern w:val="0"/>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jc w:val="center"/>
        </w:trPr>
        <w:tc>
          <w:tcPr>
            <w:tcW w:w="2824" w:type="dxa"/>
            <w:tcBorders>
              <w:bottom w:val="nil"/>
            </w:tcBorders>
            <w:vAlign w:val="center"/>
          </w:tcPr>
          <w:p>
            <w:pPr>
              <w:widowControl/>
              <w:spacing w:before="0" w:after="0" w:line="240" w:lineRule="auto"/>
              <w:jc w:val="center"/>
              <w:textAlignment w:val="center"/>
              <w:rPr>
                <w:rFonts w:cs="Times New Roman"/>
                <w:bCs/>
                <w:kern w:val="0"/>
                <w:sz w:val="18"/>
                <w:szCs w:val="18"/>
              </w:rPr>
            </w:pPr>
            <w:r>
              <w:rPr>
                <w:rFonts w:cs="Times New Roman"/>
                <w:bCs/>
                <w:kern w:val="0"/>
                <w:sz w:val="18"/>
                <w:szCs w:val="18"/>
              </w:rPr>
              <w:t>总计</w:t>
            </w:r>
          </w:p>
        </w:tc>
        <w:tc>
          <w:tcPr>
            <w:tcW w:w="1276" w:type="dxa"/>
            <w:tcBorders>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-27.3</w:t>
            </w:r>
          </w:p>
        </w:tc>
        <w:tc>
          <w:tcPr>
            <w:tcW w:w="1134" w:type="dxa"/>
            <w:tcBorders>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-100.14</w:t>
            </w:r>
          </w:p>
        </w:tc>
        <w:tc>
          <w:tcPr>
            <w:tcW w:w="850" w:type="dxa"/>
            <w:tcBorders>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43.71</w:t>
            </w:r>
          </w:p>
        </w:tc>
        <w:tc>
          <w:tcPr>
            <w:tcW w:w="992" w:type="dxa"/>
            <w:tcBorders>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0.25</w:t>
            </w:r>
          </w:p>
        </w:tc>
        <w:tc>
          <w:tcPr>
            <w:tcW w:w="1774" w:type="dxa"/>
            <w:tcBorders>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-100.03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jc w:val="center"/>
        </w:trPr>
        <w:tc>
          <w:tcPr>
            <w:tcW w:w="2824" w:type="dxa"/>
            <w:tcBorders>
              <w:top w:val="nil"/>
              <w:bottom w:val="nil"/>
            </w:tcBorders>
            <w:vAlign w:val="center"/>
          </w:tcPr>
          <w:p>
            <w:pPr>
              <w:widowControl/>
              <w:spacing w:before="0" w:after="0" w:line="240" w:lineRule="auto"/>
              <w:jc w:val="center"/>
              <w:textAlignment w:val="center"/>
              <w:rPr>
                <w:rFonts w:cs="Times New Roman"/>
                <w:bCs/>
                <w:kern w:val="0"/>
                <w:sz w:val="18"/>
                <w:szCs w:val="18"/>
              </w:rPr>
            </w:pPr>
            <w:r>
              <w:rPr>
                <w:rFonts w:cs="Times New Roman"/>
                <w:bCs/>
                <w:kern w:val="0"/>
                <w:sz w:val="18"/>
                <w:szCs w:val="18"/>
              </w:rPr>
              <w:t>森林和其他木质生物质碳储量变化</w:t>
            </w:r>
          </w:p>
        </w:tc>
        <w:tc>
          <w:tcPr>
            <w:tcW w:w="1276"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-28.82</w:t>
            </w:r>
          </w:p>
        </w:tc>
        <w:tc>
          <w:tcPr>
            <w:tcW w:w="113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-105.70</w:t>
            </w:r>
          </w:p>
        </w:tc>
        <w:tc>
          <w:tcPr>
            <w:tcW w:w="850"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sz w:val="18"/>
                <w:szCs w:val="18"/>
              </w:rPr>
              <w:t>/</w:t>
            </w:r>
          </w:p>
        </w:tc>
        <w:tc>
          <w:tcPr>
            <w:tcW w:w="992"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sz w:val="18"/>
                <w:szCs w:val="18"/>
              </w:rPr>
              <w:t>/</w:t>
            </w:r>
          </w:p>
        </w:tc>
        <w:tc>
          <w:tcPr>
            <w:tcW w:w="177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-105.70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jc w:val="center"/>
        </w:trPr>
        <w:tc>
          <w:tcPr>
            <w:tcW w:w="282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乔木林</w:t>
            </w:r>
          </w:p>
        </w:tc>
        <w:tc>
          <w:tcPr>
            <w:tcW w:w="1276"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-84.85</w:t>
            </w:r>
          </w:p>
        </w:tc>
        <w:tc>
          <w:tcPr>
            <w:tcW w:w="113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-311.11</w:t>
            </w:r>
          </w:p>
        </w:tc>
        <w:tc>
          <w:tcPr>
            <w:tcW w:w="850"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sz w:val="18"/>
                <w:szCs w:val="18"/>
              </w:rPr>
              <w:t>/</w:t>
            </w:r>
          </w:p>
        </w:tc>
        <w:tc>
          <w:tcPr>
            <w:tcW w:w="992"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sz w:val="18"/>
                <w:szCs w:val="18"/>
              </w:rPr>
              <w:t>/</w:t>
            </w:r>
          </w:p>
        </w:tc>
        <w:tc>
          <w:tcPr>
            <w:tcW w:w="177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-311.11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jc w:val="center"/>
        </w:trPr>
        <w:tc>
          <w:tcPr>
            <w:tcW w:w="282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经济林</w:t>
            </w:r>
          </w:p>
        </w:tc>
        <w:tc>
          <w:tcPr>
            <w:tcW w:w="1276"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4.55</w:t>
            </w:r>
          </w:p>
        </w:tc>
        <w:tc>
          <w:tcPr>
            <w:tcW w:w="113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16.67</w:t>
            </w:r>
          </w:p>
        </w:tc>
        <w:tc>
          <w:tcPr>
            <w:tcW w:w="850"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sz w:val="18"/>
                <w:szCs w:val="18"/>
              </w:rPr>
              <w:t>/</w:t>
            </w:r>
          </w:p>
        </w:tc>
        <w:tc>
          <w:tcPr>
            <w:tcW w:w="992"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sz w:val="18"/>
                <w:szCs w:val="18"/>
              </w:rPr>
              <w:t>/</w:t>
            </w:r>
          </w:p>
        </w:tc>
        <w:tc>
          <w:tcPr>
            <w:tcW w:w="177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16.67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jc w:val="center"/>
        </w:trPr>
        <w:tc>
          <w:tcPr>
            <w:tcW w:w="282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竹林</w:t>
            </w:r>
          </w:p>
        </w:tc>
        <w:tc>
          <w:tcPr>
            <w:tcW w:w="1276"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1.50</w:t>
            </w:r>
          </w:p>
        </w:tc>
        <w:tc>
          <w:tcPr>
            <w:tcW w:w="113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5.49</w:t>
            </w:r>
          </w:p>
        </w:tc>
        <w:tc>
          <w:tcPr>
            <w:tcW w:w="850"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sz w:val="18"/>
                <w:szCs w:val="18"/>
              </w:rPr>
              <w:t>/</w:t>
            </w:r>
          </w:p>
        </w:tc>
        <w:tc>
          <w:tcPr>
            <w:tcW w:w="992"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sz w:val="18"/>
                <w:szCs w:val="18"/>
              </w:rPr>
              <w:t>/</w:t>
            </w:r>
          </w:p>
        </w:tc>
        <w:tc>
          <w:tcPr>
            <w:tcW w:w="177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5.49</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jc w:val="center"/>
        </w:trPr>
        <w:tc>
          <w:tcPr>
            <w:tcW w:w="282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国家特别规定的灌木林</w:t>
            </w:r>
          </w:p>
        </w:tc>
        <w:tc>
          <w:tcPr>
            <w:tcW w:w="1276"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-1.37</w:t>
            </w:r>
          </w:p>
        </w:tc>
        <w:tc>
          <w:tcPr>
            <w:tcW w:w="113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-5.01</w:t>
            </w:r>
          </w:p>
        </w:tc>
        <w:tc>
          <w:tcPr>
            <w:tcW w:w="850"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sz w:val="18"/>
                <w:szCs w:val="18"/>
              </w:rPr>
              <w:t>/</w:t>
            </w:r>
          </w:p>
        </w:tc>
        <w:tc>
          <w:tcPr>
            <w:tcW w:w="992"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sz w:val="18"/>
                <w:szCs w:val="18"/>
              </w:rPr>
              <w:t>/</w:t>
            </w:r>
          </w:p>
        </w:tc>
        <w:tc>
          <w:tcPr>
            <w:tcW w:w="177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-5.01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jc w:val="center"/>
        </w:trPr>
        <w:tc>
          <w:tcPr>
            <w:tcW w:w="282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疏林、散生木和四旁树</w:t>
            </w:r>
          </w:p>
        </w:tc>
        <w:tc>
          <w:tcPr>
            <w:tcW w:w="1276"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-9.71</w:t>
            </w:r>
          </w:p>
        </w:tc>
        <w:tc>
          <w:tcPr>
            <w:tcW w:w="113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-35.61</w:t>
            </w:r>
          </w:p>
        </w:tc>
        <w:tc>
          <w:tcPr>
            <w:tcW w:w="850"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sz w:val="18"/>
                <w:szCs w:val="18"/>
              </w:rPr>
              <w:t>/</w:t>
            </w:r>
          </w:p>
        </w:tc>
        <w:tc>
          <w:tcPr>
            <w:tcW w:w="992"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sz w:val="18"/>
                <w:szCs w:val="18"/>
              </w:rPr>
              <w:t>/</w:t>
            </w:r>
          </w:p>
        </w:tc>
        <w:tc>
          <w:tcPr>
            <w:tcW w:w="177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-35.61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jc w:val="center"/>
        </w:trPr>
        <w:tc>
          <w:tcPr>
            <w:tcW w:w="282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损失量</w:t>
            </w:r>
          </w:p>
        </w:tc>
        <w:tc>
          <w:tcPr>
            <w:tcW w:w="1276"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61.06</w:t>
            </w:r>
          </w:p>
        </w:tc>
        <w:tc>
          <w:tcPr>
            <w:tcW w:w="113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223.87</w:t>
            </w:r>
          </w:p>
        </w:tc>
        <w:tc>
          <w:tcPr>
            <w:tcW w:w="850"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sz w:val="18"/>
                <w:szCs w:val="18"/>
              </w:rPr>
              <w:t>/</w:t>
            </w:r>
          </w:p>
        </w:tc>
        <w:tc>
          <w:tcPr>
            <w:tcW w:w="992"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sz w:val="18"/>
                <w:szCs w:val="18"/>
              </w:rPr>
              <w:t>/</w:t>
            </w:r>
          </w:p>
        </w:tc>
        <w:tc>
          <w:tcPr>
            <w:tcW w:w="177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223.87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jc w:val="center"/>
        </w:trPr>
        <w:tc>
          <w:tcPr>
            <w:tcW w:w="2824" w:type="dxa"/>
            <w:tcBorders>
              <w:top w:val="nil"/>
              <w:bottom w:val="nil"/>
            </w:tcBorders>
            <w:vAlign w:val="center"/>
          </w:tcPr>
          <w:p>
            <w:pPr>
              <w:widowControl/>
              <w:spacing w:before="0" w:after="0" w:line="240" w:lineRule="auto"/>
              <w:jc w:val="center"/>
              <w:textAlignment w:val="center"/>
              <w:rPr>
                <w:rFonts w:cs="Times New Roman"/>
                <w:kern w:val="0"/>
                <w:sz w:val="18"/>
                <w:szCs w:val="18"/>
              </w:rPr>
            </w:pPr>
            <w:r>
              <w:rPr>
                <w:rFonts w:hint="eastAsia" w:cs="Times New Roman"/>
                <w:bCs/>
                <w:kern w:val="0"/>
                <w:sz w:val="18"/>
                <w:szCs w:val="18"/>
              </w:rPr>
              <w:t>森林转化温室气体</w:t>
            </w:r>
            <w:r>
              <w:rPr>
                <w:rFonts w:cs="Times New Roman"/>
                <w:bCs/>
                <w:kern w:val="0"/>
                <w:sz w:val="18"/>
                <w:szCs w:val="18"/>
              </w:rPr>
              <w:t>排放</w:t>
            </w:r>
          </w:p>
        </w:tc>
        <w:tc>
          <w:tcPr>
            <w:tcW w:w="1276"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1.52</w:t>
            </w:r>
          </w:p>
        </w:tc>
        <w:tc>
          <w:tcPr>
            <w:tcW w:w="113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5.56</w:t>
            </w:r>
          </w:p>
        </w:tc>
        <w:tc>
          <w:tcPr>
            <w:tcW w:w="850"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43.71</w:t>
            </w:r>
          </w:p>
        </w:tc>
        <w:tc>
          <w:tcPr>
            <w:tcW w:w="992"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0.25</w:t>
            </w:r>
          </w:p>
        </w:tc>
        <w:tc>
          <w:tcPr>
            <w:tcW w:w="177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5.67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jc w:val="center"/>
        </w:trPr>
        <w:tc>
          <w:tcPr>
            <w:tcW w:w="282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燃烧排放</w:t>
            </w:r>
          </w:p>
        </w:tc>
        <w:tc>
          <w:tcPr>
            <w:tcW w:w="1276"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0.85</w:t>
            </w:r>
          </w:p>
        </w:tc>
        <w:tc>
          <w:tcPr>
            <w:tcW w:w="113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3.12</w:t>
            </w:r>
          </w:p>
        </w:tc>
        <w:tc>
          <w:tcPr>
            <w:tcW w:w="850"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43.71</w:t>
            </w:r>
          </w:p>
        </w:tc>
        <w:tc>
          <w:tcPr>
            <w:tcW w:w="992"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0.25</w:t>
            </w:r>
          </w:p>
        </w:tc>
        <w:tc>
          <w:tcPr>
            <w:tcW w:w="1774" w:type="dxa"/>
            <w:tcBorders>
              <w:top w:val="nil"/>
              <w:bottom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3.23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blHeader/>
          <w:jc w:val="center"/>
        </w:trPr>
        <w:tc>
          <w:tcPr>
            <w:tcW w:w="2824" w:type="dxa"/>
            <w:tcBorders>
              <w:top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分解排放</w:t>
            </w:r>
          </w:p>
        </w:tc>
        <w:tc>
          <w:tcPr>
            <w:tcW w:w="1276" w:type="dxa"/>
            <w:tcBorders>
              <w:top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0.67</w:t>
            </w:r>
          </w:p>
        </w:tc>
        <w:tc>
          <w:tcPr>
            <w:tcW w:w="1134" w:type="dxa"/>
            <w:tcBorders>
              <w:top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2.44</w:t>
            </w:r>
          </w:p>
        </w:tc>
        <w:tc>
          <w:tcPr>
            <w:tcW w:w="850" w:type="dxa"/>
            <w:tcBorders>
              <w:top w:val="nil"/>
            </w:tcBorders>
            <w:vAlign w:val="center"/>
          </w:tcPr>
          <w:p>
            <w:pPr>
              <w:widowControl/>
              <w:spacing w:before="0" w:after="0" w:line="240" w:lineRule="auto"/>
              <w:jc w:val="center"/>
              <w:rPr>
                <w:rFonts w:cs="Times New Roman"/>
                <w:kern w:val="0"/>
                <w:sz w:val="18"/>
                <w:szCs w:val="18"/>
              </w:rPr>
            </w:pPr>
            <w:r>
              <w:rPr>
                <w:rFonts w:hint="eastAsia"/>
                <w:sz w:val="18"/>
                <w:szCs w:val="18"/>
              </w:rPr>
              <w:t>/</w:t>
            </w:r>
          </w:p>
        </w:tc>
        <w:tc>
          <w:tcPr>
            <w:tcW w:w="992" w:type="dxa"/>
            <w:tcBorders>
              <w:top w:val="nil"/>
            </w:tcBorders>
            <w:vAlign w:val="center"/>
          </w:tcPr>
          <w:p>
            <w:pPr>
              <w:widowControl/>
              <w:spacing w:before="0" w:after="0" w:line="240" w:lineRule="auto"/>
              <w:jc w:val="center"/>
              <w:rPr>
                <w:rFonts w:cs="Times New Roman"/>
                <w:kern w:val="0"/>
                <w:sz w:val="18"/>
                <w:szCs w:val="18"/>
              </w:rPr>
            </w:pPr>
            <w:r>
              <w:rPr>
                <w:rFonts w:hint="eastAsia"/>
                <w:sz w:val="18"/>
                <w:szCs w:val="18"/>
              </w:rPr>
              <w:t>/</w:t>
            </w:r>
          </w:p>
        </w:tc>
        <w:tc>
          <w:tcPr>
            <w:tcW w:w="1774" w:type="dxa"/>
            <w:tcBorders>
              <w:top w:val="nil"/>
            </w:tcBorders>
            <w:vAlign w:val="center"/>
          </w:tcPr>
          <w:p>
            <w:pPr>
              <w:widowControl/>
              <w:spacing w:before="0" w:after="0" w:line="240" w:lineRule="auto"/>
              <w:jc w:val="center"/>
              <w:rPr>
                <w:rFonts w:cs="Times New Roman"/>
                <w:kern w:val="0"/>
                <w:sz w:val="18"/>
                <w:szCs w:val="18"/>
              </w:rPr>
            </w:pPr>
            <w:r>
              <w:rPr>
                <w:rFonts w:hint="eastAsia" w:cs="Times New Roman"/>
                <w:kern w:val="0"/>
                <w:sz w:val="18"/>
                <w:szCs w:val="18"/>
              </w:rPr>
              <w:t>2.44</w:t>
            </w:r>
          </w:p>
        </w:tc>
      </w:tr>
    </w:tbl>
    <w:p>
      <w:pPr>
        <w:pStyle w:val="4"/>
      </w:pPr>
      <w:bookmarkStart w:id="240" w:name="_Toc12949"/>
      <w:bookmarkStart w:id="241" w:name="_Toc55311771"/>
      <w:bookmarkStart w:id="242" w:name="_Toc53827545"/>
      <w:bookmarkStart w:id="243" w:name="_Toc51939057"/>
      <w:bookmarkStart w:id="244" w:name="_Toc52177422"/>
      <w:bookmarkStart w:id="245" w:name="_Toc54097686"/>
      <w:r>
        <w:rPr>
          <w:rFonts w:hint="eastAsia"/>
        </w:rPr>
        <w:t>土地利用变化和林业总体不确定性</w:t>
      </w:r>
      <w:bookmarkEnd w:id="240"/>
      <w:bookmarkEnd w:id="241"/>
      <w:bookmarkEnd w:id="242"/>
      <w:bookmarkEnd w:id="243"/>
      <w:bookmarkEnd w:id="244"/>
      <w:bookmarkEnd w:id="245"/>
    </w:p>
    <w:p>
      <w:pPr>
        <w:ind w:firstLine="480" w:firstLineChars="200"/>
      </w:pPr>
      <w:r>
        <w:rPr>
          <w:rFonts w:hint="eastAsia"/>
        </w:rPr>
        <w:t>LUCF清单的不确定性主要表现在以下几个方面：一是2019年森林资源面积、蓄积量、林地转化为非林地的年均转化面积是基于已有森林资源统计数据获得，有一定误差；二是生物量扩展系数存在一定误差，因为疏林、散生木和四旁树的生物量扩展系数与林分有较大差别，由于数据所限，清单编制采用了与林分相同的扩展系数，也存在一定误差；三是报告中各类经济林、竹林和国家特别规定的灌木林的生物量采用了全省平均值，与益阳市当地的实际情况有一定差别，存在一定误差；四是某些排放因子采用IPCC缺省值，也存在一定不确定性</w:t>
      </w:r>
      <w:r>
        <w:t>。</w:t>
      </w:r>
    </w:p>
    <w:p>
      <w:pPr>
        <w:ind w:firstLine="480" w:firstLineChars="200"/>
      </w:pPr>
      <w:r>
        <w:rPr>
          <w:rFonts w:hint="eastAsia"/>
        </w:rPr>
        <w:t>经计算，LUCF部分温室气体清单不确定性为11.08%</w:t>
      </w:r>
      <w:r>
        <w:t>。详见</w:t>
      </w:r>
      <w:r>
        <w:fldChar w:fldCharType="begin"/>
      </w:r>
      <w:r>
        <w:instrText xml:space="preserve"> REF _Ref51592467 \h  \* MERGEFORMAT </w:instrText>
      </w:r>
      <w:r>
        <w:fldChar w:fldCharType="separate"/>
      </w:r>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rPr>
          <w:rFonts w:hint="eastAsia"/>
        </w:rPr>
        <w:t>4</w:t>
      </w:r>
      <w:r>
        <w:fldChar w:fldCharType="end"/>
      </w:r>
      <w:r>
        <w:t>。</w:t>
      </w:r>
    </w:p>
    <w:p>
      <w:pPr>
        <w:pStyle w:val="12"/>
      </w:pPr>
      <w:bookmarkStart w:id="246" w:name="_Ref51592467"/>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rPr>
          <w:rFonts w:hint="eastAsia"/>
        </w:rPr>
        <w:t>4</w:t>
      </w:r>
      <w:r>
        <w:fldChar w:fldCharType="end"/>
      </w:r>
      <w:bookmarkEnd w:id="246"/>
      <w:r>
        <w:t xml:space="preserve">  LUCF温室气体清单不确定性</w:t>
      </w:r>
    </w:p>
    <w:tbl>
      <w:tblPr>
        <w:tblStyle w:val="25"/>
        <w:tblW w:w="8946"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4431"/>
        <w:gridCol w:w="2881"/>
        <w:gridCol w:w="1634"/>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96" w:hRule="atLeast"/>
          <w:jc w:val="center"/>
        </w:trPr>
        <w:tc>
          <w:tcPr>
            <w:tcW w:w="4431" w:type="dxa"/>
            <w:tcBorders>
              <w:bottom w:val="single" w:color="auto" w:sz="4" w:space="0"/>
              <w:right w:val="nil"/>
            </w:tcBorders>
            <w:shd w:val="clear" w:color="auto" w:fill="auto"/>
            <w:vAlign w:val="center"/>
          </w:tcPr>
          <w:p>
            <w:pPr>
              <w:spacing w:before="0" w:after="0" w:line="240" w:lineRule="auto"/>
              <w:jc w:val="center"/>
              <w:rPr>
                <w:sz w:val="18"/>
                <w:szCs w:val="18"/>
              </w:rPr>
            </w:pPr>
            <w:r>
              <w:rPr>
                <w:sz w:val="18"/>
                <w:szCs w:val="18"/>
              </w:rPr>
              <w:t>项目</w:t>
            </w:r>
          </w:p>
        </w:tc>
        <w:tc>
          <w:tcPr>
            <w:tcW w:w="2881" w:type="dxa"/>
            <w:tcBorders>
              <w:left w:val="nil"/>
              <w:bottom w:val="single" w:color="auto" w:sz="4" w:space="0"/>
              <w:right w:val="nil"/>
            </w:tcBorders>
            <w:shd w:val="clear" w:color="auto" w:fill="auto"/>
            <w:vAlign w:val="center"/>
          </w:tcPr>
          <w:p>
            <w:pPr>
              <w:spacing w:before="0" w:after="0" w:line="240" w:lineRule="auto"/>
              <w:jc w:val="center"/>
              <w:rPr>
                <w:sz w:val="18"/>
                <w:szCs w:val="18"/>
              </w:rPr>
            </w:pPr>
            <w:r>
              <w:rPr>
                <w:sz w:val="18"/>
                <w:szCs w:val="18"/>
              </w:rPr>
              <w:t>温室气体(万</w:t>
            </w:r>
            <w:r>
              <w:rPr>
                <w:rFonts w:hint="eastAsia"/>
                <w:sz w:val="18"/>
                <w:szCs w:val="18"/>
              </w:rPr>
              <w:t>吨二氧化碳</w:t>
            </w:r>
            <w:r>
              <w:rPr>
                <w:sz w:val="18"/>
                <w:szCs w:val="18"/>
              </w:rPr>
              <w:t>当量)</w:t>
            </w:r>
          </w:p>
        </w:tc>
        <w:tc>
          <w:tcPr>
            <w:tcW w:w="1634" w:type="dxa"/>
            <w:tcBorders>
              <w:left w:val="nil"/>
              <w:bottom w:val="single" w:color="auto" w:sz="4" w:space="0"/>
            </w:tcBorders>
            <w:shd w:val="clear" w:color="auto" w:fill="auto"/>
            <w:vAlign w:val="center"/>
          </w:tcPr>
          <w:p>
            <w:pPr>
              <w:spacing w:before="0" w:after="0" w:line="240" w:lineRule="auto"/>
              <w:jc w:val="center"/>
              <w:rPr>
                <w:sz w:val="18"/>
                <w:szCs w:val="18"/>
              </w:rPr>
            </w:pPr>
            <w:r>
              <w:rPr>
                <w:sz w:val="18"/>
                <w:szCs w:val="18"/>
              </w:rPr>
              <w:t>不确定性(%)</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96" w:hRule="atLeast"/>
          <w:jc w:val="center"/>
        </w:trPr>
        <w:tc>
          <w:tcPr>
            <w:tcW w:w="4431" w:type="dxa"/>
            <w:tcBorders>
              <w:bottom w:val="nil"/>
              <w:right w:val="nil"/>
            </w:tcBorders>
            <w:shd w:val="clear" w:color="auto" w:fill="auto"/>
            <w:vAlign w:val="center"/>
          </w:tcPr>
          <w:p>
            <w:pPr>
              <w:spacing w:before="0" w:after="0" w:line="240" w:lineRule="auto"/>
              <w:jc w:val="center"/>
              <w:rPr>
                <w:sz w:val="18"/>
                <w:szCs w:val="18"/>
              </w:rPr>
            </w:pPr>
            <w:r>
              <w:rPr>
                <w:sz w:val="18"/>
                <w:szCs w:val="18"/>
              </w:rPr>
              <w:t>森林和其它木质生物质碳储量变化</w:t>
            </w:r>
          </w:p>
        </w:tc>
        <w:tc>
          <w:tcPr>
            <w:tcW w:w="2881" w:type="dxa"/>
            <w:tcBorders>
              <w:left w:val="nil"/>
              <w:bottom w:val="nil"/>
              <w:right w:val="nil"/>
            </w:tcBorders>
            <w:shd w:val="clear" w:color="auto" w:fill="auto"/>
            <w:vAlign w:val="center"/>
          </w:tcPr>
          <w:p>
            <w:pPr>
              <w:spacing w:before="0" w:after="0" w:line="240" w:lineRule="auto"/>
              <w:jc w:val="center"/>
              <w:rPr>
                <w:sz w:val="18"/>
                <w:szCs w:val="18"/>
              </w:rPr>
            </w:pPr>
            <w:r>
              <w:rPr>
                <w:sz w:val="18"/>
                <w:szCs w:val="18"/>
              </w:rPr>
              <w:t>-105.70</w:t>
            </w:r>
          </w:p>
        </w:tc>
        <w:tc>
          <w:tcPr>
            <w:tcW w:w="1634" w:type="dxa"/>
            <w:tcBorders>
              <w:left w:val="nil"/>
              <w:bottom w:val="nil"/>
            </w:tcBorders>
            <w:shd w:val="clear" w:color="auto" w:fill="auto"/>
            <w:vAlign w:val="center"/>
          </w:tcPr>
          <w:p>
            <w:pPr>
              <w:spacing w:before="0" w:after="0" w:line="240" w:lineRule="auto"/>
              <w:jc w:val="center"/>
              <w:rPr>
                <w:sz w:val="18"/>
                <w:szCs w:val="18"/>
              </w:rPr>
            </w:pPr>
            <w:r>
              <w:rPr>
                <w:rFonts w:hint="eastAsia"/>
                <w:sz w:val="18"/>
                <w:szCs w:val="18"/>
              </w:rPr>
              <w:t>±12.39</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96" w:hRule="atLeast"/>
          <w:jc w:val="center"/>
        </w:trPr>
        <w:tc>
          <w:tcPr>
            <w:tcW w:w="4431" w:type="dxa"/>
            <w:tcBorders>
              <w:top w:val="nil"/>
              <w:bottom w:val="nil"/>
              <w:right w:val="nil"/>
            </w:tcBorders>
            <w:shd w:val="clear" w:color="auto" w:fill="auto"/>
            <w:vAlign w:val="center"/>
          </w:tcPr>
          <w:p>
            <w:pPr>
              <w:spacing w:before="0" w:after="0" w:line="240" w:lineRule="auto"/>
              <w:jc w:val="center"/>
              <w:rPr>
                <w:bCs/>
                <w:sz w:val="18"/>
                <w:szCs w:val="18"/>
              </w:rPr>
            </w:pPr>
            <w:r>
              <w:rPr>
                <w:rFonts w:hint="eastAsia"/>
                <w:bCs/>
                <w:sz w:val="18"/>
                <w:szCs w:val="18"/>
              </w:rPr>
              <w:t>森林转化温室气体</w:t>
            </w:r>
            <w:r>
              <w:rPr>
                <w:bCs/>
                <w:sz w:val="18"/>
                <w:szCs w:val="18"/>
              </w:rPr>
              <w:t>排放</w:t>
            </w:r>
          </w:p>
        </w:tc>
        <w:tc>
          <w:tcPr>
            <w:tcW w:w="2881" w:type="dxa"/>
            <w:tcBorders>
              <w:top w:val="nil"/>
              <w:left w:val="nil"/>
              <w:bottom w:val="nil"/>
              <w:right w:val="nil"/>
            </w:tcBorders>
            <w:shd w:val="clear" w:color="auto" w:fill="auto"/>
            <w:vAlign w:val="center"/>
          </w:tcPr>
          <w:p>
            <w:pPr>
              <w:spacing w:before="0" w:after="0" w:line="240" w:lineRule="auto"/>
              <w:jc w:val="center"/>
              <w:rPr>
                <w:sz w:val="18"/>
                <w:szCs w:val="18"/>
              </w:rPr>
            </w:pPr>
            <w:r>
              <w:rPr>
                <w:sz w:val="18"/>
                <w:szCs w:val="18"/>
              </w:rPr>
              <w:t>5.67</w:t>
            </w:r>
          </w:p>
        </w:tc>
        <w:tc>
          <w:tcPr>
            <w:tcW w:w="1634" w:type="dxa"/>
            <w:tcBorders>
              <w:top w:val="nil"/>
              <w:left w:val="nil"/>
              <w:bottom w:val="nil"/>
            </w:tcBorders>
            <w:shd w:val="clear" w:color="auto" w:fill="auto"/>
            <w:vAlign w:val="center"/>
          </w:tcPr>
          <w:p>
            <w:pPr>
              <w:spacing w:before="0" w:after="0" w:line="240" w:lineRule="auto"/>
              <w:jc w:val="center"/>
              <w:rPr>
                <w:sz w:val="18"/>
                <w:szCs w:val="18"/>
              </w:rPr>
            </w:pPr>
            <w:r>
              <w:rPr>
                <w:rFonts w:hint="eastAsia"/>
                <w:sz w:val="18"/>
                <w:szCs w:val="18"/>
              </w:rPr>
              <w:t>±18.09</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96" w:hRule="atLeast"/>
          <w:jc w:val="center"/>
        </w:trPr>
        <w:tc>
          <w:tcPr>
            <w:tcW w:w="4431" w:type="dxa"/>
            <w:tcBorders>
              <w:top w:val="nil"/>
              <w:right w:val="nil"/>
            </w:tcBorders>
            <w:shd w:val="clear" w:color="auto" w:fill="auto"/>
            <w:vAlign w:val="center"/>
          </w:tcPr>
          <w:p>
            <w:pPr>
              <w:spacing w:before="0" w:after="0" w:line="240" w:lineRule="auto"/>
              <w:jc w:val="center"/>
              <w:rPr>
                <w:sz w:val="18"/>
                <w:szCs w:val="18"/>
              </w:rPr>
            </w:pPr>
            <w:r>
              <w:rPr>
                <w:sz w:val="18"/>
                <w:szCs w:val="18"/>
              </w:rPr>
              <w:t>总计</w:t>
            </w:r>
          </w:p>
        </w:tc>
        <w:tc>
          <w:tcPr>
            <w:tcW w:w="2881" w:type="dxa"/>
            <w:tcBorders>
              <w:top w:val="nil"/>
              <w:left w:val="nil"/>
              <w:right w:val="nil"/>
            </w:tcBorders>
            <w:shd w:val="clear" w:color="auto" w:fill="auto"/>
            <w:vAlign w:val="center"/>
          </w:tcPr>
          <w:p>
            <w:pPr>
              <w:spacing w:before="0" w:after="0" w:line="240" w:lineRule="auto"/>
              <w:jc w:val="center"/>
              <w:rPr>
                <w:sz w:val="18"/>
                <w:szCs w:val="18"/>
              </w:rPr>
            </w:pPr>
            <w:r>
              <w:rPr>
                <w:sz w:val="18"/>
                <w:szCs w:val="18"/>
              </w:rPr>
              <w:t>-100.03</w:t>
            </w:r>
          </w:p>
        </w:tc>
        <w:tc>
          <w:tcPr>
            <w:tcW w:w="1634" w:type="dxa"/>
            <w:tcBorders>
              <w:top w:val="nil"/>
              <w:left w:val="nil"/>
            </w:tcBorders>
            <w:shd w:val="clear" w:color="auto" w:fill="auto"/>
            <w:vAlign w:val="center"/>
          </w:tcPr>
          <w:p>
            <w:pPr>
              <w:spacing w:before="0" w:after="0" w:line="240" w:lineRule="auto"/>
              <w:jc w:val="center"/>
              <w:rPr>
                <w:bCs/>
                <w:sz w:val="18"/>
                <w:szCs w:val="18"/>
              </w:rPr>
            </w:pPr>
            <w:r>
              <w:rPr>
                <w:rFonts w:hint="eastAsia"/>
                <w:sz w:val="18"/>
                <w:szCs w:val="18"/>
              </w:rPr>
              <w:t>±11.08</w:t>
            </w:r>
          </w:p>
        </w:tc>
      </w:tr>
    </w:tbl>
    <w:p>
      <w:pPr>
        <w:spacing w:before="0" w:after="0"/>
      </w:pPr>
    </w:p>
    <w:p>
      <w:pPr>
        <w:pStyle w:val="2"/>
        <w:spacing w:before="0" w:after="0"/>
        <w:sectPr>
          <w:pgSz w:w="11906" w:h="16838"/>
          <w:pgMar w:top="1440" w:right="1800" w:bottom="1440" w:left="1800" w:header="851" w:footer="992" w:gutter="0"/>
          <w:pgNumType w:fmt="decimal"/>
          <w:cols w:space="425" w:num="1"/>
          <w:docGrid w:type="lines" w:linePitch="312" w:charSpace="0"/>
        </w:sectPr>
      </w:pPr>
    </w:p>
    <w:p>
      <w:pPr>
        <w:pStyle w:val="2"/>
        <w:spacing w:before="0" w:after="0"/>
      </w:pPr>
      <w:bookmarkStart w:id="247" w:name="_Toc16907"/>
      <w:r>
        <w:rPr>
          <w:rFonts w:hint="eastAsia"/>
        </w:rPr>
        <w:t>废弃物处理</w:t>
      </w:r>
      <w:bookmarkEnd w:id="247"/>
    </w:p>
    <w:p>
      <w:pPr>
        <w:ind w:firstLine="480" w:firstLineChars="200"/>
      </w:pPr>
      <w:r>
        <w:rPr>
          <w:rFonts w:cs="Times New Roman" w:eastAsiaTheme="minorEastAsia"/>
          <w:szCs w:val="24"/>
        </w:rPr>
        <w:t>经过核算，</w:t>
      </w:r>
      <w:r>
        <w:rPr>
          <w:rFonts w:hint="eastAsia" w:cs="Times New Roman" w:eastAsiaTheme="minorEastAsia"/>
          <w:szCs w:val="24"/>
        </w:rPr>
        <w:t>益阳市2</w:t>
      </w:r>
      <w:r>
        <w:rPr>
          <w:rFonts w:cs="Times New Roman" w:eastAsiaTheme="minorEastAsia"/>
          <w:szCs w:val="24"/>
        </w:rPr>
        <w:t>019年废弃物处理温室气体排放为47.98万吨二氧化碳当量</w:t>
      </w:r>
      <w:r>
        <w:rPr>
          <w:rFonts w:hint="eastAsia" w:cs="Times New Roman" w:eastAsiaTheme="minorEastAsia"/>
          <w:szCs w:val="24"/>
        </w:rPr>
        <w:t>。</w:t>
      </w:r>
      <w:r>
        <w:rPr>
          <w:rFonts w:cs="Times New Roman" w:eastAsiaTheme="minorEastAsia"/>
          <w:szCs w:val="24"/>
        </w:rPr>
        <w:t>其中，甲烷排放量1</w:t>
      </w:r>
      <w:r>
        <w:rPr>
          <w:rFonts w:hint="eastAsia" w:cs="Times New Roman" w:eastAsiaTheme="minorEastAsia"/>
          <w:szCs w:val="24"/>
        </w:rPr>
        <w:t>.</w:t>
      </w:r>
      <w:r>
        <w:rPr>
          <w:rFonts w:cs="Times New Roman" w:eastAsiaTheme="minorEastAsia"/>
          <w:szCs w:val="24"/>
        </w:rPr>
        <w:t>19</w:t>
      </w:r>
      <w:r>
        <w:rPr>
          <w:rFonts w:hint="eastAsia" w:cs="Times New Roman" w:eastAsiaTheme="minorEastAsia"/>
          <w:szCs w:val="24"/>
        </w:rPr>
        <w:t>万</w:t>
      </w:r>
      <w:r>
        <w:rPr>
          <w:rFonts w:cs="Times New Roman" w:eastAsiaTheme="minorEastAsia"/>
          <w:szCs w:val="24"/>
        </w:rPr>
        <w:t>吨，折合</w:t>
      </w:r>
      <w:r>
        <w:rPr>
          <w:rFonts w:hint="eastAsia" w:cs="Times New Roman" w:eastAsiaTheme="minorEastAsia"/>
          <w:szCs w:val="24"/>
        </w:rPr>
        <w:t>2</w:t>
      </w:r>
      <w:r>
        <w:rPr>
          <w:rFonts w:cs="Times New Roman" w:eastAsiaTheme="minorEastAsia"/>
          <w:szCs w:val="24"/>
        </w:rPr>
        <w:t>5万吨二氧化碳当量</w:t>
      </w:r>
      <w:r>
        <w:rPr>
          <w:rFonts w:hint="eastAsia" w:cs="Times New Roman" w:eastAsiaTheme="minorEastAsia"/>
          <w:szCs w:val="24"/>
        </w:rPr>
        <w:t>；</w:t>
      </w:r>
      <w:r>
        <w:rPr>
          <w:rFonts w:cs="Times New Roman" w:eastAsiaTheme="minorEastAsia"/>
          <w:szCs w:val="24"/>
        </w:rPr>
        <w:t>二氧化碳排放量18</w:t>
      </w:r>
      <w:r>
        <w:rPr>
          <w:rFonts w:hint="eastAsia" w:cs="Times New Roman" w:eastAsiaTheme="minorEastAsia"/>
          <w:szCs w:val="24"/>
        </w:rPr>
        <w:t>.</w:t>
      </w:r>
      <w:r>
        <w:rPr>
          <w:rFonts w:cs="Times New Roman" w:eastAsiaTheme="minorEastAsia"/>
          <w:szCs w:val="24"/>
        </w:rPr>
        <w:t>11</w:t>
      </w:r>
      <w:r>
        <w:rPr>
          <w:rFonts w:hint="eastAsia" w:cs="Times New Roman" w:eastAsiaTheme="minorEastAsia"/>
          <w:szCs w:val="24"/>
        </w:rPr>
        <w:t>万</w:t>
      </w:r>
      <w:r>
        <w:rPr>
          <w:rFonts w:cs="Times New Roman" w:eastAsiaTheme="minorEastAsia"/>
          <w:szCs w:val="24"/>
        </w:rPr>
        <w:t>吨、氧化亚氮排放量</w:t>
      </w:r>
      <w:r>
        <w:rPr>
          <w:rFonts w:hint="eastAsia" w:cs="Times New Roman" w:eastAsiaTheme="minorEastAsia"/>
          <w:szCs w:val="24"/>
        </w:rPr>
        <w:t>0.02万</w:t>
      </w:r>
      <w:r>
        <w:rPr>
          <w:rFonts w:cs="Times New Roman" w:eastAsiaTheme="minorEastAsia"/>
          <w:szCs w:val="24"/>
        </w:rPr>
        <w:t>吨，折合4.86万吨二氧化碳当量。</w:t>
      </w:r>
    </w:p>
    <w:p>
      <w:pPr>
        <w:pStyle w:val="3"/>
        <w:spacing w:before="0" w:after="0"/>
      </w:pPr>
      <w:bookmarkStart w:id="248" w:name="_Toc16940"/>
      <w:r>
        <w:rPr>
          <w:rFonts w:hint="eastAsia"/>
        </w:rPr>
        <w:t>报告范围</w:t>
      </w:r>
      <w:bookmarkEnd w:id="248"/>
    </w:p>
    <w:p>
      <w:pPr>
        <w:spacing w:before="0" w:after="0"/>
        <w:ind w:firstLine="480" w:firstLineChars="200"/>
      </w:pPr>
      <w:r>
        <w:rPr>
          <w:rFonts w:hint="eastAsia"/>
        </w:rPr>
        <w:t>益阳市废弃物处理温室气体排放范围包括城市固体废弃物处理、废水处理，产生的温室气体主要为甲烷、二氧化碳、氧化亚氮，主要包括以下方面：</w:t>
      </w:r>
    </w:p>
    <w:p>
      <w:pPr>
        <w:spacing w:before="0" w:after="0"/>
        <w:ind w:firstLine="480" w:firstLineChars="200"/>
        <w:rPr>
          <w:rFonts w:cs="Times New Roman" w:eastAsiaTheme="minorEastAsia"/>
          <w:szCs w:val="24"/>
        </w:rPr>
      </w:pPr>
      <w:r>
        <w:rPr>
          <w:rFonts w:hint="eastAsia" w:cs="Times New Roman" w:eastAsiaTheme="minorEastAsia"/>
          <w:szCs w:val="24"/>
        </w:rPr>
        <w:t>（1）固体废弃物填埋处理甲烷排放，主要为城市固体废弃物（生活垃圾）填埋，分为管理型、非管理型填埋场；</w:t>
      </w:r>
    </w:p>
    <w:p>
      <w:pPr>
        <w:spacing w:before="0" w:after="0"/>
        <w:ind w:firstLine="480" w:firstLineChars="200"/>
        <w:rPr>
          <w:rFonts w:cs="Times New Roman" w:eastAsiaTheme="minorEastAsia"/>
          <w:szCs w:val="24"/>
        </w:rPr>
      </w:pPr>
      <w:r>
        <w:rPr>
          <w:rFonts w:hint="eastAsia" w:cs="Times New Roman" w:eastAsiaTheme="minorEastAsia"/>
          <w:szCs w:val="24"/>
        </w:rPr>
        <w:t>（2）固体废弃物焚烧处理二氧化碳排放，主要为固体废弃物（生活垃圾）焚烧，危险废弃物焚烧；</w:t>
      </w:r>
    </w:p>
    <w:p>
      <w:pPr>
        <w:spacing w:before="0" w:after="0"/>
        <w:ind w:firstLine="480" w:firstLineChars="200"/>
        <w:rPr>
          <w:rFonts w:cs="Times New Roman" w:eastAsiaTheme="minorEastAsia"/>
          <w:szCs w:val="24"/>
        </w:rPr>
      </w:pPr>
      <w:r>
        <w:rPr>
          <w:rFonts w:hint="eastAsia" w:cs="Times New Roman" w:eastAsiaTheme="minorEastAsia"/>
          <w:szCs w:val="24"/>
        </w:rPr>
        <w:t>（3）废水处理甲烷排放，主要是生活污水和工业废水在处理系统和进入环境中引起的排放，生活污水活动水平数据涵盖了县级以上城市生活污水的排放及乡镇农村生活污水排放。</w:t>
      </w:r>
    </w:p>
    <w:p>
      <w:pPr>
        <w:ind w:firstLine="480" w:firstLineChars="200"/>
      </w:pPr>
      <w:r>
        <w:rPr>
          <w:rFonts w:hint="eastAsia" w:cs="Times New Roman" w:eastAsiaTheme="minorEastAsia"/>
          <w:szCs w:val="24"/>
        </w:rPr>
        <w:t>（4）废水处理氧化亚氮排放，以益阳市2019年城镇人口及蛋白质消费情况为依据，计算污水处理氧化亚氮排放。</w:t>
      </w:r>
    </w:p>
    <w:p>
      <w:pPr>
        <w:pStyle w:val="3"/>
        <w:spacing w:before="0" w:after="0"/>
      </w:pPr>
      <w:bookmarkStart w:id="249" w:name="_Toc24463"/>
      <w:r>
        <w:rPr>
          <w:rFonts w:hint="eastAsia"/>
        </w:rPr>
        <w:t>编制方法</w:t>
      </w:r>
      <w:bookmarkEnd w:id="249"/>
    </w:p>
    <w:p>
      <w:pPr>
        <w:pStyle w:val="4"/>
        <w:spacing w:before="0"/>
      </w:pPr>
      <w:bookmarkStart w:id="250" w:name="_Toc53827549"/>
      <w:bookmarkStart w:id="251" w:name="_Toc51939061"/>
      <w:bookmarkStart w:id="252" w:name="_Toc52177426"/>
      <w:bookmarkStart w:id="253" w:name="_Toc54097690"/>
      <w:bookmarkStart w:id="254" w:name="_Toc22655"/>
      <w:bookmarkStart w:id="255" w:name="_Toc55311775"/>
      <w:r>
        <w:rPr>
          <w:rFonts w:hint="eastAsia"/>
        </w:rPr>
        <w:t>城市固体废弃物填埋处理温室气体排放</w:t>
      </w:r>
      <w:bookmarkEnd w:id="250"/>
      <w:bookmarkEnd w:id="251"/>
      <w:bookmarkEnd w:id="252"/>
      <w:bookmarkEnd w:id="253"/>
      <w:bookmarkEnd w:id="254"/>
      <w:bookmarkEnd w:id="255"/>
    </w:p>
    <w:p>
      <w:pPr>
        <w:ind w:firstLine="480" w:firstLineChars="200"/>
      </w:pPr>
      <w:r>
        <w:rPr>
          <w:rFonts w:hint="eastAsia"/>
        </w:rPr>
        <w:t>城市固体废弃物填埋处理甲烷排放采用《省级温室气体清单编制指南（试行）》中推荐方法，计算公式为：</w:t>
      </w:r>
    </w:p>
    <w:p>
      <w:pPr>
        <w:spacing w:before="0" w:after="0"/>
        <w:ind w:firstLine="480" w:firstLineChars="200"/>
        <w:rPr>
          <w:rFonts w:cs="Times New Roman" w:eastAsiaTheme="minorEastAsia"/>
          <w:szCs w:val="24"/>
        </w:rPr>
      </w:pPr>
      <w:r>
        <w:rPr>
          <w:rFonts w:cs="Times New Roman" w:eastAsiaTheme="minorEastAsia"/>
          <w:position w:val="-14"/>
          <w:szCs w:val="24"/>
        </w:rPr>
        <w:object>
          <v:shape id="_x0000_i1047" o:spt="75" type="#_x0000_t75" style="height:21.3pt;width:224.8pt;" o:ole="t" filled="f" o:preferrelative="t" stroked="f" coordsize="21600,21600">
            <v:path/>
            <v:fill on="f" focussize="0,0"/>
            <v:stroke on="f" joinstyle="miter"/>
            <v:imagedata r:id="rId53" o:title=""/>
            <o:lock v:ext="edit" aspectratio="t"/>
            <w10:wrap type="none"/>
            <w10:anchorlock/>
          </v:shape>
          <o:OLEObject Type="Embed" ProgID="Equation.3" ShapeID="_x0000_i1047" DrawAspect="Content" ObjectID="_1468075747" r:id="rId52">
            <o:LockedField>false</o:LockedField>
          </o:OLEObject>
        </w:object>
      </w:r>
      <w:r>
        <w:rPr>
          <w:rFonts w:cs="Times New Roman" w:eastAsiaTheme="minorEastAsia"/>
          <w:position w:val="-16"/>
          <w:szCs w:val="24"/>
        </w:rPr>
        <w:t xml:space="preserve">                       </w:t>
      </w:r>
      <w:r>
        <w:rPr>
          <w:rFonts w:cs="Times New Roman" w:eastAsiaTheme="minorEastAsia"/>
          <w:szCs w:val="24"/>
        </w:rPr>
        <w:t>(</w:t>
      </w:r>
      <w:r>
        <w:rPr>
          <w:rFonts w:hint="eastAsia" w:cs="Times New Roman" w:eastAsiaTheme="minorEastAsia"/>
          <w:szCs w:val="24"/>
        </w:rPr>
        <w:t>6</w:t>
      </w:r>
      <w:r>
        <w:rPr>
          <w:rFonts w:cs="Times New Roman" w:eastAsiaTheme="minorEastAsia"/>
          <w:szCs w:val="24"/>
        </w:rPr>
        <w:t>.1)</w:t>
      </w:r>
    </w:p>
    <w:p>
      <w:pPr>
        <w:spacing w:before="0" w:after="0"/>
        <w:ind w:firstLine="480" w:firstLineChars="200"/>
        <w:rPr>
          <w:rFonts w:cs="Times New Roman" w:eastAsiaTheme="minorEastAsia"/>
          <w:szCs w:val="24"/>
        </w:rPr>
      </w:pPr>
      <w:r>
        <w:rPr>
          <w:rFonts w:cs="Times New Roman" w:eastAsiaTheme="minorEastAsia"/>
          <w:szCs w:val="24"/>
        </w:rPr>
        <w:t>式中，</w:t>
      </w:r>
    </w:p>
    <w:p>
      <w:pPr>
        <w:spacing w:before="0" w:after="0"/>
        <w:ind w:firstLine="480" w:firstLineChars="200"/>
        <w:rPr>
          <w:rFonts w:cs="Times New Roman" w:eastAsiaTheme="minorEastAsia"/>
          <w:kern w:val="0"/>
          <w:szCs w:val="24"/>
        </w:rPr>
      </w:pPr>
      <w:r>
        <w:rPr>
          <w:rFonts w:cs="Times New Roman" w:eastAsiaTheme="minorEastAsia"/>
          <w:position w:val="-14"/>
          <w:szCs w:val="24"/>
        </w:rPr>
        <w:object>
          <v:shape id="_x0000_i1048" o:spt="75" type="#_x0000_t75" style="height:19.1pt;width:27.2pt;" o:ole="t" filled="f" o:preferrelative="t" stroked="f" coordsize="21600,21600">
            <v:path/>
            <v:fill on="f" focussize="0,0"/>
            <v:stroke on="f" joinstyle="miter"/>
            <v:imagedata r:id="rId55" o:title=""/>
            <o:lock v:ext="edit" aspectratio="t"/>
            <w10:wrap type="none"/>
            <w10:anchorlock/>
          </v:shape>
          <o:OLEObject Type="Embed" ProgID="Equation.3" ShapeID="_x0000_i1048" DrawAspect="Content" ObjectID="_1468075748" r:id="rId54">
            <o:LockedField>false</o:LockedField>
          </o:OLEObject>
        </w:object>
      </w:r>
      <w:r>
        <w:rPr>
          <w:rFonts w:cs="Times New Roman" w:eastAsiaTheme="minorEastAsia"/>
          <w:kern w:val="0"/>
          <w:szCs w:val="24"/>
        </w:rPr>
        <w:t>指甲烷排放量(万吨/年)；</w:t>
      </w:r>
    </w:p>
    <w:p>
      <w:pPr>
        <w:spacing w:before="0" w:after="0"/>
        <w:ind w:firstLine="480" w:firstLineChars="200"/>
        <w:rPr>
          <w:rFonts w:cs="Times New Roman" w:eastAsiaTheme="minorEastAsia"/>
          <w:kern w:val="0"/>
          <w:szCs w:val="24"/>
        </w:rPr>
      </w:pPr>
      <w:r>
        <w:rPr>
          <w:rFonts w:cs="Times New Roman" w:eastAsiaTheme="minorEastAsia"/>
          <w:position w:val="-10"/>
          <w:szCs w:val="24"/>
        </w:rPr>
        <w:object>
          <v:shape id="_x0000_i1049" o:spt="75" type="#_x0000_t75" style="height:18.35pt;width:27.2pt;" o:ole="t" filled="f" o:preferrelative="t" stroked="f" coordsize="21600,21600">
            <v:path/>
            <v:fill on="f" focussize="0,0"/>
            <v:stroke on="f" joinstyle="miter"/>
            <v:imagedata r:id="rId57" o:title=""/>
            <o:lock v:ext="edit" aspectratio="t"/>
            <w10:wrap type="none"/>
            <w10:anchorlock/>
          </v:shape>
          <o:OLEObject Type="Embed" ProgID="Equation.3" ShapeID="_x0000_i1049" DrawAspect="Content" ObjectID="_1468075749" r:id="rId56">
            <o:LockedField>false</o:LockedField>
          </o:OLEObject>
        </w:object>
      </w:r>
      <w:r>
        <w:rPr>
          <w:rFonts w:cs="Times New Roman" w:eastAsiaTheme="minorEastAsia"/>
          <w:kern w:val="0"/>
          <w:szCs w:val="24"/>
        </w:rPr>
        <w:t>指总的城市固体废弃物产生量(万吨/年)；</w:t>
      </w:r>
    </w:p>
    <w:p>
      <w:pPr>
        <w:spacing w:before="0" w:after="0"/>
        <w:ind w:firstLine="480" w:firstLineChars="200"/>
        <w:rPr>
          <w:rFonts w:cs="Times New Roman" w:eastAsiaTheme="minorEastAsia"/>
          <w:kern w:val="0"/>
          <w:szCs w:val="24"/>
        </w:rPr>
      </w:pPr>
      <w:r>
        <w:rPr>
          <w:rFonts w:cs="Times New Roman" w:eastAsiaTheme="minorEastAsia"/>
          <w:position w:val="-10"/>
          <w:szCs w:val="24"/>
        </w:rPr>
        <w:object>
          <v:shape id="_x0000_i1050" o:spt="75" type="#_x0000_t75" style="height:18.35pt;width:28.65pt;" o:ole="t" filled="f" o:preferrelative="t" stroked="f" coordsize="21600,21600">
            <v:path/>
            <v:fill on="f" focussize="0,0"/>
            <v:stroke on="f" joinstyle="miter"/>
            <v:imagedata r:id="rId59" o:title=""/>
            <o:lock v:ext="edit" aspectratio="t"/>
            <w10:wrap type="none"/>
            <w10:anchorlock/>
          </v:shape>
          <o:OLEObject Type="Embed" ProgID="Equation.3" ShapeID="_x0000_i1050" DrawAspect="Content" ObjectID="_1468075750" r:id="rId58">
            <o:LockedField>false</o:LockedField>
          </o:OLEObject>
        </w:object>
      </w:r>
      <w:r>
        <w:rPr>
          <w:rFonts w:cs="Times New Roman" w:eastAsiaTheme="minorEastAsia"/>
          <w:kern w:val="0"/>
          <w:szCs w:val="24"/>
        </w:rPr>
        <w:t>指城市固体废弃物填埋处理率；</w:t>
      </w:r>
    </w:p>
    <w:p>
      <w:pPr>
        <w:spacing w:before="0" w:after="0"/>
        <w:ind w:firstLine="480" w:firstLineChars="200"/>
        <w:rPr>
          <w:rFonts w:cs="Times New Roman" w:eastAsiaTheme="minorEastAsia"/>
          <w:kern w:val="0"/>
          <w:szCs w:val="24"/>
        </w:rPr>
      </w:pPr>
      <w:r>
        <w:rPr>
          <w:rFonts w:cs="Times New Roman" w:eastAsiaTheme="minorEastAsia"/>
          <w:position w:val="-10"/>
          <w:szCs w:val="24"/>
        </w:rPr>
        <w:object>
          <v:shape id="_x0000_i1051" o:spt="75" type="#_x0000_t75" style="height:18.35pt;width:13.95pt;" o:ole="t" filled="f" o:preferrelative="t" stroked="f" coordsize="21600,21600">
            <v:path/>
            <v:fill on="f" focussize="0,0"/>
            <v:stroke on="f" joinstyle="miter"/>
            <v:imagedata r:id="rId61" o:title=""/>
            <o:lock v:ext="edit" aspectratio="t"/>
            <w10:wrap type="none"/>
            <w10:anchorlock/>
          </v:shape>
          <o:OLEObject Type="Embed" ProgID="Equation.3" ShapeID="_x0000_i1051" DrawAspect="Content" ObjectID="_1468075751" r:id="rId60">
            <o:LockedField>false</o:LockedField>
          </o:OLEObject>
        </w:object>
      </w:r>
      <w:r>
        <w:rPr>
          <w:rFonts w:cs="Times New Roman" w:eastAsiaTheme="minorEastAsia"/>
          <w:kern w:val="0"/>
          <w:szCs w:val="24"/>
        </w:rPr>
        <w:t>指各管理类型垃圾填埋场的甲烷产生潜力(万吨甲烷/万吨废弃物)；</w:t>
      </w:r>
    </w:p>
    <w:p>
      <w:pPr>
        <w:spacing w:before="0" w:after="0"/>
        <w:ind w:firstLine="480" w:firstLineChars="200"/>
        <w:rPr>
          <w:rFonts w:cs="Times New Roman" w:eastAsiaTheme="minorEastAsia"/>
          <w:kern w:val="0"/>
          <w:szCs w:val="24"/>
        </w:rPr>
      </w:pPr>
      <w:r>
        <w:rPr>
          <w:rFonts w:cs="Times New Roman" w:eastAsiaTheme="minorEastAsia"/>
          <w:i/>
          <w:iCs/>
          <w:kern w:val="0"/>
          <w:szCs w:val="24"/>
        </w:rPr>
        <w:t>R</w:t>
      </w:r>
      <w:r>
        <w:rPr>
          <w:rFonts w:cs="Times New Roman" w:eastAsiaTheme="minorEastAsia"/>
          <w:kern w:val="0"/>
          <w:szCs w:val="24"/>
        </w:rPr>
        <w:t>指甲烷回收量(万吨/年)；</w:t>
      </w:r>
    </w:p>
    <w:p>
      <w:pPr>
        <w:spacing w:before="0" w:after="0"/>
        <w:ind w:firstLine="480" w:firstLineChars="200"/>
        <w:rPr>
          <w:rFonts w:cs="Times New Roman" w:eastAsiaTheme="minorEastAsia"/>
          <w:kern w:val="0"/>
          <w:szCs w:val="24"/>
        </w:rPr>
      </w:pPr>
      <w:r>
        <w:rPr>
          <w:rFonts w:cs="Times New Roman" w:eastAsiaTheme="minorEastAsia"/>
          <w:i/>
          <w:iCs/>
          <w:kern w:val="0"/>
          <w:szCs w:val="24"/>
        </w:rPr>
        <w:t>OX</w:t>
      </w:r>
      <w:r>
        <w:rPr>
          <w:rFonts w:cs="Times New Roman" w:eastAsiaTheme="minorEastAsia"/>
          <w:kern w:val="0"/>
          <w:szCs w:val="24"/>
        </w:rPr>
        <w:t>指氧化因子。</w:t>
      </w:r>
    </w:p>
    <w:p>
      <w:pPr>
        <w:spacing w:before="0" w:after="0"/>
        <w:ind w:firstLine="480" w:firstLineChars="200"/>
        <w:rPr>
          <w:rFonts w:cs="Times New Roman" w:eastAsiaTheme="minorEastAsia"/>
          <w:szCs w:val="24"/>
        </w:rPr>
      </w:pPr>
      <w:r>
        <w:rPr>
          <w:rFonts w:cs="Times New Roman" w:eastAsiaTheme="minorEastAsia"/>
          <w:kern w:val="0"/>
          <w:szCs w:val="24"/>
        </w:rPr>
        <w:t>其中：</w:t>
      </w:r>
      <w:r>
        <w:rPr>
          <w:rFonts w:cs="Times New Roman" w:eastAsiaTheme="minorEastAsia"/>
          <w:position w:val="-10"/>
          <w:szCs w:val="24"/>
        </w:rPr>
        <w:object>
          <v:shape id="_x0000_i1052" o:spt="75" type="#_x0000_t75" style="height:18.35pt;width:208.65pt;" o:ole="t" filled="f" o:preferrelative="t" stroked="f" coordsize="21600,21600">
            <v:path/>
            <v:fill on="f" focussize="0,0"/>
            <v:stroke on="f" joinstyle="miter"/>
            <v:imagedata r:id="rId63" o:title=""/>
            <o:lock v:ext="edit" aspectratio="t"/>
            <w10:wrap type="none"/>
            <w10:anchorlock/>
          </v:shape>
          <o:OLEObject Type="Embed" ProgID="Equation.3" ShapeID="_x0000_i1052" DrawAspect="Content" ObjectID="_1468075752" r:id="rId62">
            <o:LockedField>false</o:LockedField>
          </o:OLEObject>
        </w:object>
      </w:r>
      <w:r>
        <w:rPr>
          <w:rFonts w:cs="Times New Roman" w:eastAsiaTheme="minorEastAsia"/>
          <w:kern w:val="0"/>
          <w:szCs w:val="24"/>
        </w:rPr>
        <w:t xml:space="preserve">                    </w:t>
      </w:r>
      <w:r>
        <w:rPr>
          <w:rFonts w:cs="Times New Roman" w:eastAsiaTheme="minorEastAsia"/>
          <w:szCs w:val="24"/>
        </w:rPr>
        <w:t>(</w:t>
      </w:r>
      <w:r>
        <w:rPr>
          <w:rFonts w:hint="eastAsia" w:cs="Times New Roman" w:eastAsiaTheme="minorEastAsia"/>
          <w:szCs w:val="24"/>
        </w:rPr>
        <w:t>6</w:t>
      </w:r>
      <w:r>
        <w:rPr>
          <w:rFonts w:cs="Times New Roman" w:eastAsiaTheme="minorEastAsia"/>
          <w:szCs w:val="24"/>
        </w:rPr>
        <w:t>.2)</w:t>
      </w:r>
    </w:p>
    <w:p>
      <w:pPr>
        <w:spacing w:before="0" w:after="0"/>
        <w:ind w:firstLine="480" w:firstLineChars="200"/>
        <w:rPr>
          <w:rFonts w:cs="Times New Roman" w:eastAsiaTheme="minorEastAsia"/>
          <w:kern w:val="0"/>
          <w:szCs w:val="24"/>
        </w:rPr>
      </w:pPr>
      <w:r>
        <w:rPr>
          <w:rFonts w:cs="Times New Roman" w:eastAsiaTheme="minorEastAsia"/>
          <w:kern w:val="0"/>
          <w:szCs w:val="24"/>
        </w:rPr>
        <w:t>式中，</w:t>
      </w:r>
    </w:p>
    <w:p>
      <w:pPr>
        <w:spacing w:before="0" w:after="0"/>
        <w:ind w:firstLine="480" w:firstLineChars="200"/>
        <w:rPr>
          <w:rFonts w:cs="Times New Roman" w:eastAsiaTheme="minorEastAsia"/>
          <w:kern w:val="0"/>
          <w:szCs w:val="24"/>
        </w:rPr>
      </w:pPr>
      <w:r>
        <w:rPr>
          <w:rFonts w:cs="Times New Roman" w:eastAsiaTheme="minorEastAsia"/>
          <w:position w:val="-4"/>
          <w:szCs w:val="24"/>
        </w:rPr>
        <w:object>
          <v:shape id="_x0000_i1053" o:spt="75" type="#_x0000_t75" style="height:13.95pt;width:24.25pt;" o:ole="t" filled="f" o:preferrelative="t" stroked="f" coordsize="21600,21600">
            <v:path/>
            <v:fill on="f" focussize="0,0"/>
            <v:stroke on="f" joinstyle="miter"/>
            <v:imagedata r:id="rId65" o:title=""/>
            <o:lock v:ext="edit" aspectratio="t"/>
            <w10:wrap type="none"/>
            <w10:anchorlock/>
          </v:shape>
          <o:OLEObject Type="Embed" ProgID="Equation.3" ShapeID="_x0000_i1053" DrawAspect="Content" ObjectID="_1468075753" r:id="rId64">
            <o:LockedField>false</o:LockedField>
          </o:OLEObject>
        </w:object>
      </w:r>
      <w:r>
        <w:rPr>
          <w:rFonts w:cs="Times New Roman" w:eastAsiaTheme="minorEastAsia"/>
          <w:szCs w:val="24"/>
        </w:rPr>
        <w:t>指</w:t>
      </w:r>
      <w:r>
        <w:rPr>
          <w:rFonts w:cs="Times New Roman" w:eastAsiaTheme="minorEastAsia"/>
          <w:kern w:val="0"/>
          <w:szCs w:val="24"/>
        </w:rPr>
        <w:t>各管理类型垃圾填埋场的甲烷修正因子(比例)；</w:t>
      </w:r>
    </w:p>
    <w:p>
      <w:pPr>
        <w:spacing w:before="0" w:after="0"/>
        <w:ind w:firstLine="480" w:firstLineChars="200"/>
        <w:rPr>
          <w:rFonts w:cs="Times New Roman" w:eastAsiaTheme="minorEastAsia"/>
          <w:kern w:val="0"/>
          <w:szCs w:val="24"/>
        </w:rPr>
      </w:pPr>
      <w:r>
        <w:rPr>
          <w:rFonts w:cs="Times New Roman" w:eastAsiaTheme="minorEastAsia"/>
          <w:position w:val="-4"/>
          <w:szCs w:val="24"/>
        </w:rPr>
        <w:object>
          <v:shape id="_x0000_i1054" o:spt="75" type="#_x0000_t75" style="height:13.95pt;width:24.25pt;" o:ole="t" filled="f" o:preferrelative="t" stroked="f" coordsize="21600,21600">
            <v:path/>
            <v:fill on="f" focussize="0,0"/>
            <v:stroke on="f" joinstyle="miter"/>
            <v:imagedata r:id="rId67" o:title=""/>
            <o:lock v:ext="edit" aspectratio="t"/>
            <w10:wrap type="none"/>
            <w10:anchorlock/>
          </v:shape>
          <o:OLEObject Type="Embed" ProgID="Equation.3" ShapeID="_x0000_i1054" DrawAspect="Content" ObjectID="_1468075754" r:id="rId66">
            <o:LockedField>false</o:LockedField>
          </o:OLEObject>
        </w:object>
      </w:r>
      <w:r>
        <w:rPr>
          <w:rFonts w:cs="Times New Roman" w:eastAsiaTheme="minorEastAsia"/>
          <w:kern w:val="0"/>
          <w:szCs w:val="24"/>
        </w:rPr>
        <w:t>指可降解有机碳(千克碳/千克废弃物)；</w:t>
      </w:r>
    </w:p>
    <w:p>
      <w:pPr>
        <w:spacing w:before="0" w:after="0"/>
        <w:ind w:firstLine="480" w:firstLineChars="200"/>
        <w:rPr>
          <w:rFonts w:cs="Times New Roman" w:eastAsiaTheme="minorEastAsia"/>
          <w:kern w:val="0"/>
          <w:szCs w:val="24"/>
        </w:rPr>
      </w:pPr>
      <w:r>
        <w:rPr>
          <w:rFonts w:cs="Times New Roman" w:eastAsiaTheme="minorEastAsia"/>
          <w:position w:val="-10"/>
          <w:szCs w:val="24"/>
        </w:rPr>
        <w:object>
          <v:shape id="_x0000_i1055" o:spt="75" type="#_x0000_t75" style="height:18.35pt;width:28.65pt;" o:ole="t" filled="f" o:preferrelative="t" stroked="f" coordsize="21600,21600">
            <v:path/>
            <v:fill on="f" focussize="0,0"/>
            <v:stroke on="f" joinstyle="miter"/>
            <v:imagedata r:id="rId69" o:title=""/>
            <o:lock v:ext="edit" aspectratio="t"/>
            <w10:wrap type="none"/>
            <w10:anchorlock/>
          </v:shape>
          <o:OLEObject Type="Embed" ProgID="Equation.3" ShapeID="_x0000_i1055" DrawAspect="Content" ObjectID="_1468075755" r:id="rId68">
            <o:LockedField>false</o:LockedField>
          </o:OLEObject>
        </w:object>
      </w:r>
      <w:r>
        <w:rPr>
          <w:rFonts w:cs="Times New Roman" w:eastAsiaTheme="minorEastAsia"/>
          <w:kern w:val="0"/>
          <w:szCs w:val="24"/>
        </w:rPr>
        <w:t>指可分解的</w:t>
      </w:r>
      <w:r>
        <w:rPr>
          <w:rFonts w:cs="Times New Roman" w:eastAsiaTheme="minorEastAsia"/>
          <w:position w:val="-6"/>
          <w:szCs w:val="24"/>
        </w:rPr>
        <w:object>
          <v:shape id="_x0000_i1056" o:spt="75" type="#_x0000_t75" style="height:14.7pt;width:30.1pt;" o:ole="t" filled="f" o:preferrelative="t" stroked="f" coordsize="21600,21600">
            <v:path/>
            <v:fill on="f" focussize="0,0"/>
            <v:stroke on="f" joinstyle="miter"/>
            <v:imagedata r:id="rId71" o:title=""/>
            <o:lock v:ext="edit" aspectratio="t"/>
            <w10:wrap type="none"/>
            <w10:anchorlock/>
          </v:shape>
          <o:OLEObject Type="Embed" ProgID="Equation.3" ShapeID="_x0000_i1056" DrawAspect="Content" ObjectID="_1468075756" r:id="rId70">
            <o:LockedField>false</o:LockedField>
          </o:OLEObject>
        </w:object>
      </w:r>
      <w:r>
        <w:rPr>
          <w:rFonts w:cs="Times New Roman" w:eastAsiaTheme="minorEastAsia"/>
          <w:kern w:val="0"/>
          <w:szCs w:val="24"/>
        </w:rPr>
        <w:t>比例；</w:t>
      </w:r>
    </w:p>
    <w:p>
      <w:pPr>
        <w:spacing w:before="0" w:after="0"/>
        <w:ind w:firstLine="480" w:firstLineChars="200"/>
        <w:rPr>
          <w:rFonts w:cs="Times New Roman" w:eastAsiaTheme="minorEastAsia"/>
          <w:kern w:val="0"/>
          <w:szCs w:val="24"/>
        </w:rPr>
      </w:pPr>
      <w:r>
        <w:rPr>
          <w:rFonts w:cs="Times New Roman" w:eastAsiaTheme="minorEastAsia"/>
          <w:position w:val="-4"/>
          <w:szCs w:val="24"/>
        </w:rPr>
        <w:object>
          <v:shape id="_x0000_i1057" o:spt="75" type="#_x0000_t75" style="height:13.95pt;width:13.95pt;" o:ole="t" filled="f" o:preferrelative="t" stroked="f" coordsize="21600,21600">
            <v:path/>
            <v:fill on="f" focussize="0,0"/>
            <v:stroke on="f" joinstyle="miter"/>
            <v:imagedata r:id="rId73" o:title=""/>
            <o:lock v:ext="edit" aspectratio="t"/>
            <w10:wrap type="none"/>
            <w10:anchorlock/>
          </v:shape>
          <o:OLEObject Type="Embed" ProgID="Equation.3" ShapeID="_x0000_i1057" DrawAspect="Content" ObjectID="_1468075757" r:id="rId72">
            <o:LockedField>false</o:LockedField>
          </o:OLEObject>
        </w:object>
      </w:r>
      <w:r>
        <w:rPr>
          <w:rFonts w:cs="Times New Roman" w:eastAsiaTheme="minorEastAsia"/>
          <w:kern w:val="0"/>
          <w:szCs w:val="24"/>
        </w:rPr>
        <w:t>指垃圾填埋气体中的甲烷比例；</w:t>
      </w:r>
    </w:p>
    <w:p>
      <w:pPr>
        <w:spacing w:before="0" w:after="0"/>
        <w:ind w:firstLine="480" w:firstLineChars="200"/>
        <w:rPr>
          <w:rFonts w:cs="Times New Roman" w:eastAsiaTheme="minorEastAsia"/>
          <w:kern w:val="0"/>
          <w:szCs w:val="24"/>
        </w:rPr>
      </w:pPr>
      <w:r>
        <w:rPr>
          <w:rFonts w:cs="Times New Roman" w:eastAsiaTheme="minorEastAsia"/>
          <w:kern w:val="0"/>
          <w:szCs w:val="24"/>
        </w:rPr>
        <w:t>16/12 指甲烷/碳分子量比率。</w:t>
      </w:r>
    </w:p>
    <w:p>
      <w:pPr>
        <w:pStyle w:val="4"/>
        <w:spacing w:before="0"/>
      </w:pPr>
      <w:bookmarkStart w:id="256" w:name="_Toc55311776"/>
      <w:bookmarkStart w:id="257" w:name="_Toc15125"/>
      <w:bookmarkStart w:id="258" w:name="_Toc54097691"/>
      <w:bookmarkStart w:id="259" w:name="_Toc51939062"/>
      <w:bookmarkStart w:id="260" w:name="_Toc53827550"/>
      <w:bookmarkStart w:id="261" w:name="_Toc52177427"/>
      <w:r>
        <w:rPr>
          <w:rFonts w:hint="eastAsia"/>
        </w:rPr>
        <w:t>废弃物焚烧处理温室气体排放</w:t>
      </w:r>
      <w:bookmarkEnd w:id="256"/>
      <w:bookmarkEnd w:id="257"/>
      <w:bookmarkEnd w:id="258"/>
      <w:bookmarkEnd w:id="259"/>
      <w:bookmarkEnd w:id="260"/>
      <w:bookmarkEnd w:id="261"/>
    </w:p>
    <w:p>
      <w:pPr>
        <w:spacing w:before="0" w:after="0"/>
        <w:ind w:firstLine="480"/>
        <w:jc w:val="right"/>
        <w:rPr>
          <w:rFonts w:cs="Times New Roman" w:eastAsiaTheme="minorEastAsia"/>
          <w:kern w:val="0"/>
          <w:szCs w:val="24"/>
        </w:rPr>
      </w:pPr>
      <w:r>
        <w:rPr>
          <w:rFonts w:cs="Times New Roman" w:eastAsiaTheme="minorEastAsia"/>
          <w:szCs w:val="24"/>
        </w:rPr>
        <w:t>固体废弃物焚烧处理二氧化碳排放采用</w:t>
      </w:r>
      <w:r>
        <w:rPr>
          <w:rFonts w:hint="eastAsia" w:cs="Times New Roman" w:eastAsiaTheme="minorEastAsia"/>
          <w:szCs w:val="24"/>
        </w:rPr>
        <w:t>指南</w:t>
      </w:r>
      <w:r>
        <w:rPr>
          <w:rFonts w:cs="Times New Roman" w:eastAsiaTheme="minorEastAsia"/>
          <w:kern w:val="0"/>
          <w:szCs w:val="24"/>
        </w:rPr>
        <w:t xml:space="preserve">推荐方法，计算公式为： </w:t>
      </w:r>
      <w:bookmarkStart w:id="262" w:name="_Ref282713468"/>
      <w:r>
        <w:rPr>
          <w:rFonts w:cs="Times New Roman" w:eastAsiaTheme="minorEastAsia"/>
          <w:position w:val="-14"/>
          <w:szCs w:val="24"/>
        </w:rPr>
        <w:object>
          <v:shape id="_x0000_i1058" o:spt="75" type="#_x0000_t75" style="height:21.3pt;width:235.1pt;" o:ole="t" filled="f" o:preferrelative="t" stroked="f" coordsize="21600,21600">
            <v:path/>
            <v:fill on="f" focussize="0,0"/>
            <v:stroke on="f" joinstyle="miter"/>
            <v:imagedata r:id="rId75" o:title=""/>
            <o:lock v:ext="edit" aspectratio="t"/>
            <w10:wrap type="none"/>
            <w10:anchorlock/>
          </v:shape>
          <o:OLEObject Type="Embed" ProgID="Equation.3" ShapeID="_x0000_i1058" DrawAspect="Content" ObjectID="_1468075758" r:id="rId74">
            <o:LockedField>false</o:LockedField>
          </o:OLEObject>
        </w:object>
      </w:r>
      <w:bookmarkEnd w:id="262"/>
      <w:r>
        <w:rPr>
          <w:rFonts w:cs="Times New Roman" w:eastAsiaTheme="minorEastAsia"/>
          <w:szCs w:val="24"/>
        </w:rPr>
        <w:t xml:space="preserve">             (</w:t>
      </w:r>
      <w:r>
        <w:rPr>
          <w:rFonts w:hint="eastAsia" w:cs="Times New Roman" w:eastAsiaTheme="minorEastAsia"/>
          <w:szCs w:val="24"/>
        </w:rPr>
        <w:t>6.3</w:t>
      </w:r>
      <w:r>
        <w:rPr>
          <w:rFonts w:cs="Times New Roman" w:eastAsiaTheme="minorEastAsia"/>
          <w:szCs w:val="24"/>
        </w:rPr>
        <w:t xml:space="preserve">)              </w:t>
      </w:r>
    </w:p>
    <w:p>
      <w:pPr>
        <w:spacing w:before="0" w:after="0"/>
        <w:ind w:firstLine="480"/>
        <w:jc w:val="left"/>
        <w:rPr>
          <w:rFonts w:cs="Times New Roman" w:eastAsiaTheme="minorEastAsia"/>
          <w:kern w:val="0"/>
          <w:szCs w:val="24"/>
        </w:rPr>
      </w:pPr>
      <w:r>
        <w:rPr>
          <w:rFonts w:cs="Times New Roman" w:eastAsiaTheme="minorEastAsia"/>
          <w:kern w:val="0"/>
          <w:szCs w:val="24"/>
        </w:rPr>
        <w:t>式中：E</w:t>
      </w:r>
      <w:r>
        <w:rPr>
          <w:rFonts w:cs="Times New Roman" w:eastAsiaTheme="minorEastAsia"/>
          <w:kern w:val="0"/>
          <w:szCs w:val="24"/>
          <w:vertAlign w:val="subscript"/>
        </w:rPr>
        <w:t>CO2</w:t>
      </w:r>
      <w:r>
        <w:rPr>
          <w:rFonts w:cs="Times New Roman" w:eastAsiaTheme="minorEastAsia"/>
          <w:kern w:val="0"/>
          <w:szCs w:val="24"/>
        </w:rPr>
        <w:t>指废弃物焚烧处理的二氧化碳排放量（万吨/年）；</w:t>
      </w:r>
    </w:p>
    <w:p>
      <w:pPr>
        <w:spacing w:before="0" w:after="0"/>
        <w:ind w:firstLine="480"/>
        <w:jc w:val="left"/>
        <w:rPr>
          <w:rFonts w:cs="Times New Roman" w:eastAsiaTheme="minorEastAsia"/>
          <w:kern w:val="0"/>
          <w:szCs w:val="24"/>
        </w:rPr>
      </w:pPr>
      <w:r>
        <w:rPr>
          <w:rFonts w:cs="Times New Roman" w:eastAsiaTheme="minorEastAsia"/>
          <w:kern w:val="0"/>
          <w:szCs w:val="24"/>
        </w:rPr>
        <w:t>i分别表示城市固体废弃物、危险废弃物、污泥；</w:t>
      </w:r>
    </w:p>
    <w:p>
      <w:pPr>
        <w:spacing w:before="0" w:after="0"/>
        <w:ind w:firstLine="480"/>
        <w:jc w:val="left"/>
        <w:rPr>
          <w:rFonts w:cs="Times New Roman" w:eastAsiaTheme="minorEastAsia"/>
          <w:kern w:val="0"/>
          <w:szCs w:val="24"/>
        </w:rPr>
      </w:pPr>
      <w:r>
        <w:rPr>
          <w:rFonts w:cs="Times New Roman" w:eastAsiaTheme="minorEastAsia"/>
          <w:kern w:val="0"/>
          <w:szCs w:val="24"/>
        </w:rPr>
        <w:t>IW</w:t>
      </w:r>
      <w:r>
        <w:rPr>
          <w:rFonts w:cs="Times New Roman" w:eastAsiaTheme="minorEastAsia"/>
          <w:kern w:val="0"/>
          <w:szCs w:val="24"/>
          <w:vertAlign w:val="subscript"/>
        </w:rPr>
        <w:t>i</w:t>
      </w:r>
      <w:r>
        <w:rPr>
          <w:rFonts w:cs="Times New Roman" w:eastAsiaTheme="minorEastAsia"/>
          <w:kern w:val="0"/>
          <w:szCs w:val="24"/>
        </w:rPr>
        <w:t>指第i种类型废弃物的焚烧量（万吨/年）；</w:t>
      </w:r>
    </w:p>
    <w:p>
      <w:pPr>
        <w:spacing w:before="0" w:after="0"/>
        <w:ind w:firstLine="480"/>
        <w:jc w:val="left"/>
        <w:rPr>
          <w:rFonts w:cs="Times New Roman" w:eastAsiaTheme="minorEastAsia"/>
          <w:kern w:val="0"/>
          <w:szCs w:val="24"/>
        </w:rPr>
      </w:pPr>
      <w:r>
        <w:rPr>
          <w:rFonts w:cs="Times New Roman" w:eastAsiaTheme="minorEastAsia"/>
          <w:kern w:val="0"/>
          <w:szCs w:val="24"/>
        </w:rPr>
        <w:t>CCW</w:t>
      </w:r>
      <w:r>
        <w:rPr>
          <w:rFonts w:cs="Times New Roman" w:eastAsiaTheme="minorEastAsia"/>
          <w:kern w:val="0"/>
          <w:szCs w:val="24"/>
          <w:vertAlign w:val="subscript"/>
        </w:rPr>
        <w:t xml:space="preserve">i </w:t>
      </w:r>
      <w:r>
        <w:rPr>
          <w:rFonts w:cs="Times New Roman" w:eastAsiaTheme="minorEastAsia"/>
          <w:kern w:val="0"/>
          <w:szCs w:val="24"/>
        </w:rPr>
        <w:t>指第i种类型废弃物中的碳含量比例；</w:t>
      </w:r>
    </w:p>
    <w:p>
      <w:pPr>
        <w:spacing w:before="0" w:after="0"/>
        <w:ind w:firstLine="480"/>
        <w:jc w:val="left"/>
        <w:rPr>
          <w:rFonts w:cs="Times New Roman" w:eastAsiaTheme="minorEastAsia"/>
          <w:kern w:val="0"/>
          <w:szCs w:val="24"/>
        </w:rPr>
      </w:pPr>
      <w:r>
        <w:rPr>
          <w:rFonts w:cs="Times New Roman" w:eastAsiaTheme="minorEastAsia"/>
          <w:kern w:val="0"/>
          <w:szCs w:val="24"/>
        </w:rPr>
        <w:t>FCF</w:t>
      </w:r>
      <w:r>
        <w:rPr>
          <w:rFonts w:cs="Times New Roman" w:eastAsiaTheme="minorEastAsia"/>
          <w:kern w:val="0"/>
          <w:szCs w:val="24"/>
          <w:vertAlign w:val="subscript"/>
        </w:rPr>
        <w:t>i</w:t>
      </w:r>
      <w:r>
        <w:rPr>
          <w:rFonts w:cs="Times New Roman" w:eastAsiaTheme="minorEastAsia"/>
          <w:kern w:val="0"/>
          <w:szCs w:val="24"/>
        </w:rPr>
        <w:t>指第i种类型废弃物中矿物碳在碳总量中比例；</w:t>
      </w:r>
    </w:p>
    <w:p>
      <w:pPr>
        <w:spacing w:before="0" w:after="0"/>
        <w:ind w:firstLine="480"/>
        <w:jc w:val="left"/>
        <w:rPr>
          <w:rFonts w:cs="Times New Roman" w:eastAsiaTheme="minorEastAsia"/>
          <w:kern w:val="0"/>
          <w:szCs w:val="24"/>
        </w:rPr>
      </w:pPr>
      <w:r>
        <w:rPr>
          <w:rFonts w:cs="Times New Roman" w:eastAsiaTheme="minorEastAsia"/>
          <w:kern w:val="0"/>
          <w:szCs w:val="24"/>
        </w:rPr>
        <w:t>EF</w:t>
      </w:r>
      <w:r>
        <w:rPr>
          <w:rFonts w:cs="Times New Roman" w:eastAsiaTheme="minorEastAsia"/>
          <w:kern w:val="0"/>
          <w:szCs w:val="24"/>
          <w:vertAlign w:val="subscript"/>
        </w:rPr>
        <w:t>i</w:t>
      </w:r>
      <w:r>
        <w:rPr>
          <w:rFonts w:cs="Times New Roman" w:eastAsiaTheme="minorEastAsia"/>
          <w:kern w:val="0"/>
          <w:szCs w:val="24"/>
        </w:rPr>
        <w:t>指第i种类型废弃物焚烧炉的燃烧效率；</w:t>
      </w:r>
    </w:p>
    <w:p>
      <w:pPr>
        <w:spacing w:before="0" w:after="0"/>
        <w:ind w:firstLine="480"/>
        <w:jc w:val="left"/>
        <w:rPr>
          <w:rFonts w:cs="Times New Roman" w:eastAsiaTheme="minorEastAsia"/>
          <w:kern w:val="0"/>
          <w:szCs w:val="24"/>
        </w:rPr>
      </w:pPr>
      <w:r>
        <w:rPr>
          <w:rFonts w:cs="Times New Roman" w:eastAsiaTheme="minorEastAsia"/>
          <w:kern w:val="0"/>
          <w:szCs w:val="24"/>
        </w:rPr>
        <w:t>44/12指碳转换成二氧化碳的转换系数。</w:t>
      </w:r>
    </w:p>
    <w:p>
      <w:pPr>
        <w:pStyle w:val="4"/>
        <w:spacing w:before="0"/>
      </w:pPr>
      <w:bookmarkStart w:id="263" w:name="_Toc54097692"/>
      <w:bookmarkStart w:id="264" w:name="_Toc52177428"/>
      <w:bookmarkStart w:id="265" w:name="_Toc51939063"/>
      <w:bookmarkStart w:id="266" w:name="_Toc53827551"/>
      <w:bookmarkStart w:id="267" w:name="_Toc55311777"/>
      <w:bookmarkStart w:id="268" w:name="_Toc10512"/>
      <w:r>
        <w:rPr>
          <w:rFonts w:hint="eastAsia"/>
        </w:rPr>
        <w:t>污水处理温室气体排放</w:t>
      </w:r>
      <w:bookmarkEnd w:id="263"/>
      <w:bookmarkEnd w:id="264"/>
      <w:bookmarkEnd w:id="265"/>
      <w:bookmarkEnd w:id="266"/>
      <w:bookmarkEnd w:id="267"/>
      <w:bookmarkEnd w:id="268"/>
    </w:p>
    <w:p>
      <w:pPr>
        <w:ind w:firstLine="480" w:firstLineChars="200"/>
      </w:pPr>
      <w:r>
        <w:rPr>
          <w:rFonts w:hint="eastAsia"/>
        </w:rPr>
        <w:t>（1）生活污水处理甲烷排放</w:t>
      </w:r>
    </w:p>
    <w:p>
      <w:pPr>
        <w:ind w:firstLine="480" w:firstLineChars="200"/>
        <w:rPr>
          <w:rFonts w:eastAsiaTheme="minorEastAsia"/>
          <w:kern w:val="0"/>
        </w:rPr>
      </w:pPr>
      <w:r>
        <w:rPr>
          <w:rFonts w:eastAsiaTheme="minorEastAsia"/>
          <w:kern w:val="0"/>
        </w:rPr>
        <w:t>生活污水处理过程甲烷排放采用</w:t>
      </w:r>
      <w:r>
        <w:rPr>
          <w:rFonts w:hint="eastAsia" w:eastAsiaTheme="minorEastAsia"/>
        </w:rPr>
        <w:t>指南</w:t>
      </w:r>
      <w:r>
        <w:rPr>
          <w:rFonts w:eastAsiaTheme="minorEastAsia"/>
          <w:kern w:val="0"/>
        </w:rPr>
        <w:t>推荐方法，计算公式为：</w:t>
      </w:r>
    </w:p>
    <w:p>
      <w:pPr>
        <w:spacing w:before="0" w:after="0"/>
        <w:ind w:firstLine="480"/>
        <w:jc w:val="right"/>
        <w:rPr>
          <w:rFonts w:cs="Times New Roman" w:eastAsiaTheme="minorEastAsia"/>
          <w:kern w:val="0"/>
          <w:szCs w:val="24"/>
        </w:rPr>
      </w:pPr>
      <w:r>
        <w:rPr>
          <w:rFonts w:cs="Times New Roman" w:eastAsiaTheme="minorEastAsia"/>
          <w:kern w:val="0"/>
          <w:position w:val="-16"/>
          <w:szCs w:val="24"/>
        </w:rPr>
        <w:object>
          <v:shape id="_x0000_i1059" o:spt="75" type="#_x0000_t75" style="height:21.3pt;width:121.2pt;" o:ole="t" filled="f" o:preferrelative="t" stroked="f" coordsize="21600,21600">
            <v:path/>
            <v:fill on="f" focussize="0,0"/>
            <v:stroke on="f" joinstyle="miter"/>
            <v:imagedata r:id="rId77" o:title=""/>
            <o:lock v:ext="edit" aspectratio="t"/>
            <w10:wrap type="none"/>
            <w10:anchorlock/>
          </v:shape>
          <o:OLEObject Type="Embed" ProgID="Equation.3" ShapeID="_x0000_i1059" DrawAspect="Content" ObjectID="_1468075759" r:id="rId76">
            <o:LockedField>false</o:LockedField>
          </o:OLEObject>
        </w:object>
      </w:r>
      <w:r>
        <w:rPr>
          <w:rFonts w:cs="Times New Roman" w:eastAsiaTheme="minorEastAsia"/>
          <w:kern w:val="0"/>
          <w:szCs w:val="24"/>
        </w:rPr>
        <w:t xml:space="preserve">                              (</w:t>
      </w:r>
      <w:r>
        <w:rPr>
          <w:rFonts w:hint="eastAsia" w:cs="Times New Roman" w:eastAsiaTheme="minorEastAsia"/>
          <w:kern w:val="0"/>
          <w:szCs w:val="24"/>
        </w:rPr>
        <w:t>6.4</w:t>
      </w:r>
      <w:r>
        <w:rPr>
          <w:rFonts w:cs="Times New Roman" w:eastAsiaTheme="minorEastAsia"/>
          <w:kern w:val="0"/>
          <w:szCs w:val="24"/>
        </w:rPr>
        <w:t>)</w:t>
      </w:r>
    </w:p>
    <w:p>
      <w:pPr>
        <w:spacing w:before="0" w:after="0"/>
        <w:ind w:firstLine="480"/>
        <w:rPr>
          <w:rFonts w:cs="Times New Roman" w:eastAsiaTheme="minorEastAsia"/>
          <w:kern w:val="0"/>
          <w:szCs w:val="24"/>
        </w:rPr>
      </w:pPr>
      <w:r>
        <w:rPr>
          <w:rFonts w:cs="Times New Roman" w:eastAsiaTheme="minorEastAsia"/>
          <w:kern w:val="0"/>
          <w:szCs w:val="24"/>
        </w:rPr>
        <w:t>式中：</w:t>
      </w:r>
    </w:p>
    <w:p>
      <w:pPr>
        <w:spacing w:before="0" w:after="0"/>
        <w:ind w:firstLine="480"/>
        <w:rPr>
          <w:rFonts w:cs="Times New Roman" w:eastAsiaTheme="minorEastAsia"/>
          <w:kern w:val="0"/>
          <w:szCs w:val="24"/>
        </w:rPr>
      </w:pPr>
      <w:r>
        <w:rPr>
          <w:rFonts w:cs="Times New Roman" w:eastAsiaTheme="minorEastAsia"/>
          <w:position w:val="-16"/>
          <w:szCs w:val="24"/>
        </w:rPr>
        <w:object>
          <v:shape id="_x0000_i1060" o:spt="75" type="#_x0000_t75" style="height:21.3pt;width:21.3pt;" o:ole="t" filled="f" o:preferrelative="t" stroked="f" coordsize="21600,21600">
            <v:path/>
            <v:fill on="f" focussize="0,0"/>
            <v:stroke on="f" joinstyle="miter"/>
            <v:imagedata r:id="rId79" o:title=""/>
            <o:lock v:ext="edit" aspectratio="t"/>
            <w10:wrap type="none"/>
            <w10:anchorlock/>
          </v:shape>
          <o:OLEObject Type="Embed" ProgID="Equation.3" ShapeID="_x0000_i1060" DrawAspect="Content" ObjectID="_1468075760" r:id="rId78">
            <o:LockedField>false</o:LockedField>
          </o:OLEObject>
        </w:object>
      </w:r>
      <w:r>
        <w:rPr>
          <w:rFonts w:cs="Times New Roman" w:eastAsiaTheme="minorEastAsia"/>
          <w:kern w:val="0"/>
          <w:szCs w:val="24"/>
        </w:rPr>
        <w:t>指清单年份的生活污水处理甲烷排放总量(万吨甲烷/年)；</w:t>
      </w:r>
    </w:p>
    <w:p>
      <w:pPr>
        <w:spacing w:before="0" w:after="0"/>
        <w:ind w:firstLine="480"/>
        <w:rPr>
          <w:rFonts w:cs="Times New Roman" w:eastAsiaTheme="minorEastAsia"/>
          <w:kern w:val="0"/>
          <w:szCs w:val="24"/>
        </w:rPr>
      </w:pPr>
      <w:r>
        <w:rPr>
          <w:rFonts w:cs="Times New Roman" w:eastAsiaTheme="minorEastAsia"/>
          <w:position w:val="-6"/>
          <w:szCs w:val="24"/>
        </w:rPr>
        <w:object>
          <v:shape id="_x0000_i1061" o:spt="75" type="#_x0000_t75" style="height:14.7pt;width:30.1pt;" o:ole="t" filled="f" o:preferrelative="t" stroked="f" coordsize="21600,21600">
            <v:path/>
            <v:fill on="f" focussize="0,0"/>
            <v:stroke on="f" joinstyle="miter"/>
            <v:imagedata r:id="rId81" o:title=""/>
            <o:lock v:ext="edit" aspectratio="t"/>
            <w10:wrap type="none"/>
            <w10:anchorlock/>
          </v:shape>
          <o:OLEObject Type="Embed" ProgID="Equation.3" ShapeID="_x0000_i1061" DrawAspect="Content" ObjectID="_1468075761" r:id="rId80">
            <o:LockedField>false</o:LockedField>
          </o:OLEObject>
        </w:object>
      </w:r>
      <w:r>
        <w:rPr>
          <w:rFonts w:cs="Times New Roman" w:eastAsiaTheme="minorEastAsia"/>
          <w:kern w:val="0"/>
          <w:szCs w:val="24"/>
        </w:rPr>
        <w:t>指清单年份的生活污水中有机物总量(千克BOD /年)；</w:t>
      </w:r>
    </w:p>
    <w:p>
      <w:pPr>
        <w:spacing w:before="0" w:after="0"/>
        <w:ind w:firstLine="480"/>
        <w:rPr>
          <w:rFonts w:cs="Times New Roman" w:eastAsiaTheme="minorEastAsia"/>
          <w:kern w:val="0"/>
          <w:szCs w:val="24"/>
        </w:rPr>
      </w:pPr>
      <w:r>
        <w:rPr>
          <w:rFonts w:cs="Times New Roman" w:eastAsiaTheme="minorEastAsia"/>
          <w:i/>
          <w:iCs/>
          <w:kern w:val="0"/>
          <w:szCs w:val="24"/>
        </w:rPr>
        <w:t>EF</w:t>
      </w:r>
      <w:r>
        <w:rPr>
          <w:rFonts w:cs="Times New Roman" w:eastAsiaTheme="minorEastAsia"/>
          <w:kern w:val="0"/>
          <w:szCs w:val="24"/>
        </w:rPr>
        <w:t>指排放因子(千克甲烷/千克BOD)；</w:t>
      </w:r>
    </w:p>
    <w:p>
      <w:pPr>
        <w:spacing w:before="0" w:after="0"/>
        <w:ind w:firstLine="480"/>
        <w:rPr>
          <w:rFonts w:cs="Times New Roman" w:eastAsiaTheme="minorEastAsia"/>
          <w:kern w:val="0"/>
          <w:szCs w:val="24"/>
        </w:rPr>
      </w:pPr>
      <w:r>
        <w:rPr>
          <w:rFonts w:cs="Times New Roman" w:eastAsiaTheme="minorEastAsia"/>
          <w:i/>
          <w:iCs/>
          <w:kern w:val="0"/>
          <w:szCs w:val="24"/>
        </w:rPr>
        <w:t>R</w:t>
      </w:r>
      <w:r>
        <w:rPr>
          <w:rFonts w:cs="Times New Roman" w:eastAsiaTheme="minorEastAsia"/>
          <w:kern w:val="0"/>
          <w:szCs w:val="24"/>
        </w:rPr>
        <w:t>指清单年份的甲烷回收量(千克甲烷/年)。</w:t>
      </w:r>
    </w:p>
    <w:p>
      <w:pPr>
        <w:spacing w:before="0" w:after="0"/>
        <w:ind w:firstLine="480"/>
        <w:rPr>
          <w:rFonts w:cs="Times New Roman" w:eastAsiaTheme="minorEastAsia"/>
          <w:kern w:val="0"/>
          <w:szCs w:val="24"/>
        </w:rPr>
      </w:pPr>
      <w:r>
        <w:rPr>
          <w:rFonts w:cs="Times New Roman" w:eastAsiaTheme="minorEastAsia"/>
          <w:kern w:val="0"/>
          <w:szCs w:val="24"/>
        </w:rPr>
        <w:t>其中，排放因子(EF)的估算公式为：</w:t>
      </w:r>
    </w:p>
    <w:p>
      <w:pPr>
        <w:spacing w:before="0" w:after="0"/>
        <w:jc w:val="right"/>
        <w:rPr>
          <w:rFonts w:cs="Times New Roman" w:eastAsiaTheme="minorEastAsia"/>
          <w:kern w:val="0"/>
          <w:szCs w:val="24"/>
        </w:rPr>
      </w:pPr>
      <w:r>
        <w:rPr>
          <w:rFonts w:cs="Times New Roman" w:eastAsiaTheme="minorEastAsia"/>
          <w:kern w:val="0"/>
          <w:position w:val="-10"/>
          <w:szCs w:val="24"/>
        </w:rPr>
        <w:object>
          <v:shape id="_x0000_i1062" o:spt="75" type="#_x0000_t75" style="height:18.35pt;width:83.75pt;" o:ole="t" filled="f" o:preferrelative="t" stroked="f" coordsize="21600,21600">
            <v:path/>
            <v:fill on="f" focussize="0,0"/>
            <v:stroke on="f" joinstyle="miter"/>
            <v:imagedata r:id="rId83" o:title=""/>
            <o:lock v:ext="edit" aspectratio="t"/>
            <w10:wrap type="none"/>
            <w10:anchorlock/>
          </v:shape>
          <o:OLEObject Type="Embed" ProgID="Equation.3" ShapeID="_x0000_i1062" DrawAspect="Content" ObjectID="_1468075762" r:id="rId82">
            <o:LockedField>false</o:LockedField>
          </o:OLEObject>
        </w:object>
      </w:r>
      <w:r>
        <w:rPr>
          <w:rFonts w:cs="Times New Roman" w:eastAsiaTheme="minorEastAsia"/>
          <w:kern w:val="0"/>
          <w:szCs w:val="24"/>
        </w:rPr>
        <w:t xml:space="preserve">                                      (</w:t>
      </w:r>
      <w:r>
        <w:rPr>
          <w:rFonts w:hint="eastAsia" w:cs="Times New Roman" w:eastAsiaTheme="minorEastAsia"/>
          <w:kern w:val="0"/>
          <w:szCs w:val="24"/>
        </w:rPr>
        <w:t>6.5</w:t>
      </w:r>
      <w:r>
        <w:rPr>
          <w:rFonts w:cs="Times New Roman" w:eastAsiaTheme="minorEastAsia"/>
          <w:kern w:val="0"/>
          <w:szCs w:val="24"/>
        </w:rPr>
        <w:t>)</w:t>
      </w:r>
    </w:p>
    <w:p>
      <w:pPr>
        <w:spacing w:before="0" w:after="0"/>
        <w:rPr>
          <w:rFonts w:cs="Times New Roman" w:eastAsiaTheme="minorEastAsia"/>
          <w:kern w:val="0"/>
          <w:szCs w:val="24"/>
        </w:rPr>
      </w:pPr>
      <w:r>
        <w:rPr>
          <w:rFonts w:cs="Times New Roman" w:eastAsiaTheme="minorEastAsia"/>
          <w:kern w:val="0"/>
          <w:szCs w:val="24"/>
        </w:rPr>
        <w:t>式中：</w:t>
      </w:r>
    </w:p>
    <w:p>
      <w:pPr>
        <w:spacing w:before="0" w:after="0"/>
        <w:ind w:firstLine="480"/>
        <w:rPr>
          <w:rFonts w:cs="Times New Roman" w:eastAsiaTheme="minorEastAsia"/>
          <w:kern w:val="0"/>
          <w:szCs w:val="24"/>
        </w:rPr>
      </w:pPr>
      <w:r>
        <w:rPr>
          <w:rFonts w:cs="Times New Roman" w:eastAsiaTheme="minorEastAsia"/>
          <w:i/>
          <w:iCs/>
          <w:kern w:val="0"/>
          <w:szCs w:val="24"/>
        </w:rPr>
        <w:t>B</w:t>
      </w:r>
      <w:r>
        <w:rPr>
          <w:rFonts w:cs="Times New Roman" w:eastAsiaTheme="minorEastAsia"/>
          <w:i/>
          <w:iCs/>
          <w:kern w:val="0"/>
          <w:szCs w:val="24"/>
          <w:vertAlign w:val="subscript"/>
        </w:rPr>
        <w:t>o</w:t>
      </w:r>
      <w:r>
        <w:rPr>
          <w:rFonts w:cs="Times New Roman" w:eastAsiaTheme="minorEastAsia"/>
          <w:kern w:val="0"/>
          <w:szCs w:val="24"/>
        </w:rPr>
        <w:t>指甲烷最大产生能力</w:t>
      </w:r>
      <w:r>
        <w:rPr>
          <w:rFonts w:hint="eastAsia" w:cs="Times New Roman" w:eastAsiaTheme="minorEastAsia"/>
          <w:kern w:val="0"/>
          <w:szCs w:val="24"/>
        </w:rPr>
        <w:t>；</w:t>
      </w:r>
    </w:p>
    <w:p>
      <w:pPr>
        <w:spacing w:before="0" w:after="0"/>
        <w:ind w:firstLine="480"/>
        <w:rPr>
          <w:rFonts w:cs="Times New Roman" w:eastAsiaTheme="minorEastAsia"/>
          <w:kern w:val="0"/>
          <w:szCs w:val="24"/>
        </w:rPr>
      </w:pPr>
      <w:r>
        <w:rPr>
          <w:rFonts w:cs="Times New Roman" w:eastAsiaTheme="minorEastAsia"/>
          <w:i/>
          <w:iCs/>
          <w:kern w:val="0"/>
          <w:szCs w:val="24"/>
        </w:rPr>
        <w:t>MCF</w:t>
      </w:r>
      <w:r>
        <w:rPr>
          <w:rFonts w:cs="Times New Roman" w:eastAsiaTheme="minorEastAsia"/>
          <w:kern w:val="0"/>
          <w:szCs w:val="24"/>
        </w:rPr>
        <w:t>指甲烷修正因子。</w:t>
      </w:r>
    </w:p>
    <w:p>
      <w:pPr>
        <w:spacing w:before="0" w:after="0"/>
        <w:ind w:firstLine="480" w:firstLineChars="200"/>
        <w:rPr>
          <w:rFonts w:cs="Times New Roman"/>
          <w:szCs w:val="24"/>
        </w:rPr>
      </w:pPr>
      <w:r>
        <w:rPr>
          <w:rFonts w:hint="eastAsia" w:cs="Times New Roman"/>
          <w:szCs w:val="24"/>
        </w:rPr>
        <w:t>（2）工业废水处理甲烷排放</w:t>
      </w:r>
    </w:p>
    <w:p>
      <w:pPr>
        <w:spacing w:before="0" w:after="0"/>
        <w:ind w:firstLine="480"/>
        <w:rPr>
          <w:rFonts w:cs="Times New Roman" w:eastAsiaTheme="minorEastAsia"/>
          <w:kern w:val="0"/>
          <w:szCs w:val="24"/>
        </w:rPr>
      </w:pPr>
      <w:r>
        <w:rPr>
          <w:rFonts w:cs="Times New Roman" w:eastAsiaTheme="minorEastAsia"/>
          <w:kern w:val="0"/>
          <w:szCs w:val="24"/>
        </w:rPr>
        <w:t>工业废水处理过程甲烷排放采用</w:t>
      </w:r>
      <w:r>
        <w:rPr>
          <w:rFonts w:cs="Times New Roman" w:eastAsiaTheme="minorEastAsia"/>
          <w:szCs w:val="24"/>
        </w:rPr>
        <w:t>《省级温室气体清单编制指南》</w:t>
      </w:r>
      <w:r>
        <w:rPr>
          <w:rFonts w:cs="Times New Roman" w:eastAsiaTheme="minorEastAsia"/>
          <w:kern w:val="0"/>
          <w:szCs w:val="24"/>
        </w:rPr>
        <w:t>推荐方法，计算公式为：</w:t>
      </w:r>
    </w:p>
    <w:p>
      <w:pPr>
        <w:spacing w:before="0" w:after="0"/>
        <w:ind w:firstLine="480"/>
        <w:jc w:val="right"/>
        <w:rPr>
          <w:rFonts w:cs="Times New Roman" w:eastAsiaTheme="minorEastAsia"/>
          <w:kern w:val="0"/>
          <w:szCs w:val="24"/>
        </w:rPr>
      </w:pPr>
      <w:r>
        <w:rPr>
          <w:rFonts w:cs="Times New Roman" w:eastAsiaTheme="minorEastAsia"/>
          <w:kern w:val="0"/>
          <w:position w:val="-28"/>
          <w:szCs w:val="24"/>
        </w:rPr>
        <w:object>
          <v:shape id="_x0000_i1063" o:spt="75" type="#_x0000_t75" style="height:27.2pt;width:181.45pt;" o:ole="t" filled="f" o:preferrelative="t" stroked="f" coordsize="21600,21600">
            <v:path/>
            <v:fill on="f" focussize="0,0"/>
            <v:stroke on="f" joinstyle="miter"/>
            <v:imagedata r:id="rId85" o:title=""/>
            <o:lock v:ext="edit" aspectratio="t"/>
            <w10:wrap type="none"/>
            <w10:anchorlock/>
          </v:shape>
          <o:OLEObject Type="Embed" ProgID="Equation.3" ShapeID="_x0000_i1063" DrawAspect="Content" ObjectID="_1468075763" r:id="rId84">
            <o:LockedField>false</o:LockedField>
          </o:OLEObject>
        </w:object>
      </w:r>
      <w:r>
        <w:rPr>
          <w:rFonts w:cs="Times New Roman" w:eastAsiaTheme="minorEastAsia"/>
          <w:kern w:val="0"/>
          <w:position w:val="-28"/>
          <w:szCs w:val="24"/>
        </w:rPr>
        <w:t xml:space="preserve">                     </w:t>
      </w:r>
      <w:r>
        <w:rPr>
          <w:rFonts w:cs="Times New Roman" w:eastAsiaTheme="minorEastAsia"/>
          <w:kern w:val="0"/>
          <w:szCs w:val="24"/>
        </w:rPr>
        <w:t>(</w:t>
      </w:r>
      <w:r>
        <w:rPr>
          <w:rFonts w:hint="eastAsia" w:cs="Times New Roman" w:eastAsiaTheme="minorEastAsia"/>
          <w:kern w:val="0"/>
          <w:szCs w:val="24"/>
        </w:rPr>
        <w:t>6.6</w:t>
      </w:r>
      <w:r>
        <w:rPr>
          <w:rFonts w:cs="Times New Roman" w:eastAsiaTheme="minorEastAsia"/>
          <w:kern w:val="0"/>
          <w:szCs w:val="24"/>
        </w:rPr>
        <w:t>)</w:t>
      </w:r>
    </w:p>
    <w:p>
      <w:pPr>
        <w:spacing w:before="0" w:after="0"/>
        <w:ind w:firstLine="480"/>
        <w:rPr>
          <w:rFonts w:cs="Times New Roman" w:eastAsiaTheme="minorEastAsia"/>
          <w:kern w:val="0"/>
          <w:szCs w:val="24"/>
        </w:rPr>
      </w:pPr>
      <w:r>
        <w:rPr>
          <w:rFonts w:cs="Times New Roman" w:eastAsiaTheme="minorEastAsia"/>
          <w:kern w:val="0"/>
          <w:szCs w:val="24"/>
        </w:rPr>
        <w:t>式中：</w:t>
      </w:r>
    </w:p>
    <w:p>
      <w:pPr>
        <w:spacing w:before="0" w:after="0"/>
        <w:ind w:firstLine="480"/>
        <w:rPr>
          <w:rFonts w:cs="Times New Roman" w:eastAsiaTheme="minorEastAsia"/>
          <w:kern w:val="0"/>
          <w:szCs w:val="24"/>
        </w:rPr>
      </w:pPr>
      <w:r>
        <w:rPr>
          <w:rFonts w:cs="Times New Roman" w:eastAsiaTheme="minorEastAsia"/>
          <w:position w:val="-16"/>
          <w:szCs w:val="24"/>
        </w:rPr>
        <w:object>
          <v:shape id="_x0000_i1064" o:spt="75" type="#_x0000_t75" style="height:21.3pt;width:21.3pt;" o:ole="t" filled="f" o:preferrelative="t" stroked="f" coordsize="21600,21600">
            <v:path/>
            <v:fill on="f" focussize="0,0"/>
            <v:stroke on="f" joinstyle="miter"/>
            <v:imagedata r:id="rId79" o:title=""/>
            <o:lock v:ext="edit" aspectratio="t"/>
            <w10:wrap type="none"/>
            <w10:anchorlock/>
          </v:shape>
          <o:OLEObject Type="Embed" ProgID="Equation.3" ShapeID="_x0000_i1064" DrawAspect="Content" ObjectID="_1468075764" r:id="rId86">
            <o:LockedField>false</o:LockedField>
          </o:OLEObject>
        </w:object>
      </w:r>
      <w:r>
        <w:rPr>
          <w:rFonts w:cs="Times New Roman" w:eastAsiaTheme="minorEastAsia"/>
          <w:kern w:val="0"/>
          <w:szCs w:val="24"/>
        </w:rPr>
        <w:t>指甲烷排放量(千克甲烷/年)；</w:t>
      </w:r>
    </w:p>
    <w:p>
      <w:pPr>
        <w:spacing w:before="0" w:after="0"/>
        <w:ind w:firstLine="480"/>
        <w:rPr>
          <w:rFonts w:cs="Times New Roman" w:eastAsiaTheme="minorEastAsia"/>
          <w:kern w:val="0"/>
          <w:szCs w:val="24"/>
        </w:rPr>
      </w:pPr>
      <w:r>
        <w:rPr>
          <w:rFonts w:cs="Times New Roman" w:eastAsiaTheme="minorEastAsia"/>
          <w:i/>
          <w:iCs/>
          <w:kern w:val="0"/>
          <w:szCs w:val="24"/>
        </w:rPr>
        <w:t>i</w:t>
      </w:r>
      <w:r>
        <w:rPr>
          <w:rFonts w:cs="Times New Roman" w:eastAsiaTheme="minorEastAsia"/>
          <w:kern w:val="0"/>
          <w:szCs w:val="24"/>
        </w:rPr>
        <w:t>表示不同的工业行业；</w:t>
      </w:r>
    </w:p>
    <w:p>
      <w:pPr>
        <w:spacing w:before="0" w:after="0"/>
        <w:ind w:firstLine="480"/>
        <w:rPr>
          <w:rFonts w:cs="Times New Roman" w:eastAsiaTheme="minorEastAsia"/>
          <w:kern w:val="0"/>
          <w:szCs w:val="24"/>
        </w:rPr>
      </w:pPr>
      <w:r>
        <w:rPr>
          <w:rFonts w:cs="Times New Roman" w:eastAsiaTheme="minorEastAsia"/>
          <w:i/>
          <w:iCs/>
          <w:kern w:val="0"/>
          <w:szCs w:val="24"/>
        </w:rPr>
        <w:t>TOW</w:t>
      </w:r>
      <w:r>
        <w:rPr>
          <w:rFonts w:cs="Times New Roman" w:eastAsiaTheme="minorEastAsia"/>
          <w:i/>
          <w:iCs/>
          <w:kern w:val="0"/>
          <w:szCs w:val="24"/>
          <w:vertAlign w:val="subscript"/>
        </w:rPr>
        <w:t>i</w:t>
      </w:r>
      <w:r>
        <w:rPr>
          <w:rFonts w:cs="Times New Roman" w:eastAsiaTheme="minorEastAsia"/>
          <w:kern w:val="0"/>
          <w:szCs w:val="24"/>
        </w:rPr>
        <w:t>指工业废水中可降解有机物的总量(千克 COD/年)；</w:t>
      </w:r>
    </w:p>
    <w:p>
      <w:pPr>
        <w:spacing w:before="0" w:after="0"/>
        <w:ind w:firstLine="480"/>
        <w:rPr>
          <w:rFonts w:cs="Times New Roman" w:eastAsiaTheme="minorEastAsia"/>
          <w:kern w:val="0"/>
          <w:szCs w:val="24"/>
        </w:rPr>
      </w:pPr>
      <w:r>
        <w:rPr>
          <w:rFonts w:cs="Times New Roman" w:eastAsiaTheme="minorEastAsia"/>
          <w:i/>
          <w:iCs/>
          <w:kern w:val="0"/>
          <w:szCs w:val="24"/>
        </w:rPr>
        <w:t>S</w:t>
      </w:r>
      <w:r>
        <w:rPr>
          <w:rFonts w:cs="Times New Roman" w:eastAsiaTheme="minorEastAsia"/>
          <w:i/>
          <w:iCs/>
          <w:kern w:val="0"/>
          <w:szCs w:val="24"/>
          <w:vertAlign w:val="subscript"/>
        </w:rPr>
        <w:t>i</w:t>
      </w:r>
      <w:r>
        <w:rPr>
          <w:rFonts w:cs="Times New Roman" w:eastAsiaTheme="minorEastAsia"/>
          <w:kern w:val="0"/>
          <w:szCs w:val="24"/>
        </w:rPr>
        <w:t>指以污泥方式清除掉的有机物总量(千克COD/年)；</w:t>
      </w:r>
    </w:p>
    <w:p>
      <w:pPr>
        <w:spacing w:before="0" w:after="0"/>
        <w:ind w:firstLine="480"/>
        <w:rPr>
          <w:rFonts w:cs="Times New Roman" w:eastAsiaTheme="minorEastAsia"/>
          <w:kern w:val="0"/>
          <w:szCs w:val="24"/>
        </w:rPr>
      </w:pPr>
      <w:r>
        <w:rPr>
          <w:rFonts w:cs="Times New Roman" w:eastAsiaTheme="minorEastAsia"/>
          <w:i/>
          <w:iCs/>
          <w:kern w:val="0"/>
          <w:szCs w:val="24"/>
        </w:rPr>
        <w:t>EF</w:t>
      </w:r>
      <w:r>
        <w:rPr>
          <w:rFonts w:cs="Times New Roman" w:eastAsiaTheme="minorEastAsia"/>
          <w:i/>
          <w:iCs/>
          <w:kern w:val="0"/>
          <w:szCs w:val="24"/>
          <w:vertAlign w:val="subscript"/>
        </w:rPr>
        <w:t>i</w:t>
      </w:r>
      <w:r>
        <w:rPr>
          <w:rFonts w:cs="Times New Roman" w:eastAsiaTheme="minorEastAsia"/>
          <w:kern w:val="0"/>
          <w:szCs w:val="24"/>
        </w:rPr>
        <w:t>指排放因子(千克CH</w:t>
      </w:r>
      <w:r>
        <w:rPr>
          <w:rFonts w:cs="Times New Roman" w:eastAsiaTheme="minorEastAsia"/>
          <w:kern w:val="0"/>
          <w:szCs w:val="24"/>
          <w:vertAlign w:val="subscript"/>
        </w:rPr>
        <w:t>4</w:t>
      </w:r>
      <w:r>
        <w:rPr>
          <w:rFonts w:cs="Times New Roman" w:eastAsiaTheme="minorEastAsia"/>
          <w:kern w:val="0"/>
          <w:szCs w:val="24"/>
        </w:rPr>
        <w:t xml:space="preserve">/千克COD)； </w:t>
      </w:r>
    </w:p>
    <w:p>
      <w:pPr>
        <w:spacing w:before="0" w:after="0"/>
        <w:ind w:firstLine="480"/>
        <w:rPr>
          <w:rFonts w:cs="Times New Roman" w:eastAsiaTheme="minorEastAsia"/>
          <w:kern w:val="0"/>
          <w:szCs w:val="24"/>
        </w:rPr>
      </w:pPr>
      <w:r>
        <w:rPr>
          <w:rFonts w:cs="Times New Roman" w:eastAsiaTheme="minorEastAsia"/>
          <w:i/>
          <w:iCs/>
          <w:kern w:val="0"/>
          <w:szCs w:val="24"/>
        </w:rPr>
        <w:t>R</w:t>
      </w:r>
      <w:r>
        <w:rPr>
          <w:rFonts w:cs="Times New Roman" w:eastAsiaTheme="minorEastAsia"/>
          <w:i/>
          <w:iCs/>
          <w:kern w:val="0"/>
          <w:szCs w:val="24"/>
          <w:vertAlign w:val="subscript"/>
        </w:rPr>
        <w:t>i</w:t>
      </w:r>
      <w:r>
        <w:rPr>
          <w:rFonts w:cs="Times New Roman" w:eastAsiaTheme="minorEastAsia"/>
          <w:kern w:val="0"/>
          <w:szCs w:val="24"/>
        </w:rPr>
        <w:t>指甲烷回收量(千克甲烷/年)。</w:t>
      </w:r>
    </w:p>
    <w:p>
      <w:pPr>
        <w:spacing w:before="0" w:after="0"/>
        <w:ind w:firstLine="480" w:firstLineChars="200"/>
        <w:rPr>
          <w:rFonts w:cs="Times New Roman"/>
          <w:szCs w:val="24"/>
        </w:rPr>
      </w:pPr>
      <w:r>
        <w:rPr>
          <w:rFonts w:hint="eastAsia" w:cs="Times New Roman"/>
          <w:szCs w:val="24"/>
        </w:rPr>
        <w:t>（3）废水处理氧化亚氮排放</w:t>
      </w:r>
    </w:p>
    <w:p>
      <w:pPr>
        <w:spacing w:before="0" w:after="0"/>
        <w:ind w:firstLine="480" w:firstLineChars="200"/>
        <w:rPr>
          <w:rFonts w:cs="Times New Roman" w:eastAsiaTheme="minorEastAsia"/>
          <w:kern w:val="0"/>
          <w:szCs w:val="24"/>
        </w:rPr>
      </w:pPr>
      <w:r>
        <w:rPr>
          <w:rFonts w:cs="Times New Roman" w:eastAsiaTheme="minorEastAsia"/>
          <w:kern w:val="0"/>
          <w:szCs w:val="24"/>
        </w:rPr>
        <w:t>废水处理过程氧化亚氮排放采用</w:t>
      </w:r>
      <w:r>
        <w:rPr>
          <w:rFonts w:hint="eastAsia" w:cs="Times New Roman" w:eastAsiaTheme="minorEastAsia"/>
          <w:szCs w:val="24"/>
        </w:rPr>
        <w:t>指南</w:t>
      </w:r>
      <w:r>
        <w:rPr>
          <w:rFonts w:cs="Times New Roman" w:eastAsiaTheme="minorEastAsia"/>
          <w:kern w:val="0"/>
          <w:szCs w:val="24"/>
        </w:rPr>
        <w:t>推荐方法，计算公式为：</w:t>
      </w:r>
    </w:p>
    <w:p>
      <w:pPr>
        <w:spacing w:before="0" w:after="0"/>
        <w:ind w:firstLine="480" w:firstLineChars="200"/>
        <w:jc w:val="right"/>
        <w:rPr>
          <w:rFonts w:cs="Times New Roman" w:eastAsiaTheme="minorEastAsia"/>
          <w:kern w:val="0"/>
          <w:szCs w:val="24"/>
        </w:rPr>
      </w:pPr>
      <w:bookmarkStart w:id="269" w:name="_Ref282723067"/>
      <w:bookmarkStart w:id="270" w:name="_Ref282723054"/>
      <w:r>
        <w:rPr>
          <w:rFonts w:cs="Times New Roman" w:eastAsiaTheme="minorEastAsia"/>
          <w:kern w:val="0"/>
          <w:position w:val="-14"/>
          <w:szCs w:val="24"/>
        </w:rPr>
        <w:object>
          <v:shape id="_x0000_i1065" o:spt="75" type="#_x0000_t75" style="height:20.55pt;width:136.65pt;" o:ole="t" filled="f" o:preferrelative="t" stroked="f" coordsize="21600,21600">
            <v:path/>
            <v:fill on="f" focussize="0,0"/>
            <v:stroke on="f" joinstyle="miter"/>
            <v:imagedata r:id="rId88" o:title=""/>
            <o:lock v:ext="edit" aspectratio="t"/>
            <w10:wrap type="none"/>
            <w10:anchorlock/>
          </v:shape>
          <o:OLEObject Type="Embed" ProgID="Equation.3" ShapeID="_x0000_i1065" DrawAspect="Content" ObjectID="_1468075765" r:id="rId87">
            <o:LockedField>false</o:LockedField>
          </o:OLEObject>
        </w:object>
      </w:r>
      <w:r>
        <w:rPr>
          <w:rFonts w:cs="Times New Roman" w:eastAsiaTheme="minorEastAsia"/>
          <w:kern w:val="0"/>
          <w:szCs w:val="24"/>
        </w:rPr>
        <w:t xml:space="preserve">                            (</w:t>
      </w:r>
      <w:bookmarkEnd w:id="269"/>
      <w:r>
        <w:rPr>
          <w:rFonts w:cs="Times New Roman" w:eastAsiaTheme="minorEastAsia"/>
          <w:kern w:val="0"/>
          <w:szCs w:val="24"/>
        </w:rPr>
        <w:t>6.</w:t>
      </w:r>
      <w:r>
        <w:rPr>
          <w:rFonts w:hint="eastAsia" w:cs="Times New Roman" w:eastAsiaTheme="minorEastAsia"/>
          <w:kern w:val="0"/>
          <w:szCs w:val="24"/>
        </w:rPr>
        <w:t>7</w:t>
      </w:r>
      <w:r>
        <w:rPr>
          <w:rFonts w:cs="Times New Roman" w:eastAsiaTheme="minorEastAsia"/>
          <w:kern w:val="0"/>
          <w:szCs w:val="24"/>
        </w:rPr>
        <w:t>)</w:t>
      </w:r>
      <w:bookmarkEnd w:id="270"/>
    </w:p>
    <w:p>
      <w:pPr>
        <w:spacing w:before="0" w:after="0"/>
        <w:ind w:firstLine="480" w:firstLineChars="200"/>
        <w:rPr>
          <w:rFonts w:cs="Times New Roman" w:eastAsiaTheme="minorEastAsia"/>
          <w:kern w:val="0"/>
          <w:szCs w:val="24"/>
        </w:rPr>
      </w:pPr>
      <w:r>
        <w:rPr>
          <w:rFonts w:cs="Times New Roman" w:eastAsiaTheme="minorEastAsia"/>
          <w:kern w:val="0"/>
          <w:szCs w:val="24"/>
        </w:rPr>
        <w:t>式中：</w:t>
      </w:r>
    </w:p>
    <w:p>
      <w:pPr>
        <w:spacing w:before="0" w:after="0"/>
        <w:ind w:firstLine="480" w:firstLineChars="200"/>
        <w:rPr>
          <w:rFonts w:cs="Times New Roman" w:eastAsiaTheme="minorEastAsia"/>
          <w:kern w:val="0"/>
          <w:szCs w:val="24"/>
        </w:rPr>
      </w:pPr>
      <w:r>
        <w:rPr>
          <w:rFonts w:cs="Times New Roman" w:eastAsiaTheme="minorEastAsia"/>
          <w:i/>
          <w:iCs/>
          <w:kern w:val="0"/>
          <w:szCs w:val="24"/>
        </w:rPr>
        <w:t>E</w:t>
      </w:r>
      <w:r>
        <w:rPr>
          <w:rFonts w:cs="Times New Roman" w:eastAsiaTheme="minorEastAsia"/>
          <w:i/>
          <w:iCs/>
          <w:kern w:val="0"/>
          <w:szCs w:val="24"/>
          <w:vertAlign w:val="subscript"/>
        </w:rPr>
        <w:t>N</w:t>
      </w:r>
      <w:r>
        <w:rPr>
          <w:rFonts w:cs="Times New Roman" w:eastAsiaTheme="minorEastAsia"/>
          <w:i/>
          <w:iCs/>
          <w:kern w:val="0"/>
          <w:szCs w:val="24"/>
          <w:vertAlign w:val="subscript"/>
        </w:rPr>
        <w:softHyphen/>
      </w:r>
      <w:r>
        <w:rPr>
          <w:rFonts w:cs="Times New Roman" w:eastAsiaTheme="minorEastAsia"/>
          <w:i/>
          <w:iCs/>
          <w:kern w:val="0"/>
          <w:szCs w:val="24"/>
          <w:vertAlign w:val="subscript"/>
        </w:rPr>
        <w:t>2O</w:t>
      </w:r>
      <w:r>
        <w:rPr>
          <w:rFonts w:cs="Times New Roman" w:eastAsiaTheme="minorEastAsia"/>
          <w:kern w:val="0"/>
          <w:szCs w:val="24"/>
        </w:rPr>
        <w:t>指清单年份氧化亚氮的年排放量(千克氧化亚氮/年)；</w:t>
      </w:r>
    </w:p>
    <w:p>
      <w:pPr>
        <w:spacing w:before="0" w:after="0"/>
        <w:ind w:firstLine="480" w:firstLineChars="200"/>
        <w:rPr>
          <w:rFonts w:cs="Times New Roman" w:eastAsiaTheme="minorEastAsia"/>
          <w:kern w:val="0"/>
          <w:szCs w:val="24"/>
        </w:rPr>
      </w:pPr>
      <w:r>
        <w:rPr>
          <w:rFonts w:cs="Times New Roman" w:eastAsiaTheme="minorEastAsia"/>
          <w:i/>
          <w:iCs/>
          <w:kern w:val="0"/>
          <w:szCs w:val="24"/>
        </w:rPr>
        <w:t>N</w:t>
      </w:r>
      <w:r>
        <w:rPr>
          <w:rFonts w:cs="Times New Roman" w:eastAsiaTheme="minorEastAsia"/>
          <w:i/>
          <w:iCs/>
          <w:kern w:val="0"/>
          <w:szCs w:val="24"/>
          <w:vertAlign w:val="subscript"/>
        </w:rPr>
        <w:t>E</w:t>
      </w:r>
      <w:r>
        <w:rPr>
          <w:rFonts w:cs="Times New Roman" w:eastAsiaTheme="minorEastAsia"/>
          <w:kern w:val="0"/>
          <w:szCs w:val="24"/>
        </w:rPr>
        <w:t xml:space="preserve">指污水中氮含量(千克氮/年)； </w:t>
      </w:r>
    </w:p>
    <w:p>
      <w:pPr>
        <w:spacing w:before="0" w:after="0"/>
        <w:ind w:firstLine="480" w:firstLineChars="200"/>
        <w:rPr>
          <w:rFonts w:cs="Times New Roman" w:eastAsiaTheme="minorEastAsia"/>
          <w:kern w:val="0"/>
          <w:szCs w:val="24"/>
        </w:rPr>
      </w:pPr>
      <w:r>
        <w:rPr>
          <w:rFonts w:cs="Times New Roman" w:eastAsiaTheme="minorEastAsia"/>
          <w:i/>
          <w:iCs/>
          <w:kern w:val="0"/>
          <w:szCs w:val="24"/>
        </w:rPr>
        <w:t>EF</w:t>
      </w:r>
      <w:r>
        <w:rPr>
          <w:rFonts w:cs="Times New Roman" w:eastAsiaTheme="minorEastAsia"/>
          <w:i/>
          <w:iCs/>
          <w:kern w:val="0"/>
          <w:szCs w:val="24"/>
          <w:vertAlign w:val="subscript"/>
        </w:rPr>
        <w:t>E</w:t>
      </w:r>
      <w:r>
        <w:rPr>
          <w:rFonts w:cs="Times New Roman" w:eastAsiaTheme="minorEastAsia"/>
          <w:kern w:val="0"/>
          <w:szCs w:val="24"/>
        </w:rPr>
        <w:t xml:space="preserve"> 指废水的氧化亚氮排放因子(千克氧化亚氮/千克氮)；</w:t>
      </w:r>
    </w:p>
    <w:p>
      <w:pPr>
        <w:spacing w:before="0" w:after="0"/>
        <w:ind w:firstLine="480" w:firstLineChars="200"/>
        <w:rPr>
          <w:rFonts w:cs="Times New Roman" w:eastAsiaTheme="minorEastAsia"/>
          <w:kern w:val="0"/>
          <w:szCs w:val="24"/>
        </w:rPr>
      </w:pPr>
      <w:r>
        <w:rPr>
          <w:rFonts w:cs="Times New Roman" w:eastAsiaTheme="minorEastAsia"/>
          <w:kern w:val="0"/>
          <w:szCs w:val="24"/>
        </w:rPr>
        <w:t>44/28为转化系数。</w:t>
      </w:r>
    </w:p>
    <w:p>
      <w:pPr>
        <w:spacing w:before="0" w:after="0"/>
        <w:ind w:firstLine="480" w:firstLineChars="200"/>
        <w:rPr>
          <w:rFonts w:cs="Times New Roman" w:eastAsiaTheme="minorEastAsia"/>
          <w:kern w:val="0"/>
          <w:szCs w:val="24"/>
        </w:rPr>
      </w:pPr>
      <w:r>
        <w:rPr>
          <w:rFonts w:cs="Times New Roman" w:eastAsiaTheme="minorEastAsia"/>
          <w:kern w:val="0"/>
          <w:szCs w:val="24"/>
        </w:rPr>
        <w:t>其中排放到废水中的氮含量可通过下式计算：</w:t>
      </w:r>
    </w:p>
    <w:p>
      <w:pPr>
        <w:spacing w:before="0" w:after="0"/>
        <w:ind w:firstLine="480" w:firstLineChars="200"/>
        <w:jc w:val="right"/>
        <w:rPr>
          <w:rFonts w:cs="Times New Roman" w:eastAsiaTheme="minorEastAsia"/>
          <w:kern w:val="0"/>
          <w:szCs w:val="24"/>
        </w:rPr>
      </w:pPr>
      <w:bookmarkStart w:id="271" w:name="_Ref282723071"/>
      <w:r>
        <w:rPr>
          <w:rFonts w:cs="Times New Roman" w:eastAsiaTheme="minorEastAsia"/>
          <w:kern w:val="0"/>
          <w:position w:val="-10"/>
          <w:szCs w:val="24"/>
        </w:rPr>
        <w:object>
          <v:shape id="_x0000_i1066" o:spt="75" type="#_x0000_t75" style="height:18.35pt;width:241pt;" o:ole="t" filled="f" o:preferrelative="t" stroked="f" coordsize="21600,21600">
            <v:path/>
            <v:fill on="f" focussize="0,0"/>
            <v:stroke on="f" joinstyle="miter"/>
            <v:imagedata r:id="rId90" o:title=""/>
            <o:lock v:ext="edit" aspectratio="t"/>
            <w10:wrap type="none"/>
            <w10:anchorlock/>
          </v:shape>
          <o:OLEObject Type="Embed" ProgID="Equation.3" ShapeID="_x0000_i1066" DrawAspect="Content" ObjectID="_1468075766" r:id="rId89">
            <o:LockedField>false</o:LockedField>
          </o:OLEObject>
        </w:object>
      </w:r>
      <w:r>
        <w:rPr>
          <w:rFonts w:cs="Times New Roman" w:eastAsiaTheme="minorEastAsia"/>
          <w:kern w:val="0"/>
          <w:szCs w:val="24"/>
        </w:rPr>
        <w:t xml:space="preserve">              (</w:t>
      </w:r>
      <w:bookmarkEnd w:id="271"/>
      <w:r>
        <w:rPr>
          <w:rFonts w:cs="Times New Roman" w:eastAsiaTheme="minorEastAsia"/>
          <w:kern w:val="0"/>
          <w:szCs w:val="24"/>
        </w:rPr>
        <w:t>6.</w:t>
      </w:r>
      <w:r>
        <w:rPr>
          <w:rFonts w:hint="eastAsia" w:cs="Times New Roman" w:eastAsiaTheme="minorEastAsia"/>
          <w:kern w:val="0"/>
          <w:szCs w:val="24"/>
        </w:rPr>
        <w:t>8</w:t>
      </w:r>
      <w:r>
        <w:rPr>
          <w:rFonts w:cs="Times New Roman" w:eastAsiaTheme="minorEastAsia"/>
          <w:kern w:val="0"/>
          <w:szCs w:val="24"/>
        </w:rPr>
        <w:t>)</w:t>
      </w:r>
    </w:p>
    <w:p>
      <w:pPr>
        <w:spacing w:before="0" w:after="0"/>
        <w:ind w:firstLine="480" w:firstLineChars="200"/>
        <w:rPr>
          <w:rFonts w:cs="Times New Roman" w:eastAsiaTheme="minorEastAsia"/>
          <w:kern w:val="0"/>
          <w:szCs w:val="24"/>
        </w:rPr>
      </w:pPr>
      <w:r>
        <w:rPr>
          <w:rFonts w:cs="Times New Roman" w:eastAsiaTheme="minorEastAsia"/>
          <w:kern w:val="0"/>
          <w:szCs w:val="24"/>
        </w:rPr>
        <w:t>式中：</w:t>
      </w:r>
    </w:p>
    <w:p>
      <w:pPr>
        <w:spacing w:before="0" w:after="0"/>
        <w:ind w:firstLine="480" w:firstLineChars="200"/>
        <w:rPr>
          <w:rFonts w:cs="Times New Roman" w:eastAsiaTheme="minorEastAsia"/>
          <w:kern w:val="0"/>
          <w:szCs w:val="24"/>
        </w:rPr>
      </w:pPr>
      <w:r>
        <w:rPr>
          <w:rFonts w:cs="Times New Roman" w:eastAsiaTheme="minorEastAsia"/>
          <w:i/>
          <w:iCs/>
          <w:kern w:val="0"/>
          <w:szCs w:val="24"/>
        </w:rPr>
        <w:t>P</w:t>
      </w:r>
      <w:r>
        <w:rPr>
          <w:rFonts w:cs="Times New Roman" w:eastAsiaTheme="minorEastAsia"/>
          <w:kern w:val="0"/>
          <w:szCs w:val="24"/>
        </w:rPr>
        <w:t xml:space="preserve"> 指人口数；</w:t>
      </w:r>
    </w:p>
    <w:p>
      <w:pPr>
        <w:spacing w:before="0" w:after="0"/>
        <w:ind w:firstLine="480" w:firstLineChars="200"/>
        <w:rPr>
          <w:rFonts w:cs="Times New Roman" w:eastAsiaTheme="minorEastAsia"/>
          <w:kern w:val="0"/>
          <w:szCs w:val="24"/>
        </w:rPr>
      </w:pPr>
      <w:r>
        <w:rPr>
          <w:rFonts w:cs="Times New Roman" w:eastAsiaTheme="minorEastAsia"/>
          <w:i/>
          <w:iCs/>
          <w:kern w:val="0"/>
          <w:szCs w:val="24"/>
        </w:rPr>
        <w:t>P</w:t>
      </w:r>
      <w:r>
        <w:rPr>
          <w:rFonts w:cs="Times New Roman" w:eastAsiaTheme="minorEastAsia"/>
          <w:i/>
          <w:iCs/>
          <w:kern w:val="0"/>
          <w:szCs w:val="24"/>
          <w:vertAlign w:val="subscript"/>
        </w:rPr>
        <w:t>r</w:t>
      </w:r>
      <w:r>
        <w:rPr>
          <w:rFonts w:cs="Times New Roman" w:eastAsiaTheme="minorEastAsia"/>
          <w:kern w:val="0"/>
          <w:szCs w:val="24"/>
        </w:rPr>
        <w:t>指每年人均蛋白质消耗量(千克/人/年)；</w:t>
      </w:r>
    </w:p>
    <w:p>
      <w:pPr>
        <w:spacing w:before="0" w:after="0"/>
        <w:ind w:firstLine="480" w:firstLineChars="200"/>
        <w:rPr>
          <w:rFonts w:cs="Times New Roman" w:eastAsiaTheme="minorEastAsia"/>
          <w:kern w:val="0"/>
          <w:szCs w:val="24"/>
        </w:rPr>
      </w:pPr>
      <w:r>
        <w:rPr>
          <w:rFonts w:cs="Times New Roman" w:eastAsiaTheme="minorEastAsia"/>
          <w:i/>
          <w:iCs/>
          <w:kern w:val="0"/>
          <w:szCs w:val="24"/>
        </w:rPr>
        <w:t>F</w:t>
      </w:r>
      <w:r>
        <w:rPr>
          <w:rFonts w:cs="Times New Roman" w:eastAsiaTheme="minorEastAsia"/>
          <w:i/>
          <w:iCs/>
          <w:kern w:val="0"/>
          <w:szCs w:val="24"/>
          <w:vertAlign w:val="subscript"/>
        </w:rPr>
        <w:t>NPR</w:t>
      </w:r>
      <w:r>
        <w:rPr>
          <w:rFonts w:cs="Times New Roman" w:eastAsiaTheme="minorEastAsia"/>
          <w:kern w:val="0"/>
          <w:szCs w:val="24"/>
        </w:rPr>
        <w:t>指蛋白质中的氮含量；</w:t>
      </w:r>
    </w:p>
    <w:p>
      <w:pPr>
        <w:spacing w:before="0" w:after="0"/>
        <w:ind w:firstLine="480" w:firstLineChars="200"/>
        <w:rPr>
          <w:rFonts w:cs="Times New Roman" w:eastAsiaTheme="minorEastAsia"/>
          <w:kern w:val="0"/>
          <w:szCs w:val="24"/>
        </w:rPr>
      </w:pPr>
      <w:r>
        <w:rPr>
          <w:rFonts w:cs="Times New Roman" w:eastAsiaTheme="minorEastAsia"/>
          <w:i/>
          <w:iCs/>
          <w:kern w:val="0"/>
          <w:szCs w:val="24"/>
        </w:rPr>
        <w:t>F</w:t>
      </w:r>
      <w:r>
        <w:rPr>
          <w:rFonts w:cs="Times New Roman" w:eastAsiaTheme="minorEastAsia"/>
          <w:i/>
          <w:iCs/>
          <w:kern w:val="0"/>
          <w:szCs w:val="24"/>
          <w:vertAlign w:val="subscript"/>
        </w:rPr>
        <w:t xml:space="preserve">NON-CON </w:t>
      </w:r>
      <w:r>
        <w:rPr>
          <w:rFonts w:cs="Times New Roman" w:eastAsiaTheme="minorEastAsia"/>
          <w:kern w:val="0"/>
          <w:szCs w:val="24"/>
        </w:rPr>
        <w:t>指废水中的非消耗蛋白质因子；</w:t>
      </w:r>
    </w:p>
    <w:p>
      <w:pPr>
        <w:spacing w:before="0" w:after="0"/>
        <w:ind w:firstLine="480" w:firstLineChars="200"/>
        <w:rPr>
          <w:rFonts w:cs="Times New Roman" w:eastAsiaTheme="minorEastAsia"/>
          <w:kern w:val="0"/>
          <w:szCs w:val="24"/>
        </w:rPr>
      </w:pPr>
      <w:r>
        <w:rPr>
          <w:rFonts w:cs="Times New Roman" w:eastAsiaTheme="minorEastAsia"/>
          <w:i/>
          <w:iCs/>
          <w:kern w:val="0"/>
          <w:szCs w:val="24"/>
        </w:rPr>
        <w:t>F</w:t>
      </w:r>
      <w:r>
        <w:rPr>
          <w:rFonts w:cs="Times New Roman" w:eastAsiaTheme="minorEastAsia"/>
          <w:i/>
          <w:iCs/>
          <w:kern w:val="0"/>
          <w:szCs w:val="24"/>
          <w:vertAlign w:val="subscript"/>
        </w:rPr>
        <w:t>IND-COM</w:t>
      </w:r>
      <w:r>
        <w:rPr>
          <w:rFonts w:cs="Times New Roman" w:eastAsiaTheme="minorEastAsia"/>
          <w:kern w:val="0"/>
          <w:szCs w:val="24"/>
        </w:rPr>
        <w:t>指工业和商业的蛋白质排放因子；</w:t>
      </w:r>
    </w:p>
    <w:p>
      <w:pPr>
        <w:spacing w:before="0" w:after="0"/>
        <w:ind w:firstLine="480" w:firstLineChars="200"/>
        <w:rPr>
          <w:rFonts w:cs="Times New Roman" w:eastAsiaTheme="minorEastAsia"/>
          <w:kern w:val="0"/>
          <w:szCs w:val="24"/>
        </w:rPr>
      </w:pPr>
      <w:r>
        <w:rPr>
          <w:rFonts w:cs="Times New Roman" w:eastAsiaTheme="minorEastAsia"/>
          <w:i/>
          <w:iCs/>
          <w:kern w:val="0"/>
          <w:szCs w:val="24"/>
        </w:rPr>
        <w:t>N</w:t>
      </w:r>
      <w:r>
        <w:rPr>
          <w:rFonts w:cs="Times New Roman" w:eastAsiaTheme="minorEastAsia"/>
          <w:i/>
          <w:iCs/>
          <w:kern w:val="0"/>
          <w:szCs w:val="24"/>
          <w:vertAlign w:val="subscript"/>
        </w:rPr>
        <w:t>S</w:t>
      </w:r>
      <w:r>
        <w:rPr>
          <w:rFonts w:cs="Times New Roman" w:eastAsiaTheme="minorEastAsia"/>
          <w:kern w:val="0"/>
          <w:szCs w:val="24"/>
        </w:rPr>
        <w:t>指随污泥清除的氮(千克氮/年)。</w:t>
      </w:r>
    </w:p>
    <w:p>
      <w:pPr>
        <w:pStyle w:val="3"/>
      </w:pPr>
      <w:bookmarkStart w:id="272" w:name="_Toc25629"/>
      <w:r>
        <w:rPr>
          <w:rFonts w:hint="eastAsia"/>
        </w:rPr>
        <w:t>活动水平数据来源及排放因子选取</w:t>
      </w:r>
      <w:bookmarkEnd w:id="272"/>
    </w:p>
    <w:p>
      <w:pPr>
        <w:pStyle w:val="4"/>
      </w:pPr>
      <w:bookmarkStart w:id="273" w:name="_Toc4463"/>
      <w:bookmarkStart w:id="274" w:name="_Toc51939065"/>
      <w:bookmarkStart w:id="275" w:name="_Toc54097694"/>
      <w:bookmarkStart w:id="276" w:name="_Toc53827553"/>
      <w:bookmarkStart w:id="277" w:name="_Toc52177430"/>
      <w:bookmarkStart w:id="278" w:name="_Toc55311779"/>
      <w:r>
        <w:rPr>
          <w:rFonts w:hint="eastAsia"/>
        </w:rPr>
        <w:t>城市固体废弃物填埋处理温室气体排放</w:t>
      </w:r>
      <w:bookmarkEnd w:id="273"/>
      <w:bookmarkEnd w:id="274"/>
      <w:bookmarkEnd w:id="275"/>
      <w:bookmarkEnd w:id="276"/>
      <w:bookmarkEnd w:id="277"/>
      <w:bookmarkEnd w:id="278"/>
    </w:p>
    <w:p>
      <w:pPr>
        <w:ind w:firstLine="480" w:firstLineChars="200"/>
      </w:pPr>
      <w:r>
        <w:rPr>
          <w:rFonts w:hint="eastAsia"/>
        </w:rPr>
        <w:t>（1）活动水平数据</w:t>
      </w:r>
    </w:p>
    <w:p>
      <w:pPr>
        <w:ind w:firstLine="480" w:firstLineChars="200"/>
      </w:pPr>
      <w:r>
        <w:rPr>
          <w:rFonts w:hint="eastAsia"/>
        </w:rPr>
        <w:t>a）固体废弃物产生量</w:t>
      </w:r>
    </w:p>
    <w:p>
      <w:pPr>
        <w:ind w:firstLine="480" w:firstLineChars="200"/>
      </w:pPr>
      <w:r>
        <w:rPr>
          <w:rFonts w:hint="eastAsia" w:asciiTheme="majorEastAsia" w:hAnsiTheme="majorEastAsia" w:eastAsiaTheme="majorEastAsia" w:cstheme="majorEastAsia"/>
        </w:rPr>
        <w:t>2019年益阳市官方统计的城市固体废弃物产生量暂未发布，本次报告采用益阳市生态环境局提供的数据</w:t>
      </w:r>
      <w:r>
        <w:rPr>
          <w:rFonts w:hint="eastAsia"/>
        </w:rPr>
        <w:t>。</w:t>
      </w:r>
    </w:p>
    <w:p>
      <w:pPr>
        <w:ind w:firstLine="480" w:firstLineChars="200"/>
      </w:pPr>
      <w:r>
        <w:rPr>
          <w:rFonts w:hint="eastAsia"/>
        </w:rPr>
        <w:t>b）固体废弃物成分组成</w:t>
      </w:r>
    </w:p>
    <w:p>
      <w:pPr>
        <w:ind w:firstLine="420"/>
        <w:rPr>
          <w:rFonts w:eastAsiaTheme="minorEastAsia"/>
        </w:rPr>
      </w:pPr>
      <w:r>
        <w:rPr>
          <w:rFonts w:hint="eastAsia" w:cs="Times New Roman" w:eastAsiaTheme="minorEastAsia"/>
          <w:szCs w:val="24"/>
        </w:rPr>
        <w:t>益阳市未提供生活垃圾成分检测报告，因此本报告</w:t>
      </w:r>
      <w:r>
        <w:rPr>
          <w:rFonts w:cs="Times New Roman" w:eastAsiaTheme="minorEastAsia"/>
          <w:szCs w:val="24"/>
        </w:rPr>
        <w:t>采用《</w:t>
      </w:r>
      <w:r>
        <w:rPr>
          <w:rFonts w:hint="eastAsia" w:cs="Times New Roman" w:eastAsiaTheme="minorEastAsia"/>
          <w:szCs w:val="24"/>
        </w:rPr>
        <w:t>湖南省</w:t>
      </w:r>
      <w:r>
        <w:rPr>
          <w:rFonts w:cs="Times New Roman" w:eastAsiaTheme="minorEastAsia"/>
          <w:szCs w:val="24"/>
        </w:rPr>
        <w:t>201</w:t>
      </w:r>
      <w:r>
        <w:rPr>
          <w:rFonts w:hint="eastAsia" w:cs="Times New Roman" w:eastAsiaTheme="minorEastAsia"/>
          <w:szCs w:val="24"/>
        </w:rPr>
        <w:t>8</w:t>
      </w:r>
      <w:r>
        <w:rPr>
          <w:rFonts w:cs="Times New Roman" w:eastAsiaTheme="minorEastAsia"/>
          <w:szCs w:val="24"/>
        </w:rPr>
        <w:t>年废弃物处理温室气体排放清单》</w:t>
      </w:r>
      <w:r>
        <w:rPr>
          <w:rFonts w:hint="eastAsia" w:cs="Times New Roman" w:eastAsiaTheme="minorEastAsia"/>
          <w:szCs w:val="24"/>
        </w:rPr>
        <w:t>中</w:t>
      </w:r>
      <w:r>
        <w:rPr>
          <w:rFonts w:cs="Times New Roman" w:eastAsiaTheme="minorEastAsia"/>
          <w:szCs w:val="24"/>
        </w:rPr>
        <w:t>长沙生活垃圾成分检测报告</w:t>
      </w:r>
      <w:r>
        <w:rPr>
          <w:rFonts w:hint="eastAsia" w:cs="Times New Roman" w:eastAsiaTheme="minorEastAsia"/>
          <w:szCs w:val="24"/>
        </w:rPr>
        <w:t>作为益阳市生活垃圾成分。</w:t>
      </w:r>
    </w:p>
    <w:p>
      <w:pPr>
        <w:ind w:firstLine="480" w:firstLineChars="200"/>
      </w:pPr>
      <w:r>
        <w:rPr>
          <w:rFonts w:hint="eastAsia"/>
        </w:rPr>
        <w:t>c）甲烷回收利用量</w:t>
      </w:r>
    </w:p>
    <w:p>
      <w:pPr>
        <w:ind w:firstLine="480" w:firstLineChars="200"/>
      </w:pPr>
      <w:r>
        <w:rPr>
          <w:rFonts w:cs="Times New Roman"/>
          <w:szCs w:val="24"/>
        </w:rPr>
        <w:t>关于垃圾填埋场甲烷回收利用量，根据实地调研益阳市周边的垃圾填埋场发现，垃圾</w:t>
      </w:r>
      <w:r>
        <w:rPr>
          <w:rFonts w:hint="eastAsia" w:cs="Times New Roman"/>
          <w:szCs w:val="24"/>
        </w:rPr>
        <w:t>填埋</w:t>
      </w:r>
      <w:r>
        <w:rPr>
          <w:rFonts w:cs="Times New Roman"/>
          <w:szCs w:val="24"/>
        </w:rPr>
        <w:t>场发电是常用的甲烷回收利用方式。根据益阳市生态环境局提供的沼气发电的统计数据信息，2019年益阳沼气利用量（折纯甲烷量）为1042.25</w:t>
      </w:r>
      <w:r>
        <w:rPr>
          <w:rFonts w:hint="eastAsia" w:cs="Times New Roman"/>
          <w:szCs w:val="24"/>
        </w:rPr>
        <w:t>标立方米/小时</w:t>
      </w:r>
      <w:r>
        <w:rPr>
          <w:rFonts w:cs="Times New Roman"/>
          <w:szCs w:val="24"/>
        </w:rPr>
        <w:t>，一年按365天每天运行24</w:t>
      </w:r>
      <w:r>
        <w:rPr>
          <w:rFonts w:hint="eastAsia" w:cs="Times New Roman"/>
          <w:szCs w:val="24"/>
        </w:rPr>
        <w:t>小时</w:t>
      </w:r>
      <w:r>
        <w:rPr>
          <w:rFonts w:cs="Times New Roman"/>
          <w:szCs w:val="24"/>
        </w:rPr>
        <w:t>计，甲烷的密度以0.717</w:t>
      </w:r>
      <w:r>
        <w:rPr>
          <w:rFonts w:hint="eastAsia" w:cs="Times New Roman"/>
          <w:szCs w:val="24"/>
        </w:rPr>
        <w:t>千克/立方米</w:t>
      </w:r>
      <w:r>
        <w:rPr>
          <w:rFonts w:cs="Times New Roman"/>
          <w:szCs w:val="24"/>
        </w:rPr>
        <w:t>计，甲烷回收量为6546.29吨</w:t>
      </w:r>
      <w:r>
        <w:rPr>
          <w:rFonts w:hint="eastAsia"/>
        </w:rPr>
        <w:t>。</w:t>
      </w:r>
    </w:p>
    <w:p>
      <w:pPr>
        <w:ind w:firstLine="480" w:firstLineChars="200"/>
      </w:pPr>
      <w:r>
        <w:rPr>
          <w:rFonts w:hint="eastAsia"/>
        </w:rPr>
        <w:t>（2）排放因子</w:t>
      </w:r>
    </w:p>
    <w:p>
      <w:pPr>
        <w:ind w:firstLine="480" w:firstLineChars="200"/>
      </w:pPr>
      <w:r>
        <w:rPr>
          <w:rFonts w:hint="eastAsia" w:cs="Times New Roman"/>
          <w:szCs w:val="24"/>
        </w:rPr>
        <w:t>本报告甲烷修正因子（管理）、可分解DOC比例、填埋气中CH</w:t>
      </w:r>
      <w:r>
        <w:rPr>
          <w:rFonts w:hint="eastAsia" w:cs="Times New Roman"/>
          <w:szCs w:val="24"/>
          <w:vertAlign w:val="subscript"/>
        </w:rPr>
        <w:t>4</w:t>
      </w:r>
      <w:r>
        <w:rPr>
          <w:rFonts w:hint="eastAsia" w:cs="Times New Roman"/>
          <w:szCs w:val="24"/>
        </w:rPr>
        <w:t>比例和氧化因子均采用指南推荐缺省值</w:t>
      </w:r>
      <w:r>
        <w:rPr>
          <w:rFonts w:hint="eastAsia"/>
        </w:rPr>
        <w:t>。</w:t>
      </w:r>
    </w:p>
    <w:p>
      <w:pPr>
        <w:pStyle w:val="4"/>
      </w:pPr>
      <w:bookmarkStart w:id="279" w:name="_Toc52177431"/>
      <w:bookmarkStart w:id="280" w:name="_Toc54097695"/>
      <w:bookmarkStart w:id="281" w:name="_Toc53827554"/>
      <w:bookmarkStart w:id="282" w:name="_Toc55311780"/>
      <w:bookmarkStart w:id="283" w:name="_Toc51939066"/>
      <w:bookmarkStart w:id="284" w:name="_Toc26041"/>
      <w:r>
        <w:rPr>
          <w:rFonts w:hint="eastAsia"/>
        </w:rPr>
        <w:t>废弃物焚烧处理温室气体排放</w:t>
      </w:r>
      <w:bookmarkEnd w:id="279"/>
      <w:bookmarkEnd w:id="280"/>
      <w:bookmarkEnd w:id="281"/>
      <w:bookmarkEnd w:id="282"/>
      <w:bookmarkEnd w:id="283"/>
      <w:bookmarkEnd w:id="284"/>
    </w:p>
    <w:p>
      <w:pPr>
        <w:ind w:firstLine="480" w:firstLineChars="200"/>
      </w:pPr>
      <w:r>
        <w:rPr>
          <w:rFonts w:hint="eastAsia"/>
        </w:rPr>
        <w:t>（1）活动水平数据</w:t>
      </w:r>
    </w:p>
    <w:p>
      <w:pPr>
        <w:ind w:firstLine="480" w:firstLineChars="200"/>
      </w:pPr>
      <w:r>
        <w:rPr>
          <w:rFonts w:hint="eastAsia" w:cs="Times New Roman"/>
          <w:szCs w:val="24"/>
        </w:rPr>
        <w:t>本次报告采用益阳市生态环境局提供的数据</w:t>
      </w:r>
      <w:r>
        <w:rPr>
          <w:rFonts w:hint="eastAsia"/>
        </w:rPr>
        <w:t>。</w:t>
      </w:r>
    </w:p>
    <w:p>
      <w:pPr>
        <w:ind w:firstLine="480" w:firstLineChars="200"/>
      </w:pPr>
      <w:r>
        <w:rPr>
          <w:rFonts w:hint="eastAsia"/>
        </w:rPr>
        <w:t>（2）排放因子</w:t>
      </w:r>
    </w:p>
    <w:p>
      <w:pPr>
        <w:ind w:firstLine="480" w:firstLineChars="200"/>
      </w:pPr>
      <w:r>
        <w:rPr>
          <w:rFonts w:cs="Times New Roman" w:eastAsiaTheme="minorEastAsia"/>
          <w:szCs w:val="24"/>
        </w:rPr>
        <w:t>本报告中废弃物焚烧处理二氧化碳排放的排放因子均采用</w:t>
      </w:r>
      <w:r>
        <w:rPr>
          <w:rFonts w:hint="eastAsia" w:cs="Times New Roman" w:eastAsiaTheme="minorEastAsia"/>
          <w:szCs w:val="24"/>
        </w:rPr>
        <w:t>指南</w:t>
      </w:r>
      <w:r>
        <w:rPr>
          <w:rFonts w:cs="Times New Roman" w:eastAsiaTheme="minorEastAsia"/>
          <w:szCs w:val="24"/>
        </w:rPr>
        <w:t>推荐值</w:t>
      </w:r>
      <w:r>
        <w:rPr>
          <w:rFonts w:hint="eastAsia" w:eastAsiaTheme="minorEastAsia"/>
        </w:rPr>
        <w:t>。</w:t>
      </w:r>
    </w:p>
    <w:p>
      <w:pPr>
        <w:pStyle w:val="4"/>
      </w:pPr>
      <w:bookmarkStart w:id="285" w:name="_Toc55311781"/>
      <w:bookmarkStart w:id="286" w:name="_Toc52177432"/>
      <w:bookmarkStart w:id="287" w:name="_Toc51939067"/>
      <w:bookmarkStart w:id="288" w:name="_Toc11529"/>
      <w:bookmarkStart w:id="289" w:name="_Toc54097696"/>
      <w:bookmarkStart w:id="290" w:name="_Toc53827555"/>
      <w:r>
        <w:rPr>
          <w:rFonts w:hint="eastAsia"/>
        </w:rPr>
        <w:t>污水处理温室气体排放</w:t>
      </w:r>
      <w:bookmarkEnd w:id="285"/>
      <w:bookmarkEnd w:id="286"/>
      <w:bookmarkEnd w:id="287"/>
      <w:bookmarkEnd w:id="288"/>
      <w:bookmarkEnd w:id="289"/>
      <w:bookmarkEnd w:id="290"/>
    </w:p>
    <w:p>
      <w:pPr>
        <w:ind w:firstLine="480" w:firstLineChars="200"/>
      </w:pPr>
      <w:r>
        <w:rPr>
          <w:rFonts w:hint="eastAsia"/>
        </w:rPr>
        <w:t>（1）活动水平数据</w:t>
      </w:r>
    </w:p>
    <w:p>
      <w:pPr>
        <w:ind w:firstLine="480" w:firstLineChars="200"/>
        <w:rPr>
          <w:rFonts w:eastAsiaTheme="minorEastAsia"/>
        </w:rPr>
      </w:pPr>
      <w:r>
        <w:rPr>
          <w:rFonts w:hint="eastAsia" w:cs="Times New Roman" w:eastAsiaTheme="minorEastAsia"/>
          <w:szCs w:val="24"/>
        </w:rPr>
        <w:t>生活污水处理甲烷排放的活动水平数据即生活污水中的有机物量（包括“入环境的BOD”和“污水处理厂去除的BOD”两部分）及甲烷回收量。生活污水排放量、入环境BOD排放量及污水处理厂BOD去除量采用益阳市生态环境局提供数据</w:t>
      </w:r>
      <w:r>
        <w:rPr>
          <w:rFonts w:hint="eastAsia" w:eastAsiaTheme="minorEastAsia"/>
        </w:rPr>
        <w:t>。</w:t>
      </w:r>
    </w:p>
    <w:p>
      <w:pPr>
        <w:ind w:firstLine="480" w:firstLineChars="200"/>
      </w:pPr>
      <w:r>
        <w:rPr>
          <w:rFonts w:hint="eastAsia"/>
        </w:rPr>
        <w:t>（2）排放因子</w:t>
      </w:r>
    </w:p>
    <w:p>
      <w:pPr>
        <w:ind w:firstLine="480" w:firstLineChars="200"/>
      </w:pPr>
      <w:r>
        <w:rPr>
          <w:rFonts w:hint="eastAsia"/>
        </w:rPr>
        <w:t>本报告中生活污水处理温室气体排放因子采用指南推荐值。</w:t>
      </w:r>
    </w:p>
    <w:p>
      <w:pPr>
        <w:pStyle w:val="4"/>
      </w:pPr>
      <w:bookmarkStart w:id="291" w:name="_Toc16326"/>
      <w:r>
        <w:rPr>
          <w:rFonts w:hint="eastAsia"/>
        </w:rPr>
        <w:t>废水处理氧化亚氮排放</w:t>
      </w:r>
      <w:bookmarkEnd w:id="291"/>
    </w:p>
    <w:p>
      <w:pPr>
        <w:ind w:firstLine="480" w:firstLineChars="200"/>
      </w:pPr>
      <w:r>
        <w:rPr>
          <w:rFonts w:hint="eastAsia"/>
        </w:rPr>
        <w:t>（1）活动水平数据</w:t>
      </w:r>
    </w:p>
    <w:p>
      <w:pPr>
        <w:ind w:firstLine="480" w:firstLineChars="200"/>
        <w:rPr>
          <w:rFonts w:eastAsiaTheme="minorEastAsia"/>
        </w:rPr>
      </w:pPr>
      <w:r>
        <w:rPr>
          <w:rFonts w:hint="eastAsia" w:cs="Times New Roman"/>
          <w:szCs w:val="24"/>
        </w:rPr>
        <w:t>人口数据来源于《益阳市2019年国民经济和社会发展统计公报》，选取户籍城镇人口值为233.86万，人均蛋白质年消费量采用“国务院办公厅关于印发中国食物与营养发展纲要（2014—2020年）的通知”中人均每天蛋白质消费量计算所得。由此推算出废水处理氧化亚氮排放活动水平数据</w:t>
      </w:r>
      <w:r>
        <w:rPr>
          <w:rFonts w:hint="eastAsia" w:eastAsiaTheme="minorEastAsia"/>
        </w:rPr>
        <w:t>。</w:t>
      </w:r>
    </w:p>
    <w:p>
      <w:pPr>
        <w:ind w:firstLine="480" w:firstLineChars="200"/>
      </w:pPr>
      <w:r>
        <w:rPr>
          <w:rFonts w:hint="eastAsia"/>
        </w:rPr>
        <w:t>（2）排放因子</w:t>
      </w:r>
    </w:p>
    <w:p>
      <w:pPr>
        <w:ind w:firstLine="480" w:firstLineChars="200"/>
      </w:pPr>
      <w:r>
        <w:rPr>
          <w:rFonts w:cs="Times New Roman"/>
          <w:szCs w:val="24"/>
        </w:rPr>
        <w:t>废水处理氧化亚氮排放所用排放因子</w:t>
      </w:r>
      <w:r>
        <w:rPr>
          <w:rFonts w:hint="eastAsia" w:cs="Times New Roman"/>
          <w:szCs w:val="24"/>
        </w:rPr>
        <w:t>采用</w:t>
      </w:r>
      <w:r>
        <w:rPr>
          <w:rFonts w:cs="Times New Roman"/>
          <w:szCs w:val="24"/>
        </w:rPr>
        <w:t>《省级温室气体清单编制指南（试行》推荐值</w:t>
      </w:r>
      <w:r>
        <w:rPr>
          <w:rFonts w:hint="eastAsia"/>
        </w:rPr>
        <w:t>。</w:t>
      </w:r>
    </w:p>
    <w:p>
      <w:pPr>
        <w:pStyle w:val="3"/>
      </w:pPr>
      <w:bookmarkStart w:id="292" w:name="_Toc28151"/>
      <w:r>
        <w:rPr>
          <w:rFonts w:hint="eastAsia"/>
        </w:rPr>
        <w:t>排放清单</w:t>
      </w:r>
      <w:bookmarkEnd w:id="292"/>
    </w:p>
    <w:p>
      <w:pPr>
        <w:pStyle w:val="4"/>
      </w:pPr>
      <w:bookmarkStart w:id="293" w:name="_Toc52177434"/>
      <w:bookmarkStart w:id="294" w:name="_Toc53827557"/>
      <w:bookmarkStart w:id="295" w:name="_Toc3802"/>
      <w:bookmarkStart w:id="296" w:name="_Toc54097698"/>
      <w:bookmarkStart w:id="297" w:name="_Toc51939069"/>
      <w:bookmarkStart w:id="298" w:name="_Toc55311783"/>
      <w:r>
        <w:rPr>
          <w:rFonts w:hint="eastAsia"/>
        </w:rPr>
        <w:t>废弃物处理总体情况</w:t>
      </w:r>
      <w:bookmarkEnd w:id="293"/>
      <w:bookmarkEnd w:id="294"/>
      <w:bookmarkEnd w:id="295"/>
      <w:bookmarkEnd w:id="296"/>
      <w:bookmarkEnd w:id="297"/>
      <w:bookmarkEnd w:id="298"/>
    </w:p>
    <w:p>
      <w:pPr>
        <w:ind w:firstLine="480" w:firstLineChars="200"/>
      </w:pPr>
      <w:r>
        <w:t>废弃物温室气体排放清单见</w:t>
      </w:r>
      <w:r>
        <w:fldChar w:fldCharType="begin"/>
      </w:r>
      <w:r>
        <w:instrText xml:space="preserve"> REF _Ref51831019 \h  \* MERGEFORMAT </w:instrText>
      </w:r>
      <w:r>
        <w:fldChar w:fldCharType="separate"/>
      </w:r>
      <w:r>
        <w:rPr>
          <w:rFonts w:hint="eastAsia"/>
        </w:rPr>
        <w:t>表</w:t>
      </w:r>
      <w:r>
        <w:t>6</w:t>
      </w:r>
      <w:r>
        <w:noBreakHyphen/>
      </w:r>
      <w:r>
        <w:t>1</w:t>
      </w:r>
      <w:r>
        <w:fldChar w:fldCharType="end"/>
      </w:r>
      <w:r>
        <w:t>。</w:t>
      </w:r>
    </w:p>
    <w:p>
      <w:pPr>
        <w:ind w:firstLine="480" w:firstLineChars="200"/>
      </w:pPr>
    </w:p>
    <w:p>
      <w:pPr>
        <w:ind w:firstLine="480" w:firstLineChars="200"/>
      </w:pPr>
    </w:p>
    <w:p>
      <w:pPr>
        <w:ind w:firstLine="480" w:firstLineChars="200"/>
      </w:pPr>
    </w:p>
    <w:p>
      <w:pPr>
        <w:ind w:firstLine="480" w:firstLineChars="200"/>
      </w:pPr>
    </w:p>
    <w:p>
      <w:pPr>
        <w:ind w:firstLine="480" w:firstLineChars="200"/>
        <w:rPr>
          <w:rFonts w:hint="eastAsia"/>
        </w:rPr>
      </w:pPr>
    </w:p>
    <w:p>
      <w:pPr>
        <w:pStyle w:val="12"/>
      </w:pPr>
      <w:bookmarkStart w:id="299" w:name="_Ref51831019"/>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6</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1</w:t>
      </w:r>
      <w:r>
        <w:fldChar w:fldCharType="end"/>
      </w:r>
      <w:bookmarkEnd w:id="299"/>
      <w:r>
        <w:t xml:space="preserve"> </w:t>
      </w:r>
      <w:r>
        <w:rPr>
          <w:rFonts w:hint="eastAsia" w:cs="Times New Roman" w:eastAsiaTheme="minorEastAsia"/>
          <w:szCs w:val="21"/>
        </w:rPr>
        <w:t>益阳市2019</w:t>
      </w:r>
      <w:r>
        <w:rPr>
          <w:rFonts w:cs="Times New Roman" w:eastAsiaTheme="minorEastAsia"/>
          <w:szCs w:val="21"/>
        </w:rPr>
        <w:t>年</w:t>
      </w:r>
      <w:r>
        <w:t>废弃物处理温室气体清单汇总表</w:t>
      </w:r>
    </w:p>
    <w:tbl>
      <w:tblPr>
        <w:tblStyle w:val="25"/>
        <w:tblW w:w="5000" w:type="pct"/>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395"/>
        <w:gridCol w:w="2129"/>
        <w:gridCol w:w="1133"/>
        <w:gridCol w:w="1413"/>
        <w:gridCol w:w="1149"/>
        <w:gridCol w:w="1205"/>
        <w:gridCol w:w="1098"/>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1481" w:type="pct"/>
            <w:gridSpan w:val="2"/>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部门</w:t>
            </w:r>
          </w:p>
        </w:tc>
        <w:tc>
          <w:tcPr>
            <w:tcW w:w="1494" w:type="pct"/>
            <w:gridSpan w:val="2"/>
            <w:tcBorders>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类型</w:t>
            </w:r>
          </w:p>
        </w:tc>
        <w:tc>
          <w:tcPr>
            <w:tcW w:w="674" w:type="pct"/>
            <w:tcBorders>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二氧化碳(万吨)</w:t>
            </w:r>
          </w:p>
        </w:tc>
        <w:tc>
          <w:tcPr>
            <w:tcW w:w="707" w:type="pct"/>
            <w:tcBorders>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甲烷</w:t>
            </w:r>
          </w:p>
          <w:p>
            <w:pPr>
              <w:spacing w:before="0" w:after="0" w:line="240" w:lineRule="auto"/>
              <w:jc w:val="center"/>
              <w:rPr>
                <w:rFonts w:cs="Times New Roman" w:eastAsiaTheme="minorEastAsia"/>
                <w:sz w:val="18"/>
                <w:szCs w:val="18"/>
              </w:rPr>
            </w:pPr>
            <w:r>
              <w:rPr>
                <w:rFonts w:cs="Times New Roman" w:eastAsiaTheme="minorEastAsia"/>
                <w:sz w:val="18"/>
                <w:szCs w:val="18"/>
              </w:rPr>
              <w:t>(万吨)</w:t>
            </w:r>
          </w:p>
        </w:tc>
        <w:tc>
          <w:tcPr>
            <w:tcW w:w="644" w:type="pct"/>
            <w:tcBorders>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氧化亚氮(万吨)</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232" w:type="pct"/>
            <w:vMerge w:val="restart"/>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固体废弃物</w:t>
            </w:r>
          </w:p>
        </w:tc>
        <w:tc>
          <w:tcPr>
            <w:tcW w:w="1249" w:type="pct"/>
            <w:vMerge w:val="restart"/>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固体废弃物填埋处理</w:t>
            </w:r>
          </w:p>
        </w:tc>
        <w:tc>
          <w:tcPr>
            <w:tcW w:w="1494" w:type="pct"/>
            <w:gridSpan w:val="2"/>
            <w:tcBorders>
              <w:bottom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管理</w:t>
            </w:r>
          </w:p>
        </w:tc>
        <w:tc>
          <w:tcPr>
            <w:tcW w:w="1149" w:type="dxa"/>
            <w:tcBorders>
              <w:bottom w:val="nil"/>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p>
        </w:tc>
        <w:tc>
          <w:tcPr>
            <w:tcW w:w="1205" w:type="dxa"/>
            <w:tcBorders>
              <w:bottom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1.12</w:t>
            </w:r>
          </w:p>
        </w:tc>
        <w:tc>
          <w:tcPr>
            <w:tcW w:w="1098" w:type="dxa"/>
            <w:tcBorders>
              <w:bottom w:val="nil"/>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232" w:type="pct"/>
            <w:vMerge w:val="continue"/>
            <w:shd w:val="clear" w:color="auto" w:fill="auto"/>
            <w:vAlign w:val="center"/>
          </w:tcPr>
          <w:p>
            <w:pPr>
              <w:spacing w:before="0" w:after="0" w:line="240" w:lineRule="auto"/>
              <w:jc w:val="center"/>
              <w:rPr>
                <w:rFonts w:cs="Times New Roman" w:eastAsiaTheme="minorEastAsia"/>
                <w:sz w:val="18"/>
                <w:szCs w:val="18"/>
              </w:rPr>
            </w:pPr>
          </w:p>
        </w:tc>
        <w:tc>
          <w:tcPr>
            <w:tcW w:w="1249" w:type="pct"/>
            <w:vMerge w:val="continue"/>
            <w:shd w:val="clear" w:color="auto" w:fill="auto"/>
            <w:noWrap/>
            <w:vAlign w:val="center"/>
          </w:tcPr>
          <w:p>
            <w:pPr>
              <w:spacing w:before="0" w:after="0" w:line="240" w:lineRule="auto"/>
              <w:jc w:val="center"/>
              <w:rPr>
                <w:rFonts w:cs="Times New Roman" w:eastAsiaTheme="minorEastAsia"/>
                <w:sz w:val="18"/>
                <w:szCs w:val="18"/>
              </w:rPr>
            </w:pPr>
          </w:p>
        </w:tc>
        <w:tc>
          <w:tcPr>
            <w:tcW w:w="665" w:type="pct"/>
            <w:vMerge w:val="restart"/>
            <w:tcBorders>
              <w:top w:val="nil"/>
              <w:bottom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未管理</w:t>
            </w:r>
          </w:p>
        </w:tc>
        <w:tc>
          <w:tcPr>
            <w:tcW w:w="829" w:type="pct"/>
            <w:tcBorders>
              <w:top w:val="nil"/>
              <w:bottom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深的&gt;5米</w:t>
            </w:r>
          </w:p>
        </w:tc>
        <w:tc>
          <w:tcPr>
            <w:tcW w:w="1149" w:type="dxa"/>
            <w:tcBorders>
              <w:top w:val="nil"/>
              <w:bottom w:val="nil"/>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p>
        </w:tc>
        <w:tc>
          <w:tcPr>
            <w:tcW w:w="1205" w:type="dxa"/>
            <w:tcBorders>
              <w:top w:val="nil"/>
              <w:bottom w:val="nil"/>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p>
        </w:tc>
        <w:tc>
          <w:tcPr>
            <w:tcW w:w="1098" w:type="dxa"/>
            <w:tcBorders>
              <w:top w:val="nil"/>
              <w:bottom w:val="nil"/>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232" w:type="pct"/>
            <w:vMerge w:val="continue"/>
            <w:shd w:val="clear" w:color="auto" w:fill="auto"/>
            <w:vAlign w:val="center"/>
          </w:tcPr>
          <w:p>
            <w:pPr>
              <w:spacing w:before="0" w:after="0" w:line="240" w:lineRule="auto"/>
              <w:jc w:val="center"/>
              <w:rPr>
                <w:rFonts w:cs="Times New Roman" w:eastAsiaTheme="minorEastAsia"/>
                <w:sz w:val="18"/>
                <w:szCs w:val="18"/>
              </w:rPr>
            </w:pPr>
          </w:p>
        </w:tc>
        <w:tc>
          <w:tcPr>
            <w:tcW w:w="1249" w:type="pct"/>
            <w:vMerge w:val="continue"/>
            <w:shd w:val="clear" w:color="auto" w:fill="auto"/>
            <w:noWrap/>
            <w:vAlign w:val="center"/>
          </w:tcPr>
          <w:p>
            <w:pPr>
              <w:spacing w:before="0" w:after="0" w:line="240" w:lineRule="auto"/>
              <w:jc w:val="center"/>
              <w:rPr>
                <w:rFonts w:cs="Times New Roman" w:eastAsiaTheme="minorEastAsia"/>
                <w:sz w:val="18"/>
                <w:szCs w:val="18"/>
              </w:rPr>
            </w:pPr>
          </w:p>
        </w:tc>
        <w:tc>
          <w:tcPr>
            <w:tcW w:w="665" w:type="pct"/>
            <w:vMerge w:val="continue"/>
            <w:tcBorders>
              <w:top w:val="nil"/>
              <w:bottom w:val="nil"/>
            </w:tcBorders>
            <w:shd w:val="clear" w:color="auto" w:fill="auto"/>
            <w:vAlign w:val="center"/>
          </w:tcPr>
          <w:p>
            <w:pPr>
              <w:spacing w:before="0" w:after="0" w:line="240" w:lineRule="auto"/>
              <w:jc w:val="center"/>
              <w:rPr>
                <w:rFonts w:cs="Times New Roman" w:eastAsiaTheme="minorEastAsia"/>
                <w:sz w:val="18"/>
                <w:szCs w:val="18"/>
              </w:rPr>
            </w:pPr>
          </w:p>
        </w:tc>
        <w:tc>
          <w:tcPr>
            <w:tcW w:w="829" w:type="pct"/>
            <w:tcBorders>
              <w:top w:val="nil"/>
              <w:bottom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浅的&lt;5米</w:t>
            </w:r>
          </w:p>
        </w:tc>
        <w:tc>
          <w:tcPr>
            <w:tcW w:w="1149" w:type="dxa"/>
            <w:tcBorders>
              <w:top w:val="nil"/>
              <w:bottom w:val="nil"/>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p>
        </w:tc>
        <w:tc>
          <w:tcPr>
            <w:tcW w:w="1205" w:type="dxa"/>
            <w:tcBorders>
              <w:top w:val="nil"/>
              <w:bottom w:val="nil"/>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p>
        </w:tc>
        <w:tc>
          <w:tcPr>
            <w:tcW w:w="1098" w:type="dxa"/>
            <w:tcBorders>
              <w:top w:val="nil"/>
              <w:bottom w:val="nil"/>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232" w:type="pct"/>
            <w:vMerge w:val="continue"/>
            <w:shd w:val="clear" w:color="auto" w:fill="auto"/>
            <w:vAlign w:val="center"/>
          </w:tcPr>
          <w:p>
            <w:pPr>
              <w:spacing w:before="0" w:after="0" w:line="240" w:lineRule="auto"/>
              <w:jc w:val="center"/>
              <w:rPr>
                <w:rFonts w:cs="Times New Roman" w:eastAsiaTheme="minorEastAsia"/>
                <w:sz w:val="18"/>
                <w:szCs w:val="18"/>
              </w:rPr>
            </w:pPr>
          </w:p>
        </w:tc>
        <w:tc>
          <w:tcPr>
            <w:tcW w:w="1249" w:type="pct"/>
            <w:vMerge w:val="continue"/>
            <w:shd w:val="clear" w:color="auto" w:fill="auto"/>
            <w:noWrap/>
            <w:vAlign w:val="center"/>
          </w:tcPr>
          <w:p>
            <w:pPr>
              <w:spacing w:before="0" w:after="0" w:line="240" w:lineRule="auto"/>
              <w:jc w:val="center"/>
              <w:rPr>
                <w:rFonts w:cs="Times New Roman" w:eastAsiaTheme="minorEastAsia"/>
                <w:sz w:val="18"/>
                <w:szCs w:val="18"/>
              </w:rPr>
            </w:pPr>
          </w:p>
        </w:tc>
        <w:tc>
          <w:tcPr>
            <w:tcW w:w="1494" w:type="pct"/>
            <w:gridSpan w:val="2"/>
            <w:tcBorders>
              <w:top w:val="nil"/>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未分类</w:t>
            </w:r>
          </w:p>
        </w:tc>
        <w:tc>
          <w:tcPr>
            <w:tcW w:w="1149" w:type="dxa"/>
            <w:tcBorders>
              <w:top w:val="nil"/>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p>
        </w:tc>
        <w:tc>
          <w:tcPr>
            <w:tcW w:w="1205" w:type="dxa"/>
            <w:tcBorders>
              <w:top w:val="nil"/>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p>
        </w:tc>
        <w:tc>
          <w:tcPr>
            <w:tcW w:w="1098" w:type="dxa"/>
            <w:tcBorders>
              <w:top w:val="nil"/>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232" w:type="pct"/>
            <w:vMerge w:val="continue"/>
            <w:shd w:val="clear" w:color="auto" w:fill="auto"/>
            <w:vAlign w:val="center"/>
          </w:tcPr>
          <w:p>
            <w:pPr>
              <w:spacing w:before="0" w:after="0" w:line="240" w:lineRule="auto"/>
              <w:jc w:val="center"/>
              <w:rPr>
                <w:rFonts w:cs="Times New Roman" w:eastAsiaTheme="minorEastAsia"/>
                <w:sz w:val="18"/>
                <w:szCs w:val="18"/>
              </w:rPr>
            </w:pPr>
          </w:p>
        </w:tc>
        <w:tc>
          <w:tcPr>
            <w:tcW w:w="1249" w:type="pct"/>
            <w:vMerge w:val="restart"/>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废弃物焚烧处理</w:t>
            </w:r>
          </w:p>
        </w:tc>
        <w:tc>
          <w:tcPr>
            <w:tcW w:w="1494" w:type="pct"/>
            <w:gridSpan w:val="2"/>
            <w:tcBorders>
              <w:bottom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城市固体废弃物化石成因</w:t>
            </w:r>
          </w:p>
        </w:tc>
        <w:tc>
          <w:tcPr>
            <w:tcW w:w="1149" w:type="dxa"/>
            <w:tcBorders>
              <w:bottom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18.11</w:t>
            </w:r>
          </w:p>
        </w:tc>
        <w:tc>
          <w:tcPr>
            <w:tcW w:w="1205" w:type="dxa"/>
            <w:tcBorders>
              <w:bottom w:val="nil"/>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p>
        </w:tc>
        <w:tc>
          <w:tcPr>
            <w:tcW w:w="1098" w:type="dxa"/>
            <w:tcBorders>
              <w:bottom w:val="nil"/>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232" w:type="pct"/>
            <w:vMerge w:val="continue"/>
            <w:shd w:val="clear" w:color="auto" w:fill="auto"/>
            <w:vAlign w:val="center"/>
          </w:tcPr>
          <w:p>
            <w:pPr>
              <w:spacing w:before="0" w:after="0" w:line="240" w:lineRule="auto"/>
              <w:jc w:val="center"/>
              <w:rPr>
                <w:rFonts w:cs="Times New Roman" w:eastAsiaTheme="minorEastAsia"/>
                <w:sz w:val="18"/>
                <w:szCs w:val="18"/>
              </w:rPr>
            </w:pPr>
          </w:p>
        </w:tc>
        <w:tc>
          <w:tcPr>
            <w:tcW w:w="1249" w:type="pct"/>
            <w:vMerge w:val="continue"/>
            <w:shd w:val="clear" w:color="auto" w:fill="auto"/>
            <w:noWrap/>
            <w:vAlign w:val="center"/>
          </w:tcPr>
          <w:p>
            <w:pPr>
              <w:spacing w:before="0" w:after="0" w:line="240" w:lineRule="auto"/>
              <w:jc w:val="center"/>
              <w:rPr>
                <w:rFonts w:cs="Times New Roman" w:eastAsiaTheme="minorEastAsia"/>
                <w:sz w:val="18"/>
                <w:szCs w:val="18"/>
              </w:rPr>
            </w:pPr>
          </w:p>
        </w:tc>
        <w:tc>
          <w:tcPr>
            <w:tcW w:w="1494" w:type="pct"/>
            <w:gridSpan w:val="2"/>
            <w:tcBorders>
              <w:top w:val="nil"/>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危险废弃物</w:t>
            </w:r>
          </w:p>
        </w:tc>
        <w:tc>
          <w:tcPr>
            <w:tcW w:w="1149" w:type="dxa"/>
            <w:tcBorders>
              <w:top w:val="nil"/>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p>
        </w:tc>
        <w:tc>
          <w:tcPr>
            <w:tcW w:w="1205" w:type="dxa"/>
            <w:tcBorders>
              <w:top w:val="nil"/>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p>
        </w:tc>
        <w:tc>
          <w:tcPr>
            <w:tcW w:w="1098" w:type="dxa"/>
            <w:tcBorders>
              <w:top w:val="nil"/>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232" w:type="pct"/>
            <w:vMerge w:val="restart"/>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废水</w:t>
            </w:r>
          </w:p>
        </w:tc>
        <w:tc>
          <w:tcPr>
            <w:tcW w:w="1249" w:type="pct"/>
            <w:vMerge w:val="restart"/>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生活污水处理</w:t>
            </w:r>
          </w:p>
        </w:tc>
        <w:tc>
          <w:tcPr>
            <w:tcW w:w="1494" w:type="pct"/>
            <w:gridSpan w:val="2"/>
            <w:tcBorders>
              <w:bottom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入环境</w:t>
            </w:r>
          </w:p>
        </w:tc>
        <w:tc>
          <w:tcPr>
            <w:tcW w:w="1149" w:type="dxa"/>
            <w:tcBorders>
              <w:bottom w:val="nil"/>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p>
        </w:tc>
        <w:tc>
          <w:tcPr>
            <w:tcW w:w="1205" w:type="dxa"/>
            <w:tcBorders>
              <w:bottom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0.05</w:t>
            </w:r>
          </w:p>
        </w:tc>
        <w:tc>
          <w:tcPr>
            <w:tcW w:w="1098" w:type="dxa"/>
            <w:vMerge w:val="restart"/>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0.02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232" w:type="pct"/>
            <w:vMerge w:val="continue"/>
            <w:shd w:val="clear" w:color="auto" w:fill="auto"/>
            <w:vAlign w:val="center"/>
          </w:tcPr>
          <w:p>
            <w:pPr>
              <w:spacing w:before="0" w:after="0" w:line="240" w:lineRule="auto"/>
              <w:jc w:val="center"/>
              <w:rPr>
                <w:rFonts w:cs="Times New Roman" w:eastAsiaTheme="minorEastAsia"/>
                <w:sz w:val="18"/>
                <w:szCs w:val="18"/>
              </w:rPr>
            </w:pPr>
          </w:p>
        </w:tc>
        <w:tc>
          <w:tcPr>
            <w:tcW w:w="1249" w:type="pct"/>
            <w:vMerge w:val="continue"/>
            <w:shd w:val="clear" w:color="auto" w:fill="auto"/>
            <w:noWrap/>
            <w:vAlign w:val="center"/>
          </w:tcPr>
          <w:p>
            <w:pPr>
              <w:spacing w:before="0" w:after="0" w:line="240" w:lineRule="auto"/>
              <w:jc w:val="center"/>
              <w:rPr>
                <w:rFonts w:cs="Times New Roman" w:eastAsiaTheme="minorEastAsia"/>
                <w:sz w:val="18"/>
                <w:szCs w:val="18"/>
              </w:rPr>
            </w:pPr>
          </w:p>
        </w:tc>
        <w:tc>
          <w:tcPr>
            <w:tcW w:w="1494" w:type="pct"/>
            <w:gridSpan w:val="2"/>
            <w:tcBorders>
              <w:top w:val="nil"/>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处理系统</w:t>
            </w:r>
          </w:p>
        </w:tc>
        <w:tc>
          <w:tcPr>
            <w:tcW w:w="1149" w:type="dxa"/>
            <w:tcBorders>
              <w:top w:val="nil"/>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p>
        </w:tc>
        <w:tc>
          <w:tcPr>
            <w:tcW w:w="1205" w:type="dxa"/>
            <w:tcBorders>
              <w:top w:val="nil"/>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0.02</w:t>
            </w:r>
          </w:p>
        </w:tc>
        <w:tc>
          <w:tcPr>
            <w:tcW w:w="1098" w:type="dxa"/>
            <w:vMerge w:val="continue"/>
            <w:shd w:val="clear" w:color="auto" w:fill="auto"/>
            <w:vAlign w:val="center"/>
          </w:tcPr>
          <w:p>
            <w:pPr>
              <w:spacing w:before="0" w:after="0" w:line="240" w:lineRule="auto"/>
              <w:jc w:val="center"/>
              <w:rPr>
                <w:rFonts w:cs="Times New Roman" w:eastAsiaTheme="minorEastAsia"/>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232" w:type="pct"/>
            <w:vMerge w:val="continue"/>
            <w:shd w:val="clear" w:color="auto" w:fill="auto"/>
            <w:vAlign w:val="center"/>
          </w:tcPr>
          <w:p>
            <w:pPr>
              <w:spacing w:before="0" w:after="0" w:line="240" w:lineRule="auto"/>
              <w:jc w:val="center"/>
              <w:rPr>
                <w:rFonts w:cs="Times New Roman" w:eastAsiaTheme="minorEastAsia"/>
                <w:sz w:val="18"/>
                <w:szCs w:val="18"/>
              </w:rPr>
            </w:pPr>
          </w:p>
        </w:tc>
        <w:tc>
          <w:tcPr>
            <w:tcW w:w="1249" w:type="pct"/>
            <w:vMerge w:val="restart"/>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工业废水处理</w:t>
            </w:r>
          </w:p>
        </w:tc>
        <w:tc>
          <w:tcPr>
            <w:tcW w:w="1494" w:type="pct"/>
            <w:gridSpan w:val="2"/>
            <w:tcBorders>
              <w:bottom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入环境</w:t>
            </w:r>
          </w:p>
        </w:tc>
        <w:tc>
          <w:tcPr>
            <w:tcW w:w="1149" w:type="dxa"/>
            <w:tcBorders>
              <w:bottom w:val="nil"/>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p>
        </w:tc>
        <w:tc>
          <w:tcPr>
            <w:tcW w:w="1205" w:type="dxa"/>
            <w:tcBorders>
              <w:bottom w:val="nil"/>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p>
        </w:tc>
        <w:tc>
          <w:tcPr>
            <w:tcW w:w="1098" w:type="dxa"/>
            <w:vMerge w:val="continue"/>
            <w:shd w:val="clear" w:color="auto" w:fill="auto"/>
            <w:vAlign w:val="center"/>
          </w:tcPr>
          <w:p>
            <w:pPr>
              <w:spacing w:before="0" w:after="0" w:line="240" w:lineRule="auto"/>
              <w:jc w:val="center"/>
              <w:rPr>
                <w:rFonts w:cs="Times New Roman" w:eastAsiaTheme="minorEastAsia"/>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232" w:type="pct"/>
            <w:vMerge w:val="continue"/>
            <w:shd w:val="clear" w:color="auto" w:fill="auto"/>
            <w:vAlign w:val="center"/>
          </w:tcPr>
          <w:p>
            <w:pPr>
              <w:spacing w:before="0" w:after="0" w:line="240" w:lineRule="auto"/>
              <w:jc w:val="center"/>
              <w:rPr>
                <w:rFonts w:cs="Times New Roman" w:eastAsiaTheme="minorEastAsia"/>
                <w:sz w:val="18"/>
                <w:szCs w:val="18"/>
              </w:rPr>
            </w:pPr>
          </w:p>
        </w:tc>
        <w:tc>
          <w:tcPr>
            <w:tcW w:w="1249" w:type="pct"/>
            <w:vMerge w:val="continue"/>
            <w:shd w:val="clear" w:color="auto" w:fill="auto"/>
            <w:noWrap/>
            <w:vAlign w:val="center"/>
          </w:tcPr>
          <w:p>
            <w:pPr>
              <w:spacing w:before="0" w:after="0" w:line="240" w:lineRule="auto"/>
              <w:jc w:val="center"/>
              <w:rPr>
                <w:rFonts w:cs="Times New Roman" w:eastAsiaTheme="minorEastAsia"/>
                <w:sz w:val="18"/>
                <w:szCs w:val="18"/>
              </w:rPr>
            </w:pPr>
          </w:p>
        </w:tc>
        <w:tc>
          <w:tcPr>
            <w:tcW w:w="1494" w:type="pct"/>
            <w:gridSpan w:val="2"/>
            <w:tcBorders>
              <w:top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处理系统</w:t>
            </w:r>
          </w:p>
        </w:tc>
        <w:tc>
          <w:tcPr>
            <w:tcW w:w="1149" w:type="dxa"/>
            <w:tcBorders>
              <w:top w:val="nil"/>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p>
        </w:tc>
        <w:tc>
          <w:tcPr>
            <w:tcW w:w="1205" w:type="dxa"/>
            <w:tcBorders>
              <w:top w:val="nil"/>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w:t>
            </w:r>
          </w:p>
        </w:tc>
        <w:tc>
          <w:tcPr>
            <w:tcW w:w="1098" w:type="dxa"/>
            <w:vMerge w:val="continue"/>
            <w:shd w:val="clear" w:color="auto" w:fill="auto"/>
            <w:vAlign w:val="center"/>
          </w:tcPr>
          <w:p>
            <w:pPr>
              <w:spacing w:before="0" w:after="0" w:line="240" w:lineRule="auto"/>
              <w:jc w:val="center"/>
              <w:rPr>
                <w:rFonts w:cs="Times New Roman" w:eastAsiaTheme="minorEastAsia"/>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2975" w:type="pct"/>
            <w:gridSpan w:val="4"/>
            <w:shd w:val="clear" w:color="auto" w:fill="auto"/>
            <w:vAlign w:val="center"/>
          </w:tcPr>
          <w:p>
            <w:pPr>
              <w:spacing w:before="0" w:after="0" w:line="240" w:lineRule="auto"/>
              <w:jc w:val="center"/>
              <w:rPr>
                <w:rFonts w:cs="Times New Roman" w:eastAsiaTheme="minorEastAsia"/>
                <w:b/>
                <w:sz w:val="18"/>
                <w:szCs w:val="18"/>
              </w:rPr>
            </w:pPr>
            <w:r>
              <w:rPr>
                <w:rFonts w:cs="Times New Roman" w:eastAsiaTheme="minorEastAsia"/>
                <w:sz w:val="18"/>
                <w:szCs w:val="18"/>
              </w:rPr>
              <w:t>总计</w:t>
            </w:r>
          </w:p>
        </w:tc>
        <w:tc>
          <w:tcPr>
            <w:tcW w:w="1149" w:type="dxa"/>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18.11</w:t>
            </w:r>
          </w:p>
        </w:tc>
        <w:tc>
          <w:tcPr>
            <w:tcW w:w="1205" w:type="dxa"/>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1.19</w:t>
            </w:r>
          </w:p>
        </w:tc>
        <w:tc>
          <w:tcPr>
            <w:tcW w:w="1098" w:type="dxa"/>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0.02</w:t>
            </w:r>
          </w:p>
        </w:tc>
      </w:tr>
    </w:tbl>
    <w:p>
      <w:pPr>
        <w:ind w:firstLine="480" w:firstLineChars="200"/>
      </w:pPr>
      <w:r>
        <w:rPr>
          <w:rFonts w:hint="eastAsia" w:cs="Times New Roman" w:eastAsiaTheme="minorEastAsia"/>
          <w:szCs w:val="24"/>
        </w:rPr>
        <w:t>益阳市2019</w:t>
      </w:r>
      <w:r>
        <w:rPr>
          <w:rFonts w:cs="Times New Roman" w:eastAsiaTheme="minorEastAsia"/>
          <w:szCs w:val="24"/>
        </w:rPr>
        <w:t>年</w:t>
      </w:r>
      <w:r>
        <w:t>废弃物处理温室气体排放主要是二氧化碳、甲烷、</w:t>
      </w:r>
      <w:r>
        <w:rPr>
          <w:rFonts w:hint="eastAsia"/>
        </w:rPr>
        <w:t>氧化亚氮，</w:t>
      </w:r>
      <w:r>
        <w:t>废弃物处理活动</w:t>
      </w:r>
      <w:r>
        <w:rPr>
          <w:rFonts w:hint="eastAsia"/>
        </w:rPr>
        <w:t>各类型</w:t>
      </w:r>
      <w:r>
        <w:t>温室气体排放统计见</w:t>
      </w:r>
      <w:r>
        <w:fldChar w:fldCharType="begin"/>
      </w:r>
      <w:r>
        <w:instrText xml:space="preserve"> REF _Ref50308347 \h  \* MERGEFORMAT </w:instrText>
      </w:r>
      <w:r>
        <w:fldChar w:fldCharType="separate"/>
      </w:r>
      <w:r>
        <w:rPr>
          <w:szCs w:val="21"/>
        </w:rPr>
        <w:t>表6</w:t>
      </w:r>
      <w:r>
        <w:rPr>
          <w:szCs w:val="21"/>
        </w:rPr>
        <w:noBreakHyphen/>
      </w:r>
      <w:r>
        <w:rPr>
          <w:szCs w:val="21"/>
        </w:rPr>
        <w:t>2</w:t>
      </w:r>
      <w:r>
        <w:fldChar w:fldCharType="end"/>
      </w:r>
      <w:r>
        <w:t>。</w:t>
      </w:r>
    </w:p>
    <w:p>
      <w:pPr>
        <w:pStyle w:val="12"/>
      </w:pPr>
      <w:bookmarkStart w:id="300" w:name="_Ref50308347"/>
      <w:r>
        <w:t xml:space="preserve">表 </w:t>
      </w:r>
      <w:r>
        <w:fldChar w:fldCharType="begin"/>
      </w:r>
      <w:r>
        <w:instrText xml:space="preserve"> STYLEREF 1 \s </w:instrText>
      </w:r>
      <w:r>
        <w:fldChar w:fldCharType="separate"/>
      </w:r>
      <w:r>
        <w:t>6</w:t>
      </w:r>
      <w:r>
        <w:fldChar w:fldCharType="end"/>
      </w:r>
      <w:r>
        <w:noBreakHyphen/>
      </w:r>
      <w:r>
        <w:fldChar w:fldCharType="begin"/>
      </w:r>
      <w:r>
        <w:instrText xml:space="preserve"> SEQ 表 \* ARABIC \s 1 </w:instrText>
      </w:r>
      <w:r>
        <w:fldChar w:fldCharType="separate"/>
      </w:r>
      <w:r>
        <w:t>2</w:t>
      </w:r>
      <w:r>
        <w:fldChar w:fldCharType="end"/>
      </w:r>
      <w:bookmarkEnd w:id="300"/>
      <w:r>
        <w:t xml:space="preserve"> 废弃物处理活动温室气体排放统计</w:t>
      </w:r>
    </w:p>
    <w:tbl>
      <w:tblPr>
        <w:tblStyle w:val="26"/>
        <w:tblW w:w="5000" w:type="pct"/>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163"/>
        <w:gridCol w:w="1232"/>
        <w:gridCol w:w="1386"/>
        <w:gridCol w:w="1386"/>
        <w:gridCol w:w="2355"/>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1269" w:type="pct"/>
            <w:tcBorders>
              <w:bottom w:val="single" w:color="auto" w:sz="4" w:space="0"/>
            </w:tcBorders>
            <w:shd w:val="clear" w:color="auto" w:fill="auto"/>
            <w:vAlign w:val="center"/>
          </w:tcPr>
          <w:p>
            <w:pPr>
              <w:pStyle w:val="48"/>
              <w:adjustRightInd w:val="0"/>
              <w:snapToGrid w:val="0"/>
              <w:rPr>
                <w:rFonts w:ascii="Calibri" w:hAnsi="Calibri"/>
                <w:sz w:val="18"/>
                <w:szCs w:val="18"/>
              </w:rPr>
            </w:pPr>
            <w:r>
              <w:rPr>
                <w:rFonts w:ascii="Calibri" w:hAnsi="Calibri"/>
                <w:sz w:val="18"/>
                <w:szCs w:val="18"/>
              </w:rPr>
              <w:t>废弃物处理活动</w:t>
            </w:r>
          </w:p>
        </w:tc>
        <w:tc>
          <w:tcPr>
            <w:tcW w:w="723" w:type="pct"/>
            <w:tcBorders>
              <w:bottom w:val="single" w:color="auto" w:sz="4" w:space="0"/>
            </w:tcBorders>
            <w:shd w:val="clear" w:color="auto" w:fill="auto"/>
            <w:vAlign w:val="center"/>
          </w:tcPr>
          <w:p>
            <w:pPr>
              <w:pStyle w:val="48"/>
              <w:adjustRightInd w:val="0"/>
              <w:snapToGrid w:val="0"/>
              <w:rPr>
                <w:rFonts w:ascii="Calibri" w:hAnsi="Calibri"/>
                <w:sz w:val="18"/>
                <w:szCs w:val="18"/>
              </w:rPr>
            </w:pPr>
            <w:r>
              <w:rPr>
                <w:rFonts w:ascii="Calibri" w:hAnsi="Calibri"/>
                <w:sz w:val="18"/>
                <w:szCs w:val="18"/>
              </w:rPr>
              <w:t>二氧化碳</w:t>
            </w:r>
          </w:p>
          <w:p>
            <w:pPr>
              <w:pStyle w:val="48"/>
              <w:adjustRightInd w:val="0"/>
              <w:snapToGrid w:val="0"/>
              <w:rPr>
                <w:rFonts w:ascii="Calibri" w:hAnsi="Calibri"/>
                <w:sz w:val="18"/>
                <w:szCs w:val="18"/>
              </w:rPr>
            </w:pPr>
            <w:r>
              <w:rPr>
                <w:rFonts w:ascii="Calibri" w:hAnsi="Calibri"/>
                <w:sz w:val="18"/>
                <w:szCs w:val="18"/>
              </w:rPr>
              <w:t>（吨）</w:t>
            </w:r>
          </w:p>
        </w:tc>
        <w:tc>
          <w:tcPr>
            <w:tcW w:w="813" w:type="pct"/>
            <w:tcBorders>
              <w:bottom w:val="single" w:color="auto" w:sz="4" w:space="0"/>
            </w:tcBorders>
            <w:shd w:val="clear" w:color="auto" w:fill="auto"/>
            <w:vAlign w:val="center"/>
          </w:tcPr>
          <w:p>
            <w:pPr>
              <w:pStyle w:val="48"/>
              <w:adjustRightInd w:val="0"/>
              <w:snapToGrid w:val="0"/>
              <w:rPr>
                <w:rFonts w:ascii="Calibri" w:hAnsi="Calibri"/>
                <w:sz w:val="18"/>
                <w:szCs w:val="18"/>
              </w:rPr>
            </w:pPr>
            <w:r>
              <w:rPr>
                <w:rFonts w:ascii="Calibri" w:hAnsi="Calibri"/>
                <w:sz w:val="18"/>
                <w:szCs w:val="18"/>
              </w:rPr>
              <w:t>甲烷</w:t>
            </w:r>
          </w:p>
          <w:p>
            <w:pPr>
              <w:pStyle w:val="48"/>
              <w:adjustRightInd w:val="0"/>
              <w:snapToGrid w:val="0"/>
              <w:rPr>
                <w:rFonts w:ascii="Calibri" w:hAnsi="Calibri"/>
                <w:sz w:val="18"/>
                <w:szCs w:val="18"/>
              </w:rPr>
            </w:pPr>
            <w:r>
              <w:rPr>
                <w:rFonts w:ascii="Calibri" w:hAnsi="Calibri"/>
                <w:sz w:val="18"/>
                <w:szCs w:val="18"/>
              </w:rPr>
              <w:t>（吨）</w:t>
            </w:r>
          </w:p>
        </w:tc>
        <w:tc>
          <w:tcPr>
            <w:tcW w:w="813" w:type="pct"/>
            <w:tcBorders>
              <w:bottom w:val="single" w:color="auto" w:sz="4" w:space="0"/>
            </w:tcBorders>
            <w:shd w:val="clear" w:color="auto" w:fill="auto"/>
            <w:vAlign w:val="center"/>
          </w:tcPr>
          <w:p>
            <w:pPr>
              <w:pStyle w:val="48"/>
              <w:adjustRightInd w:val="0"/>
              <w:snapToGrid w:val="0"/>
              <w:rPr>
                <w:rFonts w:ascii="Calibri" w:hAnsi="Calibri"/>
                <w:sz w:val="18"/>
                <w:szCs w:val="18"/>
              </w:rPr>
            </w:pPr>
            <w:r>
              <w:rPr>
                <w:rFonts w:ascii="Calibri" w:hAnsi="Calibri"/>
                <w:sz w:val="18"/>
                <w:szCs w:val="18"/>
              </w:rPr>
              <w:t>氧化亚氮</w:t>
            </w:r>
          </w:p>
          <w:p>
            <w:pPr>
              <w:pStyle w:val="48"/>
              <w:adjustRightInd w:val="0"/>
              <w:snapToGrid w:val="0"/>
              <w:rPr>
                <w:rFonts w:ascii="Calibri" w:hAnsi="Calibri"/>
                <w:sz w:val="18"/>
                <w:szCs w:val="18"/>
              </w:rPr>
            </w:pPr>
            <w:r>
              <w:rPr>
                <w:rFonts w:ascii="Calibri" w:hAnsi="Calibri"/>
                <w:sz w:val="18"/>
                <w:szCs w:val="18"/>
              </w:rPr>
              <w:t>（吨）</w:t>
            </w:r>
          </w:p>
        </w:tc>
        <w:tc>
          <w:tcPr>
            <w:tcW w:w="1382" w:type="pct"/>
            <w:tcBorders>
              <w:bottom w:val="single" w:color="auto" w:sz="4" w:space="0"/>
            </w:tcBorders>
            <w:shd w:val="clear" w:color="auto" w:fill="auto"/>
            <w:vAlign w:val="center"/>
          </w:tcPr>
          <w:p>
            <w:pPr>
              <w:pStyle w:val="48"/>
              <w:adjustRightInd w:val="0"/>
              <w:snapToGrid w:val="0"/>
              <w:rPr>
                <w:rFonts w:ascii="Calibri" w:hAnsi="Calibri"/>
                <w:sz w:val="18"/>
                <w:szCs w:val="18"/>
              </w:rPr>
            </w:pPr>
            <w:r>
              <w:rPr>
                <w:rFonts w:ascii="Calibri" w:hAnsi="Calibri"/>
                <w:sz w:val="18"/>
                <w:szCs w:val="18"/>
              </w:rPr>
              <w:t>折合</w:t>
            </w:r>
            <w:bookmarkStart w:id="301" w:name="_Hlk50308622"/>
            <w:r>
              <w:rPr>
                <w:rFonts w:ascii="Calibri" w:hAnsi="Calibri"/>
                <w:sz w:val="18"/>
                <w:szCs w:val="18"/>
              </w:rPr>
              <w:t>二氧化碳当量</w:t>
            </w:r>
            <w:bookmarkEnd w:id="301"/>
          </w:p>
          <w:p>
            <w:pPr>
              <w:pStyle w:val="48"/>
              <w:adjustRightInd w:val="0"/>
              <w:snapToGrid w:val="0"/>
              <w:rPr>
                <w:rFonts w:ascii="Calibri" w:hAnsi="Calibri"/>
                <w:sz w:val="18"/>
                <w:szCs w:val="18"/>
              </w:rPr>
            </w:pPr>
            <w:r>
              <w:rPr>
                <w:rFonts w:ascii="Calibri" w:hAnsi="Calibri"/>
                <w:sz w:val="18"/>
                <w:szCs w:val="18"/>
              </w:rPr>
              <w:t>（万吨）</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1269" w:type="pct"/>
            <w:tcBorders>
              <w:bottom w:val="nil"/>
            </w:tcBorders>
            <w:shd w:val="clear" w:color="auto" w:fill="auto"/>
            <w:vAlign w:val="center"/>
          </w:tcPr>
          <w:p>
            <w:pPr>
              <w:pStyle w:val="48"/>
              <w:adjustRightInd w:val="0"/>
              <w:snapToGrid w:val="0"/>
              <w:rPr>
                <w:rFonts w:ascii="Calibri" w:hAnsi="Calibri"/>
                <w:sz w:val="18"/>
                <w:szCs w:val="18"/>
              </w:rPr>
            </w:pPr>
            <w:r>
              <w:rPr>
                <w:rFonts w:ascii="Calibri" w:hAnsi="Calibri"/>
                <w:sz w:val="18"/>
                <w:szCs w:val="18"/>
              </w:rPr>
              <w:t>废弃物填埋</w:t>
            </w:r>
          </w:p>
        </w:tc>
        <w:tc>
          <w:tcPr>
            <w:tcW w:w="1232" w:type="dxa"/>
            <w:tcBorders>
              <w:bottom w:val="nil"/>
            </w:tcBorders>
            <w:shd w:val="clear" w:color="auto" w:fill="auto"/>
          </w:tcPr>
          <w:p>
            <w:pPr>
              <w:spacing w:before="0" w:after="0" w:line="240" w:lineRule="auto"/>
              <w:jc w:val="center"/>
              <w:rPr>
                <w:rFonts w:ascii="Calibri" w:hAnsi="Calibri" w:cs="Times New Roman" w:eastAsiaTheme="minorEastAsia"/>
                <w:sz w:val="18"/>
                <w:szCs w:val="18"/>
              </w:rPr>
            </w:pPr>
            <w:r>
              <w:rPr>
                <w:rFonts w:hint="eastAsia" w:ascii="Calibri" w:hAnsi="Calibri"/>
                <w:sz w:val="18"/>
                <w:szCs w:val="18"/>
              </w:rPr>
              <w:t>/</w:t>
            </w:r>
          </w:p>
        </w:tc>
        <w:tc>
          <w:tcPr>
            <w:tcW w:w="1386" w:type="dxa"/>
            <w:tcBorders>
              <w:bottom w:val="nil"/>
            </w:tcBorders>
            <w:shd w:val="clear" w:color="auto" w:fill="auto"/>
          </w:tcPr>
          <w:p>
            <w:pPr>
              <w:spacing w:before="0" w:after="0" w:line="240" w:lineRule="auto"/>
              <w:jc w:val="center"/>
              <w:rPr>
                <w:rFonts w:ascii="Calibri" w:hAnsi="Calibri" w:cs="Times New Roman" w:eastAsiaTheme="minorEastAsia"/>
                <w:sz w:val="18"/>
                <w:szCs w:val="18"/>
              </w:rPr>
            </w:pPr>
            <w:r>
              <w:rPr>
                <w:rFonts w:ascii="Calibri" w:hAnsi="Calibri" w:cs="Times New Roman" w:eastAsiaTheme="minorEastAsia"/>
                <w:sz w:val="18"/>
                <w:szCs w:val="18"/>
              </w:rPr>
              <w:t>11181.89</w:t>
            </w:r>
          </w:p>
        </w:tc>
        <w:tc>
          <w:tcPr>
            <w:tcW w:w="1386" w:type="dxa"/>
            <w:tcBorders>
              <w:bottom w:val="nil"/>
            </w:tcBorders>
            <w:shd w:val="clear" w:color="auto" w:fill="auto"/>
          </w:tcPr>
          <w:p>
            <w:pPr>
              <w:spacing w:before="0" w:after="0" w:line="240" w:lineRule="auto"/>
              <w:jc w:val="center"/>
              <w:rPr>
                <w:rFonts w:ascii="Calibri" w:hAnsi="Calibri" w:cs="Times New Roman" w:eastAsiaTheme="minorEastAsia"/>
                <w:sz w:val="18"/>
                <w:szCs w:val="18"/>
              </w:rPr>
            </w:pPr>
            <w:r>
              <w:rPr>
                <w:rFonts w:hint="eastAsia" w:ascii="Calibri" w:hAnsi="Calibri"/>
                <w:sz w:val="18"/>
                <w:szCs w:val="18"/>
              </w:rPr>
              <w:t>/</w:t>
            </w:r>
          </w:p>
        </w:tc>
        <w:tc>
          <w:tcPr>
            <w:tcW w:w="2355" w:type="dxa"/>
            <w:tcBorders>
              <w:bottom w:val="nil"/>
            </w:tcBorders>
            <w:shd w:val="clear" w:color="auto" w:fill="auto"/>
          </w:tcPr>
          <w:p>
            <w:pPr>
              <w:spacing w:before="0" w:after="0" w:line="240" w:lineRule="auto"/>
              <w:jc w:val="center"/>
              <w:rPr>
                <w:rFonts w:ascii="Calibri" w:hAnsi="Calibri" w:cs="Times New Roman" w:eastAsiaTheme="minorEastAsia"/>
                <w:sz w:val="18"/>
                <w:szCs w:val="18"/>
              </w:rPr>
            </w:pPr>
            <w:r>
              <w:rPr>
                <w:rFonts w:ascii="Calibri" w:hAnsi="Calibri" w:cs="Times New Roman" w:eastAsiaTheme="minorEastAsia"/>
                <w:sz w:val="18"/>
                <w:szCs w:val="18"/>
              </w:rPr>
              <w:t>23.48</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1269" w:type="pct"/>
            <w:tcBorders>
              <w:top w:val="nil"/>
              <w:bottom w:val="nil"/>
            </w:tcBorders>
            <w:shd w:val="clear" w:color="auto" w:fill="auto"/>
            <w:vAlign w:val="center"/>
          </w:tcPr>
          <w:p>
            <w:pPr>
              <w:pStyle w:val="48"/>
              <w:adjustRightInd w:val="0"/>
              <w:snapToGrid w:val="0"/>
              <w:rPr>
                <w:rFonts w:ascii="Calibri" w:hAnsi="Calibri"/>
                <w:sz w:val="18"/>
                <w:szCs w:val="18"/>
              </w:rPr>
            </w:pPr>
            <w:r>
              <w:rPr>
                <w:rFonts w:ascii="Calibri" w:hAnsi="Calibri"/>
                <w:sz w:val="18"/>
                <w:szCs w:val="18"/>
              </w:rPr>
              <w:t>废弃物焚烧</w:t>
            </w:r>
          </w:p>
        </w:tc>
        <w:tc>
          <w:tcPr>
            <w:tcW w:w="1232" w:type="dxa"/>
            <w:tcBorders>
              <w:top w:val="nil"/>
              <w:bottom w:val="nil"/>
            </w:tcBorders>
            <w:shd w:val="clear" w:color="auto" w:fill="auto"/>
          </w:tcPr>
          <w:p>
            <w:pPr>
              <w:spacing w:before="0" w:after="0" w:line="240" w:lineRule="auto"/>
              <w:jc w:val="center"/>
              <w:rPr>
                <w:rFonts w:ascii="Calibri" w:hAnsi="Calibri" w:cs="Times New Roman" w:eastAsiaTheme="minorEastAsia"/>
                <w:sz w:val="18"/>
                <w:szCs w:val="18"/>
              </w:rPr>
            </w:pPr>
            <w:r>
              <w:rPr>
                <w:rFonts w:ascii="Calibri" w:hAnsi="Calibri" w:cs="Times New Roman" w:eastAsiaTheme="minorEastAsia"/>
                <w:sz w:val="18"/>
                <w:szCs w:val="18"/>
              </w:rPr>
              <w:t>181115.22</w:t>
            </w:r>
          </w:p>
        </w:tc>
        <w:tc>
          <w:tcPr>
            <w:tcW w:w="1386" w:type="dxa"/>
            <w:tcBorders>
              <w:top w:val="nil"/>
              <w:bottom w:val="nil"/>
            </w:tcBorders>
            <w:shd w:val="clear" w:color="auto" w:fill="auto"/>
          </w:tcPr>
          <w:p>
            <w:pPr>
              <w:spacing w:before="0" w:after="0" w:line="240" w:lineRule="auto"/>
              <w:jc w:val="center"/>
              <w:rPr>
                <w:rFonts w:ascii="Calibri" w:hAnsi="Calibri" w:cs="Times New Roman" w:eastAsiaTheme="minorEastAsia"/>
                <w:sz w:val="18"/>
                <w:szCs w:val="18"/>
              </w:rPr>
            </w:pPr>
            <w:r>
              <w:rPr>
                <w:rFonts w:hint="eastAsia" w:ascii="Calibri" w:hAnsi="Calibri"/>
                <w:sz w:val="18"/>
                <w:szCs w:val="18"/>
              </w:rPr>
              <w:t>/</w:t>
            </w:r>
          </w:p>
        </w:tc>
        <w:tc>
          <w:tcPr>
            <w:tcW w:w="1386" w:type="dxa"/>
            <w:tcBorders>
              <w:top w:val="nil"/>
              <w:bottom w:val="nil"/>
            </w:tcBorders>
            <w:shd w:val="clear" w:color="auto" w:fill="auto"/>
          </w:tcPr>
          <w:p>
            <w:pPr>
              <w:spacing w:before="0" w:after="0" w:line="240" w:lineRule="auto"/>
              <w:jc w:val="center"/>
              <w:rPr>
                <w:rFonts w:ascii="Calibri" w:hAnsi="Calibri" w:cs="Times New Roman" w:eastAsiaTheme="minorEastAsia"/>
                <w:sz w:val="18"/>
                <w:szCs w:val="18"/>
              </w:rPr>
            </w:pPr>
            <w:r>
              <w:rPr>
                <w:rFonts w:hint="eastAsia" w:ascii="Calibri" w:hAnsi="Calibri"/>
                <w:sz w:val="18"/>
                <w:szCs w:val="18"/>
              </w:rPr>
              <w:t>/</w:t>
            </w:r>
          </w:p>
        </w:tc>
        <w:tc>
          <w:tcPr>
            <w:tcW w:w="2355" w:type="dxa"/>
            <w:tcBorders>
              <w:top w:val="nil"/>
              <w:bottom w:val="nil"/>
            </w:tcBorders>
            <w:shd w:val="clear" w:color="auto" w:fill="auto"/>
          </w:tcPr>
          <w:p>
            <w:pPr>
              <w:spacing w:before="0" w:after="0" w:line="240" w:lineRule="auto"/>
              <w:jc w:val="center"/>
              <w:rPr>
                <w:rFonts w:ascii="Calibri" w:hAnsi="Calibri" w:cs="Times New Roman" w:eastAsiaTheme="minorEastAsia"/>
                <w:sz w:val="18"/>
                <w:szCs w:val="18"/>
              </w:rPr>
            </w:pPr>
            <w:r>
              <w:rPr>
                <w:rFonts w:ascii="Calibri" w:hAnsi="Calibri" w:cs="Times New Roman" w:eastAsiaTheme="minorEastAsia"/>
                <w:sz w:val="18"/>
                <w:szCs w:val="18"/>
              </w:rPr>
              <w:t>18.11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1269" w:type="pct"/>
            <w:tcBorders>
              <w:top w:val="nil"/>
              <w:bottom w:val="nil"/>
            </w:tcBorders>
            <w:shd w:val="clear" w:color="auto" w:fill="auto"/>
            <w:vAlign w:val="center"/>
          </w:tcPr>
          <w:p>
            <w:pPr>
              <w:pStyle w:val="48"/>
              <w:adjustRightInd w:val="0"/>
              <w:snapToGrid w:val="0"/>
              <w:rPr>
                <w:rFonts w:ascii="Calibri" w:hAnsi="Calibri"/>
                <w:sz w:val="18"/>
                <w:szCs w:val="18"/>
              </w:rPr>
            </w:pPr>
            <w:r>
              <w:rPr>
                <w:rFonts w:ascii="Calibri" w:hAnsi="Calibri"/>
                <w:sz w:val="18"/>
                <w:szCs w:val="18"/>
              </w:rPr>
              <w:t>生活污水</w:t>
            </w:r>
          </w:p>
        </w:tc>
        <w:tc>
          <w:tcPr>
            <w:tcW w:w="1232" w:type="dxa"/>
            <w:tcBorders>
              <w:top w:val="nil"/>
              <w:bottom w:val="nil"/>
            </w:tcBorders>
            <w:shd w:val="clear" w:color="auto" w:fill="auto"/>
          </w:tcPr>
          <w:p>
            <w:pPr>
              <w:spacing w:before="0" w:after="0" w:line="240" w:lineRule="auto"/>
              <w:jc w:val="center"/>
              <w:rPr>
                <w:rFonts w:ascii="Calibri" w:hAnsi="Calibri" w:cs="Times New Roman" w:eastAsiaTheme="minorEastAsia"/>
                <w:sz w:val="18"/>
                <w:szCs w:val="18"/>
              </w:rPr>
            </w:pPr>
            <w:r>
              <w:rPr>
                <w:rFonts w:hint="eastAsia" w:ascii="Calibri" w:hAnsi="Calibri"/>
                <w:sz w:val="18"/>
                <w:szCs w:val="18"/>
              </w:rPr>
              <w:t>/</w:t>
            </w:r>
          </w:p>
        </w:tc>
        <w:tc>
          <w:tcPr>
            <w:tcW w:w="1386" w:type="dxa"/>
            <w:tcBorders>
              <w:top w:val="nil"/>
              <w:bottom w:val="nil"/>
            </w:tcBorders>
            <w:shd w:val="clear" w:color="auto" w:fill="auto"/>
          </w:tcPr>
          <w:p>
            <w:pPr>
              <w:spacing w:before="0" w:after="0" w:line="240" w:lineRule="auto"/>
              <w:jc w:val="center"/>
              <w:rPr>
                <w:rFonts w:ascii="Calibri" w:hAnsi="Calibri" w:cs="Times New Roman" w:eastAsiaTheme="minorEastAsia"/>
                <w:sz w:val="18"/>
                <w:szCs w:val="18"/>
              </w:rPr>
            </w:pPr>
            <w:r>
              <w:rPr>
                <w:rFonts w:ascii="Calibri" w:hAnsi="Calibri" w:cs="Times New Roman" w:eastAsiaTheme="minorEastAsia"/>
                <w:sz w:val="18"/>
                <w:szCs w:val="18"/>
              </w:rPr>
              <w:t>723.47</w:t>
            </w:r>
          </w:p>
        </w:tc>
        <w:tc>
          <w:tcPr>
            <w:tcW w:w="1386" w:type="dxa"/>
            <w:tcBorders>
              <w:top w:val="nil"/>
              <w:bottom w:val="nil"/>
            </w:tcBorders>
            <w:shd w:val="clear" w:color="auto" w:fill="auto"/>
          </w:tcPr>
          <w:p>
            <w:pPr>
              <w:spacing w:before="0" w:after="0" w:line="240" w:lineRule="auto"/>
              <w:jc w:val="center"/>
              <w:rPr>
                <w:rFonts w:ascii="Calibri" w:hAnsi="Calibri" w:cs="Times New Roman" w:eastAsiaTheme="minorEastAsia"/>
                <w:sz w:val="18"/>
                <w:szCs w:val="18"/>
              </w:rPr>
            </w:pPr>
            <w:r>
              <w:rPr>
                <w:rFonts w:hint="eastAsia" w:ascii="Calibri" w:hAnsi="Calibri"/>
                <w:sz w:val="18"/>
                <w:szCs w:val="18"/>
              </w:rPr>
              <w:t>/</w:t>
            </w:r>
          </w:p>
        </w:tc>
        <w:tc>
          <w:tcPr>
            <w:tcW w:w="2355" w:type="dxa"/>
            <w:tcBorders>
              <w:top w:val="nil"/>
              <w:bottom w:val="nil"/>
            </w:tcBorders>
            <w:shd w:val="clear" w:color="auto" w:fill="auto"/>
          </w:tcPr>
          <w:p>
            <w:pPr>
              <w:spacing w:before="0" w:after="0" w:line="240" w:lineRule="auto"/>
              <w:jc w:val="center"/>
              <w:rPr>
                <w:rFonts w:ascii="Calibri" w:hAnsi="Calibri" w:cs="Times New Roman" w:eastAsiaTheme="minorEastAsia"/>
                <w:sz w:val="18"/>
                <w:szCs w:val="18"/>
              </w:rPr>
            </w:pPr>
            <w:r>
              <w:rPr>
                <w:rFonts w:ascii="Calibri" w:hAnsi="Calibri" w:cs="Times New Roman" w:eastAsiaTheme="minorEastAsia"/>
                <w:sz w:val="18"/>
                <w:szCs w:val="18"/>
              </w:rPr>
              <w:t>1.52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1269" w:type="pct"/>
            <w:tcBorders>
              <w:top w:val="nil"/>
              <w:bottom w:val="nil"/>
            </w:tcBorders>
            <w:shd w:val="clear" w:color="auto" w:fill="auto"/>
            <w:vAlign w:val="center"/>
          </w:tcPr>
          <w:p>
            <w:pPr>
              <w:pStyle w:val="48"/>
              <w:adjustRightInd w:val="0"/>
              <w:snapToGrid w:val="0"/>
              <w:rPr>
                <w:rFonts w:ascii="Calibri" w:hAnsi="Calibri"/>
                <w:sz w:val="18"/>
                <w:szCs w:val="18"/>
              </w:rPr>
            </w:pPr>
            <w:r>
              <w:rPr>
                <w:rFonts w:ascii="Calibri" w:hAnsi="Calibri"/>
                <w:sz w:val="18"/>
                <w:szCs w:val="18"/>
              </w:rPr>
              <w:t>工业废水</w:t>
            </w:r>
          </w:p>
        </w:tc>
        <w:tc>
          <w:tcPr>
            <w:tcW w:w="1232" w:type="dxa"/>
            <w:tcBorders>
              <w:top w:val="nil"/>
              <w:bottom w:val="nil"/>
            </w:tcBorders>
            <w:shd w:val="clear" w:color="auto" w:fill="auto"/>
          </w:tcPr>
          <w:p>
            <w:pPr>
              <w:spacing w:before="0" w:after="0" w:line="240" w:lineRule="auto"/>
              <w:jc w:val="center"/>
              <w:rPr>
                <w:rFonts w:ascii="Calibri" w:hAnsi="Calibri" w:cs="Times New Roman" w:eastAsiaTheme="minorEastAsia"/>
                <w:sz w:val="18"/>
                <w:szCs w:val="18"/>
              </w:rPr>
            </w:pPr>
            <w:r>
              <w:rPr>
                <w:rFonts w:hint="eastAsia" w:ascii="Calibri" w:hAnsi="Calibri"/>
                <w:sz w:val="18"/>
                <w:szCs w:val="18"/>
              </w:rPr>
              <w:t>/</w:t>
            </w:r>
          </w:p>
        </w:tc>
        <w:tc>
          <w:tcPr>
            <w:tcW w:w="1386" w:type="dxa"/>
            <w:tcBorders>
              <w:top w:val="nil"/>
              <w:bottom w:val="nil"/>
            </w:tcBorders>
            <w:shd w:val="clear" w:color="auto" w:fill="auto"/>
          </w:tcPr>
          <w:p>
            <w:pPr>
              <w:spacing w:before="0" w:after="0" w:line="240" w:lineRule="auto"/>
              <w:jc w:val="center"/>
              <w:rPr>
                <w:rFonts w:ascii="Calibri" w:hAnsi="Calibri" w:cs="Times New Roman" w:eastAsiaTheme="minorEastAsia"/>
                <w:sz w:val="18"/>
                <w:szCs w:val="18"/>
              </w:rPr>
            </w:pPr>
            <w:r>
              <w:rPr>
                <w:rFonts w:hint="eastAsia" w:ascii="Calibri" w:hAnsi="Calibri"/>
                <w:sz w:val="18"/>
                <w:szCs w:val="18"/>
              </w:rPr>
              <w:t>/</w:t>
            </w:r>
          </w:p>
        </w:tc>
        <w:tc>
          <w:tcPr>
            <w:tcW w:w="1386" w:type="dxa"/>
            <w:tcBorders>
              <w:top w:val="nil"/>
              <w:bottom w:val="nil"/>
            </w:tcBorders>
            <w:shd w:val="clear" w:color="auto" w:fill="auto"/>
          </w:tcPr>
          <w:p>
            <w:pPr>
              <w:spacing w:before="0" w:after="0" w:line="240" w:lineRule="auto"/>
              <w:jc w:val="center"/>
              <w:rPr>
                <w:rFonts w:ascii="Calibri" w:hAnsi="Calibri" w:cs="Times New Roman" w:eastAsiaTheme="minorEastAsia"/>
                <w:sz w:val="18"/>
                <w:szCs w:val="18"/>
              </w:rPr>
            </w:pPr>
            <w:r>
              <w:rPr>
                <w:rFonts w:hint="eastAsia" w:ascii="Calibri" w:hAnsi="Calibri"/>
                <w:sz w:val="18"/>
                <w:szCs w:val="18"/>
              </w:rPr>
              <w:t>/</w:t>
            </w:r>
          </w:p>
        </w:tc>
        <w:tc>
          <w:tcPr>
            <w:tcW w:w="2355" w:type="dxa"/>
            <w:tcBorders>
              <w:top w:val="nil"/>
              <w:bottom w:val="nil"/>
            </w:tcBorders>
            <w:shd w:val="clear" w:color="auto" w:fill="auto"/>
          </w:tcPr>
          <w:p>
            <w:pPr>
              <w:spacing w:before="0" w:after="0" w:line="240" w:lineRule="auto"/>
              <w:jc w:val="center"/>
              <w:rPr>
                <w:rFonts w:ascii="Calibri" w:hAnsi="Calibri" w:cs="Times New Roman" w:eastAsiaTheme="minorEastAsia"/>
                <w:sz w:val="18"/>
                <w:szCs w:val="18"/>
              </w:rPr>
            </w:pPr>
            <w:r>
              <w:rPr>
                <w:rFonts w:ascii="Calibri" w:hAnsi="Calibri" w:cs="Times New Roman" w:eastAsiaTheme="minorEastAsia"/>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1269" w:type="pct"/>
            <w:tcBorders>
              <w:top w:val="nil"/>
              <w:bottom w:val="nil"/>
            </w:tcBorders>
            <w:shd w:val="clear" w:color="auto" w:fill="auto"/>
            <w:vAlign w:val="center"/>
          </w:tcPr>
          <w:p>
            <w:pPr>
              <w:pStyle w:val="48"/>
              <w:adjustRightInd w:val="0"/>
              <w:snapToGrid w:val="0"/>
              <w:rPr>
                <w:rFonts w:ascii="Calibri" w:hAnsi="Calibri"/>
                <w:sz w:val="18"/>
                <w:szCs w:val="18"/>
              </w:rPr>
            </w:pPr>
            <w:r>
              <w:rPr>
                <w:rFonts w:ascii="Calibri" w:hAnsi="Calibri"/>
                <w:sz w:val="18"/>
                <w:szCs w:val="18"/>
              </w:rPr>
              <w:t>废水氧化亚氮</w:t>
            </w:r>
          </w:p>
        </w:tc>
        <w:tc>
          <w:tcPr>
            <w:tcW w:w="1232" w:type="dxa"/>
            <w:tcBorders>
              <w:top w:val="nil"/>
              <w:bottom w:val="nil"/>
            </w:tcBorders>
            <w:shd w:val="clear" w:color="auto" w:fill="auto"/>
          </w:tcPr>
          <w:p>
            <w:pPr>
              <w:spacing w:before="0" w:after="0" w:line="240" w:lineRule="auto"/>
              <w:jc w:val="center"/>
              <w:rPr>
                <w:rFonts w:ascii="Calibri" w:hAnsi="Calibri" w:cs="Times New Roman" w:eastAsiaTheme="minorEastAsia"/>
                <w:sz w:val="18"/>
                <w:szCs w:val="18"/>
              </w:rPr>
            </w:pPr>
            <w:r>
              <w:rPr>
                <w:rFonts w:hint="eastAsia" w:ascii="Calibri" w:hAnsi="Calibri"/>
                <w:sz w:val="18"/>
                <w:szCs w:val="18"/>
              </w:rPr>
              <w:t>/</w:t>
            </w:r>
          </w:p>
        </w:tc>
        <w:tc>
          <w:tcPr>
            <w:tcW w:w="1386" w:type="dxa"/>
            <w:tcBorders>
              <w:top w:val="nil"/>
              <w:bottom w:val="nil"/>
            </w:tcBorders>
            <w:shd w:val="clear" w:color="auto" w:fill="auto"/>
          </w:tcPr>
          <w:p>
            <w:pPr>
              <w:spacing w:before="0" w:after="0" w:line="240" w:lineRule="auto"/>
              <w:jc w:val="center"/>
              <w:rPr>
                <w:rFonts w:ascii="Calibri" w:hAnsi="Calibri" w:cs="Times New Roman" w:eastAsiaTheme="minorEastAsia"/>
                <w:sz w:val="18"/>
                <w:szCs w:val="18"/>
              </w:rPr>
            </w:pPr>
            <w:r>
              <w:rPr>
                <w:rFonts w:hint="eastAsia" w:ascii="Calibri" w:hAnsi="Calibri"/>
                <w:sz w:val="18"/>
                <w:szCs w:val="18"/>
              </w:rPr>
              <w:t>/</w:t>
            </w:r>
          </w:p>
        </w:tc>
        <w:tc>
          <w:tcPr>
            <w:tcW w:w="1386" w:type="dxa"/>
            <w:tcBorders>
              <w:top w:val="nil"/>
              <w:bottom w:val="nil"/>
            </w:tcBorders>
            <w:shd w:val="clear" w:color="auto" w:fill="auto"/>
          </w:tcPr>
          <w:p>
            <w:pPr>
              <w:spacing w:before="0" w:after="0" w:line="240" w:lineRule="auto"/>
              <w:jc w:val="center"/>
              <w:rPr>
                <w:rFonts w:ascii="Calibri" w:hAnsi="Calibri" w:cs="Times New Roman" w:eastAsiaTheme="minorEastAsia"/>
                <w:sz w:val="18"/>
                <w:szCs w:val="18"/>
              </w:rPr>
            </w:pPr>
            <w:r>
              <w:rPr>
                <w:rFonts w:ascii="Calibri" w:hAnsi="Calibri" w:cs="Times New Roman" w:eastAsiaTheme="minorEastAsia"/>
                <w:sz w:val="18"/>
                <w:szCs w:val="18"/>
              </w:rPr>
              <w:t>156.94</w:t>
            </w:r>
          </w:p>
        </w:tc>
        <w:tc>
          <w:tcPr>
            <w:tcW w:w="2355" w:type="dxa"/>
            <w:tcBorders>
              <w:top w:val="nil"/>
              <w:bottom w:val="nil"/>
            </w:tcBorders>
            <w:shd w:val="clear" w:color="auto" w:fill="auto"/>
          </w:tcPr>
          <w:p>
            <w:pPr>
              <w:spacing w:before="0" w:after="0" w:line="240" w:lineRule="auto"/>
              <w:jc w:val="center"/>
              <w:rPr>
                <w:rFonts w:ascii="Calibri" w:hAnsi="Calibri" w:cs="Times New Roman" w:eastAsiaTheme="minorEastAsia"/>
                <w:sz w:val="18"/>
                <w:szCs w:val="18"/>
              </w:rPr>
            </w:pPr>
            <w:r>
              <w:rPr>
                <w:rFonts w:ascii="Calibri" w:hAnsi="Calibri" w:cs="Times New Roman" w:eastAsiaTheme="minorEastAsia"/>
                <w:sz w:val="18"/>
                <w:szCs w:val="18"/>
              </w:rPr>
              <w:t>4.86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1269" w:type="pct"/>
            <w:tcBorders>
              <w:top w:val="nil"/>
            </w:tcBorders>
            <w:shd w:val="clear" w:color="auto" w:fill="auto"/>
            <w:vAlign w:val="center"/>
          </w:tcPr>
          <w:p>
            <w:pPr>
              <w:pStyle w:val="48"/>
              <w:adjustRightInd w:val="0"/>
              <w:snapToGrid w:val="0"/>
              <w:rPr>
                <w:rFonts w:ascii="Calibri" w:hAnsi="Calibri"/>
                <w:sz w:val="18"/>
                <w:szCs w:val="18"/>
              </w:rPr>
            </w:pPr>
            <w:r>
              <w:rPr>
                <w:rFonts w:ascii="Calibri" w:hAnsi="Calibri"/>
                <w:sz w:val="18"/>
                <w:szCs w:val="18"/>
              </w:rPr>
              <w:t>总计</w:t>
            </w:r>
          </w:p>
        </w:tc>
        <w:tc>
          <w:tcPr>
            <w:tcW w:w="1232" w:type="dxa"/>
            <w:tcBorders>
              <w:top w:val="nil"/>
            </w:tcBorders>
            <w:shd w:val="clear" w:color="auto" w:fill="auto"/>
          </w:tcPr>
          <w:p>
            <w:pPr>
              <w:spacing w:before="0" w:after="0" w:line="240" w:lineRule="auto"/>
              <w:jc w:val="center"/>
              <w:rPr>
                <w:rFonts w:ascii="Calibri" w:hAnsi="Calibri" w:cs="Times New Roman" w:eastAsiaTheme="minorEastAsia"/>
                <w:sz w:val="18"/>
                <w:szCs w:val="18"/>
              </w:rPr>
            </w:pPr>
            <w:r>
              <w:rPr>
                <w:rFonts w:ascii="Calibri" w:hAnsi="Calibri" w:cs="Times New Roman" w:eastAsiaTheme="minorEastAsia"/>
                <w:sz w:val="18"/>
                <w:szCs w:val="18"/>
              </w:rPr>
              <w:t>181115.22</w:t>
            </w:r>
          </w:p>
        </w:tc>
        <w:tc>
          <w:tcPr>
            <w:tcW w:w="1386" w:type="dxa"/>
            <w:tcBorders>
              <w:top w:val="nil"/>
            </w:tcBorders>
            <w:shd w:val="clear" w:color="auto" w:fill="auto"/>
          </w:tcPr>
          <w:p>
            <w:pPr>
              <w:spacing w:before="0" w:after="0" w:line="240" w:lineRule="auto"/>
              <w:jc w:val="center"/>
              <w:rPr>
                <w:rFonts w:ascii="Calibri" w:hAnsi="Calibri" w:cs="Times New Roman" w:eastAsiaTheme="minorEastAsia"/>
                <w:sz w:val="18"/>
                <w:szCs w:val="18"/>
              </w:rPr>
            </w:pPr>
            <w:r>
              <w:rPr>
                <w:rFonts w:ascii="Calibri" w:hAnsi="Calibri" w:cs="Times New Roman" w:eastAsiaTheme="minorEastAsia"/>
                <w:sz w:val="18"/>
                <w:szCs w:val="18"/>
              </w:rPr>
              <w:t>11905.36</w:t>
            </w:r>
          </w:p>
        </w:tc>
        <w:tc>
          <w:tcPr>
            <w:tcW w:w="1386" w:type="dxa"/>
            <w:tcBorders>
              <w:top w:val="nil"/>
            </w:tcBorders>
            <w:shd w:val="clear" w:color="auto" w:fill="auto"/>
          </w:tcPr>
          <w:p>
            <w:pPr>
              <w:spacing w:before="0" w:after="0" w:line="240" w:lineRule="auto"/>
              <w:jc w:val="center"/>
              <w:rPr>
                <w:rFonts w:ascii="Calibri" w:hAnsi="Calibri" w:cs="Times New Roman" w:eastAsiaTheme="minorEastAsia"/>
                <w:sz w:val="18"/>
                <w:szCs w:val="18"/>
              </w:rPr>
            </w:pPr>
            <w:r>
              <w:rPr>
                <w:rFonts w:ascii="Calibri" w:hAnsi="Calibri" w:cs="Times New Roman" w:eastAsiaTheme="minorEastAsia"/>
                <w:sz w:val="18"/>
                <w:szCs w:val="18"/>
              </w:rPr>
              <w:t>156.94</w:t>
            </w:r>
          </w:p>
        </w:tc>
        <w:tc>
          <w:tcPr>
            <w:tcW w:w="2355" w:type="dxa"/>
            <w:tcBorders>
              <w:top w:val="nil"/>
            </w:tcBorders>
            <w:shd w:val="clear" w:color="auto" w:fill="auto"/>
          </w:tcPr>
          <w:p>
            <w:pPr>
              <w:spacing w:before="0" w:after="0" w:line="240" w:lineRule="auto"/>
              <w:jc w:val="center"/>
              <w:rPr>
                <w:rFonts w:ascii="Calibri" w:hAnsi="Calibri" w:cs="Times New Roman" w:eastAsiaTheme="minorEastAsia"/>
                <w:sz w:val="18"/>
                <w:szCs w:val="18"/>
              </w:rPr>
            </w:pPr>
            <w:r>
              <w:rPr>
                <w:rFonts w:ascii="Calibri" w:hAnsi="Calibri" w:cs="Times New Roman" w:eastAsiaTheme="minorEastAsia"/>
                <w:sz w:val="18"/>
                <w:szCs w:val="18"/>
              </w:rPr>
              <w:t>47.98</w:t>
            </w:r>
          </w:p>
        </w:tc>
      </w:tr>
    </w:tbl>
    <w:p>
      <w:pPr>
        <w:ind w:firstLine="480" w:firstLineChars="200"/>
      </w:pPr>
      <w:r>
        <w:t>废弃物处理活动温室气体排放比例见</w:t>
      </w:r>
      <w:r>
        <w:fldChar w:fldCharType="begin"/>
      </w:r>
      <w:r>
        <w:instrText xml:space="preserve"> REF _Ref51831639 \h  \* MERGEFORMAT </w:instrText>
      </w:r>
      <w:r>
        <w:fldChar w:fldCharType="separate"/>
      </w:r>
      <w:r>
        <w:rPr>
          <w:rFonts w:hint="eastAsia"/>
        </w:rPr>
        <w:t>图</w:t>
      </w:r>
      <w:r>
        <w:t>6</w:t>
      </w:r>
      <w:r>
        <w:noBreakHyphen/>
      </w:r>
      <w:r>
        <w:t>1</w:t>
      </w:r>
      <w:r>
        <w:fldChar w:fldCharType="end"/>
      </w:r>
      <w:r>
        <w:rPr>
          <w:rFonts w:hint="eastAsia"/>
        </w:rPr>
        <w:t>，</w:t>
      </w:r>
      <w:r>
        <w:rPr>
          <w:rFonts w:hint="eastAsia" w:cs="Times New Roman" w:eastAsiaTheme="minorEastAsia"/>
          <w:szCs w:val="24"/>
        </w:rPr>
        <w:t>由图可知，</w:t>
      </w:r>
      <w:r>
        <w:rPr>
          <w:rFonts w:cs="Times New Roman" w:eastAsiaTheme="minorEastAsia"/>
          <w:szCs w:val="24"/>
        </w:rPr>
        <w:t>废弃物处理温室气体排放以废弃物填埋甲烷排放产生的</w:t>
      </w:r>
      <w:r>
        <w:rPr>
          <w:rFonts w:hint="eastAsia" w:cs="Times New Roman" w:eastAsiaTheme="minorEastAsia"/>
          <w:szCs w:val="24"/>
        </w:rPr>
        <w:t>温室气体</w:t>
      </w:r>
      <w:r>
        <w:rPr>
          <w:rFonts w:cs="Times New Roman" w:eastAsiaTheme="minorEastAsia"/>
          <w:szCs w:val="24"/>
        </w:rPr>
        <w:t>最多，占</w:t>
      </w:r>
      <w:r>
        <w:rPr>
          <w:rFonts w:hint="eastAsia" w:cs="Times New Roman" w:eastAsiaTheme="minorEastAsia"/>
          <w:szCs w:val="24"/>
        </w:rPr>
        <w:t>48.95</w:t>
      </w:r>
      <w:r>
        <w:rPr>
          <w:rFonts w:cs="Times New Roman" w:eastAsiaTheme="minorEastAsia"/>
          <w:szCs w:val="24"/>
        </w:rPr>
        <w:t>%</w:t>
      </w:r>
      <w:r>
        <w:t>。</w:t>
      </w:r>
    </w:p>
    <w:p>
      <w:pPr>
        <w:spacing w:before="0" w:after="0"/>
        <w:ind w:firstLine="480"/>
        <w:jc w:val="center"/>
        <w:rPr>
          <w:rFonts w:cs="Times New Roman" w:eastAsiaTheme="minorEastAsia"/>
          <w:szCs w:val="24"/>
        </w:rPr>
      </w:pPr>
      <w:r>
        <w:drawing>
          <wp:inline distT="0" distB="0" distL="0" distR="0">
            <wp:extent cx="4132580" cy="24980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referRelativeResize="0">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4132800" cy="2498400"/>
                    </a:xfrm>
                    <a:prstGeom prst="rect">
                      <a:avLst/>
                    </a:prstGeom>
                    <a:noFill/>
                  </pic:spPr>
                </pic:pic>
              </a:graphicData>
            </a:graphic>
          </wp:inline>
        </w:drawing>
      </w:r>
    </w:p>
    <w:p>
      <w:pPr>
        <w:pStyle w:val="12"/>
      </w:pPr>
      <w:bookmarkStart w:id="302" w:name="_Ref51831639"/>
      <w:bookmarkStart w:id="303" w:name="_Toc418515611"/>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6</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bookmarkEnd w:id="302"/>
      <w:r>
        <w:t xml:space="preserve"> 废弃物处理活动</w:t>
      </w:r>
      <w:r>
        <w:rPr>
          <w:rFonts w:hint="eastAsia"/>
        </w:rPr>
        <w:t>各类型</w:t>
      </w:r>
      <w:r>
        <w:t>温室气体排放</w:t>
      </w:r>
      <w:r>
        <w:rPr>
          <w:rFonts w:hint="eastAsia"/>
        </w:rPr>
        <w:t>占比</w:t>
      </w:r>
    </w:p>
    <w:bookmarkEnd w:id="303"/>
    <w:p>
      <w:pPr>
        <w:pStyle w:val="4"/>
      </w:pPr>
      <w:bookmarkStart w:id="304" w:name="_Toc51939070"/>
      <w:bookmarkStart w:id="305" w:name="_Toc53827558"/>
      <w:bookmarkStart w:id="306" w:name="_Toc19896"/>
      <w:bookmarkStart w:id="307" w:name="_Toc52177435"/>
      <w:bookmarkStart w:id="308" w:name="_Toc55311784"/>
      <w:bookmarkStart w:id="309" w:name="_Toc54097699"/>
      <w:r>
        <w:rPr>
          <w:rFonts w:hint="eastAsia"/>
        </w:rPr>
        <w:t>废弃物处理总体不确定性</w:t>
      </w:r>
      <w:bookmarkEnd w:id="304"/>
      <w:bookmarkEnd w:id="305"/>
      <w:bookmarkEnd w:id="306"/>
      <w:bookmarkEnd w:id="307"/>
      <w:bookmarkEnd w:id="308"/>
      <w:bookmarkEnd w:id="309"/>
    </w:p>
    <w:p>
      <w:pPr>
        <w:ind w:firstLine="480" w:firstLineChars="200"/>
      </w:pPr>
      <w:r>
        <w:rPr>
          <w:rFonts w:hint="eastAsia" w:cs="Times New Roman" w:eastAsiaTheme="minorEastAsia"/>
          <w:szCs w:val="24"/>
        </w:rPr>
        <w:t>益阳市</w:t>
      </w:r>
      <w:r>
        <w:rPr>
          <w:rFonts w:cs="Times New Roman" w:eastAsiaTheme="minorEastAsia"/>
          <w:szCs w:val="24"/>
        </w:rPr>
        <w:t>201</w:t>
      </w:r>
      <w:r>
        <w:rPr>
          <w:rFonts w:hint="eastAsia" w:cs="Times New Roman" w:eastAsiaTheme="minorEastAsia"/>
          <w:szCs w:val="24"/>
        </w:rPr>
        <w:t>9</w:t>
      </w:r>
      <w:r>
        <w:rPr>
          <w:rFonts w:cs="Times New Roman" w:eastAsiaTheme="minorEastAsia"/>
          <w:szCs w:val="24"/>
        </w:rPr>
        <w:t>年</w:t>
      </w:r>
      <w:r>
        <w:t>废弃物处理温室气体排放不确定性见</w:t>
      </w:r>
      <w:r>
        <w:fldChar w:fldCharType="begin"/>
      </w:r>
      <w:r>
        <w:instrText xml:space="preserve"> REF _Ref51832002 \h  \* MERGEFORMAT </w:instrText>
      </w:r>
      <w:r>
        <w:fldChar w:fldCharType="separate"/>
      </w:r>
      <w:r>
        <w:rPr>
          <w:rFonts w:hint="eastAsia"/>
        </w:rPr>
        <w:t>表</w:t>
      </w:r>
      <w:r>
        <w:t>6</w:t>
      </w:r>
      <w:r>
        <w:noBreakHyphen/>
      </w:r>
      <w:r>
        <w:t>3</w:t>
      </w:r>
      <w:r>
        <w:fldChar w:fldCharType="end"/>
      </w:r>
      <w:r>
        <w:t>。</w:t>
      </w:r>
      <w:bookmarkStart w:id="310" w:name="_Toc405808055"/>
    </w:p>
    <w:bookmarkEnd w:id="310"/>
    <w:p>
      <w:pPr>
        <w:pStyle w:val="12"/>
      </w:pPr>
      <w:bookmarkStart w:id="311" w:name="_Ref51832002"/>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6</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3</w:t>
      </w:r>
      <w:r>
        <w:fldChar w:fldCharType="end"/>
      </w:r>
      <w:bookmarkEnd w:id="311"/>
      <w:r>
        <w:t xml:space="preserve"> 废弃物处理温室气体排放清单不确定性分析结果</w:t>
      </w:r>
    </w:p>
    <w:tbl>
      <w:tblPr>
        <w:tblStyle w:val="25"/>
        <w:tblW w:w="5000" w:type="pct"/>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943"/>
        <w:gridCol w:w="3139"/>
        <w:gridCol w:w="2440"/>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0" w:hRule="atLeast"/>
          <w:tblHeader/>
          <w:jc w:val="center"/>
        </w:trPr>
        <w:tc>
          <w:tcPr>
            <w:tcW w:w="1727" w:type="pct"/>
            <w:tcBorders>
              <w:bottom w:val="single" w:color="auto" w:sz="4" w:space="0"/>
            </w:tcBorders>
            <w:shd w:val="clear" w:color="auto" w:fill="auto"/>
            <w:vAlign w:val="center"/>
          </w:tcPr>
          <w:p>
            <w:pPr>
              <w:pStyle w:val="48"/>
              <w:adjustRightInd w:val="0"/>
              <w:snapToGrid w:val="0"/>
              <w:rPr>
                <w:sz w:val="18"/>
                <w:szCs w:val="18"/>
              </w:rPr>
            </w:pPr>
            <w:r>
              <w:rPr>
                <w:sz w:val="18"/>
                <w:szCs w:val="18"/>
              </w:rPr>
              <w:t>活动水平</w:t>
            </w:r>
          </w:p>
        </w:tc>
        <w:tc>
          <w:tcPr>
            <w:tcW w:w="1841" w:type="pct"/>
            <w:tcBorders>
              <w:bottom w:val="single" w:color="auto" w:sz="4" w:space="0"/>
            </w:tcBorders>
            <w:shd w:val="clear" w:color="auto" w:fill="auto"/>
            <w:vAlign w:val="center"/>
          </w:tcPr>
          <w:p>
            <w:pPr>
              <w:pStyle w:val="48"/>
              <w:adjustRightInd w:val="0"/>
              <w:snapToGrid w:val="0"/>
              <w:rPr>
                <w:sz w:val="18"/>
                <w:szCs w:val="18"/>
              </w:rPr>
            </w:pPr>
            <w:r>
              <w:rPr>
                <w:sz w:val="18"/>
                <w:szCs w:val="18"/>
              </w:rPr>
              <w:t>温室气体排放量</w:t>
            </w:r>
          </w:p>
          <w:p>
            <w:pPr>
              <w:pStyle w:val="48"/>
              <w:adjustRightInd w:val="0"/>
              <w:snapToGrid w:val="0"/>
              <w:rPr>
                <w:sz w:val="18"/>
                <w:szCs w:val="18"/>
              </w:rPr>
            </w:pPr>
            <w:r>
              <w:rPr>
                <w:sz w:val="18"/>
                <w:szCs w:val="18"/>
              </w:rPr>
              <w:t>(万吨二氧化碳当量)</w:t>
            </w:r>
          </w:p>
        </w:tc>
        <w:tc>
          <w:tcPr>
            <w:tcW w:w="1431" w:type="pct"/>
            <w:tcBorders>
              <w:bottom w:val="single" w:color="auto" w:sz="4" w:space="0"/>
            </w:tcBorders>
            <w:shd w:val="clear" w:color="auto" w:fill="auto"/>
            <w:vAlign w:val="center"/>
          </w:tcPr>
          <w:p>
            <w:pPr>
              <w:pStyle w:val="48"/>
              <w:adjustRightInd w:val="0"/>
              <w:snapToGrid w:val="0"/>
              <w:rPr>
                <w:sz w:val="18"/>
                <w:szCs w:val="18"/>
              </w:rPr>
            </w:pPr>
            <w:r>
              <w:rPr>
                <w:sz w:val="18"/>
                <w:szCs w:val="18"/>
              </w:rPr>
              <w:t>合并不确定性</w:t>
            </w:r>
            <w:r>
              <w:rPr>
                <w:rFonts w:hint="eastAsia"/>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1727" w:type="pct"/>
            <w:tcBorders>
              <w:bottom w:val="nil"/>
            </w:tcBorders>
            <w:shd w:val="clear" w:color="auto" w:fill="auto"/>
            <w:vAlign w:val="center"/>
          </w:tcPr>
          <w:p>
            <w:pPr>
              <w:pStyle w:val="48"/>
              <w:adjustRightInd w:val="0"/>
              <w:snapToGrid w:val="0"/>
              <w:rPr>
                <w:sz w:val="18"/>
                <w:szCs w:val="18"/>
              </w:rPr>
            </w:pPr>
            <w:r>
              <w:rPr>
                <w:sz w:val="18"/>
                <w:szCs w:val="18"/>
              </w:rPr>
              <w:t>固体废弃物填埋</w:t>
            </w:r>
          </w:p>
        </w:tc>
        <w:tc>
          <w:tcPr>
            <w:tcW w:w="1841" w:type="pct"/>
            <w:tcBorders>
              <w:bottom w:val="nil"/>
            </w:tcBorders>
            <w:shd w:val="clear" w:color="auto" w:fill="auto"/>
            <w:noWrap/>
            <w:vAlign w:val="center"/>
          </w:tcPr>
          <w:p>
            <w:pPr>
              <w:pStyle w:val="48"/>
              <w:adjustRightInd w:val="0"/>
              <w:snapToGrid w:val="0"/>
              <w:rPr>
                <w:sz w:val="18"/>
                <w:szCs w:val="18"/>
              </w:rPr>
            </w:pPr>
            <w:r>
              <w:rPr>
                <w:sz w:val="18"/>
                <w:szCs w:val="18"/>
              </w:rPr>
              <w:t>23.48</w:t>
            </w:r>
          </w:p>
        </w:tc>
        <w:tc>
          <w:tcPr>
            <w:tcW w:w="1431" w:type="pct"/>
            <w:tcBorders>
              <w:bottom w:val="nil"/>
            </w:tcBorders>
            <w:shd w:val="clear" w:color="auto" w:fill="auto"/>
            <w:noWrap/>
            <w:vAlign w:val="center"/>
          </w:tcPr>
          <w:p>
            <w:pPr>
              <w:pStyle w:val="48"/>
              <w:adjustRightInd w:val="0"/>
              <w:snapToGrid w:val="0"/>
              <w:rPr>
                <w:sz w:val="18"/>
                <w:szCs w:val="18"/>
              </w:rPr>
            </w:pPr>
            <w:r>
              <w:rPr>
                <w:sz w:val="18"/>
                <w:szCs w:val="18"/>
              </w:rPr>
              <w:t>±32.08%</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0" w:hRule="atLeast"/>
          <w:jc w:val="center"/>
        </w:trPr>
        <w:tc>
          <w:tcPr>
            <w:tcW w:w="2943" w:type="dxa"/>
            <w:tcBorders>
              <w:top w:val="nil"/>
              <w:bottom w:val="nil"/>
            </w:tcBorders>
            <w:shd w:val="clear" w:color="auto" w:fill="auto"/>
            <w:vAlign w:val="center"/>
          </w:tcPr>
          <w:p>
            <w:pPr>
              <w:pStyle w:val="48"/>
              <w:adjustRightInd w:val="0"/>
              <w:snapToGrid w:val="0"/>
              <w:rPr>
                <w:sz w:val="18"/>
                <w:szCs w:val="18"/>
              </w:rPr>
            </w:pPr>
            <w:r>
              <w:rPr>
                <w:sz w:val="18"/>
                <w:szCs w:val="18"/>
              </w:rPr>
              <w:t>固体废弃物焚烧</w:t>
            </w:r>
            <w:r>
              <w:rPr>
                <w:rFonts w:hint="eastAsia"/>
                <w:sz w:val="18"/>
                <w:szCs w:val="18"/>
              </w:rPr>
              <w:t>(未计入</w:t>
            </w:r>
            <w:r>
              <w:rPr>
                <w:sz w:val="18"/>
                <w:szCs w:val="18"/>
              </w:rPr>
              <w:t>危险废弃物焚烧</w:t>
            </w:r>
            <w:r>
              <w:rPr>
                <w:rFonts w:hint="eastAsia"/>
                <w:sz w:val="18"/>
                <w:szCs w:val="18"/>
              </w:rPr>
              <w:t>量)</w:t>
            </w:r>
          </w:p>
        </w:tc>
        <w:tc>
          <w:tcPr>
            <w:tcW w:w="3139" w:type="dxa"/>
            <w:tcBorders>
              <w:top w:val="nil"/>
              <w:bottom w:val="nil"/>
            </w:tcBorders>
            <w:shd w:val="clear" w:color="auto" w:fill="auto"/>
            <w:noWrap/>
            <w:vAlign w:val="center"/>
          </w:tcPr>
          <w:p>
            <w:pPr>
              <w:pStyle w:val="48"/>
              <w:adjustRightInd w:val="0"/>
              <w:snapToGrid w:val="0"/>
              <w:rPr>
                <w:sz w:val="18"/>
                <w:szCs w:val="18"/>
              </w:rPr>
            </w:pPr>
            <w:r>
              <w:rPr>
                <w:rFonts w:hint="eastAsia"/>
                <w:sz w:val="18"/>
                <w:szCs w:val="18"/>
              </w:rPr>
              <w:t>18.11</w:t>
            </w:r>
          </w:p>
        </w:tc>
        <w:tc>
          <w:tcPr>
            <w:tcW w:w="2440" w:type="dxa"/>
            <w:tcBorders>
              <w:top w:val="nil"/>
              <w:bottom w:val="nil"/>
            </w:tcBorders>
            <w:shd w:val="clear" w:color="auto" w:fill="auto"/>
            <w:noWrap/>
            <w:vAlign w:val="center"/>
          </w:tcPr>
          <w:p>
            <w:pPr>
              <w:pStyle w:val="48"/>
              <w:adjustRightInd w:val="0"/>
              <w:snapToGrid w:val="0"/>
              <w:rPr>
                <w:sz w:val="18"/>
                <w:szCs w:val="18"/>
              </w:rPr>
            </w:pPr>
            <w:r>
              <w:rPr>
                <w:sz w:val="18"/>
                <w:szCs w:val="18"/>
              </w:rPr>
              <w:t>±</w:t>
            </w:r>
            <w:r>
              <w:rPr>
                <w:rFonts w:hint="eastAsia"/>
                <w:sz w:val="18"/>
                <w:szCs w:val="18"/>
              </w:rPr>
              <w:t>40.31</w:t>
            </w:r>
            <w:r>
              <w:rPr>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2943" w:type="dxa"/>
            <w:tcBorders>
              <w:top w:val="nil"/>
              <w:bottom w:val="nil"/>
            </w:tcBorders>
            <w:shd w:val="clear" w:color="auto" w:fill="auto"/>
            <w:vAlign w:val="center"/>
          </w:tcPr>
          <w:p>
            <w:pPr>
              <w:pStyle w:val="48"/>
              <w:adjustRightInd w:val="0"/>
              <w:snapToGrid w:val="0"/>
              <w:rPr>
                <w:sz w:val="18"/>
                <w:szCs w:val="18"/>
              </w:rPr>
            </w:pPr>
            <w:r>
              <w:rPr>
                <w:sz w:val="18"/>
                <w:szCs w:val="18"/>
              </w:rPr>
              <w:t>生活污水甲烷排放</w:t>
            </w:r>
          </w:p>
        </w:tc>
        <w:tc>
          <w:tcPr>
            <w:tcW w:w="3139" w:type="dxa"/>
            <w:tcBorders>
              <w:top w:val="nil"/>
              <w:bottom w:val="nil"/>
            </w:tcBorders>
            <w:shd w:val="clear" w:color="auto" w:fill="auto"/>
            <w:noWrap/>
            <w:vAlign w:val="center"/>
          </w:tcPr>
          <w:p>
            <w:pPr>
              <w:pStyle w:val="48"/>
              <w:adjustRightInd w:val="0"/>
              <w:snapToGrid w:val="0"/>
              <w:rPr>
                <w:sz w:val="18"/>
                <w:szCs w:val="18"/>
              </w:rPr>
            </w:pPr>
            <w:r>
              <w:rPr>
                <w:sz w:val="18"/>
                <w:szCs w:val="18"/>
              </w:rPr>
              <w:t>1.52</w:t>
            </w:r>
          </w:p>
        </w:tc>
        <w:tc>
          <w:tcPr>
            <w:tcW w:w="2440" w:type="dxa"/>
            <w:tcBorders>
              <w:top w:val="nil"/>
              <w:bottom w:val="nil"/>
            </w:tcBorders>
            <w:shd w:val="clear" w:color="auto" w:fill="auto"/>
            <w:noWrap/>
            <w:vAlign w:val="center"/>
          </w:tcPr>
          <w:p>
            <w:pPr>
              <w:pStyle w:val="48"/>
              <w:adjustRightInd w:val="0"/>
              <w:snapToGrid w:val="0"/>
              <w:rPr>
                <w:sz w:val="18"/>
                <w:szCs w:val="18"/>
              </w:rPr>
            </w:pPr>
            <w:r>
              <w:rPr>
                <w:sz w:val="18"/>
                <w:szCs w:val="18"/>
              </w:rPr>
              <w:t>±28.35%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2943" w:type="dxa"/>
            <w:tcBorders>
              <w:top w:val="nil"/>
              <w:bottom w:val="nil"/>
            </w:tcBorders>
            <w:shd w:val="clear" w:color="auto" w:fill="auto"/>
            <w:vAlign w:val="center"/>
          </w:tcPr>
          <w:p>
            <w:pPr>
              <w:pStyle w:val="48"/>
              <w:adjustRightInd w:val="0"/>
              <w:snapToGrid w:val="0"/>
              <w:rPr>
                <w:sz w:val="18"/>
                <w:szCs w:val="18"/>
              </w:rPr>
            </w:pPr>
            <w:r>
              <w:rPr>
                <w:sz w:val="18"/>
                <w:szCs w:val="18"/>
              </w:rPr>
              <w:t>工业废水甲烷排放</w:t>
            </w:r>
          </w:p>
        </w:tc>
        <w:tc>
          <w:tcPr>
            <w:tcW w:w="3139" w:type="dxa"/>
            <w:tcBorders>
              <w:top w:val="nil"/>
              <w:bottom w:val="nil"/>
            </w:tcBorders>
            <w:shd w:val="clear" w:color="auto" w:fill="auto"/>
            <w:noWrap/>
            <w:vAlign w:val="center"/>
          </w:tcPr>
          <w:p>
            <w:pPr>
              <w:pStyle w:val="48"/>
              <w:adjustRightInd w:val="0"/>
              <w:snapToGrid w:val="0"/>
              <w:rPr>
                <w:sz w:val="18"/>
                <w:szCs w:val="18"/>
              </w:rPr>
            </w:pPr>
            <w:r>
              <w:rPr>
                <w:sz w:val="18"/>
                <w:szCs w:val="18"/>
              </w:rPr>
              <w:t>未提供数据</w:t>
            </w:r>
          </w:p>
        </w:tc>
        <w:tc>
          <w:tcPr>
            <w:tcW w:w="2440" w:type="dxa"/>
            <w:tcBorders>
              <w:top w:val="nil"/>
              <w:bottom w:val="nil"/>
            </w:tcBorders>
            <w:shd w:val="clear" w:color="auto" w:fill="auto"/>
            <w:noWrap/>
            <w:vAlign w:val="center"/>
          </w:tcPr>
          <w:p>
            <w:pPr>
              <w:pStyle w:val="48"/>
              <w:adjustRightInd w:val="0"/>
              <w:snapToGrid w:val="0"/>
              <w:rPr>
                <w:sz w:val="18"/>
                <w:szCs w:val="18"/>
              </w:rPr>
            </w:pPr>
            <w:r>
              <w:rPr>
                <w:rFonts w:hint="eastAsia"/>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2943" w:type="dxa"/>
            <w:tcBorders>
              <w:top w:val="nil"/>
              <w:bottom w:val="nil"/>
            </w:tcBorders>
            <w:shd w:val="clear" w:color="auto" w:fill="auto"/>
            <w:vAlign w:val="center"/>
          </w:tcPr>
          <w:p>
            <w:pPr>
              <w:pStyle w:val="48"/>
              <w:adjustRightInd w:val="0"/>
              <w:snapToGrid w:val="0"/>
              <w:rPr>
                <w:sz w:val="18"/>
                <w:szCs w:val="18"/>
              </w:rPr>
            </w:pPr>
            <w:r>
              <w:rPr>
                <w:sz w:val="18"/>
                <w:szCs w:val="18"/>
              </w:rPr>
              <w:t>废水处理氧化亚氮排放</w:t>
            </w:r>
          </w:p>
        </w:tc>
        <w:tc>
          <w:tcPr>
            <w:tcW w:w="3139" w:type="dxa"/>
            <w:tcBorders>
              <w:top w:val="nil"/>
              <w:bottom w:val="nil"/>
            </w:tcBorders>
            <w:shd w:val="clear" w:color="auto" w:fill="auto"/>
            <w:noWrap/>
            <w:vAlign w:val="center"/>
          </w:tcPr>
          <w:p>
            <w:pPr>
              <w:pStyle w:val="48"/>
              <w:adjustRightInd w:val="0"/>
              <w:snapToGrid w:val="0"/>
              <w:rPr>
                <w:sz w:val="18"/>
                <w:szCs w:val="18"/>
              </w:rPr>
            </w:pPr>
            <w:r>
              <w:rPr>
                <w:sz w:val="18"/>
                <w:szCs w:val="18"/>
              </w:rPr>
              <w:t>4.86</w:t>
            </w:r>
          </w:p>
        </w:tc>
        <w:tc>
          <w:tcPr>
            <w:tcW w:w="2440" w:type="dxa"/>
            <w:tcBorders>
              <w:top w:val="nil"/>
              <w:bottom w:val="nil"/>
            </w:tcBorders>
            <w:shd w:val="clear" w:color="auto" w:fill="auto"/>
            <w:noWrap/>
            <w:vAlign w:val="center"/>
          </w:tcPr>
          <w:p>
            <w:pPr>
              <w:pStyle w:val="48"/>
              <w:adjustRightInd w:val="0"/>
              <w:snapToGrid w:val="0"/>
              <w:rPr>
                <w:sz w:val="18"/>
                <w:szCs w:val="18"/>
              </w:rPr>
            </w:pPr>
            <w:r>
              <w:rPr>
                <w:sz w:val="18"/>
                <w:szCs w:val="18"/>
              </w:rPr>
              <w:t>±56.91%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jc w:val="center"/>
        </w:trPr>
        <w:tc>
          <w:tcPr>
            <w:tcW w:w="6082" w:type="dxa"/>
            <w:gridSpan w:val="2"/>
            <w:tcBorders>
              <w:top w:val="nil"/>
            </w:tcBorders>
            <w:shd w:val="clear" w:color="auto" w:fill="auto"/>
            <w:vAlign w:val="center"/>
          </w:tcPr>
          <w:p>
            <w:pPr>
              <w:pStyle w:val="48"/>
              <w:adjustRightInd w:val="0"/>
              <w:snapToGrid w:val="0"/>
              <w:rPr>
                <w:sz w:val="18"/>
                <w:szCs w:val="18"/>
              </w:rPr>
            </w:pPr>
            <w:r>
              <w:rPr>
                <w:rFonts w:hint="eastAsia"/>
                <w:sz w:val="18"/>
                <w:szCs w:val="18"/>
              </w:rPr>
              <w:t>合计</w:t>
            </w:r>
          </w:p>
        </w:tc>
        <w:tc>
          <w:tcPr>
            <w:tcW w:w="2440" w:type="dxa"/>
            <w:tcBorders>
              <w:top w:val="nil"/>
            </w:tcBorders>
            <w:shd w:val="clear" w:color="auto" w:fill="auto"/>
            <w:noWrap/>
            <w:vAlign w:val="center"/>
          </w:tcPr>
          <w:p>
            <w:pPr>
              <w:pStyle w:val="48"/>
              <w:adjustRightInd w:val="0"/>
              <w:snapToGrid w:val="0"/>
              <w:rPr>
                <w:sz w:val="18"/>
                <w:szCs w:val="18"/>
              </w:rPr>
            </w:pPr>
            <w:r>
              <w:rPr>
                <w:sz w:val="18"/>
                <w:szCs w:val="18"/>
              </w:rPr>
              <w:t>±</w:t>
            </w:r>
            <w:r>
              <w:rPr>
                <w:rFonts w:hint="eastAsia"/>
                <w:sz w:val="18"/>
                <w:szCs w:val="18"/>
              </w:rPr>
              <w:t>22.63</w:t>
            </w:r>
            <w:r>
              <w:rPr>
                <w:sz w:val="18"/>
                <w:szCs w:val="18"/>
              </w:rPr>
              <w:t>%</w:t>
            </w:r>
          </w:p>
        </w:tc>
      </w:tr>
    </w:tbl>
    <w:p>
      <w:pPr>
        <w:ind w:firstLine="480" w:firstLineChars="200"/>
      </w:pPr>
      <w:r>
        <w:rPr>
          <w:rFonts w:hint="eastAsia" w:cs="Times New Roman" w:eastAsiaTheme="minorEastAsia"/>
          <w:szCs w:val="24"/>
        </w:rPr>
        <w:t>采用指南推荐的</w:t>
      </w:r>
      <w:r>
        <w:rPr>
          <w:rFonts w:cs="Times New Roman" w:eastAsiaTheme="minorEastAsia"/>
          <w:szCs w:val="24"/>
        </w:rPr>
        <w:t>误差传递公式，计算出 201</w:t>
      </w:r>
      <w:r>
        <w:rPr>
          <w:rFonts w:hint="eastAsia" w:cs="Times New Roman" w:eastAsiaTheme="minorEastAsia"/>
          <w:szCs w:val="24"/>
        </w:rPr>
        <w:t>9</w:t>
      </w:r>
      <w:r>
        <w:rPr>
          <w:rFonts w:cs="Times New Roman" w:eastAsiaTheme="minorEastAsia"/>
          <w:szCs w:val="24"/>
        </w:rPr>
        <w:t>年</w:t>
      </w:r>
      <w:r>
        <w:rPr>
          <w:rFonts w:hint="eastAsia" w:cs="Times New Roman" w:eastAsiaTheme="minorEastAsia"/>
          <w:szCs w:val="24"/>
        </w:rPr>
        <w:t>益阳市</w:t>
      </w:r>
      <w:r>
        <w:rPr>
          <w:rFonts w:cs="Times New Roman" w:eastAsiaTheme="minorEastAsia"/>
          <w:szCs w:val="24"/>
        </w:rPr>
        <w:t>废弃物处理温室气体清单总体不确定性为：±</w:t>
      </w:r>
      <w:r>
        <w:rPr>
          <w:rFonts w:hint="eastAsia" w:cs="Times New Roman" w:eastAsiaTheme="minorEastAsia"/>
          <w:szCs w:val="24"/>
        </w:rPr>
        <w:t>22.63</w:t>
      </w:r>
      <w:r>
        <w:rPr>
          <w:rFonts w:cs="Times New Roman" w:eastAsiaTheme="minorEastAsia"/>
          <w:szCs w:val="24"/>
        </w:rPr>
        <w:t>%</w:t>
      </w:r>
      <w:r>
        <w:rPr>
          <w:rFonts w:hint="eastAsia"/>
        </w:rPr>
        <w:t>。</w:t>
      </w:r>
    </w:p>
    <w:p>
      <w:pPr>
        <w:spacing w:before="0" w:after="0"/>
      </w:pPr>
    </w:p>
    <w:p>
      <w:pPr>
        <w:pStyle w:val="2"/>
        <w:spacing w:before="0" w:after="0"/>
        <w:sectPr>
          <w:pgSz w:w="11906" w:h="16838"/>
          <w:pgMar w:top="1440" w:right="1800" w:bottom="1440" w:left="1800" w:header="851" w:footer="992" w:gutter="0"/>
          <w:pgNumType w:fmt="decimal"/>
          <w:cols w:space="425" w:num="1"/>
          <w:docGrid w:type="lines" w:linePitch="312" w:charSpace="0"/>
        </w:sectPr>
      </w:pPr>
    </w:p>
    <w:p>
      <w:pPr>
        <w:pStyle w:val="2"/>
      </w:pPr>
      <w:bookmarkStart w:id="312" w:name="_Toc23639"/>
      <w:r>
        <w:rPr>
          <w:rFonts w:hint="eastAsia"/>
        </w:rPr>
        <w:t>益阳市2019年市级温室气体排放清单总体情况</w:t>
      </w:r>
      <w:bookmarkEnd w:id="312"/>
    </w:p>
    <w:p>
      <w:pPr>
        <w:pStyle w:val="3"/>
      </w:pPr>
      <w:bookmarkStart w:id="313" w:name="_Toc24906"/>
      <w:r>
        <w:rPr>
          <w:rFonts w:hint="eastAsia"/>
        </w:rPr>
        <w:t>排放清单总量及关键指标</w:t>
      </w:r>
      <w:bookmarkEnd w:id="313"/>
    </w:p>
    <w:p>
      <w:pPr>
        <w:pStyle w:val="4"/>
      </w:pPr>
      <w:bookmarkStart w:id="314" w:name="_Toc54097702"/>
      <w:bookmarkStart w:id="315" w:name="_Toc27134"/>
      <w:bookmarkStart w:id="316" w:name="_Toc55311787"/>
      <w:bookmarkStart w:id="317" w:name="_Toc53827561"/>
      <w:bookmarkStart w:id="318" w:name="_Toc52177438"/>
      <w:r>
        <w:rPr>
          <w:rFonts w:hint="eastAsia"/>
        </w:rPr>
        <w:t>总量</w:t>
      </w:r>
      <w:bookmarkEnd w:id="314"/>
      <w:bookmarkEnd w:id="315"/>
      <w:bookmarkEnd w:id="316"/>
      <w:bookmarkEnd w:id="317"/>
      <w:bookmarkEnd w:id="318"/>
    </w:p>
    <w:p>
      <w:pPr>
        <w:ind w:firstLine="480" w:firstLineChars="200"/>
      </w:pPr>
      <w:r>
        <w:rPr>
          <w:rFonts w:hint="eastAsia"/>
        </w:rPr>
        <w:t>根据指南要求，结合益阳市温室气体排放实际情况，2019年益阳市市级温室气体排放清单共报告了二氧化碳（CO</w:t>
      </w:r>
      <w:r>
        <w:rPr>
          <w:rFonts w:hint="eastAsia"/>
          <w:vertAlign w:val="subscript"/>
        </w:rPr>
        <w:t>2</w:t>
      </w:r>
      <w:r>
        <w:rPr>
          <w:rFonts w:hint="eastAsia"/>
        </w:rPr>
        <w:t>）、甲烷（CH</w:t>
      </w:r>
      <w:r>
        <w:rPr>
          <w:rFonts w:hint="eastAsia"/>
          <w:vertAlign w:val="subscript"/>
        </w:rPr>
        <w:t>4</w:t>
      </w:r>
      <w:r>
        <w:rPr>
          <w:rFonts w:hint="eastAsia"/>
        </w:rPr>
        <w:t>）、氧化亚氮（N</w:t>
      </w:r>
      <w:r>
        <w:rPr>
          <w:rFonts w:hint="eastAsia"/>
          <w:vertAlign w:val="subscript"/>
        </w:rPr>
        <w:t>2</w:t>
      </w:r>
      <w:r>
        <w:rPr>
          <w:rFonts w:hint="eastAsia"/>
        </w:rPr>
        <w:t>O）和六氟化硫（SF</w:t>
      </w:r>
      <w:r>
        <w:rPr>
          <w:rFonts w:hint="eastAsia"/>
          <w:vertAlign w:val="subscript"/>
        </w:rPr>
        <w:t>6</w:t>
      </w:r>
      <w:r>
        <w:rPr>
          <w:rFonts w:hint="eastAsia"/>
        </w:rPr>
        <w:t>）共4种温室气体的排放和吸收情况，在不考虑土地利用变化与林业吸收汇情况下，2019年益阳市共排放温室气体1539.23万吨二氧化碳当量，其中，能源活动、工业生产过程、农业、废弃物处理分别排放温室气体880.06万吨、241.26万吨、369.93万吨、47.98万吨二氧化碳当量，土地利用变化与林业吸收100.03万吨二氧化碳。因此，</w:t>
      </w:r>
      <w:r>
        <w:rPr>
          <w:rFonts w:hint="eastAsia" w:cs="Times New Roman"/>
          <w:szCs w:val="24"/>
        </w:rPr>
        <w:t>考虑林业碳汇情况下</w:t>
      </w:r>
      <w:r>
        <w:rPr>
          <w:rFonts w:hint="eastAsia"/>
        </w:rPr>
        <w:t>，2019年益阳市温室气体排放总量为1439.20万吨二氧化碳当量，详见</w:t>
      </w:r>
      <w:r>
        <w:fldChar w:fldCharType="begin"/>
      </w:r>
      <w:r>
        <w:instrText xml:space="preserve"> </w:instrText>
      </w:r>
      <w:r>
        <w:rPr>
          <w:rFonts w:hint="eastAsia"/>
        </w:rPr>
        <w:instrText xml:space="preserve">REF _Ref51943445 \h</w:instrText>
      </w:r>
      <w:r>
        <w:instrText xml:space="preserve">  \* MERGEFORMAT </w:instrText>
      </w:r>
      <w:r>
        <w:fldChar w:fldCharType="separate"/>
      </w:r>
      <w:r>
        <w:rPr>
          <w:rFonts w:hint="eastAsia"/>
        </w:rPr>
        <w:t>表</w:t>
      </w:r>
      <w:r>
        <w:t>7</w:t>
      </w:r>
      <w:r>
        <w:noBreakHyphen/>
      </w:r>
      <w:r>
        <w:t>1</w:t>
      </w:r>
      <w:r>
        <w:fldChar w:fldCharType="end"/>
      </w:r>
      <w:r>
        <w:rPr>
          <w:rFonts w:hint="eastAsia"/>
        </w:rPr>
        <w:t>。</w:t>
      </w:r>
    </w:p>
    <w:p>
      <w:pPr>
        <w:ind w:firstLine="480" w:firstLineChars="200"/>
      </w:pPr>
      <w:r>
        <w:rPr>
          <w:rFonts w:hint="eastAsia"/>
        </w:rPr>
        <w:t>需要说明的是，本次清单编制过程中数据收集不完全：能源活动中工业活动仅收集到规模以上工业情况，农业、交通运输业、服务业、居民生活、国际航空航海、电力调入调出等相关数据未收集到；废弃物处理中危险废弃物焚烧量和各行业工业废水量等相关数据未收集到。因数据不完全导致相应部分的温室气体排放估算缺失，估算出的排放总量较实际情况偏低。</w:t>
      </w:r>
    </w:p>
    <w:p>
      <w:pPr>
        <w:pStyle w:val="12"/>
      </w:pPr>
      <w:bookmarkStart w:id="319" w:name="_Ref51943445"/>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7</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1</w:t>
      </w:r>
      <w:r>
        <w:fldChar w:fldCharType="end"/>
      </w:r>
      <w:bookmarkEnd w:id="319"/>
      <w:r>
        <w:rPr>
          <w:rFonts w:hint="eastAsia"/>
        </w:rPr>
        <w:t xml:space="preserve">  2019年益阳市市级温室气体排放总量</w:t>
      </w:r>
    </w:p>
    <w:tbl>
      <w:tblPr>
        <w:tblStyle w:val="25"/>
        <w:tblW w:w="5302"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1056"/>
        <w:gridCol w:w="973"/>
        <w:gridCol w:w="973"/>
        <w:gridCol w:w="1279"/>
        <w:gridCol w:w="915"/>
        <w:gridCol w:w="922"/>
        <w:gridCol w:w="10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34" w:type="pct"/>
            <w:vMerge w:val="restart"/>
            <w:tcBorders>
              <w:right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温室气体类型</w:t>
            </w:r>
          </w:p>
        </w:tc>
        <w:tc>
          <w:tcPr>
            <w:tcW w:w="584" w:type="pct"/>
            <w:vMerge w:val="restart"/>
            <w:tcBorders>
              <w:left w:val="nil"/>
              <w:right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CO</w:t>
            </w:r>
            <w:r>
              <w:rPr>
                <w:rFonts w:cs="Times New Roman" w:eastAsiaTheme="minorEastAsia"/>
                <w:sz w:val="18"/>
                <w:szCs w:val="18"/>
                <w:vertAlign w:val="subscript"/>
              </w:rPr>
              <w:t>2</w:t>
            </w:r>
          </w:p>
          <w:p>
            <w:pPr>
              <w:spacing w:before="0" w:after="0" w:line="240" w:lineRule="auto"/>
              <w:jc w:val="center"/>
              <w:rPr>
                <w:rFonts w:cs="Times New Roman" w:eastAsiaTheme="minorEastAsia"/>
                <w:sz w:val="18"/>
                <w:szCs w:val="18"/>
              </w:rPr>
            </w:pPr>
            <w:r>
              <w:rPr>
                <w:rFonts w:cs="Times New Roman" w:eastAsiaTheme="minorEastAsia"/>
                <w:sz w:val="18"/>
                <w:szCs w:val="18"/>
              </w:rPr>
              <w:t>(万吨)</w:t>
            </w:r>
          </w:p>
        </w:tc>
        <w:tc>
          <w:tcPr>
            <w:tcW w:w="538" w:type="pct"/>
            <w:tcBorders>
              <w:left w:val="nil"/>
              <w:bottom w:val="single" w:color="auto" w:sz="4" w:space="0"/>
              <w:right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CH</w:t>
            </w:r>
            <w:r>
              <w:rPr>
                <w:rFonts w:cs="Times New Roman" w:eastAsiaTheme="minorEastAsia"/>
                <w:sz w:val="18"/>
                <w:szCs w:val="18"/>
                <w:vertAlign w:val="subscript"/>
              </w:rPr>
              <w:t>4</w:t>
            </w:r>
          </w:p>
        </w:tc>
        <w:tc>
          <w:tcPr>
            <w:tcW w:w="538" w:type="pct"/>
            <w:tcBorders>
              <w:left w:val="nil"/>
              <w:bottom w:val="single" w:color="auto" w:sz="4" w:space="0"/>
              <w:right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N</w:t>
            </w:r>
            <w:r>
              <w:rPr>
                <w:rFonts w:cs="Times New Roman" w:eastAsiaTheme="minorEastAsia"/>
                <w:sz w:val="18"/>
                <w:szCs w:val="18"/>
                <w:vertAlign w:val="subscript"/>
              </w:rPr>
              <w:t>2</w:t>
            </w:r>
            <w:r>
              <w:rPr>
                <w:rFonts w:cs="Times New Roman" w:eastAsiaTheme="minorEastAsia"/>
                <w:sz w:val="18"/>
                <w:szCs w:val="18"/>
              </w:rPr>
              <w:t>O</w:t>
            </w:r>
          </w:p>
        </w:tc>
        <w:tc>
          <w:tcPr>
            <w:tcW w:w="707" w:type="pct"/>
            <w:tcBorders>
              <w:left w:val="nil"/>
              <w:bottom w:val="single" w:color="auto" w:sz="4" w:space="0"/>
              <w:right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HFCs</w:t>
            </w:r>
          </w:p>
        </w:tc>
        <w:tc>
          <w:tcPr>
            <w:tcW w:w="506" w:type="pct"/>
            <w:tcBorders>
              <w:left w:val="nil"/>
              <w:bottom w:val="single" w:color="auto" w:sz="4" w:space="0"/>
              <w:right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PFCs</w:t>
            </w:r>
          </w:p>
        </w:tc>
        <w:tc>
          <w:tcPr>
            <w:tcW w:w="508" w:type="pct"/>
            <w:tcBorders>
              <w:left w:val="nil"/>
              <w:bottom w:val="single" w:color="auto" w:sz="4" w:space="0"/>
              <w:right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SF</w:t>
            </w:r>
            <w:r>
              <w:rPr>
                <w:rFonts w:cs="Times New Roman" w:eastAsiaTheme="minorEastAsia"/>
                <w:sz w:val="18"/>
                <w:szCs w:val="18"/>
                <w:vertAlign w:val="subscript"/>
              </w:rPr>
              <w:t>6</w:t>
            </w:r>
          </w:p>
        </w:tc>
        <w:tc>
          <w:tcPr>
            <w:tcW w:w="580" w:type="pct"/>
            <w:vMerge w:val="restart"/>
            <w:tcBorders>
              <w:left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合计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34" w:type="pct"/>
            <w:vMerge w:val="continue"/>
            <w:tcBorders>
              <w:bottom w:val="single" w:color="auto" w:sz="4" w:space="0"/>
              <w:right w:val="nil"/>
            </w:tcBorders>
            <w:shd w:val="clear" w:color="auto" w:fill="auto"/>
            <w:vAlign w:val="center"/>
          </w:tcPr>
          <w:p>
            <w:pPr>
              <w:spacing w:before="0" w:after="0" w:line="240" w:lineRule="auto"/>
              <w:jc w:val="center"/>
              <w:rPr>
                <w:rFonts w:cs="Times New Roman" w:eastAsiaTheme="minorEastAsia"/>
                <w:sz w:val="18"/>
                <w:szCs w:val="18"/>
              </w:rPr>
            </w:pPr>
          </w:p>
        </w:tc>
        <w:tc>
          <w:tcPr>
            <w:tcW w:w="584" w:type="pct"/>
            <w:vMerge w:val="continue"/>
            <w:tcBorders>
              <w:left w:val="nil"/>
              <w:bottom w:val="single" w:color="auto" w:sz="4" w:space="0"/>
              <w:right w:val="nil"/>
            </w:tcBorders>
            <w:shd w:val="clear" w:color="auto" w:fill="auto"/>
            <w:vAlign w:val="center"/>
          </w:tcPr>
          <w:p>
            <w:pPr>
              <w:spacing w:before="0" w:after="0" w:line="240" w:lineRule="auto"/>
              <w:jc w:val="center"/>
              <w:rPr>
                <w:rFonts w:cs="Times New Roman" w:eastAsiaTheme="minorEastAsia"/>
                <w:sz w:val="18"/>
                <w:szCs w:val="18"/>
              </w:rPr>
            </w:pPr>
          </w:p>
        </w:tc>
        <w:tc>
          <w:tcPr>
            <w:tcW w:w="2799" w:type="pct"/>
            <w:gridSpan w:val="5"/>
            <w:tcBorders>
              <w:left w:val="nil"/>
              <w:bottom w:val="single" w:color="auto" w:sz="4" w:space="0"/>
              <w:right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(万吨二氧化碳当量)</w:t>
            </w:r>
          </w:p>
        </w:tc>
        <w:tc>
          <w:tcPr>
            <w:tcW w:w="580" w:type="pct"/>
            <w:vMerge w:val="continue"/>
            <w:tcBorders>
              <w:left w:val="nil"/>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34" w:type="pct"/>
            <w:tcBorders>
              <w:bottom w:val="nil"/>
              <w:right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能源活动</w:t>
            </w:r>
          </w:p>
        </w:tc>
        <w:tc>
          <w:tcPr>
            <w:tcW w:w="584" w:type="pct"/>
            <w:tcBorders>
              <w:left w:val="nil"/>
              <w:bottom w:val="nil"/>
              <w:right w:val="nil"/>
            </w:tcBorders>
            <w:shd w:val="clear" w:color="auto" w:fill="auto"/>
            <w:noWrap/>
            <w:vAlign w:val="center"/>
          </w:tcPr>
          <w:p>
            <w:pPr>
              <w:spacing w:before="0" w:after="0" w:line="240" w:lineRule="auto"/>
              <w:jc w:val="center"/>
              <w:rPr>
                <w:sz w:val="18"/>
                <w:szCs w:val="18"/>
              </w:rPr>
            </w:pPr>
            <w:r>
              <w:rPr>
                <w:sz w:val="18"/>
                <w:szCs w:val="18"/>
              </w:rPr>
              <w:t>874.71</w:t>
            </w:r>
          </w:p>
        </w:tc>
        <w:tc>
          <w:tcPr>
            <w:tcW w:w="538" w:type="pct"/>
            <w:tcBorders>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2.02</w:t>
            </w:r>
          </w:p>
        </w:tc>
        <w:tc>
          <w:tcPr>
            <w:tcW w:w="538" w:type="pct"/>
            <w:tcBorders>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3.33</w:t>
            </w:r>
          </w:p>
        </w:tc>
        <w:tc>
          <w:tcPr>
            <w:tcW w:w="707" w:type="pct"/>
            <w:tcBorders>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w:t>
            </w:r>
          </w:p>
        </w:tc>
        <w:tc>
          <w:tcPr>
            <w:tcW w:w="506" w:type="pct"/>
            <w:tcBorders>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w:t>
            </w:r>
          </w:p>
        </w:tc>
        <w:tc>
          <w:tcPr>
            <w:tcW w:w="508" w:type="pct"/>
            <w:tcBorders>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w:t>
            </w:r>
          </w:p>
        </w:tc>
        <w:tc>
          <w:tcPr>
            <w:tcW w:w="580" w:type="pct"/>
            <w:tcBorders>
              <w:left w:val="nil"/>
              <w:bottom w:val="nil"/>
            </w:tcBorders>
            <w:shd w:val="clear" w:color="auto" w:fill="auto"/>
            <w:noWrap/>
            <w:vAlign w:val="center"/>
          </w:tcPr>
          <w:p>
            <w:pPr>
              <w:spacing w:before="0" w:after="0" w:line="240" w:lineRule="auto"/>
              <w:jc w:val="center"/>
              <w:rPr>
                <w:sz w:val="18"/>
                <w:szCs w:val="18"/>
              </w:rPr>
            </w:pPr>
            <w:r>
              <w:rPr>
                <w:sz w:val="18"/>
                <w:szCs w:val="18"/>
              </w:rPr>
              <w:t>880.06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34" w:type="pct"/>
            <w:tcBorders>
              <w:top w:val="nil"/>
              <w:bottom w:val="nil"/>
              <w:right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工业生产过程</w:t>
            </w:r>
          </w:p>
        </w:tc>
        <w:tc>
          <w:tcPr>
            <w:tcW w:w="584"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240.88</w:t>
            </w:r>
          </w:p>
        </w:tc>
        <w:tc>
          <w:tcPr>
            <w:tcW w:w="538"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w:t>
            </w:r>
          </w:p>
        </w:tc>
        <w:tc>
          <w:tcPr>
            <w:tcW w:w="538"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w:t>
            </w:r>
          </w:p>
        </w:tc>
        <w:tc>
          <w:tcPr>
            <w:tcW w:w="707"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w:t>
            </w:r>
          </w:p>
        </w:tc>
        <w:tc>
          <w:tcPr>
            <w:tcW w:w="506"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w:t>
            </w:r>
          </w:p>
        </w:tc>
        <w:tc>
          <w:tcPr>
            <w:tcW w:w="508"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0.38</w:t>
            </w:r>
          </w:p>
        </w:tc>
        <w:tc>
          <w:tcPr>
            <w:tcW w:w="580" w:type="pct"/>
            <w:tcBorders>
              <w:top w:val="nil"/>
              <w:left w:val="nil"/>
              <w:bottom w:val="nil"/>
            </w:tcBorders>
            <w:shd w:val="clear" w:color="auto" w:fill="auto"/>
            <w:noWrap/>
            <w:vAlign w:val="center"/>
          </w:tcPr>
          <w:p>
            <w:pPr>
              <w:spacing w:before="0" w:after="0" w:line="240" w:lineRule="auto"/>
              <w:jc w:val="center"/>
              <w:rPr>
                <w:sz w:val="18"/>
                <w:szCs w:val="18"/>
              </w:rPr>
            </w:pPr>
            <w:r>
              <w:rPr>
                <w:rFonts w:hint="eastAsia"/>
                <w:sz w:val="18"/>
                <w:szCs w:val="18"/>
              </w:rPr>
              <w:t>241.26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34" w:type="pct"/>
            <w:tcBorders>
              <w:top w:val="nil"/>
              <w:bottom w:val="nil"/>
              <w:right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农业活动</w:t>
            </w:r>
          </w:p>
        </w:tc>
        <w:tc>
          <w:tcPr>
            <w:tcW w:w="584"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w:t>
            </w:r>
          </w:p>
        </w:tc>
        <w:tc>
          <w:tcPr>
            <w:tcW w:w="538"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266.70</w:t>
            </w:r>
          </w:p>
        </w:tc>
        <w:tc>
          <w:tcPr>
            <w:tcW w:w="538"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103.23</w:t>
            </w:r>
          </w:p>
        </w:tc>
        <w:tc>
          <w:tcPr>
            <w:tcW w:w="707"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w:t>
            </w:r>
          </w:p>
        </w:tc>
        <w:tc>
          <w:tcPr>
            <w:tcW w:w="506"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w:t>
            </w:r>
          </w:p>
        </w:tc>
        <w:tc>
          <w:tcPr>
            <w:tcW w:w="508"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w:t>
            </w:r>
          </w:p>
        </w:tc>
        <w:tc>
          <w:tcPr>
            <w:tcW w:w="580" w:type="pct"/>
            <w:tcBorders>
              <w:top w:val="nil"/>
              <w:left w:val="nil"/>
              <w:bottom w:val="nil"/>
            </w:tcBorders>
            <w:shd w:val="clear" w:color="auto" w:fill="auto"/>
            <w:noWrap/>
            <w:vAlign w:val="center"/>
          </w:tcPr>
          <w:p>
            <w:pPr>
              <w:spacing w:before="0" w:after="0" w:line="240" w:lineRule="auto"/>
              <w:jc w:val="center"/>
              <w:rPr>
                <w:sz w:val="18"/>
                <w:szCs w:val="18"/>
              </w:rPr>
            </w:pPr>
            <w:r>
              <w:rPr>
                <w:rFonts w:hint="eastAsia"/>
                <w:sz w:val="18"/>
                <w:szCs w:val="18"/>
              </w:rPr>
              <w:t>369.93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34" w:type="pct"/>
            <w:tcBorders>
              <w:top w:val="nil"/>
              <w:bottom w:val="nil"/>
              <w:right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废弃物处理</w:t>
            </w:r>
          </w:p>
        </w:tc>
        <w:tc>
          <w:tcPr>
            <w:tcW w:w="584"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18.11</w:t>
            </w:r>
          </w:p>
        </w:tc>
        <w:tc>
          <w:tcPr>
            <w:tcW w:w="538"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25.00</w:t>
            </w:r>
          </w:p>
        </w:tc>
        <w:tc>
          <w:tcPr>
            <w:tcW w:w="538"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4.86</w:t>
            </w:r>
          </w:p>
        </w:tc>
        <w:tc>
          <w:tcPr>
            <w:tcW w:w="707"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w:t>
            </w:r>
          </w:p>
        </w:tc>
        <w:tc>
          <w:tcPr>
            <w:tcW w:w="506"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w:t>
            </w:r>
          </w:p>
        </w:tc>
        <w:tc>
          <w:tcPr>
            <w:tcW w:w="508"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w:t>
            </w:r>
          </w:p>
        </w:tc>
        <w:tc>
          <w:tcPr>
            <w:tcW w:w="580" w:type="pct"/>
            <w:tcBorders>
              <w:top w:val="nil"/>
              <w:left w:val="nil"/>
              <w:bottom w:val="nil"/>
            </w:tcBorders>
            <w:shd w:val="clear" w:color="auto" w:fill="auto"/>
            <w:noWrap/>
            <w:vAlign w:val="center"/>
          </w:tcPr>
          <w:p>
            <w:pPr>
              <w:spacing w:before="0" w:after="0" w:line="240" w:lineRule="auto"/>
              <w:jc w:val="center"/>
              <w:rPr>
                <w:sz w:val="18"/>
                <w:szCs w:val="18"/>
              </w:rPr>
            </w:pPr>
            <w:r>
              <w:rPr>
                <w:rFonts w:hint="eastAsia"/>
                <w:sz w:val="18"/>
                <w:szCs w:val="18"/>
              </w:rPr>
              <w:t>47.98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34" w:type="pct"/>
            <w:tcBorders>
              <w:top w:val="nil"/>
              <w:bottom w:val="nil"/>
              <w:right w:val="nil"/>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LUCF</w:t>
            </w:r>
          </w:p>
        </w:tc>
        <w:tc>
          <w:tcPr>
            <w:tcW w:w="584"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-100.14</w:t>
            </w:r>
          </w:p>
        </w:tc>
        <w:tc>
          <w:tcPr>
            <w:tcW w:w="538"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0.10</w:t>
            </w:r>
          </w:p>
        </w:tc>
        <w:tc>
          <w:tcPr>
            <w:tcW w:w="538"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0.01</w:t>
            </w:r>
          </w:p>
        </w:tc>
        <w:tc>
          <w:tcPr>
            <w:tcW w:w="707"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w:t>
            </w:r>
          </w:p>
        </w:tc>
        <w:tc>
          <w:tcPr>
            <w:tcW w:w="506"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w:t>
            </w:r>
          </w:p>
        </w:tc>
        <w:tc>
          <w:tcPr>
            <w:tcW w:w="508" w:type="pct"/>
            <w:tcBorders>
              <w:top w:val="nil"/>
              <w:left w:val="nil"/>
              <w:bottom w:val="nil"/>
              <w:right w:val="nil"/>
            </w:tcBorders>
            <w:shd w:val="clear" w:color="auto" w:fill="auto"/>
            <w:noWrap/>
            <w:vAlign w:val="center"/>
          </w:tcPr>
          <w:p>
            <w:pPr>
              <w:spacing w:before="0" w:after="0" w:line="240" w:lineRule="auto"/>
              <w:jc w:val="center"/>
              <w:rPr>
                <w:sz w:val="18"/>
                <w:szCs w:val="18"/>
              </w:rPr>
            </w:pPr>
            <w:r>
              <w:rPr>
                <w:rFonts w:hint="eastAsia"/>
                <w:sz w:val="18"/>
                <w:szCs w:val="18"/>
              </w:rPr>
              <w:t>/</w:t>
            </w:r>
          </w:p>
        </w:tc>
        <w:tc>
          <w:tcPr>
            <w:tcW w:w="580" w:type="pct"/>
            <w:tcBorders>
              <w:top w:val="nil"/>
              <w:left w:val="nil"/>
              <w:bottom w:val="nil"/>
            </w:tcBorders>
            <w:shd w:val="clear" w:color="auto" w:fill="auto"/>
            <w:noWrap/>
            <w:vAlign w:val="center"/>
          </w:tcPr>
          <w:p>
            <w:pPr>
              <w:spacing w:before="0" w:after="0" w:line="240" w:lineRule="auto"/>
              <w:jc w:val="center"/>
              <w:rPr>
                <w:sz w:val="18"/>
                <w:szCs w:val="18"/>
              </w:rPr>
            </w:pPr>
            <w:r>
              <w:rPr>
                <w:rFonts w:hint="eastAsia"/>
                <w:sz w:val="18"/>
                <w:szCs w:val="18"/>
              </w:rPr>
              <w:t>-100.03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34" w:type="pct"/>
            <w:tcBorders>
              <w:top w:val="nil"/>
              <w:bottom w:val="nil"/>
              <w:right w:val="nil"/>
            </w:tcBorders>
            <w:shd w:val="clear" w:color="auto" w:fill="auto"/>
            <w:vAlign w:val="center"/>
          </w:tcPr>
          <w:p>
            <w:pPr>
              <w:spacing w:before="0" w:after="0" w:line="240" w:lineRule="auto"/>
              <w:jc w:val="center"/>
              <w:rPr>
                <w:sz w:val="18"/>
                <w:szCs w:val="18"/>
              </w:rPr>
            </w:pPr>
            <w:r>
              <w:rPr>
                <w:sz w:val="18"/>
                <w:szCs w:val="18"/>
              </w:rPr>
              <w:t>温室气体排放</w:t>
            </w:r>
            <w:r>
              <w:rPr>
                <w:sz w:val="18"/>
                <w:szCs w:val="18"/>
              </w:rPr>
              <w:br w:type="textWrapping"/>
            </w:r>
            <w:r>
              <w:rPr>
                <w:sz w:val="18"/>
                <w:szCs w:val="18"/>
              </w:rPr>
              <w:t>（含</w:t>
            </w:r>
            <w:r>
              <w:rPr>
                <w:rFonts w:hint="eastAsia"/>
                <w:sz w:val="18"/>
                <w:szCs w:val="18"/>
              </w:rPr>
              <w:t>LUCF</w:t>
            </w:r>
            <w:r>
              <w:rPr>
                <w:sz w:val="18"/>
                <w:szCs w:val="18"/>
              </w:rPr>
              <w:t>）</w:t>
            </w:r>
          </w:p>
        </w:tc>
        <w:tc>
          <w:tcPr>
            <w:tcW w:w="584" w:type="pct"/>
            <w:tcBorders>
              <w:top w:val="nil"/>
              <w:left w:val="nil"/>
              <w:bottom w:val="nil"/>
              <w:right w:val="nil"/>
            </w:tcBorders>
            <w:shd w:val="clear" w:color="auto" w:fill="auto"/>
            <w:noWrap/>
            <w:vAlign w:val="center"/>
          </w:tcPr>
          <w:p>
            <w:pPr>
              <w:spacing w:before="0" w:after="0" w:line="240" w:lineRule="auto"/>
              <w:jc w:val="center"/>
              <w:rPr>
                <w:sz w:val="18"/>
                <w:szCs w:val="18"/>
              </w:rPr>
            </w:pPr>
            <w:r>
              <w:rPr>
                <w:sz w:val="18"/>
                <w:szCs w:val="18"/>
              </w:rPr>
              <w:t>1033.56</w:t>
            </w:r>
          </w:p>
        </w:tc>
        <w:tc>
          <w:tcPr>
            <w:tcW w:w="538" w:type="pct"/>
            <w:tcBorders>
              <w:top w:val="nil"/>
              <w:left w:val="nil"/>
              <w:bottom w:val="nil"/>
              <w:right w:val="nil"/>
            </w:tcBorders>
            <w:shd w:val="clear" w:color="auto" w:fill="auto"/>
            <w:noWrap/>
            <w:vAlign w:val="center"/>
          </w:tcPr>
          <w:p>
            <w:pPr>
              <w:spacing w:before="0" w:after="0" w:line="240" w:lineRule="auto"/>
              <w:jc w:val="center"/>
              <w:rPr>
                <w:sz w:val="18"/>
                <w:szCs w:val="18"/>
              </w:rPr>
            </w:pPr>
            <w:r>
              <w:rPr>
                <w:sz w:val="18"/>
                <w:szCs w:val="18"/>
              </w:rPr>
              <w:t>293.82</w:t>
            </w:r>
          </w:p>
        </w:tc>
        <w:tc>
          <w:tcPr>
            <w:tcW w:w="538" w:type="pct"/>
            <w:tcBorders>
              <w:top w:val="nil"/>
              <w:left w:val="nil"/>
              <w:bottom w:val="nil"/>
              <w:right w:val="nil"/>
            </w:tcBorders>
            <w:shd w:val="clear" w:color="auto" w:fill="auto"/>
            <w:noWrap/>
            <w:vAlign w:val="center"/>
          </w:tcPr>
          <w:p>
            <w:pPr>
              <w:spacing w:before="0" w:after="0" w:line="240" w:lineRule="auto"/>
              <w:jc w:val="center"/>
              <w:rPr>
                <w:sz w:val="18"/>
                <w:szCs w:val="18"/>
              </w:rPr>
            </w:pPr>
            <w:r>
              <w:rPr>
                <w:sz w:val="18"/>
                <w:szCs w:val="18"/>
              </w:rPr>
              <w:t>111.43</w:t>
            </w:r>
          </w:p>
        </w:tc>
        <w:tc>
          <w:tcPr>
            <w:tcW w:w="707" w:type="pct"/>
            <w:tcBorders>
              <w:top w:val="nil"/>
              <w:left w:val="nil"/>
              <w:bottom w:val="nil"/>
              <w:right w:val="nil"/>
            </w:tcBorders>
            <w:shd w:val="clear" w:color="auto" w:fill="auto"/>
            <w:noWrap/>
            <w:vAlign w:val="center"/>
          </w:tcPr>
          <w:p>
            <w:pPr>
              <w:spacing w:before="0" w:after="0" w:line="240" w:lineRule="auto"/>
              <w:jc w:val="center"/>
              <w:rPr>
                <w:sz w:val="18"/>
                <w:szCs w:val="18"/>
              </w:rPr>
            </w:pPr>
            <w:r>
              <w:rPr>
                <w:sz w:val="18"/>
                <w:szCs w:val="18"/>
              </w:rPr>
              <w:t>0</w:t>
            </w:r>
          </w:p>
        </w:tc>
        <w:tc>
          <w:tcPr>
            <w:tcW w:w="506" w:type="pct"/>
            <w:tcBorders>
              <w:top w:val="nil"/>
              <w:left w:val="nil"/>
              <w:bottom w:val="nil"/>
              <w:right w:val="nil"/>
            </w:tcBorders>
            <w:shd w:val="clear" w:color="auto" w:fill="auto"/>
            <w:noWrap/>
            <w:vAlign w:val="center"/>
          </w:tcPr>
          <w:p>
            <w:pPr>
              <w:spacing w:before="0" w:after="0" w:line="240" w:lineRule="auto"/>
              <w:jc w:val="center"/>
              <w:rPr>
                <w:sz w:val="18"/>
                <w:szCs w:val="18"/>
              </w:rPr>
            </w:pPr>
            <w:r>
              <w:rPr>
                <w:sz w:val="18"/>
                <w:szCs w:val="18"/>
              </w:rPr>
              <w:t>0</w:t>
            </w:r>
          </w:p>
        </w:tc>
        <w:tc>
          <w:tcPr>
            <w:tcW w:w="508" w:type="pct"/>
            <w:tcBorders>
              <w:top w:val="nil"/>
              <w:left w:val="nil"/>
              <w:bottom w:val="nil"/>
              <w:right w:val="nil"/>
            </w:tcBorders>
            <w:shd w:val="clear" w:color="auto" w:fill="auto"/>
            <w:noWrap/>
            <w:vAlign w:val="center"/>
          </w:tcPr>
          <w:p>
            <w:pPr>
              <w:spacing w:before="0" w:after="0" w:line="240" w:lineRule="auto"/>
              <w:jc w:val="center"/>
              <w:rPr>
                <w:sz w:val="18"/>
                <w:szCs w:val="18"/>
              </w:rPr>
            </w:pPr>
            <w:r>
              <w:rPr>
                <w:sz w:val="18"/>
                <w:szCs w:val="18"/>
              </w:rPr>
              <w:t>0.38</w:t>
            </w:r>
          </w:p>
        </w:tc>
        <w:tc>
          <w:tcPr>
            <w:tcW w:w="580" w:type="pct"/>
            <w:tcBorders>
              <w:top w:val="nil"/>
              <w:left w:val="nil"/>
              <w:bottom w:val="nil"/>
            </w:tcBorders>
            <w:shd w:val="clear" w:color="auto" w:fill="auto"/>
            <w:noWrap/>
            <w:vAlign w:val="center"/>
          </w:tcPr>
          <w:p>
            <w:pPr>
              <w:spacing w:before="0" w:after="0" w:line="240" w:lineRule="auto"/>
              <w:jc w:val="center"/>
              <w:rPr>
                <w:sz w:val="18"/>
                <w:szCs w:val="18"/>
              </w:rPr>
            </w:pPr>
            <w:r>
              <w:rPr>
                <w:sz w:val="18"/>
                <w:szCs w:val="18"/>
              </w:rPr>
              <w:t>1439.2</w:t>
            </w:r>
            <w:r>
              <w:rPr>
                <w:rFonts w:hint="eastAsia"/>
                <w:sz w:val="18"/>
                <w:szCs w:val="18"/>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34" w:type="pct"/>
            <w:tcBorders>
              <w:top w:val="nil"/>
              <w:right w:val="nil"/>
            </w:tcBorders>
            <w:shd w:val="clear" w:color="auto" w:fill="auto"/>
            <w:vAlign w:val="center"/>
          </w:tcPr>
          <w:p>
            <w:pPr>
              <w:spacing w:before="0" w:after="0" w:line="240" w:lineRule="auto"/>
              <w:jc w:val="center"/>
              <w:rPr>
                <w:sz w:val="18"/>
                <w:szCs w:val="18"/>
              </w:rPr>
            </w:pPr>
            <w:r>
              <w:rPr>
                <w:sz w:val="18"/>
                <w:szCs w:val="18"/>
              </w:rPr>
              <w:t>温室气体排放</w:t>
            </w:r>
            <w:r>
              <w:rPr>
                <w:sz w:val="18"/>
                <w:szCs w:val="18"/>
              </w:rPr>
              <w:br w:type="textWrapping"/>
            </w:r>
            <w:r>
              <w:rPr>
                <w:sz w:val="18"/>
                <w:szCs w:val="18"/>
              </w:rPr>
              <w:t>（不含</w:t>
            </w:r>
            <w:r>
              <w:rPr>
                <w:rFonts w:hint="eastAsia"/>
                <w:sz w:val="18"/>
                <w:szCs w:val="18"/>
              </w:rPr>
              <w:t>LUCF</w:t>
            </w:r>
            <w:r>
              <w:rPr>
                <w:sz w:val="18"/>
                <w:szCs w:val="18"/>
              </w:rPr>
              <w:t>）</w:t>
            </w:r>
          </w:p>
        </w:tc>
        <w:tc>
          <w:tcPr>
            <w:tcW w:w="584" w:type="pct"/>
            <w:tcBorders>
              <w:top w:val="nil"/>
              <w:left w:val="nil"/>
              <w:right w:val="nil"/>
            </w:tcBorders>
            <w:shd w:val="clear" w:color="auto" w:fill="auto"/>
            <w:noWrap/>
            <w:vAlign w:val="center"/>
          </w:tcPr>
          <w:p>
            <w:pPr>
              <w:spacing w:before="0" w:after="0" w:line="240" w:lineRule="auto"/>
              <w:jc w:val="center"/>
              <w:rPr>
                <w:sz w:val="18"/>
                <w:szCs w:val="18"/>
              </w:rPr>
            </w:pPr>
            <w:r>
              <w:rPr>
                <w:sz w:val="18"/>
                <w:szCs w:val="18"/>
              </w:rPr>
              <w:t>1133.7</w:t>
            </w:r>
            <w:r>
              <w:rPr>
                <w:rFonts w:hint="eastAsia"/>
                <w:sz w:val="18"/>
                <w:szCs w:val="18"/>
              </w:rPr>
              <w:t>0</w:t>
            </w:r>
          </w:p>
        </w:tc>
        <w:tc>
          <w:tcPr>
            <w:tcW w:w="538" w:type="pct"/>
            <w:tcBorders>
              <w:top w:val="nil"/>
              <w:left w:val="nil"/>
              <w:right w:val="nil"/>
            </w:tcBorders>
            <w:shd w:val="clear" w:color="auto" w:fill="auto"/>
            <w:noWrap/>
            <w:vAlign w:val="center"/>
          </w:tcPr>
          <w:p>
            <w:pPr>
              <w:spacing w:before="0" w:after="0" w:line="240" w:lineRule="auto"/>
              <w:jc w:val="center"/>
              <w:rPr>
                <w:sz w:val="18"/>
                <w:szCs w:val="18"/>
              </w:rPr>
            </w:pPr>
            <w:r>
              <w:rPr>
                <w:sz w:val="18"/>
                <w:szCs w:val="18"/>
              </w:rPr>
              <w:t>293.72</w:t>
            </w:r>
          </w:p>
        </w:tc>
        <w:tc>
          <w:tcPr>
            <w:tcW w:w="538" w:type="pct"/>
            <w:tcBorders>
              <w:top w:val="nil"/>
              <w:left w:val="nil"/>
              <w:right w:val="nil"/>
            </w:tcBorders>
            <w:shd w:val="clear" w:color="auto" w:fill="auto"/>
            <w:noWrap/>
            <w:vAlign w:val="center"/>
          </w:tcPr>
          <w:p>
            <w:pPr>
              <w:spacing w:before="0" w:after="0" w:line="240" w:lineRule="auto"/>
              <w:jc w:val="center"/>
              <w:rPr>
                <w:sz w:val="18"/>
                <w:szCs w:val="18"/>
              </w:rPr>
            </w:pPr>
            <w:r>
              <w:rPr>
                <w:sz w:val="18"/>
                <w:szCs w:val="18"/>
              </w:rPr>
              <w:t>111.42</w:t>
            </w:r>
          </w:p>
        </w:tc>
        <w:tc>
          <w:tcPr>
            <w:tcW w:w="707" w:type="pct"/>
            <w:tcBorders>
              <w:top w:val="nil"/>
              <w:left w:val="nil"/>
              <w:right w:val="nil"/>
            </w:tcBorders>
            <w:shd w:val="clear" w:color="auto" w:fill="auto"/>
            <w:noWrap/>
            <w:vAlign w:val="center"/>
          </w:tcPr>
          <w:p>
            <w:pPr>
              <w:spacing w:before="0" w:after="0" w:line="240" w:lineRule="auto"/>
              <w:jc w:val="center"/>
              <w:rPr>
                <w:sz w:val="18"/>
                <w:szCs w:val="18"/>
              </w:rPr>
            </w:pPr>
            <w:r>
              <w:rPr>
                <w:sz w:val="18"/>
                <w:szCs w:val="18"/>
              </w:rPr>
              <w:t>0</w:t>
            </w:r>
          </w:p>
        </w:tc>
        <w:tc>
          <w:tcPr>
            <w:tcW w:w="506" w:type="pct"/>
            <w:tcBorders>
              <w:top w:val="nil"/>
              <w:left w:val="nil"/>
              <w:right w:val="nil"/>
            </w:tcBorders>
            <w:shd w:val="clear" w:color="auto" w:fill="auto"/>
            <w:noWrap/>
            <w:vAlign w:val="center"/>
          </w:tcPr>
          <w:p>
            <w:pPr>
              <w:spacing w:before="0" w:after="0" w:line="240" w:lineRule="auto"/>
              <w:jc w:val="center"/>
              <w:rPr>
                <w:sz w:val="18"/>
                <w:szCs w:val="18"/>
              </w:rPr>
            </w:pPr>
            <w:r>
              <w:rPr>
                <w:sz w:val="18"/>
                <w:szCs w:val="18"/>
              </w:rPr>
              <w:t>0</w:t>
            </w:r>
          </w:p>
        </w:tc>
        <w:tc>
          <w:tcPr>
            <w:tcW w:w="508" w:type="pct"/>
            <w:tcBorders>
              <w:top w:val="nil"/>
              <w:left w:val="nil"/>
              <w:right w:val="nil"/>
            </w:tcBorders>
            <w:shd w:val="clear" w:color="auto" w:fill="auto"/>
            <w:noWrap/>
            <w:vAlign w:val="center"/>
          </w:tcPr>
          <w:p>
            <w:pPr>
              <w:spacing w:before="0" w:after="0" w:line="240" w:lineRule="auto"/>
              <w:jc w:val="center"/>
              <w:rPr>
                <w:sz w:val="18"/>
                <w:szCs w:val="18"/>
              </w:rPr>
            </w:pPr>
            <w:r>
              <w:rPr>
                <w:sz w:val="18"/>
                <w:szCs w:val="18"/>
              </w:rPr>
              <w:t>0.38</w:t>
            </w:r>
          </w:p>
        </w:tc>
        <w:tc>
          <w:tcPr>
            <w:tcW w:w="580" w:type="pct"/>
            <w:tcBorders>
              <w:top w:val="nil"/>
              <w:left w:val="nil"/>
            </w:tcBorders>
            <w:shd w:val="clear" w:color="auto" w:fill="auto"/>
            <w:noWrap/>
            <w:vAlign w:val="center"/>
          </w:tcPr>
          <w:p>
            <w:pPr>
              <w:spacing w:before="0" w:after="0" w:line="240" w:lineRule="auto"/>
              <w:jc w:val="center"/>
              <w:rPr>
                <w:sz w:val="18"/>
                <w:szCs w:val="18"/>
              </w:rPr>
            </w:pPr>
            <w:r>
              <w:rPr>
                <w:sz w:val="18"/>
                <w:szCs w:val="18"/>
              </w:rPr>
              <w:t>1539.23</w:t>
            </w:r>
          </w:p>
        </w:tc>
      </w:tr>
    </w:tbl>
    <w:p>
      <w:pPr>
        <w:pStyle w:val="4"/>
      </w:pPr>
      <w:bookmarkStart w:id="320" w:name="_Toc11365"/>
      <w:bookmarkStart w:id="321" w:name="_Toc54097704"/>
      <w:bookmarkStart w:id="322" w:name="_Toc52177440"/>
      <w:bookmarkStart w:id="323" w:name="_Toc55311788"/>
      <w:bookmarkStart w:id="324" w:name="_Toc53827563"/>
      <w:r>
        <w:rPr>
          <w:rFonts w:hint="eastAsia"/>
        </w:rPr>
        <w:t>关键指标</w:t>
      </w:r>
      <w:bookmarkEnd w:id="320"/>
      <w:bookmarkEnd w:id="321"/>
      <w:bookmarkEnd w:id="322"/>
      <w:bookmarkEnd w:id="323"/>
      <w:bookmarkEnd w:id="324"/>
    </w:p>
    <w:p>
      <w:pPr>
        <w:ind w:firstLine="480" w:firstLineChars="200"/>
      </w:pPr>
      <w:r>
        <w:rPr>
          <w:rFonts w:hint="eastAsia"/>
        </w:rPr>
        <w:t>根据益阳市统计局提供数据，2019年益阳市地区国民生产总值为1792.46亿元。不考虑土地利用和林业部门吸收温室气体的情况下，2019年益阳市单位GDP温室气体排放量为0.86吨CO</w:t>
      </w:r>
      <w:r>
        <w:rPr>
          <w:rFonts w:hint="eastAsia"/>
          <w:vertAlign w:val="subscript"/>
        </w:rPr>
        <w:t>2</w:t>
      </w:r>
      <w:r>
        <w:rPr>
          <w:rFonts w:hint="eastAsia"/>
        </w:rPr>
        <w:t>当量/万元。因数据不完全导致估算出的温室气体排放总量较实际情况偏低，因此益阳市单位GDP温室气体排放量也偏低。</w:t>
      </w:r>
    </w:p>
    <w:p>
      <w:pPr>
        <w:pStyle w:val="3"/>
      </w:pPr>
      <w:bookmarkStart w:id="325" w:name="_Toc9753"/>
      <w:r>
        <w:rPr>
          <w:rFonts w:hint="eastAsia"/>
        </w:rPr>
        <w:t>温室气体排放分布情况</w:t>
      </w:r>
      <w:bookmarkEnd w:id="325"/>
    </w:p>
    <w:p>
      <w:pPr>
        <w:pStyle w:val="4"/>
      </w:pPr>
      <w:bookmarkStart w:id="326" w:name="_Toc13046"/>
      <w:bookmarkStart w:id="327" w:name="_Toc55311790"/>
      <w:r>
        <w:rPr>
          <w:rFonts w:hint="eastAsia"/>
        </w:rPr>
        <w:t>部门分布</w:t>
      </w:r>
      <w:bookmarkEnd w:id="326"/>
      <w:bookmarkEnd w:id="327"/>
    </w:p>
    <w:p>
      <w:pPr>
        <w:ind w:firstLine="480" w:firstLineChars="200"/>
      </w:pPr>
      <w:r>
        <w:rPr>
          <w:rFonts w:hint="eastAsia"/>
        </w:rPr>
        <w:t>各部门温室气体排放量</w:t>
      </w:r>
      <w:r>
        <w:rPr>
          <w:rFonts w:cs="Times New Roman"/>
          <w:szCs w:val="24"/>
        </w:rPr>
        <w:t>占比见</w:t>
      </w:r>
      <w:r>
        <w:rPr>
          <w:rFonts w:cs="Times New Roman"/>
          <w:szCs w:val="24"/>
        </w:rPr>
        <w:fldChar w:fldCharType="begin"/>
      </w:r>
      <w:r>
        <w:rPr>
          <w:rFonts w:cs="Times New Roman"/>
          <w:szCs w:val="24"/>
          <w:highlight w:val="yellow"/>
        </w:rPr>
        <w:instrText xml:space="preserve"> REF _Ref51945265 \h </w:instrText>
      </w:r>
      <w:r>
        <w:rPr>
          <w:rFonts w:cs="Times New Roman"/>
          <w:szCs w:val="24"/>
        </w:rPr>
        <w:instrText xml:space="preserve"> \* MERGEFORMAT </w:instrText>
      </w:r>
      <w:r>
        <w:rPr>
          <w:rFonts w:cs="Times New Roman"/>
          <w:szCs w:val="24"/>
        </w:rPr>
        <w:fldChar w:fldCharType="separate"/>
      </w:r>
      <w:r>
        <w:rPr>
          <w:rFonts w:cs="Times New Roman"/>
          <w:szCs w:val="24"/>
        </w:rPr>
        <w:t>图7</w:t>
      </w:r>
      <w:r>
        <w:rPr>
          <w:rFonts w:cs="Times New Roman"/>
          <w:szCs w:val="24"/>
        </w:rPr>
        <w:noBreakHyphen/>
      </w:r>
      <w:r>
        <w:rPr>
          <w:rFonts w:cs="Times New Roman"/>
          <w:szCs w:val="24"/>
        </w:rPr>
        <w:t>1</w:t>
      </w:r>
      <w:r>
        <w:rPr>
          <w:rFonts w:cs="Times New Roman"/>
          <w:szCs w:val="24"/>
        </w:rPr>
        <w:fldChar w:fldCharType="end"/>
      </w:r>
      <w:r>
        <w:rPr>
          <w:rFonts w:hint="eastAsia"/>
        </w:rPr>
        <w:t>，由图可知，除土地利用变化与林业部门外，4个部门中，能源活动、农业活动、工业生产和废弃物处理占比分别为57.18%、24.03%、15.67%和3.12%，能源活动温室气体排放量占比最大，废弃物处理占比最小。</w:t>
      </w:r>
    </w:p>
    <w:p>
      <w:pPr>
        <w:spacing w:before="0" w:after="0"/>
        <w:jc w:val="center"/>
      </w:pPr>
      <w:r>
        <w:drawing>
          <wp:inline distT="0" distB="0" distL="114300" distR="114300">
            <wp:extent cx="4041775" cy="2240915"/>
            <wp:effectExtent l="0" t="0" r="0" b="0"/>
            <wp:docPr id="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5"/>
                    <pic:cNvPicPr>
                      <a:picLocks noChangeAspect="1"/>
                    </pic:cNvPicPr>
                  </pic:nvPicPr>
                  <pic:blipFill>
                    <a:blip r:embed="rId92"/>
                    <a:stretch>
                      <a:fillRect/>
                    </a:stretch>
                  </pic:blipFill>
                  <pic:spPr>
                    <a:xfrm>
                      <a:off x="0" y="0"/>
                      <a:ext cx="4041775" cy="2240915"/>
                    </a:xfrm>
                    <a:prstGeom prst="rect">
                      <a:avLst/>
                    </a:prstGeom>
                    <a:noFill/>
                    <a:ln>
                      <a:noFill/>
                    </a:ln>
                  </pic:spPr>
                </pic:pic>
              </a:graphicData>
            </a:graphic>
          </wp:inline>
        </w:drawing>
      </w:r>
    </w:p>
    <w:p>
      <w:pPr>
        <w:pStyle w:val="12"/>
      </w:pPr>
      <w:bookmarkStart w:id="328" w:name="_Ref51945265"/>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7</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bookmarkEnd w:id="328"/>
      <w:r>
        <w:rPr>
          <w:rFonts w:hint="eastAsia"/>
        </w:rPr>
        <w:t>温室气体部门分布图（不含LUCF）</w:t>
      </w:r>
    </w:p>
    <w:p>
      <w:pPr>
        <w:pStyle w:val="4"/>
      </w:pPr>
      <w:bookmarkStart w:id="329" w:name="_Toc10339"/>
      <w:bookmarkStart w:id="330" w:name="_Toc55311791"/>
      <w:r>
        <w:rPr>
          <w:rFonts w:hint="eastAsia"/>
        </w:rPr>
        <w:t>类型分布</w:t>
      </w:r>
      <w:bookmarkEnd w:id="329"/>
      <w:bookmarkEnd w:id="330"/>
    </w:p>
    <w:p>
      <w:pPr>
        <w:ind w:firstLine="480" w:firstLineChars="200"/>
      </w:pPr>
      <w:r>
        <w:rPr>
          <w:rFonts w:hint="eastAsia"/>
        </w:rPr>
        <w:t>益阳市内无工业行业排放HFCs和PFCs，本次报告中只包括4种温室气体，不考虑土地利用变化和林业部门的情况下，二氧化碳、甲烷、氧化亚氮和六氟化硫分别占73.65%、19.08%、7.24%和0.02%，详见</w:t>
      </w:r>
      <w:r>
        <w:fldChar w:fldCharType="begin"/>
      </w:r>
      <w:r>
        <w:instrText xml:space="preserve"> </w:instrText>
      </w:r>
      <w:r>
        <w:rPr>
          <w:rFonts w:hint="eastAsia"/>
        </w:rPr>
        <w:instrText xml:space="preserve">REF _Ref52115771 \h</w:instrText>
      </w:r>
      <w:r>
        <w:instrText xml:space="preserve">  \* MERGEFORMAT </w:instrText>
      </w:r>
      <w:r>
        <w:fldChar w:fldCharType="separate"/>
      </w:r>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7</w:t>
      </w:r>
      <w:r>
        <w:fldChar w:fldCharType="end"/>
      </w:r>
      <w:r>
        <w:noBreakHyphen/>
      </w:r>
      <w:r>
        <w:rPr>
          <w:rFonts w:hint="eastAsia"/>
        </w:rPr>
        <w:t>2</w:t>
      </w:r>
      <w:r>
        <w:fldChar w:fldCharType="end"/>
      </w:r>
      <w:r>
        <w:rPr>
          <w:rFonts w:hint="eastAsia"/>
          <w:szCs w:val="24"/>
        </w:rPr>
        <w:t>和</w:t>
      </w:r>
      <w:r>
        <w:rPr>
          <w:szCs w:val="24"/>
        </w:rPr>
        <w:fldChar w:fldCharType="begin"/>
      </w:r>
      <w:r>
        <w:rPr>
          <w:szCs w:val="24"/>
        </w:rPr>
        <w:instrText xml:space="preserve"> REF _Ref52115779 \h  \* MERGEFORMAT </w:instrText>
      </w:r>
      <w:r>
        <w:rPr>
          <w:szCs w:val="24"/>
        </w:rPr>
        <w:fldChar w:fldCharType="separate"/>
      </w:r>
      <w:r>
        <w:rPr>
          <w:rFonts w:hint="eastAsia"/>
          <w:szCs w:val="24"/>
        </w:rPr>
        <w:t>图</w:t>
      </w:r>
      <w:r>
        <w:rPr>
          <w:szCs w:val="24"/>
        </w:rPr>
        <w:t>7</w:t>
      </w:r>
      <w:r>
        <w:rPr>
          <w:szCs w:val="24"/>
        </w:rPr>
        <w:noBreakHyphen/>
      </w:r>
      <w:r>
        <w:rPr>
          <w:szCs w:val="24"/>
        </w:rPr>
        <w:t>2</w:t>
      </w:r>
      <w:r>
        <w:rPr>
          <w:szCs w:val="24"/>
        </w:rPr>
        <w:fldChar w:fldCharType="end"/>
      </w:r>
      <w:r>
        <w:rPr>
          <w:rFonts w:hint="eastAsia"/>
          <w:szCs w:val="24"/>
        </w:rPr>
        <w:t>。</w:t>
      </w:r>
    </w:p>
    <w:p>
      <w:pPr>
        <w:pStyle w:val="12"/>
      </w:pPr>
      <w:bookmarkStart w:id="331" w:name="_Ref52115771"/>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7</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rPr>
          <w:rFonts w:hint="eastAsia"/>
        </w:rPr>
        <w:t>2</w:t>
      </w:r>
      <w:r>
        <w:fldChar w:fldCharType="end"/>
      </w:r>
      <w:bookmarkEnd w:id="331"/>
      <w:r>
        <w:rPr>
          <w:rFonts w:hint="eastAsia"/>
        </w:rPr>
        <w:t>各类型温室气体占比</w:t>
      </w:r>
    </w:p>
    <w:tbl>
      <w:tblPr>
        <w:tblStyle w:val="25"/>
        <w:tblW w:w="5000" w:type="pct"/>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557"/>
        <w:gridCol w:w="1788"/>
        <w:gridCol w:w="1207"/>
        <w:gridCol w:w="1895"/>
        <w:gridCol w:w="1075"/>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1500" w:type="pct"/>
            <w:vMerge w:val="restart"/>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温室气体</w:t>
            </w:r>
          </w:p>
        </w:tc>
        <w:tc>
          <w:tcPr>
            <w:tcW w:w="1757" w:type="pct"/>
            <w:gridSpan w:val="2"/>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含</w:t>
            </w:r>
            <w:r>
              <w:rPr>
                <w:rFonts w:hint="eastAsia" w:cs="Times New Roman" w:eastAsiaTheme="minorEastAsia"/>
                <w:sz w:val="18"/>
                <w:szCs w:val="18"/>
              </w:rPr>
              <w:t>LUCF</w:t>
            </w:r>
          </w:p>
        </w:tc>
        <w:tc>
          <w:tcPr>
            <w:tcW w:w="1743" w:type="pct"/>
            <w:gridSpan w:val="2"/>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不含</w:t>
            </w:r>
            <w:r>
              <w:rPr>
                <w:rFonts w:hint="eastAsia" w:cs="Times New Roman" w:eastAsiaTheme="minorEastAsia"/>
                <w:sz w:val="18"/>
                <w:szCs w:val="18"/>
              </w:rPr>
              <w:t>LUCF</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1500" w:type="pct"/>
            <w:vMerge w:val="continue"/>
            <w:tcBorders>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p>
        </w:tc>
        <w:tc>
          <w:tcPr>
            <w:tcW w:w="1049" w:type="pct"/>
            <w:tcBorders>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二氧化碳当量</w:t>
            </w:r>
          </w:p>
          <w:p>
            <w:pPr>
              <w:spacing w:before="0" w:after="0" w:line="240" w:lineRule="auto"/>
              <w:jc w:val="center"/>
              <w:rPr>
                <w:rFonts w:cs="Times New Roman" w:eastAsiaTheme="minorEastAsia"/>
                <w:sz w:val="18"/>
                <w:szCs w:val="18"/>
              </w:rPr>
            </w:pPr>
            <w:r>
              <w:rPr>
                <w:rFonts w:cs="Times New Roman" w:eastAsiaTheme="minorEastAsia"/>
                <w:sz w:val="18"/>
                <w:szCs w:val="18"/>
              </w:rPr>
              <w:t>(万吨)</w:t>
            </w:r>
          </w:p>
        </w:tc>
        <w:tc>
          <w:tcPr>
            <w:tcW w:w="708" w:type="pct"/>
            <w:tcBorders>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占比</w:t>
            </w:r>
            <w:r>
              <w:rPr>
                <w:rFonts w:cs="Times New Roman" w:eastAsiaTheme="minorEastAsia"/>
                <w:sz w:val="18"/>
                <w:szCs w:val="18"/>
              </w:rPr>
              <w:t>(%)</w:t>
            </w:r>
          </w:p>
        </w:tc>
        <w:tc>
          <w:tcPr>
            <w:tcW w:w="1112" w:type="pct"/>
            <w:tcBorders>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二氧化碳当量</w:t>
            </w:r>
          </w:p>
          <w:p>
            <w:pPr>
              <w:spacing w:before="0" w:after="0" w:line="240" w:lineRule="auto"/>
              <w:jc w:val="center"/>
              <w:rPr>
                <w:rFonts w:cs="Times New Roman" w:eastAsiaTheme="minorEastAsia"/>
                <w:sz w:val="18"/>
                <w:szCs w:val="18"/>
              </w:rPr>
            </w:pPr>
            <w:r>
              <w:rPr>
                <w:rFonts w:cs="Times New Roman" w:eastAsiaTheme="minorEastAsia"/>
                <w:sz w:val="18"/>
                <w:szCs w:val="18"/>
              </w:rPr>
              <w:t>(万吨)</w:t>
            </w:r>
          </w:p>
        </w:tc>
        <w:tc>
          <w:tcPr>
            <w:tcW w:w="631" w:type="pct"/>
            <w:tcBorders>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占比</w:t>
            </w:r>
          </w:p>
          <w:p>
            <w:pPr>
              <w:spacing w:before="0" w:after="0" w:line="240" w:lineRule="auto"/>
              <w:jc w:val="center"/>
              <w:rPr>
                <w:rFonts w:cs="Times New Roman" w:eastAsiaTheme="minorEastAsia"/>
                <w:sz w:val="18"/>
                <w:szCs w:val="18"/>
              </w:rPr>
            </w:pPr>
            <w:r>
              <w:rPr>
                <w:rFonts w:cs="Times New Roman" w:eastAsiaTheme="minorEastAsia"/>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1500" w:type="pct"/>
            <w:tcBorders>
              <w:bottom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二氧化碳</w:t>
            </w:r>
          </w:p>
        </w:tc>
        <w:tc>
          <w:tcPr>
            <w:tcW w:w="1788" w:type="dxa"/>
            <w:tcBorders>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1033.56</w:t>
            </w:r>
          </w:p>
        </w:tc>
        <w:tc>
          <w:tcPr>
            <w:tcW w:w="1207" w:type="dxa"/>
            <w:tcBorders>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71.81%</w:t>
            </w:r>
          </w:p>
        </w:tc>
        <w:tc>
          <w:tcPr>
            <w:tcW w:w="1895" w:type="dxa"/>
            <w:tcBorders>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1133.70</w:t>
            </w:r>
          </w:p>
        </w:tc>
        <w:tc>
          <w:tcPr>
            <w:tcW w:w="1075" w:type="dxa"/>
            <w:tcBorders>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73.65%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1500" w:type="pct"/>
            <w:tcBorders>
              <w:top w:val="nil"/>
              <w:bottom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甲烷</w:t>
            </w:r>
          </w:p>
        </w:tc>
        <w:tc>
          <w:tcPr>
            <w:tcW w:w="1788" w:type="dxa"/>
            <w:tcBorders>
              <w:top w:val="nil"/>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293.82</w:t>
            </w:r>
          </w:p>
        </w:tc>
        <w:tc>
          <w:tcPr>
            <w:tcW w:w="1207" w:type="dxa"/>
            <w:tcBorders>
              <w:top w:val="nil"/>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20.42%</w:t>
            </w:r>
          </w:p>
        </w:tc>
        <w:tc>
          <w:tcPr>
            <w:tcW w:w="1895" w:type="dxa"/>
            <w:tcBorders>
              <w:top w:val="nil"/>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293.72</w:t>
            </w:r>
          </w:p>
        </w:tc>
        <w:tc>
          <w:tcPr>
            <w:tcW w:w="1075" w:type="dxa"/>
            <w:tcBorders>
              <w:top w:val="nil"/>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19.08%</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1500" w:type="pct"/>
            <w:tcBorders>
              <w:top w:val="nil"/>
              <w:bottom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氧化亚氮</w:t>
            </w:r>
          </w:p>
        </w:tc>
        <w:tc>
          <w:tcPr>
            <w:tcW w:w="1788" w:type="dxa"/>
            <w:tcBorders>
              <w:top w:val="nil"/>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111.43</w:t>
            </w:r>
          </w:p>
        </w:tc>
        <w:tc>
          <w:tcPr>
            <w:tcW w:w="1207" w:type="dxa"/>
            <w:tcBorders>
              <w:top w:val="nil"/>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7.74%</w:t>
            </w:r>
          </w:p>
        </w:tc>
        <w:tc>
          <w:tcPr>
            <w:tcW w:w="1895" w:type="dxa"/>
            <w:tcBorders>
              <w:top w:val="nil"/>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111.42</w:t>
            </w:r>
          </w:p>
        </w:tc>
        <w:tc>
          <w:tcPr>
            <w:tcW w:w="1075" w:type="dxa"/>
            <w:tcBorders>
              <w:top w:val="nil"/>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7.24%</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1500" w:type="pct"/>
            <w:tcBorders>
              <w:top w:val="nil"/>
              <w:bottom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含氟气体</w:t>
            </w:r>
          </w:p>
        </w:tc>
        <w:tc>
          <w:tcPr>
            <w:tcW w:w="1788" w:type="dxa"/>
            <w:tcBorders>
              <w:top w:val="nil"/>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0.38</w:t>
            </w:r>
          </w:p>
        </w:tc>
        <w:tc>
          <w:tcPr>
            <w:tcW w:w="1207" w:type="dxa"/>
            <w:tcBorders>
              <w:top w:val="nil"/>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0.03%</w:t>
            </w:r>
          </w:p>
        </w:tc>
        <w:tc>
          <w:tcPr>
            <w:tcW w:w="1895" w:type="dxa"/>
            <w:tcBorders>
              <w:top w:val="nil"/>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0.38</w:t>
            </w:r>
          </w:p>
        </w:tc>
        <w:tc>
          <w:tcPr>
            <w:tcW w:w="1075" w:type="dxa"/>
            <w:tcBorders>
              <w:top w:val="nil"/>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0.02%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1500" w:type="pct"/>
            <w:tcBorders>
              <w:top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合计</w:t>
            </w:r>
          </w:p>
        </w:tc>
        <w:tc>
          <w:tcPr>
            <w:tcW w:w="1788" w:type="dxa"/>
            <w:tcBorders>
              <w:top w:val="nil"/>
            </w:tcBorders>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1439.20</w:t>
            </w:r>
          </w:p>
        </w:tc>
        <w:tc>
          <w:tcPr>
            <w:tcW w:w="1207" w:type="dxa"/>
            <w:tcBorders>
              <w:top w:val="nil"/>
            </w:tcBorders>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100.00%</w:t>
            </w:r>
          </w:p>
        </w:tc>
        <w:tc>
          <w:tcPr>
            <w:tcW w:w="1895" w:type="dxa"/>
            <w:tcBorders>
              <w:top w:val="nil"/>
            </w:tcBorders>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1539.23</w:t>
            </w:r>
          </w:p>
        </w:tc>
        <w:tc>
          <w:tcPr>
            <w:tcW w:w="1075" w:type="dxa"/>
            <w:tcBorders>
              <w:top w:val="nil"/>
            </w:tcBorders>
            <w:shd w:val="clear" w:color="auto" w:fill="auto"/>
            <w:noWrap/>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100.00%</w:t>
            </w:r>
          </w:p>
        </w:tc>
      </w:tr>
    </w:tbl>
    <w:p>
      <w:pPr>
        <w:spacing w:before="0" w:after="0"/>
        <w:jc w:val="center"/>
      </w:pPr>
      <w:r>
        <w:drawing>
          <wp:inline distT="0" distB="0" distL="114300" distR="114300">
            <wp:extent cx="3498850" cy="2152650"/>
            <wp:effectExtent l="0" t="0" r="0" b="0"/>
            <wp:docPr id="1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7"/>
                    <pic:cNvPicPr>
                      <a:picLocks noChangeAspect="1"/>
                    </pic:cNvPicPr>
                  </pic:nvPicPr>
                  <pic:blipFill>
                    <a:blip r:embed="rId93"/>
                    <a:stretch>
                      <a:fillRect/>
                    </a:stretch>
                  </pic:blipFill>
                  <pic:spPr>
                    <a:xfrm>
                      <a:off x="0" y="0"/>
                      <a:ext cx="3498850" cy="2152650"/>
                    </a:xfrm>
                    <a:prstGeom prst="rect">
                      <a:avLst/>
                    </a:prstGeom>
                    <a:noFill/>
                    <a:ln>
                      <a:noFill/>
                    </a:ln>
                  </pic:spPr>
                </pic:pic>
              </a:graphicData>
            </a:graphic>
          </wp:inline>
        </w:drawing>
      </w:r>
    </w:p>
    <w:p>
      <w:pPr>
        <w:pStyle w:val="12"/>
      </w:pPr>
      <w:bookmarkStart w:id="332" w:name="_Ref52115779"/>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7</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w:t>
      </w:r>
      <w:r>
        <w:fldChar w:fldCharType="end"/>
      </w:r>
      <w:bookmarkEnd w:id="332"/>
      <w:r>
        <w:rPr>
          <w:rFonts w:hint="eastAsia"/>
        </w:rPr>
        <w:t>温室气体类型分布图（不含LUCF）</w:t>
      </w:r>
    </w:p>
    <w:p>
      <w:pPr>
        <w:pStyle w:val="4"/>
      </w:pPr>
      <w:bookmarkStart w:id="333" w:name="_Toc5700"/>
      <w:bookmarkStart w:id="334" w:name="_Toc55311792"/>
      <w:r>
        <w:rPr>
          <w:rFonts w:hint="eastAsia"/>
        </w:rPr>
        <w:t>空间分布</w:t>
      </w:r>
      <w:bookmarkEnd w:id="333"/>
      <w:bookmarkEnd w:id="334"/>
    </w:p>
    <w:p>
      <w:pPr>
        <w:ind w:firstLine="480" w:firstLineChars="200"/>
      </w:pPr>
      <w:r>
        <w:rPr>
          <w:rFonts w:hint="eastAsia"/>
        </w:rPr>
        <w:t>（1）分配方法</w:t>
      </w:r>
    </w:p>
    <w:p>
      <w:pPr>
        <w:ind w:firstLine="480" w:firstLineChars="200"/>
      </w:pPr>
      <w:r>
        <w:rPr>
          <w:rFonts w:hint="eastAsia"/>
        </w:rPr>
        <w:t>明确益阳市温室气体在市内不同县、区间的分布情况，本报告将温室气体按照不同来源分为工业源和农业源，采用3km×3km网格对全市区域进行划分，不同来源温室气体总量分配方法如下：</w:t>
      </w:r>
    </w:p>
    <w:p>
      <w:pPr>
        <w:ind w:firstLine="480" w:firstLineChars="200"/>
      </w:pPr>
      <w:r>
        <w:t>a</w:t>
      </w:r>
      <w:r>
        <w:rPr>
          <w:rFonts w:hint="eastAsia"/>
        </w:rPr>
        <w:t>）工业源</w:t>
      </w:r>
    </w:p>
    <w:p>
      <w:pPr>
        <w:ind w:firstLine="480" w:firstLineChars="200"/>
      </w:pPr>
      <w:r>
        <w:rPr>
          <w:rFonts w:hint="eastAsia"/>
        </w:rPr>
        <w:t>全市温室气体工业部分排放总量按照益阳市各县、区工业用地占比情况，进行区域分布，得到全市工业源温室气体排放情况空间分布图情况图。</w:t>
      </w:r>
    </w:p>
    <w:p>
      <w:pPr>
        <w:ind w:firstLine="480" w:firstLineChars="200"/>
      </w:pPr>
      <w:r>
        <w:rPr>
          <w:rFonts w:hint="eastAsia"/>
        </w:rPr>
        <w:t>b）农业源</w:t>
      </w:r>
    </w:p>
    <w:p>
      <w:pPr>
        <w:ind w:firstLine="480" w:firstLineChars="200"/>
      </w:pPr>
      <w:r>
        <w:rPr>
          <w:rFonts w:hint="eastAsia"/>
        </w:rPr>
        <w:t>全市农业源分布主要依据各县、区农业用地占比情况，进行区域分布，得到市内农业源温室气体分布情况。</w:t>
      </w:r>
    </w:p>
    <w:p>
      <w:pPr>
        <w:ind w:firstLine="480" w:firstLineChars="200"/>
      </w:pPr>
      <w:r>
        <w:rPr>
          <w:rFonts w:hint="eastAsia"/>
        </w:rPr>
        <w:t>（2）空间分布情况</w:t>
      </w:r>
    </w:p>
    <w:p>
      <w:pPr>
        <w:ind w:firstLine="480" w:firstLineChars="200"/>
      </w:pPr>
      <w:r>
        <w:rPr>
          <w:rFonts w:hint="eastAsia"/>
        </w:rPr>
        <w:t>温室气体在市内空间分布情况详见</w:t>
      </w:r>
      <w:r>
        <w:rPr>
          <w:highlight w:val="yellow"/>
        </w:rPr>
        <w:fldChar w:fldCharType="begin"/>
      </w:r>
      <w:r>
        <w:instrText xml:space="preserve"> </w:instrText>
      </w:r>
      <w:r>
        <w:rPr>
          <w:rFonts w:hint="eastAsia"/>
        </w:rPr>
        <w:instrText xml:space="preserve">REF _Ref55293428 \h</w:instrText>
      </w:r>
      <w:r>
        <w:instrText xml:space="preserve"> </w:instrText>
      </w:r>
      <w:r>
        <w:rPr>
          <w:highlight w:val="yellow"/>
        </w:rPr>
        <w:instrText xml:space="preserve"> \* MERGEFORMAT </w:instrText>
      </w:r>
      <w:r>
        <w:rPr>
          <w:highlight w:val="yellow"/>
        </w:rPr>
        <w:fldChar w:fldCharType="separate"/>
      </w:r>
      <w:r>
        <w:rPr>
          <w:rFonts w:hint="eastAsia"/>
        </w:rPr>
        <w:t>图</w:t>
      </w:r>
      <w:r>
        <w:t>7</w:t>
      </w:r>
      <w:r>
        <w:noBreakHyphen/>
      </w:r>
      <w:r>
        <w:t>3</w:t>
      </w:r>
      <w:r>
        <w:rPr>
          <w:highlight w:val="yellow"/>
        </w:rPr>
        <w:fldChar w:fldCharType="end"/>
      </w:r>
      <w:r>
        <w:rPr>
          <w:rFonts w:hint="eastAsia"/>
        </w:rPr>
        <w:t>。从全市情况来看，工业源温室气体来源于工业生产过程中的能源消耗和生产过程排放，主要集中在益阳中部工业较发达的区域；农业源温室气体来源于农业生产过程中排放的甲烷和氧化亚氮，主要分布在益阳市北部环洞庭湖区农业活动较为集中的区域。</w:t>
      </w:r>
    </w:p>
    <w:tbl>
      <w:tblPr>
        <w:tblStyle w:val="26"/>
        <w:tblW w:w="861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19"/>
        <w:gridCol w:w="43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2" w:hRule="atLeast"/>
        </w:trPr>
        <w:tc>
          <w:tcPr>
            <w:tcW w:w="4219" w:type="dxa"/>
            <w:vAlign w:val="center"/>
          </w:tcPr>
          <w:p>
            <w:pPr>
              <w:spacing w:before="0" w:after="0" w:line="240" w:lineRule="auto"/>
              <w:jc w:val="center"/>
              <w:rPr>
                <w:rFonts w:ascii="Calibri" w:hAnsi="Calibri" w:cs="Times New Roman"/>
              </w:rPr>
            </w:pPr>
          </w:p>
          <w:p>
            <w:pPr>
              <w:spacing w:before="0" w:after="0" w:line="240" w:lineRule="auto"/>
              <w:jc w:val="center"/>
              <w:rPr>
                <w:rFonts w:ascii="Calibri" w:hAnsi="Calibri" w:cs="Times New Roman"/>
              </w:rPr>
            </w:pPr>
            <w:r>
              <w:rPr>
                <w:rFonts w:ascii="Calibri" w:hAnsi="Calibri" w:cs="Times New Roman"/>
              </w:rPr>
              <mc:AlternateContent>
                <mc:Choice Requires="wps">
                  <w:drawing>
                    <wp:anchor distT="0" distB="0" distL="114300" distR="114300" simplePos="0" relativeHeight="251659264" behindDoc="0" locked="0" layoutInCell="1" allowOverlap="1">
                      <wp:simplePos x="0" y="0"/>
                      <wp:positionH relativeFrom="column">
                        <wp:posOffset>889635</wp:posOffset>
                      </wp:positionH>
                      <wp:positionV relativeFrom="paragraph">
                        <wp:posOffset>2322830</wp:posOffset>
                      </wp:positionV>
                      <wp:extent cx="659130" cy="335280"/>
                      <wp:effectExtent l="0" t="0" r="0" b="7620"/>
                      <wp:wrapNone/>
                      <wp:docPr id="37" name="文本框 37"/>
                      <wp:cNvGraphicFramePr/>
                      <a:graphic xmlns:a="http://schemas.openxmlformats.org/drawingml/2006/main">
                        <a:graphicData uri="http://schemas.microsoft.com/office/word/2010/wordprocessingShape">
                          <wps:wsp>
                            <wps:cNvSpPr txBox="1"/>
                            <wps:spPr>
                              <a:xfrm>
                                <a:off x="0" y="0"/>
                                <a:ext cx="659130"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rFonts w:hint="eastAsia"/>
                                      <w:sz w:val="21"/>
                                      <w:szCs w:val="21"/>
                                    </w:rPr>
                                    <w:t>工业源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82.9pt;height:26.4pt;width:51.9pt;z-index:251659264;mso-width-relative:page;mso-height-relative:page;" filled="f" stroked="f" coordsize="21600,21600" o:gfxdata="UEsDBAoAAAAAAIdO4kAAAAAAAAAAAAAAAAAEAAAAZHJzL1BLAwQUAAAACACHTuJAqL9XddsAAAAL&#10;AQAADwAAAGRycy9kb3ducmV2LnhtbE2Py07DMBBF90j8gzVI7KidNI1CiFOhSBUSgkVLN+yceJpE&#10;+BFi9wFfz7CC5dUc3Tm3Wl+sYSecw+idhGQhgKHrvB5dL2H/trkrgIWonFbGO5TwhQHW9fVVpUrt&#10;z26Lp13sGZW4UCoJQ4xTyXnoBrQqLPyEjm4HP1sVKc4917M6U7k1PBUi51aNjj4MasJmwO5jd7QS&#10;npvNq9q2qS2+TfP0cnicPvfvKylvbxLxACziJf7B8KtP6lCTU+uPTgdmKGciIVTCMl/RBiLSbHkP&#10;rJWQJUUOvK74/w31D1BLAwQUAAAACACHTuJAMVxDViQCAAAnBAAADgAAAGRycy9lMm9Eb2MueG1s&#10;rVPLjtMwFN0j8Q+W9zR9zqNqOiozKkKqmJEKYu06dhvJsY3tNikfAH/Aig17vqvfwbHTdipghdg4&#10;95X7OPfcyV1TKbITzpdG57TX6VIiNDdFqdc5/fB+/uqGEh+YLpgyWuR0Lzy9m758MantWPTNxqhC&#10;OIIk2o9rm9NNCHacZZ5vRMV8x1ih4ZTGVSxAdeuscKxG9kpl/W73KquNK6wzXHgP60PrpNOUX0rB&#10;w6OUXgSicoreQnpdelfxzaYTNl47ZjclP7bB/qGLipUaRc+pHlhgZOvKP1JVJXfGGxk63FSZkbLk&#10;Is2AaXrd36ZZbpgVaRaA4+0ZJv//0vJ3uydHyiKng2tKNKuwo8O3r4fvPw8/vhDYAFBt/RhxS4vI&#10;0Lw2DRZ9snsY49yNdFX8YiICP6Den+EVTSAcxqvRbW8AD4drMBj1bxL82fPP1vnwRpiKRCGnDttL&#10;oLLdwgc0gtBTSKylzbxUKm1QaVKjwGDUTT+cPfhD6RgrEheOaeJAbeNRCs2qOU65MsUeQzrT8sRb&#10;Pi/RyoL58MQciIHuQfbwiEcqg5LmKFGyMe7z3+wxHvuCl5IaRMup/7RlTlCi3mps8rY3HEZmJmU4&#10;uu5DcZee1aVHb6t7Ay73cFaWJzHGB3USpTPVR9zELFaFi2mO2jkNJ/E+tPTHTXExm6UgcNGysNBL&#10;y2PqFtzZNhhZJtwjTC02WEJUwMa0juPlRLpf6inq+b6n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ov1d12wAAAAsBAAAPAAAAAAAAAAEAIAAAACIAAABkcnMvZG93bnJldi54bWxQSwECFAAUAAAA&#10;CACHTuJAMVxDViQCAAAnBAAADgAAAAAAAAABACAAAAAqAQAAZHJzL2Uyb0RvYy54bWxQSwUGAAAA&#10;AAYABgBZAQAAwAUAAAAA&#10;">
                      <v:fill on="f" focussize="0,0"/>
                      <v:stroke on="f" weight="0.5pt"/>
                      <v:imagedata o:title=""/>
                      <o:lock v:ext="edit" aspectratio="f"/>
                      <v:textbox>
                        <w:txbxContent>
                          <w:p>
                            <w:pPr>
                              <w:rPr>
                                <w:sz w:val="21"/>
                                <w:szCs w:val="21"/>
                              </w:rPr>
                            </w:pPr>
                            <w:r>
                              <w:rPr>
                                <w:rFonts w:hint="eastAsia"/>
                                <w:sz w:val="21"/>
                                <w:szCs w:val="21"/>
                              </w:rPr>
                              <w:t>工业源</w:t>
                            </w:r>
                          </w:p>
                        </w:txbxContent>
                      </v:textbox>
                    </v:shape>
                  </w:pict>
                </mc:Fallback>
              </mc:AlternateContent>
            </w:r>
            <w:r>
              <w:rPr>
                <w:rFonts w:ascii="Calibri" w:hAnsi="Calibri" w:cs="Times New Roman"/>
              </w:rPr>
              <w:drawing>
                <wp:inline distT="0" distB="0" distL="114300" distR="114300">
                  <wp:extent cx="2505710" cy="2197100"/>
                  <wp:effectExtent l="9525" t="9525" r="14605" b="18415"/>
                  <wp:docPr id="13" name="图片 13" descr="IN_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N_YY"/>
                          <pic:cNvPicPr>
                            <a:picLocks noChangeAspect="1"/>
                          </pic:cNvPicPr>
                        </pic:nvPicPr>
                        <pic:blipFill>
                          <a:blip r:embed="rId94"/>
                          <a:srcRect l="21895" t="51519" r="6898" b="4387"/>
                          <a:stretch>
                            <a:fillRect/>
                          </a:stretch>
                        </pic:blipFill>
                        <pic:spPr>
                          <a:xfrm>
                            <a:off x="0" y="0"/>
                            <a:ext cx="2505710" cy="2197100"/>
                          </a:xfrm>
                          <a:prstGeom prst="rect">
                            <a:avLst/>
                          </a:prstGeom>
                          <a:ln>
                            <a:solidFill>
                              <a:schemeClr val="tx1"/>
                            </a:solidFill>
                          </a:ln>
                        </pic:spPr>
                      </pic:pic>
                    </a:graphicData>
                  </a:graphic>
                </wp:inline>
              </w:drawing>
            </w:r>
          </w:p>
        </w:tc>
        <w:tc>
          <w:tcPr>
            <w:tcW w:w="4394" w:type="dxa"/>
            <w:vAlign w:val="center"/>
          </w:tcPr>
          <w:p>
            <w:pPr>
              <w:spacing w:before="0" w:after="0" w:line="240" w:lineRule="auto"/>
              <w:jc w:val="center"/>
              <w:rPr>
                <w:rFonts w:ascii="Calibri" w:hAnsi="Calibri" w:cs="Times New Roman"/>
              </w:rPr>
            </w:pPr>
          </w:p>
          <w:p>
            <w:pPr>
              <w:spacing w:before="0" w:after="0" w:line="240" w:lineRule="auto"/>
              <w:jc w:val="center"/>
              <w:rPr>
                <w:rFonts w:ascii="Calibri" w:hAnsi="Calibri" w:cs="Times New Roman"/>
                <w:b/>
              </w:rPr>
            </w:pPr>
            <w:r>
              <w:rPr>
                <w:rFonts w:hint="eastAsia" w:ascii="Calibri" w:hAnsi="Calibri" w:cs="Times New Roman"/>
              </w:rPr>
              <mc:AlternateContent>
                <mc:Choice Requires="wps">
                  <w:drawing>
                    <wp:anchor distT="0" distB="0" distL="114300" distR="114300" simplePos="0" relativeHeight="251661312" behindDoc="0" locked="0" layoutInCell="1" allowOverlap="1">
                      <wp:simplePos x="0" y="0"/>
                      <wp:positionH relativeFrom="column">
                        <wp:posOffset>885825</wp:posOffset>
                      </wp:positionH>
                      <wp:positionV relativeFrom="paragraph">
                        <wp:posOffset>2280285</wp:posOffset>
                      </wp:positionV>
                      <wp:extent cx="763905" cy="32956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76390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rFonts w:hint="eastAsia"/>
                                      <w:sz w:val="21"/>
                                      <w:szCs w:val="21"/>
                                    </w:rPr>
                                    <w:t>农业源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75pt;margin-top:179.55pt;height:25.95pt;width:60.15pt;z-index:251661312;mso-width-relative:page;mso-height-relative:page;" filled="f" stroked="f" coordsize="21600,21600" o:gfxdata="UEsDBAoAAAAAAIdO4kAAAAAAAAAAAAAAAAAEAAAAZHJzL1BLAwQUAAAACACHTuJAISM8JtwAAAAL&#10;AQAADwAAAGRycy9kb3ducmV2LnhtbE2Py07DMBBF90j8gzVI7KjtlKAmjVOhSBUSgkVLN+wmsZtE&#10;je0Quw/4eoZVWV7N0Z1zi9XFDuxkptB7p0DOBDDjGq971yrYfawfFsBCRKdx8M4o+DYBVuXtTYG5&#10;9me3MadtbBmVuJCjgi7GMec8NJ2xGGZ+NI5uez9ZjBSnlusJz1RuB54I8cQt9o4+dDiaqjPNYXu0&#10;Cl6r9Ttu6sQufobq5W3/PH7tPlOl7u+kWAKL5hKvMPzpkzqU5FT7o9OBDZTnWUqognmaSWBEJGlG&#10;Y2oFj1IK4GXB/28ofwFQSwMEFAAAAAgAh07iQKFaJL0lAgAAJwQAAA4AAABkcnMvZTJvRG9jLnht&#10;bK1TS44TMRDdI3EHy3vSne+QKJ1RmFEQUsSMFBBrx20nLdkuYzvpDgeAG8yKDXvOlXNQdieZCFgh&#10;Nu769XO9qufpbaMV2QvnKzAF7XZySoThUFZmU9CPHxavXlPiAzMlU2BEQQ/C09vZyxfT2k5ED7ag&#10;SuEIghg/qW1BtyHYSZZ5vhWa+Q5YYTApwWkW0HWbrHSsRnStsl6ej7IaXGkdcOE9Ru/bJJ0lfCkF&#10;Dw9SehGIKij2FtLp0rmOZzabssnGMbut+KkN9g9daFYZvPQCdc8CIztX/QGlK+7AgwwdDjoDKSsu&#10;Egdk081/Y7PaMisSFxyOt5cx+f8Hy9/vHx2pyoIOupQYpnFHx6dvx+8/jz++EozhgGrrJ1i3slgZ&#10;mjfQ4KLPcY/ByLuRTscvMiKYx1EfLuMVTSAcgzej/jgfUsIx1e+Nh6NhRMmef7bOh7cCNIlGQR1u&#10;Lw2V7Zc+tKXnkniXgUWlVNqgMqQu6Kg/zNMPlwyCKxNrRdLCCSYSahuPVmjWzYnlGsoDknTQ6sRb&#10;vqiwlSXz4ZE5FAbyQrGHBzykArwSThYlW3Bf/haP9bgvzFJSo9AK6j/vmBOUqHcGNznuDgZRmckZ&#10;DG966LjrzPo6Y3b6DlDLuCzsLpmxPqizKR3oT/gm5vFWTDHD8e6ChrN5F1r545viYj5PRahFy8LS&#10;rCyP0O1w57sAskpzj2NqZ4P7ig6qMW3u9HKi3K/9VPX8vm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EjPCbcAAAACwEAAA8AAAAAAAAAAQAgAAAAIgAAAGRycy9kb3ducmV2LnhtbFBLAQIUABQA&#10;AAAIAIdO4kChWiS9JQIAACcEAAAOAAAAAAAAAAEAIAAAACsBAABkcnMvZTJvRG9jLnhtbFBLBQYA&#10;AAAABgAGAFkBAADCBQAAAAA=&#10;">
                      <v:fill on="f" focussize="0,0"/>
                      <v:stroke on="f" weight="0.5pt"/>
                      <v:imagedata o:title=""/>
                      <o:lock v:ext="edit" aspectratio="f"/>
                      <v:textbox>
                        <w:txbxContent>
                          <w:p>
                            <w:pPr>
                              <w:rPr>
                                <w:sz w:val="21"/>
                                <w:szCs w:val="21"/>
                              </w:rPr>
                            </w:pPr>
                            <w:r>
                              <w:rPr>
                                <w:rFonts w:hint="eastAsia"/>
                                <w:sz w:val="21"/>
                                <w:szCs w:val="21"/>
                              </w:rPr>
                              <w:t>农业源</w:t>
                            </w:r>
                          </w:p>
                        </w:txbxContent>
                      </v:textbox>
                    </v:shape>
                  </w:pict>
                </mc:Fallback>
              </mc:AlternateContent>
            </w:r>
            <w:r>
              <w:rPr>
                <w:rFonts w:hint="eastAsia" w:ascii="Calibri" w:hAnsi="Calibri" w:cs="Times New Roman"/>
              </w:rPr>
              <w:drawing>
                <wp:inline distT="0" distB="0" distL="114300" distR="114300">
                  <wp:extent cx="2615565" cy="2197100"/>
                  <wp:effectExtent l="9525" t="9525" r="11430" b="18415"/>
                  <wp:docPr id="3" name="图片 3" descr="AG_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G_YY"/>
                          <pic:cNvPicPr>
                            <a:picLocks noChangeAspect="1"/>
                          </pic:cNvPicPr>
                        </pic:nvPicPr>
                        <pic:blipFill>
                          <a:blip r:embed="rId95"/>
                          <a:srcRect l="9213" t="6716" r="11804" b="46404"/>
                          <a:stretch>
                            <a:fillRect/>
                          </a:stretch>
                        </pic:blipFill>
                        <pic:spPr>
                          <a:xfrm>
                            <a:off x="0" y="0"/>
                            <a:ext cx="2615565" cy="2197100"/>
                          </a:xfrm>
                          <a:prstGeom prst="rect">
                            <a:avLst/>
                          </a:prstGeom>
                          <a:ln>
                            <a:solidFill>
                              <a:schemeClr val="tx1"/>
                            </a:solidFill>
                          </a:ln>
                        </pic:spPr>
                      </pic:pic>
                    </a:graphicData>
                  </a:graphic>
                </wp:inline>
              </w:drawing>
            </w:r>
          </w:p>
        </w:tc>
      </w:tr>
    </w:tbl>
    <w:p>
      <w:pPr>
        <w:pStyle w:val="12"/>
      </w:pPr>
      <w:bookmarkStart w:id="335" w:name="_Ref55293428"/>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7</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3</w:t>
      </w:r>
      <w:r>
        <w:fldChar w:fldCharType="end"/>
      </w:r>
      <w:bookmarkEnd w:id="335"/>
      <w:r>
        <w:rPr>
          <w:rFonts w:hint="eastAsia"/>
        </w:rPr>
        <w:t xml:space="preserve"> 温室气体空间分布图</w:t>
      </w:r>
    </w:p>
    <w:p>
      <w:pPr>
        <w:pStyle w:val="3"/>
      </w:pPr>
      <w:bookmarkStart w:id="336" w:name="_Toc15257"/>
      <w:r>
        <w:rPr>
          <w:rFonts w:hint="eastAsia"/>
        </w:rPr>
        <w:t>各类型温室气体排放情况</w:t>
      </w:r>
      <w:bookmarkEnd w:id="336"/>
    </w:p>
    <w:p>
      <w:pPr>
        <w:pStyle w:val="4"/>
      </w:pPr>
      <w:bookmarkStart w:id="337" w:name="_Toc55311794"/>
      <w:bookmarkStart w:id="338" w:name="_Toc12893"/>
      <w:r>
        <w:rPr>
          <w:rFonts w:hint="eastAsia"/>
        </w:rPr>
        <w:t>二氧化碳排放情况</w:t>
      </w:r>
      <w:bookmarkEnd w:id="337"/>
      <w:bookmarkEnd w:id="338"/>
    </w:p>
    <w:p>
      <w:pPr>
        <w:ind w:firstLine="480" w:firstLineChars="200"/>
      </w:pPr>
      <w:r>
        <w:rPr>
          <w:rFonts w:hint="eastAsia"/>
        </w:rPr>
        <w:t>益阳市</w:t>
      </w:r>
      <w:r>
        <w:t>201</w:t>
      </w:r>
      <w:r>
        <w:rPr>
          <w:rFonts w:hint="eastAsia"/>
        </w:rPr>
        <w:t>9</w:t>
      </w:r>
      <w:r>
        <w:t>年二氧化碳</w:t>
      </w:r>
      <w:r>
        <w:rPr>
          <w:rFonts w:hint="eastAsia"/>
        </w:rPr>
        <w:t>不同部门</w:t>
      </w:r>
      <w:r>
        <w:t>排放情况详见</w:t>
      </w:r>
      <w:r>
        <w:fldChar w:fldCharType="begin"/>
      </w:r>
      <w:r>
        <w:instrText xml:space="preserve"> REF _Ref55399697 \h  \* MERGEFORMAT </w:instrText>
      </w:r>
      <w:r>
        <w:fldChar w:fldCharType="separate"/>
      </w:r>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7</w:t>
      </w:r>
      <w:r>
        <w:fldChar w:fldCharType="end"/>
      </w:r>
      <w:r>
        <w:noBreakHyphen/>
      </w:r>
      <w:r>
        <w:rPr>
          <w:rFonts w:hint="eastAsia"/>
        </w:rPr>
        <w:t>3</w:t>
      </w:r>
      <w:r>
        <w:fldChar w:fldCharType="end"/>
      </w:r>
      <w:r>
        <w:t>，</w:t>
      </w:r>
      <w:r>
        <w:rPr>
          <w:rFonts w:hint="eastAsia"/>
        </w:rPr>
        <w:t>能源活动和工业生产过程是益阳市二氧化碳排放的主要来源，分别占二氧化碳总排放量的77.16%和21.25%。能源活动过程中的排放主要来自于化石燃料燃烧过程中的二氧化碳排放，其次为工业生产过程中的二氧化碳排放。土地利用变化和林业部门表现为碳吸收，减少了温室气体的排放。</w:t>
      </w:r>
    </w:p>
    <w:p>
      <w:pPr>
        <w:pStyle w:val="12"/>
      </w:pPr>
      <w:bookmarkStart w:id="339" w:name="_Ref55399697"/>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7</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rPr>
          <w:rFonts w:hint="eastAsia"/>
        </w:rPr>
        <w:t>3</w:t>
      </w:r>
      <w:r>
        <w:fldChar w:fldCharType="end"/>
      </w:r>
      <w:bookmarkEnd w:id="339"/>
      <w:r>
        <w:rPr>
          <w:rFonts w:hint="eastAsia"/>
        </w:rPr>
        <w:t xml:space="preserve"> 2019年益阳市不同部门二氧化碳排放情况</w:t>
      </w:r>
    </w:p>
    <w:tbl>
      <w:tblPr>
        <w:tblStyle w:val="26"/>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37"/>
        <w:gridCol w:w="2638"/>
        <w:gridCol w:w="341"/>
        <w:gridCol w:w="229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2637" w:type="dxa"/>
            <w:tcBorders>
              <w:top w:val="single" w:color="auto" w:sz="4" w:space="0"/>
              <w:bottom w:val="single" w:color="auto" w:sz="4" w:space="0"/>
            </w:tcBorders>
            <w:vAlign w:val="center"/>
          </w:tcPr>
          <w:p>
            <w:pPr>
              <w:pStyle w:val="42"/>
              <w:snapToGrid w:val="0"/>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排放源</w:t>
            </w:r>
          </w:p>
        </w:tc>
        <w:tc>
          <w:tcPr>
            <w:tcW w:w="2979" w:type="dxa"/>
            <w:gridSpan w:val="2"/>
            <w:tcBorders>
              <w:top w:val="single" w:color="auto" w:sz="4" w:space="0"/>
              <w:bottom w:val="single" w:color="auto" w:sz="4" w:space="0"/>
            </w:tcBorders>
            <w:vAlign w:val="center"/>
          </w:tcPr>
          <w:p>
            <w:pPr>
              <w:pStyle w:val="42"/>
              <w:snapToGrid w:val="0"/>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排放量</w:t>
            </w:r>
            <w:r>
              <w:rPr>
                <w:rFonts w:hint="eastAsia" w:ascii="Times New Roman" w:hAnsi="Times New Roman" w:cs="Times New Roman" w:eastAsiaTheme="minorEastAsia"/>
                <w:sz w:val="18"/>
                <w:szCs w:val="18"/>
              </w:rPr>
              <w:t>（万吨二氧化碳当量）</w:t>
            </w:r>
          </w:p>
        </w:tc>
        <w:tc>
          <w:tcPr>
            <w:tcW w:w="2297" w:type="dxa"/>
            <w:tcBorders>
              <w:top w:val="single" w:color="auto" w:sz="4" w:space="0"/>
              <w:bottom w:val="single" w:color="auto" w:sz="4" w:space="0"/>
            </w:tcBorders>
            <w:vAlign w:val="center"/>
          </w:tcPr>
          <w:p>
            <w:pPr>
              <w:pStyle w:val="42"/>
              <w:snapToGrid w:val="0"/>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占比</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2637" w:type="dxa"/>
            <w:tcBorders>
              <w:top w:val="single" w:color="auto" w:sz="4" w:space="0"/>
            </w:tcBorders>
            <w:vAlign w:val="center"/>
          </w:tcPr>
          <w:p>
            <w:pPr>
              <w:spacing w:before="0" w:after="0" w:line="240" w:lineRule="auto"/>
              <w:jc w:val="center"/>
              <w:rPr>
                <w:rFonts w:ascii="Calibri" w:hAnsi="Calibri" w:cs="Times New Roman" w:eastAsiaTheme="minorEastAsia"/>
                <w:color w:val="000000"/>
                <w:sz w:val="18"/>
                <w:szCs w:val="18"/>
              </w:rPr>
            </w:pPr>
            <w:r>
              <w:rPr>
                <w:rFonts w:ascii="Calibri" w:hAnsi="Calibri" w:cs="Times New Roman" w:eastAsiaTheme="minorEastAsia"/>
                <w:color w:val="000000"/>
                <w:sz w:val="18"/>
                <w:szCs w:val="18"/>
              </w:rPr>
              <w:t>能源活动</w:t>
            </w:r>
          </w:p>
        </w:tc>
        <w:tc>
          <w:tcPr>
            <w:tcW w:w="2638" w:type="dxa"/>
            <w:tcBorders>
              <w:top w:val="single" w:color="auto" w:sz="4" w:space="0"/>
            </w:tcBorders>
            <w:vAlign w:val="center"/>
          </w:tcPr>
          <w:p>
            <w:pPr>
              <w:spacing w:before="0" w:after="0" w:line="240" w:lineRule="auto"/>
              <w:jc w:val="center"/>
              <w:rPr>
                <w:rFonts w:ascii="Calibri" w:hAnsi="Calibri" w:cs="Times New Roman" w:eastAsiaTheme="minorEastAsia"/>
                <w:color w:val="000000"/>
                <w:sz w:val="18"/>
                <w:szCs w:val="18"/>
              </w:rPr>
            </w:pPr>
            <w:r>
              <w:rPr>
                <w:rFonts w:hint="eastAsia" w:ascii="Calibri" w:hAnsi="Calibri" w:cs="Times New Roman" w:eastAsiaTheme="minorEastAsia"/>
                <w:color w:val="000000"/>
                <w:sz w:val="18"/>
                <w:szCs w:val="18"/>
              </w:rPr>
              <w:t>874.71</w:t>
            </w:r>
          </w:p>
        </w:tc>
        <w:tc>
          <w:tcPr>
            <w:tcW w:w="2638" w:type="dxa"/>
            <w:gridSpan w:val="2"/>
            <w:tcBorders>
              <w:top w:val="single" w:color="auto" w:sz="4" w:space="0"/>
            </w:tcBorders>
            <w:vAlign w:val="center"/>
          </w:tcPr>
          <w:p>
            <w:pPr>
              <w:spacing w:before="0" w:after="0" w:line="240" w:lineRule="auto"/>
              <w:jc w:val="center"/>
              <w:rPr>
                <w:rFonts w:ascii="Calibri" w:hAnsi="Calibri" w:cs="Times New Roman" w:eastAsiaTheme="minorEastAsia"/>
                <w:color w:val="000000"/>
                <w:sz w:val="18"/>
                <w:szCs w:val="18"/>
              </w:rPr>
            </w:pPr>
            <w:r>
              <w:rPr>
                <w:rFonts w:hint="eastAsia" w:ascii="Calibri" w:hAnsi="Calibri" w:cs="Times New Roman" w:eastAsiaTheme="minorEastAsia"/>
                <w:color w:val="000000"/>
                <w:sz w:val="18"/>
                <w:szCs w:val="18"/>
              </w:rPr>
              <w:t>77.16%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2637" w:type="dxa"/>
            <w:vAlign w:val="center"/>
          </w:tcPr>
          <w:p>
            <w:pPr>
              <w:spacing w:before="0" w:after="0" w:line="240" w:lineRule="auto"/>
              <w:jc w:val="center"/>
              <w:rPr>
                <w:rFonts w:ascii="Calibri" w:hAnsi="Calibri" w:cs="Times New Roman" w:eastAsiaTheme="minorEastAsia"/>
                <w:color w:val="000000"/>
                <w:sz w:val="18"/>
                <w:szCs w:val="18"/>
              </w:rPr>
            </w:pPr>
            <w:r>
              <w:rPr>
                <w:rFonts w:ascii="Calibri" w:hAnsi="Calibri" w:cs="Times New Roman" w:eastAsiaTheme="minorEastAsia"/>
                <w:color w:val="000000"/>
                <w:sz w:val="18"/>
                <w:szCs w:val="18"/>
              </w:rPr>
              <w:t>工业生产过程</w:t>
            </w:r>
          </w:p>
        </w:tc>
        <w:tc>
          <w:tcPr>
            <w:tcW w:w="2638" w:type="dxa"/>
            <w:vAlign w:val="center"/>
          </w:tcPr>
          <w:p>
            <w:pPr>
              <w:spacing w:before="0" w:after="0" w:line="240" w:lineRule="auto"/>
              <w:jc w:val="center"/>
              <w:rPr>
                <w:rFonts w:ascii="Calibri" w:hAnsi="Calibri" w:cs="Times New Roman" w:eastAsiaTheme="minorEastAsia"/>
                <w:color w:val="000000"/>
                <w:sz w:val="18"/>
                <w:szCs w:val="18"/>
              </w:rPr>
            </w:pPr>
            <w:r>
              <w:rPr>
                <w:rFonts w:hint="eastAsia" w:ascii="Calibri" w:hAnsi="Calibri" w:cs="Times New Roman" w:eastAsiaTheme="minorEastAsia"/>
                <w:color w:val="000000"/>
                <w:sz w:val="18"/>
                <w:szCs w:val="18"/>
              </w:rPr>
              <w:t>240.88</w:t>
            </w:r>
          </w:p>
        </w:tc>
        <w:tc>
          <w:tcPr>
            <w:tcW w:w="2638" w:type="dxa"/>
            <w:gridSpan w:val="2"/>
            <w:vAlign w:val="center"/>
          </w:tcPr>
          <w:p>
            <w:pPr>
              <w:spacing w:before="0" w:after="0" w:line="240" w:lineRule="auto"/>
              <w:jc w:val="center"/>
              <w:rPr>
                <w:rFonts w:ascii="Calibri" w:hAnsi="Calibri" w:cs="Times New Roman" w:eastAsiaTheme="minorEastAsia"/>
                <w:color w:val="000000"/>
                <w:sz w:val="18"/>
                <w:szCs w:val="18"/>
              </w:rPr>
            </w:pPr>
            <w:r>
              <w:rPr>
                <w:rFonts w:hint="eastAsia" w:ascii="Calibri" w:hAnsi="Calibri" w:cs="Times New Roman" w:eastAsiaTheme="minorEastAsia"/>
                <w:color w:val="000000"/>
                <w:sz w:val="18"/>
                <w:szCs w:val="18"/>
              </w:rPr>
              <w:t>21.25%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2637" w:type="dxa"/>
            <w:vAlign w:val="center"/>
          </w:tcPr>
          <w:p>
            <w:pPr>
              <w:spacing w:before="0" w:after="0" w:line="240" w:lineRule="auto"/>
              <w:jc w:val="center"/>
              <w:rPr>
                <w:rFonts w:ascii="Calibri" w:hAnsi="Calibri" w:cs="Times New Roman" w:eastAsiaTheme="minorEastAsia"/>
                <w:color w:val="000000"/>
                <w:sz w:val="18"/>
                <w:szCs w:val="18"/>
              </w:rPr>
            </w:pPr>
            <w:r>
              <w:rPr>
                <w:rFonts w:ascii="Calibri" w:hAnsi="Calibri" w:cs="Times New Roman" w:eastAsiaTheme="minorEastAsia"/>
                <w:color w:val="000000"/>
                <w:sz w:val="18"/>
                <w:szCs w:val="18"/>
              </w:rPr>
              <w:t>废弃物处理</w:t>
            </w:r>
          </w:p>
        </w:tc>
        <w:tc>
          <w:tcPr>
            <w:tcW w:w="2638" w:type="dxa"/>
            <w:vAlign w:val="center"/>
          </w:tcPr>
          <w:p>
            <w:pPr>
              <w:spacing w:before="0" w:after="0" w:line="240" w:lineRule="auto"/>
              <w:jc w:val="center"/>
              <w:rPr>
                <w:rFonts w:ascii="Calibri" w:hAnsi="Calibri" w:cs="Times New Roman" w:eastAsiaTheme="minorEastAsia"/>
                <w:color w:val="000000"/>
                <w:sz w:val="18"/>
                <w:szCs w:val="18"/>
              </w:rPr>
            </w:pPr>
            <w:r>
              <w:rPr>
                <w:rFonts w:hint="eastAsia" w:ascii="Calibri" w:hAnsi="Calibri" w:cs="Times New Roman" w:eastAsiaTheme="minorEastAsia"/>
                <w:color w:val="000000"/>
                <w:sz w:val="18"/>
                <w:szCs w:val="18"/>
              </w:rPr>
              <w:t>18.11</w:t>
            </w:r>
          </w:p>
        </w:tc>
        <w:tc>
          <w:tcPr>
            <w:tcW w:w="2638" w:type="dxa"/>
            <w:gridSpan w:val="2"/>
            <w:vAlign w:val="center"/>
          </w:tcPr>
          <w:p>
            <w:pPr>
              <w:spacing w:before="0" w:after="0" w:line="240" w:lineRule="auto"/>
              <w:jc w:val="center"/>
              <w:rPr>
                <w:rFonts w:ascii="Calibri" w:hAnsi="Calibri" w:cs="Times New Roman" w:eastAsiaTheme="minorEastAsia"/>
                <w:color w:val="000000"/>
                <w:sz w:val="18"/>
                <w:szCs w:val="18"/>
              </w:rPr>
            </w:pPr>
            <w:r>
              <w:rPr>
                <w:rFonts w:hint="eastAsia" w:ascii="Calibri" w:hAnsi="Calibri" w:cs="Times New Roman" w:eastAsiaTheme="minorEastAsia"/>
                <w:color w:val="000000"/>
                <w:sz w:val="18"/>
                <w:szCs w:val="18"/>
              </w:rPr>
              <w:t>1.60%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2637" w:type="dxa"/>
            <w:vAlign w:val="center"/>
          </w:tcPr>
          <w:p>
            <w:pPr>
              <w:spacing w:before="0" w:after="0" w:line="240" w:lineRule="auto"/>
              <w:jc w:val="center"/>
              <w:rPr>
                <w:rFonts w:ascii="Calibri" w:hAnsi="Calibri" w:cs="Times New Roman" w:eastAsiaTheme="minorEastAsia"/>
                <w:color w:val="000000"/>
                <w:sz w:val="18"/>
                <w:szCs w:val="18"/>
              </w:rPr>
            </w:pPr>
            <w:r>
              <w:rPr>
                <w:rFonts w:ascii="Calibri" w:hAnsi="Calibri" w:cs="Times New Roman" w:eastAsiaTheme="minorEastAsia"/>
                <w:color w:val="000000"/>
                <w:sz w:val="18"/>
                <w:szCs w:val="18"/>
              </w:rPr>
              <w:t>土地利用变化和林业</w:t>
            </w:r>
          </w:p>
        </w:tc>
        <w:tc>
          <w:tcPr>
            <w:tcW w:w="2638" w:type="dxa"/>
            <w:vAlign w:val="center"/>
          </w:tcPr>
          <w:p>
            <w:pPr>
              <w:spacing w:before="0" w:after="0" w:line="240" w:lineRule="auto"/>
              <w:jc w:val="center"/>
              <w:rPr>
                <w:rFonts w:ascii="Calibri" w:hAnsi="Calibri" w:cs="Times New Roman" w:eastAsiaTheme="minorEastAsia"/>
                <w:color w:val="000000"/>
                <w:sz w:val="18"/>
                <w:szCs w:val="18"/>
              </w:rPr>
            </w:pPr>
            <w:r>
              <w:rPr>
                <w:rFonts w:hint="eastAsia" w:ascii="Calibri" w:hAnsi="Calibri" w:cs="Times New Roman" w:eastAsiaTheme="minorEastAsia"/>
                <w:color w:val="000000"/>
                <w:sz w:val="18"/>
                <w:szCs w:val="18"/>
              </w:rPr>
              <w:t>-100.14</w:t>
            </w:r>
          </w:p>
        </w:tc>
        <w:tc>
          <w:tcPr>
            <w:tcW w:w="2638" w:type="dxa"/>
            <w:gridSpan w:val="2"/>
            <w:vAlign w:val="center"/>
          </w:tcPr>
          <w:p>
            <w:pPr>
              <w:spacing w:before="0" w:after="0" w:line="240" w:lineRule="auto"/>
              <w:jc w:val="center"/>
              <w:rPr>
                <w:rFonts w:ascii="Calibri" w:hAnsi="Calibri" w:cs="Times New Roman" w:eastAsiaTheme="minorEastAsia"/>
                <w:color w:val="000000"/>
                <w:sz w:val="18"/>
                <w:szCs w:val="18"/>
              </w:rPr>
            </w:pPr>
            <w:r>
              <w:rPr>
                <w:rFonts w:hint="eastAsia" w:ascii="Calibri" w:hAnsi="Calibri" w:cs="Times New Roman" w:eastAsiaTheme="minorEastAsia"/>
                <w:color w:val="000000"/>
                <w:sz w:val="18"/>
                <w:szCs w:val="18"/>
              </w:rPr>
              <w:t>-8.83%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jc w:val="center"/>
        </w:trPr>
        <w:tc>
          <w:tcPr>
            <w:tcW w:w="2637" w:type="dxa"/>
            <w:vAlign w:val="center"/>
          </w:tcPr>
          <w:p>
            <w:pPr>
              <w:spacing w:before="0" w:after="0" w:line="240" w:lineRule="auto"/>
              <w:jc w:val="center"/>
              <w:rPr>
                <w:rFonts w:ascii="Calibri" w:hAnsi="Calibri" w:cs="Times New Roman" w:eastAsiaTheme="minorEastAsia"/>
                <w:b/>
                <w:bCs/>
                <w:color w:val="000000"/>
                <w:sz w:val="18"/>
                <w:szCs w:val="18"/>
              </w:rPr>
            </w:pPr>
            <w:r>
              <w:rPr>
                <w:rFonts w:ascii="Calibri" w:hAnsi="Calibri" w:cs="Times New Roman" w:eastAsiaTheme="minorEastAsia"/>
                <w:b/>
                <w:bCs/>
                <w:color w:val="000000"/>
                <w:sz w:val="18"/>
                <w:szCs w:val="18"/>
              </w:rPr>
              <w:t>合计</w:t>
            </w:r>
          </w:p>
        </w:tc>
        <w:tc>
          <w:tcPr>
            <w:tcW w:w="2638" w:type="dxa"/>
            <w:vAlign w:val="center"/>
          </w:tcPr>
          <w:p>
            <w:pPr>
              <w:spacing w:before="0" w:after="0" w:line="240" w:lineRule="auto"/>
              <w:jc w:val="center"/>
              <w:rPr>
                <w:rFonts w:ascii="Calibri" w:hAnsi="Calibri" w:cs="Times New Roman" w:eastAsiaTheme="minorEastAsia"/>
                <w:color w:val="000000"/>
                <w:sz w:val="18"/>
                <w:szCs w:val="18"/>
              </w:rPr>
            </w:pPr>
            <w:r>
              <w:rPr>
                <w:rFonts w:hint="eastAsia" w:ascii="Calibri" w:hAnsi="Calibri" w:cs="Times New Roman" w:eastAsiaTheme="minorEastAsia"/>
                <w:color w:val="000000"/>
                <w:sz w:val="18"/>
                <w:szCs w:val="18"/>
              </w:rPr>
              <w:t>1133.70</w:t>
            </w:r>
          </w:p>
        </w:tc>
        <w:tc>
          <w:tcPr>
            <w:tcW w:w="2638" w:type="dxa"/>
            <w:gridSpan w:val="2"/>
            <w:vAlign w:val="center"/>
          </w:tcPr>
          <w:p>
            <w:pPr>
              <w:spacing w:before="0" w:after="0" w:line="240" w:lineRule="auto"/>
              <w:jc w:val="center"/>
              <w:rPr>
                <w:rFonts w:ascii="Calibri" w:hAnsi="Calibri" w:cs="Times New Roman" w:eastAsiaTheme="minorEastAsia"/>
                <w:color w:val="000000"/>
                <w:sz w:val="18"/>
                <w:szCs w:val="18"/>
              </w:rPr>
            </w:pPr>
            <w:r>
              <w:rPr>
                <w:rFonts w:hint="eastAsia" w:ascii="Calibri" w:hAnsi="Calibri" w:cs="Times New Roman" w:eastAsiaTheme="minorEastAsia"/>
                <w:color w:val="000000"/>
                <w:sz w:val="18"/>
                <w:szCs w:val="18"/>
              </w:rPr>
              <w:t>100.00%</w:t>
            </w:r>
          </w:p>
        </w:tc>
      </w:tr>
    </w:tbl>
    <w:p>
      <w:pPr>
        <w:pStyle w:val="4"/>
      </w:pPr>
      <w:bookmarkStart w:id="340" w:name="_Toc16052"/>
      <w:bookmarkStart w:id="341" w:name="_Toc55311795"/>
      <w:r>
        <w:rPr>
          <w:rFonts w:hint="eastAsia"/>
        </w:rPr>
        <w:t>甲烷排放情况</w:t>
      </w:r>
      <w:bookmarkEnd w:id="340"/>
      <w:bookmarkEnd w:id="341"/>
    </w:p>
    <w:p>
      <w:pPr>
        <w:ind w:firstLine="480" w:firstLineChars="200"/>
      </w:pPr>
      <w:r>
        <w:rPr>
          <w:rFonts w:hint="eastAsia" w:cs="Times New Roman"/>
        </w:rPr>
        <w:t>益阳市</w:t>
      </w:r>
      <w:r>
        <w:rPr>
          <w:rFonts w:cs="Times New Roman"/>
        </w:rPr>
        <w:t>201</w:t>
      </w:r>
      <w:r>
        <w:rPr>
          <w:rFonts w:hint="eastAsia" w:cs="Times New Roman"/>
        </w:rPr>
        <w:t>9</w:t>
      </w:r>
      <w:r>
        <w:rPr>
          <w:rFonts w:cs="Times New Roman"/>
        </w:rPr>
        <w:t>年</w:t>
      </w:r>
      <w:r>
        <w:rPr>
          <w:rFonts w:hint="eastAsia" w:cs="Times New Roman"/>
        </w:rPr>
        <w:t>甲烷不同部门</w:t>
      </w:r>
      <w:r>
        <w:rPr>
          <w:rFonts w:cs="Times New Roman"/>
        </w:rPr>
        <w:t>排放情况</w:t>
      </w:r>
      <w:r>
        <w:rPr>
          <w:rFonts w:cs="Times New Roman"/>
          <w:szCs w:val="24"/>
        </w:rPr>
        <w:t>详见</w:t>
      </w:r>
      <w:r>
        <w:rPr>
          <w:rFonts w:cs="Times New Roman"/>
          <w:szCs w:val="24"/>
        </w:rPr>
        <w:fldChar w:fldCharType="begin"/>
      </w:r>
      <w:r>
        <w:rPr>
          <w:rFonts w:cs="Times New Roman"/>
          <w:szCs w:val="24"/>
        </w:rPr>
        <w:instrText xml:space="preserve"> REF _Ref52176112 \h  \* MERGEFORMAT </w:instrText>
      </w:r>
      <w:r>
        <w:rPr>
          <w:rFonts w:cs="Times New Roman"/>
          <w:szCs w:val="24"/>
        </w:rPr>
        <w:fldChar w:fldCharType="separate"/>
      </w:r>
      <w:r>
        <w:rPr>
          <w:rFonts w:hint="eastAsia"/>
          <w:szCs w:val="24"/>
        </w:rPr>
        <w:t>图</w:t>
      </w:r>
      <w:r>
        <w:rPr>
          <w:szCs w:val="24"/>
        </w:rPr>
        <w:t>7</w:t>
      </w:r>
      <w:r>
        <w:rPr>
          <w:szCs w:val="24"/>
        </w:rPr>
        <w:noBreakHyphen/>
      </w:r>
      <w:r>
        <w:rPr>
          <w:szCs w:val="24"/>
        </w:rPr>
        <w:t>4</w:t>
      </w:r>
      <w:r>
        <w:rPr>
          <w:rFonts w:cs="Times New Roman"/>
          <w:szCs w:val="24"/>
        </w:rPr>
        <w:fldChar w:fldCharType="end"/>
      </w:r>
      <w:r>
        <w:rPr>
          <w:rFonts w:cs="Times New Roman"/>
        </w:rPr>
        <w:t>，</w:t>
      </w:r>
      <w:r>
        <w:rPr>
          <w:rFonts w:hint="eastAsia" w:cs="Times New Roman"/>
        </w:rPr>
        <w:t>由图可知，</w:t>
      </w:r>
      <w:r>
        <w:rPr>
          <w:rFonts w:hint="eastAsia"/>
        </w:rPr>
        <w:t>益阳市甲烷排放主要来源于农业活动过程中稻田、动物肠道发酵及动物粪便管理系统的甲烷排放，其次为废弃物处理过程废水中的甲烷排放，能源活动和土地变化及林业部门，分别占90.77%、8.51%、0.69%和0.03%。</w:t>
      </w:r>
    </w:p>
    <w:p>
      <w:pPr>
        <w:spacing w:before="0" w:after="0"/>
        <w:jc w:val="center"/>
      </w:pPr>
      <w:r>
        <w:drawing>
          <wp:inline distT="0" distB="0" distL="114300" distR="114300">
            <wp:extent cx="4018915" cy="2233930"/>
            <wp:effectExtent l="0" t="0" r="0" b="0"/>
            <wp:docPr id="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5"/>
                    <pic:cNvPicPr>
                      <a:picLocks noChangeAspect="1"/>
                    </pic:cNvPicPr>
                  </pic:nvPicPr>
                  <pic:blipFill>
                    <a:blip r:embed="rId96"/>
                    <a:stretch>
                      <a:fillRect/>
                    </a:stretch>
                  </pic:blipFill>
                  <pic:spPr>
                    <a:xfrm>
                      <a:off x="0" y="0"/>
                      <a:ext cx="4018915" cy="2233930"/>
                    </a:xfrm>
                    <a:prstGeom prst="rect">
                      <a:avLst/>
                    </a:prstGeom>
                    <a:noFill/>
                    <a:ln>
                      <a:noFill/>
                    </a:ln>
                  </pic:spPr>
                </pic:pic>
              </a:graphicData>
            </a:graphic>
          </wp:inline>
        </w:drawing>
      </w:r>
    </w:p>
    <w:p>
      <w:pPr>
        <w:pStyle w:val="12"/>
      </w:pPr>
      <w:bookmarkStart w:id="342" w:name="_Ref52176112"/>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7</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4</w:t>
      </w:r>
      <w:r>
        <w:fldChar w:fldCharType="end"/>
      </w:r>
      <w:bookmarkEnd w:id="342"/>
      <w:r>
        <w:rPr>
          <w:rFonts w:hint="eastAsia"/>
        </w:rPr>
        <w:t xml:space="preserve">  </w:t>
      </w:r>
      <w:r>
        <w:t>201</w:t>
      </w:r>
      <w:r>
        <w:rPr>
          <w:rFonts w:hint="eastAsia"/>
        </w:rPr>
        <w:t>9</w:t>
      </w:r>
      <w:r>
        <w:t>年</w:t>
      </w:r>
      <w:r>
        <w:rPr>
          <w:rFonts w:hint="eastAsia"/>
        </w:rPr>
        <w:t>益阳市甲烷不同部门</w:t>
      </w:r>
      <w:r>
        <w:t>排放</w:t>
      </w:r>
      <w:r>
        <w:rPr>
          <w:rFonts w:hint="eastAsia"/>
        </w:rPr>
        <w:t>占比</w:t>
      </w:r>
      <w:r>
        <w:t>情况</w:t>
      </w:r>
      <w:r>
        <w:rPr>
          <w:rFonts w:hint="eastAsia"/>
        </w:rPr>
        <w:t>（以二氧化碳当量计）</w:t>
      </w:r>
    </w:p>
    <w:p>
      <w:pPr>
        <w:pStyle w:val="4"/>
      </w:pPr>
      <w:bookmarkStart w:id="343" w:name="_Toc6391"/>
      <w:bookmarkStart w:id="344" w:name="_Toc55311796"/>
      <w:r>
        <w:rPr>
          <w:rFonts w:hint="eastAsia"/>
        </w:rPr>
        <w:t>氧化亚氮排放情况</w:t>
      </w:r>
      <w:bookmarkEnd w:id="343"/>
      <w:bookmarkEnd w:id="344"/>
    </w:p>
    <w:p>
      <w:pPr>
        <w:ind w:firstLine="480" w:firstLineChars="200"/>
      </w:pPr>
      <w:r>
        <w:rPr>
          <w:rFonts w:hint="eastAsia"/>
        </w:rPr>
        <w:t>益阳市2019年氧化亚氮不同部门排放情况详见</w:t>
      </w:r>
      <w:r>
        <w:fldChar w:fldCharType="begin"/>
      </w:r>
      <w:r>
        <w:instrText xml:space="preserve"> </w:instrText>
      </w:r>
      <w:r>
        <w:rPr>
          <w:rFonts w:hint="eastAsia"/>
        </w:rPr>
        <w:instrText xml:space="preserve">REF _Ref52176646 \h</w:instrText>
      </w:r>
      <w:r>
        <w:instrText xml:space="preserve">  \* MERGEFORMAT </w:instrText>
      </w:r>
      <w:r>
        <w:fldChar w:fldCharType="separate"/>
      </w:r>
      <w:r>
        <w:rPr>
          <w:rFonts w:hint="eastAsia"/>
        </w:rPr>
        <w:t>图</w:t>
      </w:r>
      <w:r>
        <w:t>7</w:t>
      </w:r>
      <w:r>
        <w:noBreakHyphen/>
      </w:r>
      <w:r>
        <w:t>5</w:t>
      </w:r>
      <w:r>
        <w:fldChar w:fldCharType="end"/>
      </w:r>
      <w:r>
        <w:rPr>
          <w:rFonts w:hint="eastAsia"/>
        </w:rPr>
        <w:t>，氧化亚氮排放主要来源于农业部门中农用地和动物粪便管理系统的排放，占比为92.64%，其次为废弃物处理过程废水中的氧化亚氮排放，占比为4.36%，能源活动和林业部门分别占2.99%和0.01%。</w:t>
      </w:r>
    </w:p>
    <w:p>
      <w:pPr>
        <w:spacing w:before="0" w:after="0"/>
        <w:jc w:val="center"/>
      </w:pPr>
      <w:r>
        <w:drawing>
          <wp:inline distT="0" distB="0" distL="114300" distR="114300">
            <wp:extent cx="3723640" cy="2238375"/>
            <wp:effectExtent l="0" t="0" r="0" b="0"/>
            <wp:docPr id="1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6"/>
                    <pic:cNvPicPr>
                      <a:picLocks noChangeAspect="1"/>
                    </pic:cNvPicPr>
                  </pic:nvPicPr>
                  <pic:blipFill>
                    <a:blip r:embed="rId97"/>
                    <a:stretch>
                      <a:fillRect/>
                    </a:stretch>
                  </pic:blipFill>
                  <pic:spPr>
                    <a:xfrm>
                      <a:off x="0" y="0"/>
                      <a:ext cx="3723640" cy="2238375"/>
                    </a:xfrm>
                    <a:prstGeom prst="rect">
                      <a:avLst/>
                    </a:prstGeom>
                    <a:noFill/>
                    <a:ln>
                      <a:noFill/>
                    </a:ln>
                  </pic:spPr>
                </pic:pic>
              </a:graphicData>
            </a:graphic>
          </wp:inline>
        </w:drawing>
      </w:r>
    </w:p>
    <w:p>
      <w:pPr>
        <w:pStyle w:val="12"/>
      </w:pPr>
      <w:bookmarkStart w:id="345" w:name="_Ref52176646"/>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7</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5</w:t>
      </w:r>
      <w:r>
        <w:fldChar w:fldCharType="end"/>
      </w:r>
      <w:bookmarkEnd w:id="345"/>
      <w:r>
        <w:rPr>
          <w:rFonts w:hint="eastAsia"/>
        </w:rPr>
        <w:t xml:space="preserve"> </w:t>
      </w:r>
      <w:r>
        <w:t>201</w:t>
      </w:r>
      <w:r>
        <w:rPr>
          <w:rFonts w:hint="eastAsia"/>
        </w:rPr>
        <w:t>9</w:t>
      </w:r>
      <w:r>
        <w:t>年</w:t>
      </w:r>
      <w:r>
        <w:rPr>
          <w:rFonts w:hint="eastAsia"/>
        </w:rPr>
        <w:t>益阳市氧化亚氮不同部门</w:t>
      </w:r>
      <w:r>
        <w:t>排放</w:t>
      </w:r>
      <w:r>
        <w:rPr>
          <w:rFonts w:hint="eastAsia"/>
        </w:rPr>
        <w:t>占比</w:t>
      </w:r>
      <w:r>
        <w:t>情况</w:t>
      </w:r>
      <w:r>
        <w:rPr>
          <w:rFonts w:hint="eastAsia"/>
        </w:rPr>
        <w:t>（以二氧化碳当量计）</w:t>
      </w:r>
    </w:p>
    <w:p>
      <w:pPr>
        <w:pStyle w:val="4"/>
      </w:pPr>
      <w:bookmarkStart w:id="346" w:name="_Toc22725"/>
      <w:bookmarkStart w:id="347" w:name="_Toc55311797"/>
      <w:r>
        <w:rPr>
          <w:rFonts w:hint="eastAsia"/>
        </w:rPr>
        <w:t>含氟气体排放情况</w:t>
      </w:r>
      <w:bookmarkEnd w:id="346"/>
      <w:bookmarkEnd w:id="347"/>
    </w:p>
    <w:p>
      <w:pPr>
        <w:ind w:firstLine="480" w:firstLineChars="200"/>
      </w:pPr>
      <w:r>
        <w:rPr>
          <w:rFonts w:hint="eastAsia"/>
        </w:rPr>
        <w:t>2019年益阳市市内无工业行业排放HFCs和PFCs，仅有电力设备生产过程排放六氟化硫气体，排放量为0.38万吨二氧化碳当量。</w:t>
      </w:r>
    </w:p>
    <w:p>
      <w:pPr>
        <w:pStyle w:val="4"/>
      </w:pPr>
      <w:bookmarkStart w:id="348" w:name="_Toc2119"/>
      <w:bookmarkStart w:id="349" w:name="_Toc55311798"/>
      <w:r>
        <w:rPr>
          <w:rFonts w:hint="eastAsia"/>
        </w:rPr>
        <w:t>电力调入调出二氧化碳间接排放量核算</w:t>
      </w:r>
      <w:bookmarkEnd w:id="348"/>
      <w:bookmarkEnd w:id="349"/>
    </w:p>
    <w:p>
      <w:pPr>
        <w:ind w:firstLine="480" w:firstLineChars="200"/>
      </w:pPr>
      <w:r>
        <w:rPr>
          <w:rFonts w:hint="eastAsia"/>
        </w:rPr>
        <w:t>本部分因未取得数据，无法计算。</w:t>
      </w:r>
    </w:p>
    <w:p>
      <w:pPr>
        <w:pStyle w:val="3"/>
      </w:pPr>
      <w:bookmarkStart w:id="350" w:name="_Toc23792"/>
      <w:bookmarkStart w:id="351" w:name="_Toc393384450"/>
      <w:bookmarkStart w:id="352" w:name="_Toc413445385"/>
      <w:r>
        <w:rPr>
          <w:rFonts w:hint="eastAsia"/>
        </w:rPr>
        <w:t>市级排放清单不确定性</w:t>
      </w:r>
      <w:bookmarkEnd w:id="350"/>
      <w:r>
        <w:rPr>
          <w:rFonts w:hint="eastAsia"/>
        </w:rPr>
        <w:t xml:space="preserve"> </w:t>
      </w:r>
    </w:p>
    <w:p>
      <w:pPr>
        <w:pStyle w:val="4"/>
        <w:spacing w:before="0"/>
      </w:pPr>
      <w:bookmarkStart w:id="353" w:name="_Toc26008"/>
      <w:bookmarkStart w:id="354" w:name="_Toc55311800"/>
      <w:r>
        <w:t>为减少不确定性所开展的工作</w:t>
      </w:r>
      <w:bookmarkEnd w:id="351"/>
      <w:bookmarkEnd w:id="352"/>
      <w:bookmarkEnd w:id="353"/>
      <w:bookmarkEnd w:id="354"/>
      <w:r>
        <w:t xml:space="preserve"> </w:t>
      </w:r>
    </w:p>
    <w:p>
      <w:pPr>
        <w:ind w:firstLine="480" w:firstLineChars="200"/>
      </w:pPr>
      <w:r>
        <w:t xml:space="preserve">为了降低温室气体清单估算结果的不确定性，清单编制机构在本次清单编制过程中，在编制方法、活动水平和排放因子数据方面开展了一系列针对性工作。在清单编制方法方面，清单编制机构遵循《1996 IPCC清单指南》和《IPCC优良作法指南》，并参考《2006 IPCC清单指南》，保证清单估算方法科学，结果具有可比性、透明性和一致性。并在数据可获得的条件下，尽可能选用更为详细的方法。 </w:t>
      </w:r>
    </w:p>
    <w:p>
      <w:pPr>
        <w:ind w:firstLine="480" w:firstLineChars="200"/>
      </w:pPr>
      <w:r>
        <w:t xml:space="preserve">在活动水平数据方面，重点保证所采用数据的可靠性和准确性。尽可能采用官方统计数据。清单编制机构与统计局、各相关专业统计机构和行业协会建立了密切的联系和合作，确保获得权威、可靠的官方统计数据。 </w:t>
      </w:r>
    </w:p>
    <w:p>
      <w:pPr>
        <w:ind w:firstLine="480" w:firstLineChars="200"/>
      </w:pPr>
      <w:r>
        <w:t>在排放因子方面，尽可能采用反映</w:t>
      </w:r>
      <w:r>
        <w:rPr>
          <w:rFonts w:hint="eastAsia"/>
        </w:rPr>
        <w:t>益阳市</w:t>
      </w:r>
      <w:r>
        <w:t>地区</w:t>
      </w:r>
      <w:r>
        <w:rPr>
          <w:rFonts w:hint="eastAsia"/>
        </w:rPr>
        <w:t>情况</w:t>
      </w:r>
      <w:r>
        <w:t>的排放因子</w:t>
      </w:r>
      <w:r>
        <w:rPr>
          <w:rFonts w:hint="eastAsia"/>
        </w:rPr>
        <w:t>。在缺乏数据时，采用《湖南省省级温室气体排放清单》或《省级温室气体清单编制指南（试行）》中的推荐值</w:t>
      </w:r>
      <w:r>
        <w:t>。</w:t>
      </w:r>
    </w:p>
    <w:p>
      <w:pPr>
        <w:pStyle w:val="4"/>
        <w:spacing w:before="0"/>
      </w:pPr>
      <w:bookmarkStart w:id="355" w:name="_Toc393384451"/>
      <w:bookmarkStart w:id="356" w:name="_Toc413445386"/>
      <w:bookmarkStart w:id="357" w:name="_Toc26402"/>
      <w:bookmarkStart w:id="358" w:name="_Toc55311801"/>
      <w:r>
        <w:t>不确定性</w:t>
      </w:r>
      <w:bookmarkEnd w:id="355"/>
      <w:bookmarkEnd w:id="356"/>
      <w:r>
        <w:rPr>
          <w:rFonts w:hint="eastAsia"/>
        </w:rPr>
        <w:t>产生的原因</w:t>
      </w:r>
      <w:bookmarkEnd w:id="357"/>
      <w:bookmarkEnd w:id="358"/>
    </w:p>
    <w:p>
      <w:pPr>
        <w:ind w:firstLine="480" w:firstLineChars="200"/>
      </w:pPr>
      <w:r>
        <w:t>通过清单编制</w:t>
      </w:r>
      <w:r>
        <w:rPr>
          <w:rFonts w:hint="eastAsia"/>
        </w:rPr>
        <w:t>技术组</w:t>
      </w:r>
      <w:r>
        <w:t>的努力，</w:t>
      </w:r>
      <w:r>
        <w:rPr>
          <w:rFonts w:hint="eastAsia"/>
        </w:rPr>
        <w:t>2019</w:t>
      </w:r>
      <w:r>
        <w:t>年</w:t>
      </w:r>
      <w:r>
        <w:rPr>
          <w:rFonts w:hint="eastAsia"/>
        </w:rPr>
        <w:t>益阳市</w:t>
      </w:r>
      <w:r>
        <w:t>温室气体排放清单在报告范围、清单方法、清单质量做了良好的工作，但限于认识水平和基础条件，</w:t>
      </w:r>
      <w:r>
        <w:rPr>
          <w:rFonts w:hint="eastAsia"/>
        </w:rPr>
        <w:t>2019</w:t>
      </w:r>
      <w:r>
        <w:t>年</w:t>
      </w:r>
      <w:r>
        <w:rPr>
          <w:rFonts w:hint="eastAsia"/>
        </w:rPr>
        <w:t>益阳市</w:t>
      </w:r>
      <w:r>
        <w:t xml:space="preserve">温室气体清单还存在一定的不确定性。主要表现为： </w:t>
      </w:r>
    </w:p>
    <w:p>
      <w:pPr>
        <w:ind w:firstLine="480" w:firstLineChars="200"/>
      </w:pPr>
      <w:r>
        <w:t>在活动水平方面，</w:t>
      </w:r>
      <w:r>
        <w:rPr>
          <w:rFonts w:hint="eastAsia"/>
        </w:rPr>
        <w:t>益阳市</w:t>
      </w:r>
      <w:r>
        <w:t>的统计数据基础还比较薄弱</w:t>
      </w:r>
      <w:r>
        <w:rPr>
          <w:rFonts w:hint="eastAsia"/>
        </w:rPr>
        <w:t>，目前有相当部分的数据未收集到。其次，现行的</w:t>
      </w:r>
      <w:r>
        <w:t xml:space="preserve">统计指标体系与清单编制所要求的数据体系并不完全一致，有些活动水平指标尚未纳入统计体系，而且统计数据本身也存在一定不确定性。而通过调研获取和专家判断等方式获取的活动水平数据都会带来较大的不确定性。 </w:t>
      </w:r>
    </w:p>
    <w:p>
      <w:pPr>
        <w:ind w:firstLine="480" w:firstLineChars="200"/>
      </w:pPr>
      <w:r>
        <w:t>在排放因子方面，</w:t>
      </w:r>
      <w:r>
        <w:rPr>
          <w:rFonts w:hint="eastAsia"/>
        </w:rPr>
        <w:t>益阳市</w:t>
      </w:r>
      <w:r>
        <w:t>清单编制机构主要采用了国家推荐的排放因子，因此缺乏某些</w:t>
      </w:r>
      <w:r>
        <w:rPr>
          <w:rFonts w:hint="eastAsia"/>
        </w:rPr>
        <w:t>益阳市</w:t>
      </w:r>
      <w:r>
        <w:t xml:space="preserve">实际情况不同于国家推荐排放因子的测定工作。此外，在一些领域由于缺少我国特定的排放因子，使用了IPCC清单指南提供的缺省值，这在一定程度上也给清单估算结果带来不确定性。 </w:t>
      </w:r>
    </w:p>
    <w:p>
      <w:pPr>
        <w:pStyle w:val="4"/>
        <w:spacing w:before="0"/>
      </w:pPr>
      <w:bookmarkStart w:id="359" w:name="_Toc55311802"/>
      <w:bookmarkStart w:id="360" w:name="_Toc16819"/>
      <w:r>
        <w:rPr>
          <w:rFonts w:hint="eastAsia"/>
        </w:rPr>
        <w:t>总体不确定性</w:t>
      </w:r>
      <w:bookmarkEnd w:id="359"/>
      <w:bookmarkEnd w:id="360"/>
    </w:p>
    <w:p>
      <w:pPr>
        <w:ind w:firstLine="480" w:firstLineChars="200"/>
      </w:pPr>
      <w:r>
        <w:t>清单编制机构采用了《IPCC优良作法指南》中的质量评估与不确定性分析方法，对清单编制过程涉及的相关数据质量进行了初步分析，分别如下：</w:t>
      </w:r>
    </w:p>
    <w:p>
      <w:pPr>
        <w:ind w:firstLine="480" w:firstLineChars="200"/>
      </w:pPr>
      <w:r>
        <w:t>根据5个部门各温室气体排放的总体不确定性计算</w:t>
      </w:r>
      <w:r>
        <w:rPr>
          <w:rFonts w:hint="eastAsia"/>
        </w:rPr>
        <w:t>益阳市</w:t>
      </w:r>
      <w:r>
        <w:t>201</w:t>
      </w:r>
      <w:r>
        <w:rPr>
          <w:rFonts w:hint="eastAsia"/>
        </w:rPr>
        <w:t>9</w:t>
      </w:r>
      <w:r>
        <w:t>年</w:t>
      </w:r>
      <w:r>
        <w:rPr>
          <w:rFonts w:hint="eastAsia"/>
        </w:rPr>
        <w:t>市</w:t>
      </w:r>
      <w:r>
        <w:t>级温室气体排放清单总体的不确定性，如</w:t>
      </w:r>
      <w:r>
        <w:fldChar w:fldCharType="begin"/>
      </w:r>
      <w:r>
        <w:instrText xml:space="preserve"> REF _Ref52122032 \h  \* MERGEFORMAT </w:instrText>
      </w:r>
      <w:r>
        <w:fldChar w:fldCharType="separate"/>
      </w:r>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7</w:t>
      </w:r>
      <w:r>
        <w:fldChar w:fldCharType="end"/>
      </w:r>
      <w:r>
        <w:noBreakHyphen/>
      </w:r>
      <w:r>
        <w:rPr>
          <w:rFonts w:hint="eastAsia"/>
        </w:rPr>
        <w:t>4</w:t>
      </w:r>
      <w:r>
        <w:fldChar w:fldCharType="end"/>
      </w:r>
      <w:r>
        <w:t>。按照《优良做法指南》中提供的方法，以上各部门的排放量是相加关系，总排放量的综合误差按照以下误差传递公式计算：</w:t>
      </w:r>
    </w:p>
    <w:p>
      <w:pPr>
        <w:spacing w:before="0" w:after="0"/>
        <w:ind w:firstLine="480" w:firstLineChars="200"/>
        <w:rPr>
          <w:szCs w:val="24"/>
        </w:rPr>
      </w:pPr>
      <w:r>
        <w:rPr>
          <w:rFonts w:cs="Times New Roman"/>
          <w:szCs w:val="24"/>
        </w:rPr>
        <w:object>
          <v:shape id="_x0000_i1067" o:spt="75" type="#_x0000_t75" style="height:44.3pt;width:261.55pt;" o:ole="t" filled="f" o:preferrelative="t" stroked="f" coordsize="21600,21600">
            <v:path/>
            <v:fill on="f" focussize="0,0"/>
            <v:stroke on="f" joinstyle="miter"/>
            <v:imagedata r:id="rId99" o:title=""/>
            <o:lock v:ext="edit" aspectratio="t"/>
            <w10:wrap type="none"/>
            <w10:anchorlock/>
          </v:shape>
          <o:OLEObject Type="Embed" ProgID="Equation.3" ShapeID="_x0000_i1067" DrawAspect="Content" ObjectID="_1468075767" r:id="rId98">
            <o:LockedField>false</o:LockedField>
          </o:OLEObject>
        </w:object>
      </w:r>
      <w:r>
        <w:rPr>
          <w:szCs w:val="24"/>
        </w:rPr>
        <w:t xml:space="preserve">           （7.1） </w:t>
      </w:r>
    </w:p>
    <w:p>
      <w:pPr>
        <w:ind w:firstLine="480" w:firstLineChars="200"/>
      </w:pPr>
      <w:r>
        <w:t>计算结果表明，</w:t>
      </w:r>
      <w:r>
        <w:rPr>
          <w:rFonts w:hint="eastAsia"/>
        </w:rPr>
        <w:t>2019益阳市</w:t>
      </w:r>
      <w:r>
        <w:t>温室气体清单</w:t>
      </w:r>
      <w:r>
        <w:rPr>
          <w:rFonts w:hint="eastAsia"/>
        </w:rPr>
        <w:t>总体</w:t>
      </w:r>
      <w:r>
        <w:t>不确定性为</w:t>
      </w:r>
      <w:r>
        <w:rPr>
          <w:rFonts w:hint="eastAsia"/>
        </w:rPr>
        <w:t>±6.87%</w:t>
      </w:r>
      <w:r>
        <w:t>。</w:t>
      </w:r>
    </w:p>
    <w:p>
      <w:pPr>
        <w:pStyle w:val="12"/>
      </w:pPr>
      <w:bookmarkStart w:id="361" w:name="_Ref52122032"/>
      <w:r>
        <w:rPr>
          <w:rFonts w:hint="eastAsia"/>
        </w:rPr>
        <w:t xml:space="preserve">表 </w:t>
      </w:r>
      <w:r>
        <w:fldChar w:fldCharType="begin"/>
      </w:r>
      <w:r>
        <w:instrText xml:space="preserve"> </w:instrText>
      </w:r>
      <w:r>
        <w:rPr>
          <w:rFonts w:hint="eastAsia"/>
        </w:rPr>
        <w:instrText xml:space="preserve">STYLEREF 1 \s</w:instrText>
      </w:r>
      <w:r>
        <w:instrText xml:space="preserve"> </w:instrText>
      </w:r>
      <w:r>
        <w:fldChar w:fldCharType="separate"/>
      </w:r>
      <w:r>
        <w:t>7</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rPr>
          <w:rFonts w:hint="eastAsia"/>
        </w:rPr>
        <w:t>4</w:t>
      </w:r>
      <w:r>
        <w:fldChar w:fldCharType="end"/>
      </w:r>
      <w:bookmarkEnd w:id="361"/>
      <w:r>
        <w:rPr>
          <w:rFonts w:hint="eastAsia"/>
        </w:rPr>
        <w:t xml:space="preserve"> 2</w:t>
      </w:r>
      <w:r>
        <w:t>01</w:t>
      </w:r>
      <w:r>
        <w:rPr>
          <w:rFonts w:hint="eastAsia"/>
        </w:rPr>
        <w:t>9益阳市</w:t>
      </w:r>
      <w:r>
        <w:t>温室气体清单总体不确定性</w:t>
      </w:r>
    </w:p>
    <w:tbl>
      <w:tblPr>
        <w:tblStyle w:val="25"/>
        <w:tblW w:w="5000" w:type="pct"/>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3085"/>
        <w:gridCol w:w="3230"/>
        <w:gridCol w:w="2207"/>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PrEx>
        <w:trPr>
          <w:trHeight w:val="284" w:hRule="atLeast"/>
        </w:trPr>
        <w:tc>
          <w:tcPr>
            <w:tcW w:w="1810" w:type="pct"/>
            <w:tcBorders>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类别</w:t>
            </w:r>
          </w:p>
        </w:tc>
        <w:tc>
          <w:tcPr>
            <w:tcW w:w="1895" w:type="pct"/>
            <w:tcBorders>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排放量（万吨二氧化碳当量）</w:t>
            </w:r>
          </w:p>
        </w:tc>
        <w:tc>
          <w:tcPr>
            <w:tcW w:w="1295" w:type="pct"/>
            <w:tcBorders>
              <w:bottom w:val="single" w:color="auto" w:sz="4" w:space="0"/>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不确定性</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1810" w:type="pct"/>
            <w:tcBorders>
              <w:bottom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能源活动</w:t>
            </w:r>
          </w:p>
        </w:tc>
        <w:tc>
          <w:tcPr>
            <w:tcW w:w="1895" w:type="pct"/>
            <w:tcBorders>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880.06</w:t>
            </w:r>
          </w:p>
        </w:tc>
        <w:tc>
          <w:tcPr>
            <w:tcW w:w="1295" w:type="pct"/>
            <w:tcBorders>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hint="eastAsia"/>
                <w:sz w:val="18"/>
                <w:szCs w:val="18"/>
              </w:rPr>
              <w:t>±9.56</w:t>
            </w:r>
            <w:r>
              <w:rPr>
                <w:rFonts w:cs="Times New Roman" w:eastAsiaTheme="minorEastAsia"/>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1810" w:type="pct"/>
            <w:tcBorders>
              <w:top w:val="nil"/>
              <w:bottom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工业生产过程</w:t>
            </w:r>
          </w:p>
        </w:tc>
        <w:tc>
          <w:tcPr>
            <w:tcW w:w="1895" w:type="pct"/>
            <w:tcBorders>
              <w:top w:val="nil"/>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241.26</w:t>
            </w:r>
          </w:p>
        </w:tc>
        <w:tc>
          <w:tcPr>
            <w:tcW w:w="1295" w:type="pct"/>
            <w:tcBorders>
              <w:top w:val="nil"/>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hint="eastAsia"/>
                <w:sz w:val="18"/>
                <w:szCs w:val="18"/>
              </w:rPr>
              <w:t>±2.89</w:t>
            </w:r>
            <w:r>
              <w:rPr>
                <w:rFonts w:cs="Times New Roman" w:eastAsiaTheme="minorEastAsia"/>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1810" w:type="pct"/>
            <w:tcBorders>
              <w:top w:val="nil"/>
              <w:bottom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农业活动</w:t>
            </w:r>
          </w:p>
        </w:tc>
        <w:tc>
          <w:tcPr>
            <w:tcW w:w="1895" w:type="pct"/>
            <w:tcBorders>
              <w:top w:val="nil"/>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369.93</w:t>
            </w:r>
          </w:p>
        </w:tc>
        <w:tc>
          <w:tcPr>
            <w:tcW w:w="1295" w:type="pct"/>
            <w:tcBorders>
              <w:top w:val="nil"/>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hint="eastAsia"/>
                <w:sz w:val="18"/>
                <w:szCs w:val="18"/>
              </w:rPr>
              <w:t>±13.24</w:t>
            </w:r>
            <w:r>
              <w:rPr>
                <w:rFonts w:cs="Times New Roman" w:eastAsiaTheme="minorEastAsia"/>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1810" w:type="pct"/>
            <w:tcBorders>
              <w:top w:val="nil"/>
              <w:bottom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废弃物处理</w:t>
            </w:r>
          </w:p>
        </w:tc>
        <w:tc>
          <w:tcPr>
            <w:tcW w:w="1895" w:type="pct"/>
            <w:tcBorders>
              <w:top w:val="nil"/>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hint="eastAsia" w:cs="Times New Roman" w:eastAsiaTheme="minorEastAsia"/>
                <w:sz w:val="18"/>
                <w:szCs w:val="18"/>
              </w:rPr>
              <w:t>47.98</w:t>
            </w:r>
          </w:p>
        </w:tc>
        <w:tc>
          <w:tcPr>
            <w:tcW w:w="1295" w:type="pct"/>
            <w:tcBorders>
              <w:top w:val="nil"/>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hint="eastAsia"/>
                <w:sz w:val="18"/>
                <w:szCs w:val="18"/>
              </w:rPr>
              <w:t>±22.63</w:t>
            </w:r>
            <w:r>
              <w:rPr>
                <w:rFonts w:cs="Times New Roman" w:eastAsiaTheme="minorEastAsia"/>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1810" w:type="pct"/>
            <w:tcBorders>
              <w:top w:val="nil"/>
              <w:bottom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土地利用变化与林业</w:t>
            </w:r>
          </w:p>
        </w:tc>
        <w:tc>
          <w:tcPr>
            <w:tcW w:w="1895" w:type="pct"/>
            <w:tcBorders>
              <w:top w:val="nil"/>
              <w:bottom w:val="nil"/>
            </w:tcBorders>
            <w:shd w:val="clear" w:color="auto" w:fill="auto"/>
            <w:noWrap/>
            <w:vAlign w:val="center"/>
          </w:tcPr>
          <w:p>
            <w:pPr>
              <w:spacing w:before="0" w:after="0" w:line="240" w:lineRule="auto"/>
              <w:jc w:val="center"/>
              <w:rPr>
                <w:rFonts w:cs="Times New Roman" w:eastAsiaTheme="minorEastAsia"/>
                <w:color w:val="000000"/>
                <w:sz w:val="18"/>
                <w:szCs w:val="18"/>
              </w:rPr>
            </w:pPr>
            <w:r>
              <w:rPr>
                <w:rFonts w:hint="eastAsia" w:cs="Times New Roman" w:eastAsiaTheme="minorEastAsia"/>
                <w:color w:val="000000"/>
                <w:sz w:val="18"/>
                <w:szCs w:val="18"/>
              </w:rPr>
              <w:t>-100.03</w:t>
            </w:r>
          </w:p>
        </w:tc>
        <w:tc>
          <w:tcPr>
            <w:tcW w:w="1295" w:type="pct"/>
            <w:tcBorders>
              <w:top w:val="nil"/>
              <w:bottom w:val="nil"/>
            </w:tcBorders>
            <w:shd w:val="clear" w:color="auto" w:fill="auto"/>
            <w:noWrap/>
            <w:vAlign w:val="center"/>
          </w:tcPr>
          <w:p>
            <w:pPr>
              <w:spacing w:before="0" w:after="0" w:line="240" w:lineRule="auto"/>
              <w:jc w:val="center"/>
              <w:rPr>
                <w:rFonts w:cs="Times New Roman" w:eastAsiaTheme="minorEastAsia"/>
                <w:sz w:val="18"/>
                <w:szCs w:val="18"/>
              </w:rPr>
            </w:pPr>
            <w:r>
              <w:rPr>
                <w:rFonts w:hint="eastAsia"/>
                <w:sz w:val="18"/>
                <w:szCs w:val="18"/>
              </w:rPr>
              <w:t>±11.08</w:t>
            </w:r>
            <w:r>
              <w:rPr>
                <w:rFonts w:cs="Times New Roman" w:eastAsiaTheme="minorEastAsia"/>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284" w:hRule="atLeast"/>
        </w:trPr>
        <w:tc>
          <w:tcPr>
            <w:tcW w:w="1810" w:type="pct"/>
            <w:tcBorders>
              <w:top w:val="nil"/>
            </w:tcBorders>
            <w:shd w:val="clear" w:color="auto" w:fill="auto"/>
            <w:vAlign w:val="center"/>
          </w:tcPr>
          <w:p>
            <w:pPr>
              <w:spacing w:before="0" w:after="0" w:line="240" w:lineRule="auto"/>
              <w:jc w:val="center"/>
              <w:rPr>
                <w:rFonts w:cs="Times New Roman" w:eastAsiaTheme="minorEastAsia"/>
                <w:sz w:val="18"/>
                <w:szCs w:val="18"/>
              </w:rPr>
            </w:pPr>
            <w:r>
              <w:rPr>
                <w:rFonts w:cs="Times New Roman" w:eastAsiaTheme="minorEastAsia"/>
                <w:sz w:val="18"/>
                <w:szCs w:val="18"/>
              </w:rPr>
              <w:t>综合不确定性</w:t>
            </w:r>
          </w:p>
        </w:tc>
        <w:tc>
          <w:tcPr>
            <w:tcW w:w="3190" w:type="pct"/>
            <w:gridSpan w:val="2"/>
            <w:tcBorders>
              <w:top w:val="nil"/>
            </w:tcBorders>
            <w:shd w:val="clear" w:color="auto" w:fill="auto"/>
            <w:noWrap/>
            <w:vAlign w:val="center"/>
          </w:tcPr>
          <w:p>
            <w:pPr>
              <w:spacing w:before="0" w:after="0" w:line="240" w:lineRule="auto"/>
              <w:jc w:val="center"/>
              <w:rPr>
                <w:rFonts w:cs="Times New Roman" w:eastAsiaTheme="minorEastAsia"/>
                <w:sz w:val="18"/>
                <w:szCs w:val="18"/>
              </w:rPr>
            </w:pPr>
            <w:r>
              <w:rPr>
                <w:rFonts w:hint="eastAsia"/>
                <w:sz w:val="18"/>
                <w:szCs w:val="18"/>
              </w:rPr>
              <w:t>±</w:t>
            </w:r>
            <w:r>
              <w:rPr>
                <w:rFonts w:hint="eastAsia" w:cs="Times New Roman" w:eastAsiaTheme="minorEastAsia"/>
                <w:sz w:val="18"/>
                <w:szCs w:val="18"/>
              </w:rPr>
              <w:t>6.87</w:t>
            </w:r>
            <w:r>
              <w:rPr>
                <w:rFonts w:cs="Times New Roman" w:eastAsiaTheme="minorEastAsia"/>
                <w:sz w:val="18"/>
                <w:szCs w:val="18"/>
              </w:rPr>
              <w:t>%</w:t>
            </w:r>
          </w:p>
        </w:tc>
      </w:tr>
    </w:tbl>
    <w:p>
      <w:r>
        <w:br w:type="page"/>
      </w:r>
    </w:p>
    <w:p>
      <w:pPr>
        <w:pStyle w:val="2"/>
      </w:pPr>
      <w:bookmarkStart w:id="362" w:name="_Toc16230"/>
      <w:r>
        <w:rPr>
          <w:rFonts w:hint="eastAsia"/>
        </w:rPr>
        <w:t>下一步工作建议</w:t>
      </w:r>
      <w:bookmarkEnd w:id="362"/>
    </w:p>
    <w:p>
      <w:pPr>
        <w:ind w:firstLine="420"/>
      </w:pPr>
      <w:r>
        <w:rPr>
          <w:rFonts w:cs="Times New Roman"/>
        </w:rPr>
        <w:t>我国一贯重视应对气候变化工作。2020年9月22日，习近平总书记在第七十五届联合国大会上郑重宣布，“中国将提高国家自主贡献力度，采取更加有力的政策和措施，二氧化碳排放力争2030年前达到峰值，努力争取2060年前实现碳中和。”这一重要宣示为我国应对气候变化</w:t>
      </w:r>
      <w:r>
        <w:rPr>
          <w:rFonts w:hint="eastAsia" w:cs="Times New Roman"/>
        </w:rPr>
        <w:t>工作制定了任务目标。</w:t>
      </w:r>
      <w:r>
        <w:t>为</w:t>
      </w:r>
      <w:r>
        <w:rPr>
          <w:rFonts w:hint="eastAsia"/>
        </w:rPr>
        <w:t>积极应对气候变化，确保实现2030年前碳排放达峰的目标，建议做好以下工作。</w:t>
      </w:r>
    </w:p>
    <w:p>
      <w:pPr>
        <w:pStyle w:val="3"/>
      </w:pPr>
      <w:bookmarkStart w:id="363" w:name="_Toc23884"/>
      <w:r>
        <w:rPr>
          <w:rFonts w:hint="eastAsia"/>
        </w:rPr>
        <w:t>深入推进温室气体排放清单编制工作</w:t>
      </w:r>
      <w:bookmarkEnd w:id="363"/>
    </w:p>
    <w:p>
      <w:pPr>
        <w:ind w:firstLine="420"/>
      </w:pPr>
      <w:r>
        <w:rPr>
          <w:rFonts w:hint="eastAsia" w:cs="Times New Roman"/>
        </w:rPr>
        <w:t>为有效控制温室气体排放，应首先摸清排放底数，</w:t>
      </w:r>
      <w:r>
        <w:rPr>
          <w:rFonts w:hint="eastAsia" w:cs="Times New Roman"/>
          <w:szCs w:val="24"/>
        </w:rPr>
        <w:t>定期编制市级温室气体清单。在本次2019年度</w:t>
      </w:r>
      <w:r>
        <w:rPr>
          <w:rFonts w:hint="eastAsia" w:cs="Times New Roman"/>
        </w:rPr>
        <w:t>温室气体排放清单编制过程中，涉及到能源、</w:t>
      </w:r>
      <w:r>
        <w:rPr>
          <w:rFonts w:hint="eastAsia"/>
        </w:rPr>
        <w:t>工业生产、农业、土地利用变化和林业（LUCF）、废弃物处理各个部分的</w:t>
      </w:r>
      <w:r>
        <w:rPr>
          <w:rFonts w:hint="eastAsia" w:cs="Times New Roman"/>
        </w:rPr>
        <w:t>很多基础资料未收集到，由此导致温室气体排放总量估算存在一定偏差。建议由市政府牵头，市生态环境局、市统计局、市工信局、国网电力公司、市应急局、</w:t>
      </w:r>
      <w:r>
        <w:rPr>
          <w:rFonts w:hint="eastAsia" w:cs="Times New Roman"/>
          <w:szCs w:val="21"/>
        </w:rPr>
        <w:t>市交通运输局、</w:t>
      </w:r>
      <w:r>
        <w:rPr>
          <w:rFonts w:hint="eastAsia"/>
          <w:color w:val="000000"/>
          <w:szCs w:val="21"/>
        </w:rPr>
        <w:t>市</w:t>
      </w:r>
      <w:r>
        <w:rPr>
          <w:color w:val="000000"/>
          <w:szCs w:val="21"/>
        </w:rPr>
        <w:t>农业农村</w:t>
      </w:r>
      <w:r>
        <w:rPr>
          <w:rFonts w:hint="eastAsia"/>
          <w:color w:val="000000"/>
          <w:szCs w:val="21"/>
        </w:rPr>
        <w:t>局、市农村供销合作社、市住建局、</w:t>
      </w:r>
      <w:r>
        <w:rPr>
          <w:rFonts w:hint="eastAsia" w:cs="Times New Roman"/>
          <w:bCs/>
          <w:szCs w:val="21"/>
        </w:rPr>
        <w:t>市林业局和市自然资源局等相关部门参与成立工作小组，共同</w:t>
      </w:r>
      <w:r>
        <w:rPr>
          <w:rFonts w:hint="eastAsia"/>
        </w:rPr>
        <w:t>推进温室气体排放清单编制工作，确保资料收集完整。</w:t>
      </w:r>
    </w:p>
    <w:p>
      <w:pPr>
        <w:pStyle w:val="3"/>
      </w:pPr>
      <w:bookmarkStart w:id="364" w:name="_Toc16656"/>
      <w:r>
        <w:rPr>
          <w:rFonts w:hint="eastAsia"/>
        </w:rPr>
        <w:t>温室气体减排工作建议</w:t>
      </w:r>
      <w:bookmarkEnd w:id="364"/>
    </w:p>
    <w:p>
      <w:pPr>
        <w:spacing w:line="360" w:lineRule="auto"/>
        <w:ind w:firstLine="480" w:firstLineChars="200"/>
        <w:rPr>
          <w:rFonts w:eastAsiaTheme="minorEastAsia"/>
          <w:sz w:val="24"/>
          <w:szCs w:val="24"/>
        </w:rPr>
      </w:pPr>
      <w:r>
        <w:rPr>
          <w:rFonts w:eastAsiaTheme="minorEastAsia"/>
          <w:sz w:val="24"/>
          <w:szCs w:val="24"/>
        </w:rPr>
        <w:t>根据本次益阳市温室气体清单编制结果，全市能源</w:t>
      </w:r>
      <w:r>
        <w:rPr>
          <w:rFonts w:hint="eastAsia" w:eastAsiaTheme="minorEastAsia"/>
          <w:sz w:val="24"/>
          <w:szCs w:val="24"/>
        </w:rPr>
        <w:t>活动</w:t>
      </w:r>
      <w:r>
        <w:rPr>
          <w:rFonts w:eastAsiaTheme="minorEastAsia"/>
          <w:sz w:val="24"/>
          <w:szCs w:val="24"/>
        </w:rPr>
        <w:t>排放占总温室气体排放总量的57.18%</w:t>
      </w:r>
      <w:r>
        <w:rPr>
          <w:rFonts w:hint="eastAsia" w:eastAsiaTheme="minorEastAsia"/>
          <w:sz w:val="24"/>
          <w:szCs w:val="24"/>
        </w:rPr>
        <w:t>，主要能源消耗为煤、柴油和天然气。其中，原煤使用主要集中在电力、热力生产、非金属矿物制品业、纺织业；柴油主要使用行业为非金属矿物制品业、农副食品加工业、运输设备制造业；天然气使用较多的行业为食品制造业、化学原料和化学制品制造业；液化天然气集中在酒、饮料和精致茶制造业使用。工业过程中温室气体主要由水泥、石灰等非金属矿物制品行业排放，其他行业化石燃料消耗量较小。</w:t>
      </w:r>
    </w:p>
    <w:p>
      <w:pPr>
        <w:ind w:firstLine="420"/>
      </w:pPr>
      <w:r>
        <w:rPr>
          <w:rFonts w:hint="eastAsia" w:eastAsiaTheme="minorEastAsia"/>
          <w:sz w:val="24"/>
          <w:szCs w:val="24"/>
        </w:rPr>
        <w:t>为实现2030年前二氧化碳排放达峰的目标，益阳市需要对重点耗能行业和企业能源结构进行调整，在电力生产、非金属矿物制品业、纺织业、农副食品加工业、食品制造业、运输设备制造业、化学原料和化学制品制造业，减少化石能源使用量，通过调整产业结构，优化能源结构，节能提高能效。</w:t>
      </w:r>
      <w:r>
        <w:br w:type="page"/>
      </w:r>
    </w:p>
    <w:p>
      <w:r>
        <w:rPr>
          <w:rFonts w:hint="eastAsia"/>
        </w:rPr>
        <w:t>附件：</w:t>
      </w:r>
      <w:bookmarkStart w:id="365" w:name="_Toc4865"/>
      <w:bookmarkStart w:id="366" w:name="_Toc11504"/>
      <w:bookmarkStart w:id="367" w:name="_Toc31359"/>
      <w:r>
        <w:rPr>
          <w:rFonts w:hint="eastAsia"/>
        </w:rPr>
        <w:t>益阳市</w:t>
      </w:r>
      <w:r>
        <w:t>生态环境</w:t>
      </w:r>
      <w:r>
        <w:rPr>
          <w:rFonts w:hint="eastAsia"/>
        </w:rPr>
        <w:t>局</w:t>
      </w:r>
      <w:r>
        <w:t>关于商请提供</w:t>
      </w:r>
      <w:r>
        <w:rPr>
          <w:rFonts w:hint="eastAsia"/>
        </w:rPr>
        <w:t>益阳市</w:t>
      </w:r>
      <w:r>
        <w:t>温室气体排放相关数据资料的函</w:t>
      </w:r>
      <w:bookmarkEnd w:id="365"/>
      <w:bookmarkEnd w:id="366"/>
      <w:bookmarkEnd w:id="367"/>
    </w:p>
    <w:p>
      <w:r>
        <w:drawing>
          <wp:inline distT="0" distB="0" distL="114300" distR="114300">
            <wp:extent cx="4939030" cy="6983095"/>
            <wp:effectExtent l="0" t="0" r="13970" b="12065"/>
            <wp:docPr id="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4"/>
                    <pic:cNvPicPr>
                      <a:picLocks noChangeAspect="1"/>
                    </pic:cNvPicPr>
                  </pic:nvPicPr>
                  <pic:blipFill>
                    <a:blip r:embed="rId100"/>
                    <a:stretch>
                      <a:fillRect/>
                    </a:stretch>
                  </pic:blipFill>
                  <pic:spPr>
                    <a:xfrm>
                      <a:off x="0" y="0"/>
                      <a:ext cx="4939030" cy="6983095"/>
                    </a:xfrm>
                    <a:prstGeom prst="rect">
                      <a:avLst/>
                    </a:prstGeom>
                    <a:noFill/>
                    <a:ln>
                      <a:noFill/>
                    </a:ln>
                  </pic:spPr>
                </pic:pic>
              </a:graphicData>
            </a:graphic>
          </wp:inline>
        </w:drawing>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 w:name="Microsoft JhengHei">
    <w:panose1 w:val="020B0604030504040204"/>
    <w:charset w:val="88"/>
    <w:family w:val="swiss"/>
    <w:pitch w:val="default"/>
    <w:sig w:usb0="000002A7" w:usb1="28CF4400" w:usb2="00000016" w:usb3="00000000" w:csb0="00100009"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rPr>
        <w:rStyle w:val="28"/>
      </w:rPr>
    </w:pPr>
    <w:r>
      <w:rPr>
        <w:rStyle w:val="28"/>
      </w:rPr>
      <w:fldChar w:fldCharType="begin"/>
    </w:r>
    <w:r>
      <w:rPr>
        <w:rStyle w:val="28"/>
      </w:rPr>
      <w:instrText xml:space="preserve">PAGE  </w:instrText>
    </w:r>
    <w:r>
      <w:rPr>
        <w:rStyle w:val="28"/>
      </w:rPr>
      <w:fldChar w:fldCharType="end"/>
    </w:r>
  </w:p>
  <w:p>
    <w:pPr>
      <w:pStyle w:val="1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p>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E778F3"/>
    <w:multiLevelType w:val="multilevel"/>
    <w:tmpl w:val="5FE778F3"/>
    <w:lvl w:ilvl="0" w:tentative="0">
      <w:start w:val="1"/>
      <w:numFmt w:val="decimal"/>
      <w:pStyle w:val="2"/>
      <w:suff w:val="space"/>
      <w:lvlText w:val="%1"/>
      <w:lvlJc w:val="left"/>
      <w:pPr>
        <w:ind w:left="284" w:firstLine="0"/>
      </w:pPr>
      <w:rPr>
        <w:rFonts w:hint="default" w:ascii="Times New Roman" w:hAnsi="Times New Roman" w:eastAsia="黑体"/>
        <w:b w:val="0"/>
        <w:i w:val="0"/>
        <w:sz w:val="30"/>
      </w:rPr>
    </w:lvl>
    <w:lvl w:ilvl="1" w:tentative="0">
      <w:start w:val="1"/>
      <w:numFmt w:val="decimal"/>
      <w:pStyle w:val="3"/>
      <w:suff w:val="space"/>
      <w:lvlText w:val="%1.%2"/>
      <w:lvlJc w:val="left"/>
      <w:pPr>
        <w:ind w:left="0" w:firstLine="0"/>
      </w:pPr>
      <w:rPr>
        <w:rFonts w:hint="default" w:ascii="Times New Roman" w:hAnsi="Times New Roman" w:eastAsia="黑体"/>
        <w:b w:val="0"/>
        <w:i w:val="0"/>
        <w:sz w:val="28"/>
      </w:rPr>
    </w:lvl>
    <w:lvl w:ilvl="2" w:tentative="0">
      <w:start w:val="1"/>
      <w:numFmt w:val="decimal"/>
      <w:pStyle w:val="4"/>
      <w:suff w:val="space"/>
      <w:lvlText w:val="%1.%2.%3"/>
      <w:lvlJc w:val="left"/>
      <w:pPr>
        <w:ind w:left="0" w:firstLine="0"/>
      </w:pPr>
      <w:rPr>
        <w:rFonts w:hint="default" w:ascii="Times New Roman" w:hAnsi="Times New Roman" w:eastAsia="黑体"/>
        <w:b w:val="0"/>
        <w:i w:val="0"/>
        <w:sz w:val="24"/>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6C8"/>
    <w:rsid w:val="00003471"/>
    <w:rsid w:val="00005395"/>
    <w:rsid w:val="0000770F"/>
    <w:rsid w:val="00007AC6"/>
    <w:rsid w:val="00010C5F"/>
    <w:rsid w:val="00011F91"/>
    <w:rsid w:val="0001216F"/>
    <w:rsid w:val="00015A8B"/>
    <w:rsid w:val="00021774"/>
    <w:rsid w:val="00021E61"/>
    <w:rsid w:val="0002355F"/>
    <w:rsid w:val="000306AA"/>
    <w:rsid w:val="00032DE2"/>
    <w:rsid w:val="00034D61"/>
    <w:rsid w:val="0003538E"/>
    <w:rsid w:val="00036DC3"/>
    <w:rsid w:val="0003769C"/>
    <w:rsid w:val="000410A7"/>
    <w:rsid w:val="000412B0"/>
    <w:rsid w:val="00042385"/>
    <w:rsid w:val="000431C4"/>
    <w:rsid w:val="00045D51"/>
    <w:rsid w:val="0005255E"/>
    <w:rsid w:val="00053426"/>
    <w:rsid w:val="00053443"/>
    <w:rsid w:val="0005373E"/>
    <w:rsid w:val="00055766"/>
    <w:rsid w:val="0006027E"/>
    <w:rsid w:val="00060B24"/>
    <w:rsid w:val="00060EF5"/>
    <w:rsid w:val="00061858"/>
    <w:rsid w:val="000637CE"/>
    <w:rsid w:val="00064895"/>
    <w:rsid w:val="00065798"/>
    <w:rsid w:val="00066965"/>
    <w:rsid w:val="00070C37"/>
    <w:rsid w:val="00071B18"/>
    <w:rsid w:val="00072754"/>
    <w:rsid w:val="00080B04"/>
    <w:rsid w:val="0008213E"/>
    <w:rsid w:val="0008498E"/>
    <w:rsid w:val="00090A69"/>
    <w:rsid w:val="00094391"/>
    <w:rsid w:val="00094973"/>
    <w:rsid w:val="00094EFF"/>
    <w:rsid w:val="000959C6"/>
    <w:rsid w:val="000A0063"/>
    <w:rsid w:val="000A10C9"/>
    <w:rsid w:val="000A3D56"/>
    <w:rsid w:val="000A4095"/>
    <w:rsid w:val="000A58D9"/>
    <w:rsid w:val="000A6243"/>
    <w:rsid w:val="000A6458"/>
    <w:rsid w:val="000B1946"/>
    <w:rsid w:val="000B2DAF"/>
    <w:rsid w:val="000B550B"/>
    <w:rsid w:val="000C0F6E"/>
    <w:rsid w:val="000C3B12"/>
    <w:rsid w:val="000C4539"/>
    <w:rsid w:val="000C4CB4"/>
    <w:rsid w:val="000C50D4"/>
    <w:rsid w:val="000C5925"/>
    <w:rsid w:val="000D0868"/>
    <w:rsid w:val="000D143E"/>
    <w:rsid w:val="000D4E01"/>
    <w:rsid w:val="000D5CAE"/>
    <w:rsid w:val="000D5D76"/>
    <w:rsid w:val="000D6995"/>
    <w:rsid w:val="000E0FF3"/>
    <w:rsid w:val="000E117D"/>
    <w:rsid w:val="000E2AF6"/>
    <w:rsid w:val="000E2D5E"/>
    <w:rsid w:val="000E44DC"/>
    <w:rsid w:val="000E4EE0"/>
    <w:rsid w:val="000E5730"/>
    <w:rsid w:val="000E64C8"/>
    <w:rsid w:val="000E6BD9"/>
    <w:rsid w:val="000F2CCF"/>
    <w:rsid w:val="000F3C16"/>
    <w:rsid w:val="000F6492"/>
    <w:rsid w:val="000F7984"/>
    <w:rsid w:val="0010132A"/>
    <w:rsid w:val="00101DA1"/>
    <w:rsid w:val="00101E22"/>
    <w:rsid w:val="00107B4D"/>
    <w:rsid w:val="0011390A"/>
    <w:rsid w:val="00120A0D"/>
    <w:rsid w:val="00120E1D"/>
    <w:rsid w:val="001211FC"/>
    <w:rsid w:val="00121CAF"/>
    <w:rsid w:val="00123ED5"/>
    <w:rsid w:val="00126AD7"/>
    <w:rsid w:val="001311BF"/>
    <w:rsid w:val="00133273"/>
    <w:rsid w:val="00133B1D"/>
    <w:rsid w:val="00137DFB"/>
    <w:rsid w:val="0014072C"/>
    <w:rsid w:val="00144D56"/>
    <w:rsid w:val="00145B82"/>
    <w:rsid w:val="00150E31"/>
    <w:rsid w:val="00152081"/>
    <w:rsid w:val="00155A64"/>
    <w:rsid w:val="001572FC"/>
    <w:rsid w:val="00160E65"/>
    <w:rsid w:val="00161C0E"/>
    <w:rsid w:val="00162E17"/>
    <w:rsid w:val="001632CB"/>
    <w:rsid w:val="00163DD7"/>
    <w:rsid w:val="00164219"/>
    <w:rsid w:val="001668CE"/>
    <w:rsid w:val="00170063"/>
    <w:rsid w:val="00171B52"/>
    <w:rsid w:val="00172A27"/>
    <w:rsid w:val="001734E6"/>
    <w:rsid w:val="00174FC4"/>
    <w:rsid w:val="00174FE0"/>
    <w:rsid w:val="00175765"/>
    <w:rsid w:val="00176EE9"/>
    <w:rsid w:val="00177021"/>
    <w:rsid w:val="00177F60"/>
    <w:rsid w:val="00181A97"/>
    <w:rsid w:val="00181C8A"/>
    <w:rsid w:val="00183E4E"/>
    <w:rsid w:val="00190650"/>
    <w:rsid w:val="00193A11"/>
    <w:rsid w:val="00193D18"/>
    <w:rsid w:val="0019588A"/>
    <w:rsid w:val="00197C79"/>
    <w:rsid w:val="001A16D6"/>
    <w:rsid w:val="001A3412"/>
    <w:rsid w:val="001A34EC"/>
    <w:rsid w:val="001A3A97"/>
    <w:rsid w:val="001A6B05"/>
    <w:rsid w:val="001B2D46"/>
    <w:rsid w:val="001B3F57"/>
    <w:rsid w:val="001B5440"/>
    <w:rsid w:val="001B5ED9"/>
    <w:rsid w:val="001B713D"/>
    <w:rsid w:val="001D0403"/>
    <w:rsid w:val="001D228F"/>
    <w:rsid w:val="001D33AB"/>
    <w:rsid w:val="001D544F"/>
    <w:rsid w:val="001D7FB4"/>
    <w:rsid w:val="001E1A34"/>
    <w:rsid w:val="001E211D"/>
    <w:rsid w:val="001E3C8B"/>
    <w:rsid w:val="001E7BB6"/>
    <w:rsid w:val="001F22D1"/>
    <w:rsid w:val="001F4796"/>
    <w:rsid w:val="001F4960"/>
    <w:rsid w:val="001F5E13"/>
    <w:rsid w:val="001F655E"/>
    <w:rsid w:val="0020058A"/>
    <w:rsid w:val="002019E8"/>
    <w:rsid w:val="00201BDE"/>
    <w:rsid w:val="00202290"/>
    <w:rsid w:val="00203430"/>
    <w:rsid w:val="00204492"/>
    <w:rsid w:val="002070CD"/>
    <w:rsid w:val="00207903"/>
    <w:rsid w:val="00211C14"/>
    <w:rsid w:val="002120E6"/>
    <w:rsid w:val="002129BA"/>
    <w:rsid w:val="00212D26"/>
    <w:rsid w:val="00213133"/>
    <w:rsid w:val="0021351B"/>
    <w:rsid w:val="00216275"/>
    <w:rsid w:val="00217A6C"/>
    <w:rsid w:val="0022157A"/>
    <w:rsid w:val="00221620"/>
    <w:rsid w:val="00221F14"/>
    <w:rsid w:val="002228A2"/>
    <w:rsid w:val="00226DF8"/>
    <w:rsid w:val="002271BE"/>
    <w:rsid w:val="002277FC"/>
    <w:rsid w:val="002339B3"/>
    <w:rsid w:val="00235EF6"/>
    <w:rsid w:val="00237A0C"/>
    <w:rsid w:val="002409DB"/>
    <w:rsid w:val="0024270B"/>
    <w:rsid w:val="002435C4"/>
    <w:rsid w:val="00245297"/>
    <w:rsid w:val="002455C7"/>
    <w:rsid w:val="002463A6"/>
    <w:rsid w:val="0024738B"/>
    <w:rsid w:val="00250756"/>
    <w:rsid w:val="00250888"/>
    <w:rsid w:val="00251187"/>
    <w:rsid w:val="0025748B"/>
    <w:rsid w:val="00257554"/>
    <w:rsid w:val="00263448"/>
    <w:rsid w:val="002635D4"/>
    <w:rsid w:val="00263C54"/>
    <w:rsid w:val="00265ABF"/>
    <w:rsid w:val="002771B5"/>
    <w:rsid w:val="00280F68"/>
    <w:rsid w:val="00281380"/>
    <w:rsid w:val="00281A2B"/>
    <w:rsid w:val="00281B90"/>
    <w:rsid w:val="002850FB"/>
    <w:rsid w:val="002862B5"/>
    <w:rsid w:val="00290774"/>
    <w:rsid w:val="0029177C"/>
    <w:rsid w:val="00291E5E"/>
    <w:rsid w:val="00292076"/>
    <w:rsid w:val="002937E6"/>
    <w:rsid w:val="00293A99"/>
    <w:rsid w:val="00295C8C"/>
    <w:rsid w:val="00295E30"/>
    <w:rsid w:val="00297181"/>
    <w:rsid w:val="002974FD"/>
    <w:rsid w:val="00297B0C"/>
    <w:rsid w:val="002A2DC9"/>
    <w:rsid w:val="002A3511"/>
    <w:rsid w:val="002A3B4A"/>
    <w:rsid w:val="002A4377"/>
    <w:rsid w:val="002A49FE"/>
    <w:rsid w:val="002A75F4"/>
    <w:rsid w:val="002B10CB"/>
    <w:rsid w:val="002B6EF5"/>
    <w:rsid w:val="002B732F"/>
    <w:rsid w:val="002B7888"/>
    <w:rsid w:val="002C42ED"/>
    <w:rsid w:val="002C483B"/>
    <w:rsid w:val="002C6B6E"/>
    <w:rsid w:val="002C7E73"/>
    <w:rsid w:val="002D1562"/>
    <w:rsid w:val="002D7BD5"/>
    <w:rsid w:val="002E3595"/>
    <w:rsid w:val="002E4298"/>
    <w:rsid w:val="002E4728"/>
    <w:rsid w:val="002E7195"/>
    <w:rsid w:val="002F459D"/>
    <w:rsid w:val="002F4687"/>
    <w:rsid w:val="002F4B67"/>
    <w:rsid w:val="002F749C"/>
    <w:rsid w:val="0030133C"/>
    <w:rsid w:val="00302268"/>
    <w:rsid w:val="00302E9B"/>
    <w:rsid w:val="00303294"/>
    <w:rsid w:val="003107DE"/>
    <w:rsid w:val="00311D77"/>
    <w:rsid w:val="00312303"/>
    <w:rsid w:val="0031327B"/>
    <w:rsid w:val="003132F0"/>
    <w:rsid w:val="0031537A"/>
    <w:rsid w:val="00316013"/>
    <w:rsid w:val="00322BF8"/>
    <w:rsid w:val="00323E5C"/>
    <w:rsid w:val="00325232"/>
    <w:rsid w:val="00326DD9"/>
    <w:rsid w:val="00332536"/>
    <w:rsid w:val="00332EBB"/>
    <w:rsid w:val="00334937"/>
    <w:rsid w:val="0033668B"/>
    <w:rsid w:val="00337024"/>
    <w:rsid w:val="0033796E"/>
    <w:rsid w:val="00337E39"/>
    <w:rsid w:val="00342031"/>
    <w:rsid w:val="00356A11"/>
    <w:rsid w:val="00357DA7"/>
    <w:rsid w:val="00357DE5"/>
    <w:rsid w:val="0036325B"/>
    <w:rsid w:val="00367C14"/>
    <w:rsid w:val="003703DA"/>
    <w:rsid w:val="003734E6"/>
    <w:rsid w:val="00374053"/>
    <w:rsid w:val="003762F9"/>
    <w:rsid w:val="0037689A"/>
    <w:rsid w:val="00377372"/>
    <w:rsid w:val="00390C4F"/>
    <w:rsid w:val="0039205A"/>
    <w:rsid w:val="00393410"/>
    <w:rsid w:val="00395081"/>
    <w:rsid w:val="003A176C"/>
    <w:rsid w:val="003A383C"/>
    <w:rsid w:val="003A4203"/>
    <w:rsid w:val="003A429D"/>
    <w:rsid w:val="003A4AD0"/>
    <w:rsid w:val="003A51A5"/>
    <w:rsid w:val="003B1F57"/>
    <w:rsid w:val="003B348E"/>
    <w:rsid w:val="003B383B"/>
    <w:rsid w:val="003B6C74"/>
    <w:rsid w:val="003C1904"/>
    <w:rsid w:val="003C19D4"/>
    <w:rsid w:val="003C3ED0"/>
    <w:rsid w:val="003C53D7"/>
    <w:rsid w:val="003D08DD"/>
    <w:rsid w:val="003D0D91"/>
    <w:rsid w:val="003D2E1E"/>
    <w:rsid w:val="003D3E17"/>
    <w:rsid w:val="003D51C3"/>
    <w:rsid w:val="003D6451"/>
    <w:rsid w:val="003E2314"/>
    <w:rsid w:val="003E3898"/>
    <w:rsid w:val="003E481E"/>
    <w:rsid w:val="003E4B51"/>
    <w:rsid w:val="003E549F"/>
    <w:rsid w:val="003E6416"/>
    <w:rsid w:val="003E68F2"/>
    <w:rsid w:val="003F37C8"/>
    <w:rsid w:val="003F4868"/>
    <w:rsid w:val="00402742"/>
    <w:rsid w:val="0041266F"/>
    <w:rsid w:val="004135B3"/>
    <w:rsid w:val="00426759"/>
    <w:rsid w:val="00427FD3"/>
    <w:rsid w:val="004369F4"/>
    <w:rsid w:val="0044170B"/>
    <w:rsid w:val="00445125"/>
    <w:rsid w:val="00445AE5"/>
    <w:rsid w:val="004478BF"/>
    <w:rsid w:val="0045218F"/>
    <w:rsid w:val="00455DFD"/>
    <w:rsid w:val="00456319"/>
    <w:rsid w:val="00460D96"/>
    <w:rsid w:val="0046135F"/>
    <w:rsid w:val="00462842"/>
    <w:rsid w:val="00462ABA"/>
    <w:rsid w:val="00465D87"/>
    <w:rsid w:val="004677B7"/>
    <w:rsid w:val="00467C1D"/>
    <w:rsid w:val="00470AF2"/>
    <w:rsid w:val="00471763"/>
    <w:rsid w:val="004717A1"/>
    <w:rsid w:val="00472823"/>
    <w:rsid w:val="00472C80"/>
    <w:rsid w:val="00480A5D"/>
    <w:rsid w:val="00482A6A"/>
    <w:rsid w:val="0048325E"/>
    <w:rsid w:val="00485C75"/>
    <w:rsid w:val="00486F3D"/>
    <w:rsid w:val="0049016D"/>
    <w:rsid w:val="0049050E"/>
    <w:rsid w:val="00492076"/>
    <w:rsid w:val="00492A32"/>
    <w:rsid w:val="00496CBF"/>
    <w:rsid w:val="004972DF"/>
    <w:rsid w:val="004A42AA"/>
    <w:rsid w:val="004A637D"/>
    <w:rsid w:val="004A727F"/>
    <w:rsid w:val="004B1C98"/>
    <w:rsid w:val="004B55D2"/>
    <w:rsid w:val="004C04CC"/>
    <w:rsid w:val="004C1BAF"/>
    <w:rsid w:val="004C24CB"/>
    <w:rsid w:val="004C2E7C"/>
    <w:rsid w:val="004C6AE3"/>
    <w:rsid w:val="004D2D35"/>
    <w:rsid w:val="004D31B7"/>
    <w:rsid w:val="004E0C39"/>
    <w:rsid w:val="004E3AFE"/>
    <w:rsid w:val="004E43DC"/>
    <w:rsid w:val="004F3153"/>
    <w:rsid w:val="004F31F9"/>
    <w:rsid w:val="004F3A03"/>
    <w:rsid w:val="004F46AA"/>
    <w:rsid w:val="004F49EA"/>
    <w:rsid w:val="004F556C"/>
    <w:rsid w:val="005022FD"/>
    <w:rsid w:val="00504A9B"/>
    <w:rsid w:val="00505ED7"/>
    <w:rsid w:val="005136FB"/>
    <w:rsid w:val="00521035"/>
    <w:rsid w:val="005217D8"/>
    <w:rsid w:val="00523401"/>
    <w:rsid w:val="00525631"/>
    <w:rsid w:val="0053068B"/>
    <w:rsid w:val="0053240E"/>
    <w:rsid w:val="005326DC"/>
    <w:rsid w:val="005340C4"/>
    <w:rsid w:val="00545196"/>
    <w:rsid w:val="00546413"/>
    <w:rsid w:val="0054684E"/>
    <w:rsid w:val="005472E3"/>
    <w:rsid w:val="00551CB9"/>
    <w:rsid w:val="00553CE8"/>
    <w:rsid w:val="00554977"/>
    <w:rsid w:val="0055509F"/>
    <w:rsid w:val="00556816"/>
    <w:rsid w:val="00560100"/>
    <w:rsid w:val="00561499"/>
    <w:rsid w:val="00563269"/>
    <w:rsid w:val="00564577"/>
    <w:rsid w:val="00566578"/>
    <w:rsid w:val="00570693"/>
    <w:rsid w:val="00573A3F"/>
    <w:rsid w:val="00576580"/>
    <w:rsid w:val="00580F10"/>
    <w:rsid w:val="00581DC4"/>
    <w:rsid w:val="00582B0D"/>
    <w:rsid w:val="005833E7"/>
    <w:rsid w:val="00583408"/>
    <w:rsid w:val="00583AA6"/>
    <w:rsid w:val="00585C96"/>
    <w:rsid w:val="00586911"/>
    <w:rsid w:val="00587250"/>
    <w:rsid w:val="005872EC"/>
    <w:rsid w:val="00587664"/>
    <w:rsid w:val="005904FE"/>
    <w:rsid w:val="005939BB"/>
    <w:rsid w:val="005971AF"/>
    <w:rsid w:val="00597AF2"/>
    <w:rsid w:val="00597F81"/>
    <w:rsid w:val="005A290C"/>
    <w:rsid w:val="005A7729"/>
    <w:rsid w:val="005B15F2"/>
    <w:rsid w:val="005B44B5"/>
    <w:rsid w:val="005B4CBA"/>
    <w:rsid w:val="005B61DD"/>
    <w:rsid w:val="005C1447"/>
    <w:rsid w:val="005C29FE"/>
    <w:rsid w:val="005C4C69"/>
    <w:rsid w:val="005C59A7"/>
    <w:rsid w:val="005C5EC6"/>
    <w:rsid w:val="005C7D9D"/>
    <w:rsid w:val="005D19C9"/>
    <w:rsid w:val="005D47AA"/>
    <w:rsid w:val="005D7187"/>
    <w:rsid w:val="005E70FE"/>
    <w:rsid w:val="005E728A"/>
    <w:rsid w:val="005F0429"/>
    <w:rsid w:val="005F0C0D"/>
    <w:rsid w:val="005F6F47"/>
    <w:rsid w:val="005F76EF"/>
    <w:rsid w:val="005F7739"/>
    <w:rsid w:val="00600986"/>
    <w:rsid w:val="006027A5"/>
    <w:rsid w:val="00603CBE"/>
    <w:rsid w:val="006068B9"/>
    <w:rsid w:val="00612EA2"/>
    <w:rsid w:val="00620798"/>
    <w:rsid w:val="006208DB"/>
    <w:rsid w:val="00621093"/>
    <w:rsid w:val="006232A1"/>
    <w:rsid w:val="006236F4"/>
    <w:rsid w:val="00623BED"/>
    <w:rsid w:val="00623C6B"/>
    <w:rsid w:val="00623F8C"/>
    <w:rsid w:val="006240A3"/>
    <w:rsid w:val="00626722"/>
    <w:rsid w:val="00635523"/>
    <w:rsid w:val="006377B4"/>
    <w:rsid w:val="00637CDA"/>
    <w:rsid w:val="00640328"/>
    <w:rsid w:val="00644CA1"/>
    <w:rsid w:val="00646C1F"/>
    <w:rsid w:val="006473D5"/>
    <w:rsid w:val="0065035B"/>
    <w:rsid w:val="006552E0"/>
    <w:rsid w:val="00656F2B"/>
    <w:rsid w:val="006574ED"/>
    <w:rsid w:val="00657AD7"/>
    <w:rsid w:val="00661ADF"/>
    <w:rsid w:val="00665010"/>
    <w:rsid w:val="00665202"/>
    <w:rsid w:val="00671099"/>
    <w:rsid w:val="0067457D"/>
    <w:rsid w:val="00674FF2"/>
    <w:rsid w:val="0068048F"/>
    <w:rsid w:val="00683EC1"/>
    <w:rsid w:val="006844CC"/>
    <w:rsid w:val="006850FD"/>
    <w:rsid w:val="006859B0"/>
    <w:rsid w:val="0068760A"/>
    <w:rsid w:val="00692E5B"/>
    <w:rsid w:val="0069651E"/>
    <w:rsid w:val="00696E12"/>
    <w:rsid w:val="006A02C4"/>
    <w:rsid w:val="006A1D6F"/>
    <w:rsid w:val="006A2EEA"/>
    <w:rsid w:val="006A3CE7"/>
    <w:rsid w:val="006A5DDD"/>
    <w:rsid w:val="006A72BF"/>
    <w:rsid w:val="006B13D9"/>
    <w:rsid w:val="006B3518"/>
    <w:rsid w:val="006B40BA"/>
    <w:rsid w:val="006C469F"/>
    <w:rsid w:val="006C6FE1"/>
    <w:rsid w:val="006D16E3"/>
    <w:rsid w:val="006D1D14"/>
    <w:rsid w:val="006D3166"/>
    <w:rsid w:val="006D5891"/>
    <w:rsid w:val="006E0CD6"/>
    <w:rsid w:val="006E39CF"/>
    <w:rsid w:val="006E5ADF"/>
    <w:rsid w:val="006E5C8E"/>
    <w:rsid w:val="006F1322"/>
    <w:rsid w:val="006F3540"/>
    <w:rsid w:val="006F3757"/>
    <w:rsid w:val="006F63F5"/>
    <w:rsid w:val="006F708A"/>
    <w:rsid w:val="0070150A"/>
    <w:rsid w:val="00701773"/>
    <w:rsid w:val="007030F8"/>
    <w:rsid w:val="00704AEE"/>
    <w:rsid w:val="00712632"/>
    <w:rsid w:val="007178F2"/>
    <w:rsid w:val="007248D5"/>
    <w:rsid w:val="00724926"/>
    <w:rsid w:val="00724FD2"/>
    <w:rsid w:val="007302F9"/>
    <w:rsid w:val="007335DA"/>
    <w:rsid w:val="007347A1"/>
    <w:rsid w:val="007347FC"/>
    <w:rsid w:val="00735867"/>
    <w:rsid w:val="007371BD"/>
    <w:rsid w:val="00737EFB"/>
    <w:rsid w:val="0074244B"/>
    <w:rsid w:val="007432F4"/>
    <w:rsid w:val="00744E5B"/>
    <w:rsid w:val="00745EE0"/>
    <w:rsid w:val="0075399A"/>
    <w:rsid w:val="00753E5D"/>
    <w:rsid w:val="007548A4"/>
    <w:rsid w:val="007634A3"/>
    <w:rsid w:val="00764392"/>
    <w:rsid w:val="0076591C"/>
    <w:rsid w:val="00765995"/>
    <w:rsid w:val="00770373"/>
    <w:rsid w:val="00771A40"/>
    <w:rsid w:val="00773C86"/>
    <w:rsid w:val="007745CF"/>
    <w:rsid w:val="00777EDD"/>
    <w:rsid w:val="00780BC5"/>
    <w:rsid w:val="00781407"/>
    <w:rsid w:val="00782441"/>
    <w:rsid w:val="00783C3C"/>
    <w:rsid w:val="00784E2C"/>
    <w:rsid w:val="00792042"/>
    <w:rsid w:val="00792C75"/>
    <w:rsid w:val="0079315F"/>
    <w:rsid w:val="007932CC"/>
    <w:rsid w:val="00793CAD"/>
    <w:rsid w:val="00794F40"/>
    <w:rsid w:val="00796F71"/>
    <w:rsid w:val="007979E2"/>
    <w:rsid w:val="007A1C39"/>
    <w:rsid w:val="007A6C35"/>
    <w:rsid w:val="007A7488"/>
    <w:rsid w:val="007B0735"/>
    <w:rsid w:val="007B2F72"/>
    <w:rsid w:val="007B392E"/>
    <w:rsid w:val="007B44D9"/>
    <w:rsid w:val="007B7EA8"/>
    <w:rsid w:val="007C045E"/>
    <w:rsid w:val="007C2418"/>
    <w:rsid w:val="007C48D7"/>
    <w:rsid w:val="007C68BB"/>
    <w:rsid w:val="007C72F7"/>
    <w:rsid w:val="007C7453"/>
    <w:rsid w:val="007D0520"/>
    <w:rsid w:val="007D2D10"/>
    <w:rsid w:val="007D3F6C"/>
    <w:rsid w:val="007D5C92"/>
    <w:rsid w:val="007D6759"/>
    <w:rsid w:val="007E0F3A"/>
    <w:rsid w:val="007E3832"/>
    <w:rsid w:val="007E44CD"/>
    <w:rsid w:val="007E5AF5"/>
    <w:rsid w:val="007F015F"/>
    <w:rsid w:val="007F08E8"/>
    <w:rsid w:val="007F351D"/>
    <w:rsid w:val="007F3F5D"/>
    <w:rsid w:val="007F48B9"/>
    <w:rsid w:val="008032D2"/>
    <w:rsid w:val="00804671"/>
    <w:rsid w:val="008052A9"/>
    <w:rsid w:val="00805C81"/>
    <w:rsid w:val="00810C7B"/>
    <w:rsid w:val="00816F80"/>
    <w:rsid w:val="008170C3"/>
    <w:rsid w:val="008176A4"/>
    <w:rsid w:val="008200A3"/>
    <w:rsid w:val="00821302"/>
    <w:rsid w:val="0082169F"/>
    <w:rsid w:val="00823155"/>
    <w:rsid w:val="00823321"/>
    <w:rsid w:val="00823A83"/>
    <w:rsid w:val="008247C0"/>
    <w:rsid w:val="008266D4"/>
    <w:rsid w:val="008268A7"/>
    <w:rsid w:val="008277C0"/>
    <w:rsid w:val="00831210"/>
    <w:rsid w:val="008371D8"/>
    <w:rsid w:val="00846252"/>
    <w:rsid w:val="0084726A"/>
    <w:rsid w:val="00852E96"/>
    <w:rsid w:val="00855264"/>
    <w:rsid w:val="008641D5"/>
    <w:rsid w:val="00866E09"/>
    <w:rsid w:val="0087036D"/>
    <w:rsid w:val="00874B6C"/>
    <w:rsid w:val="008752FC"/>
    <w:rsid w:val="00876289"/>
    <w:rsid w:val="00883909"/>
    <w:rsid w:val="00883A51"/>
    <w:rsid w:val="00885246"/>
    <w:rsid w:val="00886D8A"/>
    <w:rsid w:val="008922D8"/>
    <w:rsid w:val="00895454"/>
    <w:rsid w:val="008966CD"/>
    <w:rsid w:val="008A16AE"/>
    <w:rsid w:val="008A6BE3"/>
    <w:rsid w:val="008B1541"/>
    <w:rsid w:val="008B288A"/>
    <w:rsid w:val="008B2A80"/>
    <w:rsid w:val="008B2B9E"/>
    <w:rsid w:val="008B3114"/>
    <w:rsid w:val="008B368B"/>
    <w:rsid w:val="008C0F04"/>
    <w:rsid w:val="008C10F0"/>
    <w:rsid w:val="008C13E6"/>
    <w:rsid w:val="008C140F"/>
    <w:rsid w:val="008C1BFE"/>
    <w:rsid w:val="008C22E8"/>
    <w:rsid w:val="008C57A6"/>
    <w:rsid w:val="008C6FB1"/>
    <w:rsid w:val="008D7304"/>
    <w:rsid w:val="008D7DD2"/>
    <w:rsid w:val="008E2CCE"/>
    <w:rsid w:val="008E3F2E"/>
    <w:rsid w:val="008E7B2F"/>
    <w:rsid w:val="008F0BF7"/>
    <w:rsid w:val="008F3DBE"/>
    <w:rsid w:val="008F3E7E"/>
    <w:rsid w:val="008F62D6"/>
    <w:rsid w:val="008F64D7"/>
    <w:rsid w:val="0090071E"/>
    <w:rsid w:val="00902043"/>
    <w:rsid w:val="009021E1"/>
    <w:rsid w:val="00911595"/>
    <w:rsid w:val="009117A9"/>
    <w:rsid w:val="00912D01"/>
    <w:rsid w:val="00916716"/>
    <w:rsid w:val="00920759"/>
    <w:rsid w:val="00921059"/>
    <w:rsid w:val="00921123"/>
    <w:rsid w:val="00921F61"/>
    <w:rsid w:val="00924385"/>
    <w:rsid w:val="0092500F"/>
    <w:rsid w:val="00925A46"/>
    <w:rsid w:val="009275B5"/>
    <w:rsid w:val="009306E3"/>
    <w:rsid w:val="00932A23"/>
    <w:rsid w:val="0093510A"/>
    <w:rsid w:val="00935E90"/>
    <w:rsid w:val="00937631"/>
    <w:rsid w:val="00937B11"/>
    <w:rsid w:val="00937FC0"/>
    <w:rsid w:val="00940F9F"/>
    <w:rsid w:val="009412B5"/>
    <w:rsid w:val="00941C25"/>
    <w:rsid w:val="0094455B"/>
    <w:rsid w:val="00946793"/>
    <w:rsid w:val="00951EA5"/>
    <w:rsid w:val="0095240A"/>
    <w:rsid w:val="00954D97"/>
    <w:rsid w:val="00955EF1"/>
    <w:rsid w:val="009570A7"/>
    <w:rsid w:val="009615D3"/>
    <w:rsid w:val="00962C8E"/>
    <w:rsid w:val="009646F2"/>
    <w:rsid w:val="00967011"/>
    <w:rsid w:val="009677DA"/>
    <w:rsid w:val="00971387"/>
    <w:rsid w:val="009723B8"/>
    <w:rsid w:val="00973230"/>
    <w:rsid w:val="00977604"/>
    <w:rsid w:val="00980952"/>
    <w:rsid w:val="00981869"/>
    <w:rsid w:val="00984D27"/>
    <w:rsid w:val="00985415"/>
    <w:rsid w:val="00987F8C"/>
    <w:rsid w:val="009915C7"/>
    <w:rsid w:val="009937C8"/>
    <w:rsid w:val="009938EA"/>
    <w:rsid w:val="00994D54"/>
    <w:rsid w:val="00996615"/>
    <w:rsid w:val="009973F2"/>
    <w:rsid w:val="00997A53"/>
    <w:rsid w:val="00997F58"/>
    <w:rsid w:val="009A229B"/>
    <w:rsid w:val="009A2475"/>
    <w:rsid w:val="009A267B"/>
    <w:rsid w:val="009A2880"/>
    <w:rsid w:val="009A4119"/>
    <w:rsid w:val="009A4891"/>
    <w:rsid w:val="009A6DAB"/>
    <w:rsid w:val="009A7369"/>
    <w:rsid w:val="009B0F1F"/>
    <w:rsid w:val="009B214F"/>
    <w:rsid w:val="009B55C8"/>
    <w:rsid w:val="009B67AF"/>
    <w:rsid w:val="009B751F"/>
    <w:rsid w:val="009C3442"/>
    <w:rsid w:val="009C4874"/>
    <w:rsid w:val="009C4FEB"/>
    <w:rsid w:val="009C539A"/>
    <w:rsid w:val="009D049F"/>
    <w:rsid w:val="009D0530"/>
    <w:rsid w:val="009D1CE6"/>
    <w:rsid w:val="009D2FCC"/>
    <w:rsid w:val="009E19BB"/>
    <w:rsid w:val="009E3371"/>
    <w:rsid w:val="009E3C47"/>
    <w:rsid w:val="009E43D6"/>
    <w:rsid w:val="009E4C4D"/>
    <w:rsid w:val="009E632E"/>
    <w:rsid w:val="009E7343"/>
    <w:rsid w:val="009F0605"/>
    <w:rsid w:val="009F0B1C"/>
    <w:rsid w:val="009F5135"/>
    <w:rsid w:val="009F64DB"/>
    <w:rsid w:val="00A00A62"/>
    <w:rsid w:val="00A00FF4"/>
    <w:rsid w:val="00A01EA2"/>
    <w:rsid w:val="00A031CB"/>
    <w:rsid w:val="00A04481"/>
    <w:rsid w:val="00A06169"/>
    <w:rsid w:val="00A06820"/>
    <w:rsid w:val="00A06D26"/>
    <w:rsid w:val="00A121EA"/>
    <w:rsid w:val="00A21274"/>
    <w:rsid w:val="00A22338"/>
    <w:rsid w:val="00A231DB"/>
    <w:rsid w:val="00A23C64"/>
    <w:rsid w:val="00A265D6"/>
    <w:rsid w:val="00A30279"/>
    <w:rsid w:val="00A316FA"/>
    <w:rsid w:val="00A32EF1"/>
    <w:rsid w:val="00A34B4D"/>
    <w:rsid w:val="00A3590E"/>
    <w:rsid w:val="00A40569"/>
    <w:rsid w:val="00A4506B"/>
    <w:rsid w:val="00A45ECD"/>
    <w:rsid w:val="00A52DB4"/>
    <w:rsid w:val="00A551E1"/>
    <w:rsid w:val="00A5543D"/>
    <w:rsid w:val="00A626C5"/>
    <w:rsid w:val="00A6279A"/>
    <w:rsid w:val="00A62E8E"/>
    <w:rsid w:val="00A6527D"/>
    <w:rsid w:val="00A704DD"/>
    <w:rsid w:val="00A70DD5"/>
    <w:rsid w:val="00A75C61"/>
    <w:rsid w:val="00A800CE"/>
    <w:rsid w:val="00A8741C"/>
    <w:rsid w:val="00A93FED"/>
    <w:rsid w:val="00A955BD"/>
    <w:rsid w:val="00A97473"/>
    <w:rsid w:val="00A976CF"/>
    <w:rsid w:val="00A979F1"/>
    <w:rsid w:val="00AA45BC"/>
    <w:rsid w:val="00AA5790"/>
    <w:rsid w:val="00AA7853"/>
    <w:rsid w:val="00AB1E8B"/>
    <w:rsid w:val="00AB2681"/>
    <w:rsid w:val="00AB407B"/>
    <w:rsid w:val="00AB59FC"/>
    <w:rsid w:val="00AC1F1E"/>
    <w:rsid w:val="00AC53FF"/>
    <w:rsid w:val="00AC62E9"/>
    <w:rsid w:val="00AD510D"/>
    <w:rsid w:val="00AE6FA8"/>
    <w:rsid w:val="00AE7756"/>
    <w:rsid w:val="00AF31FE"/>
    <w:rsid w:val="00B03EA3"/>
    <w:rsid w:val="00B05046"/>
    <w:rsid w:val="00B05191"/>
    <w:rsid w:val="00B05A63"/>
    <w:rsid w:val="00B07307"/>
    <w:rsid w:val="00B07F7D"/>
    <w:rsid w:val="00B10A16"/>
    <w:rsid w:val="00B10F53"/>
    <w:rsid w:val="00B12616"/>
    <w:rsid w:val="00B132F6"/>
    <w:rsid w:val="00B20F6B"/>
    <w:rsid w:val="00B2155C"/>
    <w:rsid w:val="00B22075"/>
    <w:rsid w:val="00B22C27"/>
    <w:rsid w:val="00B23B7A"/>
    <w:rsid w:val="00B25848"/>
    <w:rsid w:val="00B27203"/>
    <w:rsid w:val="00B32C21"/>
    <w:rsid w:val="00B33407"/>
    <w:rsid w:val="00B33A2B"/>
    <w:rsid w:val="00B35943"/>
    <w:rsid w:val="00B41B8F"/>
    <w:rsid w:val="00B428A0"/>
    <w:rsid w:val="00B440AF"/>
    <w:rsid w:val="00B4416C"/>
    <w:rsid w:val="00B459F7"/>
    <w:rsid w:val="00B47E7E"/>
    <w:rsid w:val="00B534AF"/>
    <w:rsid w:val="00B5365A"/>
    <w:rsid w:val="00B55D0C"/>
    <w:rsid w:val="00B6191D"/>
    <w:rsid w:val="00B643D2"/>
    <w:rsid w:val="00B73D2C"/>
    <w:rsid w:val="00B74D27"/>
    <w:rsid w:val="00B7587E"/>
    <w:rsid w:val="00B765D2"/>
    <w:rsid w:val="00B8169F"/>
    <w:rsid w:val="00B853CC"/>
    <w:rsid w:val="00B8730D"/>
    <w:rsid w:val="00B94F31"/>
    <w:rsid w:val="00B969BF"/>
    <w:rsid w:val="00BA18F6"/>
    <w:rsid w:val="00BB051B"/>
    <w:rsid w:val="00BB0A90"/>
    <w:rsid w:val="00BB0CFA"/>
    <w:rsid w:val="00BB3B04"/>
    <w:rsid w:val="00BB6507"/>
    <w:rsid w:val="00BB65F2"/>
    <w:rsid w:val="00BB66F5"/>
    <w:rsid w:val="00BB77D7"/>
    <w:rsid w:val="00BC03AE"/>
    <w:rsid w:val="00BC3358"/>
    <w:rsid w:val="00BC366B"/>
    <w:rsid w:val="00BC686A"/>
    <w:rsid w:val="00BD052B"/>
    <w:rsid w:val="00BD3C84"/>
    <w:rsid w:val="00BD558D"/>
    <w:rsid w:val="00BD579D"/>
    <w:rsid w:val="00BD5E02"/>
    <w:rsid w:val="00BD61CB"/>
    <w:rsid w:val="00BE49A2"/>
    <w:rsid w:val="00BF0EFE"/>
    <w:rsid w:val="00BF291D"/>
    <w:rsid w:val="00BF47D0"/>
    <w:rsid w:val="00BF48E5"/>
    <w:rsid w:val="00BF57A6"/>
    <w:rsid w:val="00BF5B76"/>
    <w:rsid w:val="00BF6982"/>
    <w:rsid w:val="00C002D3"/>
    <w:rsid w:val="00C04910"/>
    <w:rsid w:val="00C05A9A"/>
    <w:rsid w:val="00C067AA"/>
    <w:rsid w:val="00C06ACC"/>
    <w:rsid w:val="00C11F90"/>
    <w:rsid w:val="00C12B01"/>
    <w:rsid w:val="00C1471A"/>
    <w:rsid w:val="00C211F0"/>
    <w:rsid w:val="00C2540C"/>
    <w:rsid w:val="00C25589"/>
    <w:rsid w:val="00C304C8"/>
    <w:rsid w:val="00C304CB"/>
    <w:rsid w:val="00C30DE4"/>
    <w:rsid w:val="00C31BD8"/>
    <w:rsid w:val="00C3259D"/>
    <w:rsid w:val="00C3286C"/>
    <w:rsid w:val="00C36922"/>
    <w:rsid w:val="00C4360B"/>
    <w:rsid w:val="00C438DC"/>
    <w:rsid w:val="00C43F75"/>
    <w:rsid w:val="00C44B66"/>
    <w:rsid w:val="00C467CE"/>
    <w:rsid w:val="00C50CE8"/>
    <w:rsid w:val="00C50F6B"/>
    <w:rsid w:val="00C57451"/>
    <w:rsid w:val="00C65DE5"/>
    <w:rsid w:val="00C7058F"/>
    <w:rsid w:val="00C75C6E"/>
    <w:rsid w:val="00C820AE"/>
    <w:rsid w:val="00C821E6"/>
    <w:rsid w:val="00C84F93"/>
    <w:rsid w:val="00C86941"/>
    <w:rsid w:val="00C90223"/>
    <w:rsid w:val="00C902DF"/>
    <w:rsid w:val="00C906E4"/>
    <w:rsid w:val="00C92FCF"/>
    <w:rsid w:val="00C932CF"/>
    <w:rsid w:val="00C938B2"/>
    <w:rsid w:val="00C93DB6"/>
    <w:rsid w:val="00C95FF4"/>
    <w:rsid w:val="00C96280"/>
    <w:rsid w:val="00C97F5A"/>
    <w:rsid w:val="00CA0EF4"/>
    <w:rsid w:val="00CA6E66"/>
    <w:rsid w:val="00CA6F82"/>
    <w:rsid w:val="00CA7E36"/>
    <w:rsid w:val="00CB1007"/>
    <w:rsid w:val="00CB34A3"/>
    <w:rsid w:val="00CB7CFB"/>
    <w:rsid w:val="00CC0BAB"/>
    <w:rsid w:val="00CC0BB5"/>
    <w:rsid w:val="00CC139A"/>
    <w:rsid w:val="00CC1A11"/>
    <w:rsid w:val="00CC70CA"/>
    <w:rsid w:val="00CC731D"/>
    <w:rsid w:val="00CC767C"/>
    <w:rsid w:val="00CD2CA8"/>
    <w:rsid w:val="00CD3844"/>
    <w:rsid w:val="00CD3A3E"/>
    <w:rsid w:val="00CD4986"/>
    <w:rsid w:val="00CD4BC3"/>
    <w:rsid w:val="00CE0A5E"/>
    <w:rsid w:val="00CE25EA"/>
    <w:rsid w:val="00CE2F3B"/>
    <w:rsid w:val="00CE3F2B"/>
    <w:rsid w:val="00CE620F"/>
    <w:rsid w:val="00CF143A"/>
    <w:rsid w:val="00CF1BC3"/>
    <w:rsid w:val="00CF1CF7"/>
    <w:rsid w:val="00CF54ED"/>
    <w:rsid w:val="00CF54F3"/>
    <w:rsid w:val="00CF5871"/>
    <w:rsid w:val="00D00196"/>
    <w:rsid w:val="00D0315E"/>
    <w:rsid w:val="00D03B12"/>
    <w:rsid w:val="00D05A26"/>
    <w:rsid w:val="00D07E5F"/>
    <w:rsid w:val="00D149B4"/>
    <w:rsid w:val="00D15D19"/>
    <w:rsid w:val="00D20BD9"/>
    <w:rsid w:val="00D22282"/>
    <w:rsid w:val="00D23085"/>
    <w:rsid w:val="00D2355C"/>
    <w:rsid w:val="00D23BA1"/>
    <w:rsid w:val="00D24101"/>
    <w:rsid w:val="00D26A70"/>
    <w:rsid w:val="00D26FD2"/>
    <w:rsid w:val="00D276F5"/>
    <w:rsid w:val="00D301E0"/>
    <w:rsid w:val="00D3060E"/>
    <w:rsid w:val="00D30951"/>
    <w:rsid w:val="00D318F2"/>
    <w:rsid w:val="00D41D71"/>
    <w:rsid w:val="00D47F0C"/>
    <w:rsid w:val="00D50F22"/>
    <w:rsid w:val="00D51573"/>
    <w:rsid w:val="00D56069"/>
    <w:rsid w:val="00D61B47"/>
    <w:rsid w:val="00D61F10"/>
    <w:rsid w:val="00D65EEA"/>
    <w:rsid w:val="00D66780"/>
    <w:rsid w:val="00D66C4B"/>
    <w:rsid w:val="00D66CBC"/>
    <w:rsid w:val="00D672FB"/>
    <w:rsid w:val="00D700C7"/>
    <w:rsid w:val="00D70F36"/>
    <w:rsid w:val="00D71807"/>
    <w:rsid w:val="00D72C5F"/>
    <w:rsid w:val="00D735FB"/>
    <w:rsid w:val="00D74356"/>
    <w:rsid w:val="00D765C4"/>
    <w:rsid w:val="00D7706F"/>
    <w:rsid w:val="00D80FED"/>
    <w:rsid w:val="00D83113"/>
    <w:rsid w:val="00D84E74"/>
    <w:rsid w:val="00D87116"/>
    <w:rsid w:val="00D90468"/>
    <w:rsid w:val="00D90FCF"/>
    <w:rsid w:val="00D91096"/>
    <w:rsid w:val="00D94197"/>
    <w:rsid w:val="00D973FF"/>
    <w:rsid w:val="00DA1799"/>
    <w:rsid w:val="00DA484D"/>
    <w:rsid w:val="00DA5879"/>
    <w:rsid w:val="00DA5E54"/>
    <w:rsid w:val="00DA674D"/>
    <w:rsid w:val="00DA67F1"/>
    <w:rsid w:val="00DA742E"/>
    <w:rsid w:val="00DB0668"/>
    <w:rsid w:val="00DB1B60"/>
    <w:rsid w:val="00DB1E9A"/>
    <w:rsid w:val="00DB4C95"/>
    <w:rsid w:val="00DB62D4"/>
    <w:rsid w:val="00DC27D2"/>
    <w:rsid w:val="00DC32D8"/>
    <w:rsid w:val="00DC381A"/>
    <w:rsid w:val="00DD2B1A"/>
    <w:rsid w:val="00DD3B82"/>
    <w:rsid w:val="00DD5728"/>
    <w:rsid w:val="00DD5E4F"/>
    <w:rsid w:val="00DE03AC"/>
    <w:rsid w:val="00DE295C"/>
    <w:rsid w:val="00DE3A7C"/>
    <w:rsid w:val="00DE4EA0"/>
    <w:rsid w:val="00DF159D"/>
    <w:rsid w:val="00DF402D"/>
    <w:rsid w:val="00DF51F9"/>
    <w:rsid w:val="00E000DC"/>
    <w:rsid w:val="00E0113B"/>
    <w:rsid w:val="00E02D41"/>
    <w:rsid w:val="00E0407D"/>
    <w:rsid w:val="00E05742"/>
    <w:rsid w:val="00E063EF"/>
    <w:rsid w:val="00E06622"/>
    <w:rsid w:val="00E07428"/>
    <w:rsid w:val="00E10967"/>
    <w:rsid w:val="00E12D61"/>
    <w:rsid w:val="00E15070"/>
    <w:rsid w:val="00E15E39"/>
    <w:rsid w:val="00E16E28"/>
    <w:rsid w:val="00E17F6C"/>
    <w:rsid w:val="00E2423A"/>
    <w:rsid w:val="00E250D3"/>
    <w:rsid w:val="00E3150A"/>
    <w:rsid w:val="00E41EA2"/>
    <w:rsid w:val="00E44470"/>
    <w:rsid w:val="00E45B4F"/>
    <w:rsid w:val="00E45D7E"/>
    <w:rsid w:val="00E47AEF"/>
    <w:rsid w:val="00E50014"/>
    <w:rsid w:val="00E53804"/>
    <w:rsid w:val="00E54231"/>
    <w:rsid w:val="00E664A1"/>
    <w:rsid w:val="00E66EF7"/>
    <w:rsid w:val="00E67371"/>
    <w:rsid w:val="00E67ED6"/>
    <w:rsid w:val="00E74F67"/>
    <w:rsid w:val="00E75F7C"/>
    <w:rsid w:val="00E7762A"/>
    <w:rsid w:val="00E84575"/>
    <w:rsid w:val="00E84A79"/>
    <w:rsid w:val="00E850E7"/>
    <w:rsid w:val="00E85FA4"/>
    <w:rsid w:val="00E8727D"/>
    <w:rsid w:val="00E87CF0"/>
    <w:rsid w:val="00E91351"/>
    <w:rsid w:val="00E92FE5"/>
    <w:rsid w:val="00E9354B"/>
    <w:rsid w:val="00E95541"/>
    <w:rsid w:val="00E95F0B"/>
    <w:rsid w:val="00E964D2"/>
    <w:rsid w:val="00E96F4E"/>
    <w:rsid w:val="00E97952"/>
    <w:rsid w:val="00EA2201"/>
    <w:rsid w:val="00EA42CA"/>
    <w:rsid w:val="00EA42FB"/>
    <w:rsid w:val="00EA4754"/>
    <w:rsid w:val="00EA52CF"/>
    <w:rsid w:val="00EA5E3D"/>
    <w:rsid w:val="00EA6026"/>
    <w:rsid w:val="00EA61A4"/>
    <w:rsid w:val="00EA7AC1"/>
    <w:rsid w:val="00EB0FE9"/>
    <w:rsid w:val="00EB65CC"/>
    <w:rsid w:val="00EB67A0"/>
    <w:rsid w:val="00EC1F4C"/>
    <w:rsid w:val="00EC5374"/>
    <w:rsid w:val="00ED386F"/>
    <w:rsid w:val="00ED591F"/>
    <w:rsid w:val="00ED689E"/>
    <w:rsid w:val="00EE2474"/>
    <w:rsid w:val="00EE2C27"/>
    <w:rsid w:val="00EE7C76"/>
    <w:rsid w:val="00EF2345"/>
    <w:rsid w:val="00F00170"/>
    <w:rsid w:val="00F0032A"/>
    <w:rsid w:val="00F0059E"/>
    <w:rsid w:val="00F00FAC"/>
    <w:rsid w:val="00F01004"/>
    <w:rsid w:val="00F010DB"/>
    <w:rsid w:val="00F01A5D"/>
    <w:rsid w:val="00F02B46"/>
    <w:rsid w:val="00F03831"/>
    <w:rsid w:val="00F04877"/>
    <w:rsid w:val="00F04D8A"/>
    <w:rsid w:val="00F120ED"/>
    <w:rsid w:val="00F1225A"/>
    <w:rsid w:val="00F1448F"/>
    <w:rsid w:val="00F15291"/>
    <w:rsid w:val="00F17613"/>
    <w:rsid w:val="00F2091B"/>
    <w:rsid w:val="00F21E43"/>
    <w:rsid w:val="00F22939"/>
    <w:rsid w:val="00F24249"/>
    <w:rsid w:val="00F24676"/>
    <w:rsid w:val="00F25A31"/>
    <w:rsid w:val="00F372D5"/>
    <w:rsid w:val="00F4013C"/>
    <w:rsid w:val="00F411E5"/>
    <w:rsid w:val="00F4229D"/>
    <w:rsid w:val="00F42FDC"/>
    <w:rsid w:val="00F43194"/>
    <w:rsid w:val="00F44DE1"/>
    <w:rsid w:val="00F47379"/>
    <w:rsid w:val="00F47D2E"/>
    <w:rsid w:val="00F50C60"/>
    <w:rsid w:val="00F52E7C"/>
    <w:rsid w:val="00F541A1"/>
    <w:rsid w:val="00F56CBC"/>
    <w:rsid w:val="00F56F4E"/>
    <w:rsid w:val="00F57997"/>
    <w:rsid w:val="00F57EE1"/>
    <w:rsid w:val="00F63606"/>
    <w:rsid w:val="00F66312"/>
    <w:rsid w:val="00F67E0D"/>
    <w:rsid w:val="00F72319"/>
    <w:rsid w:val="00F72B82"/>
    <w:rsid w:val="00F743A0"/>
    <w:rsid w:val="00F75C3F"/>
    <w:rsid w:val="00F804D5"/>
    <w:rsid w:val="00F81471"/>
    <w:rsid w:val="00F8294E"/>
    <w:rsid w:val="00F82F25"/>
    <w:rsid w:val="00F919CC"/>
    <w:rsid w:val="00F91C9A"/>
    <w:rsid w:val="00F92E48"/>
    <w:rsid w:val="00F95614"/>
    <w:rsid w:val="00F96A5E"/>
    <w:rsid w:val="00FA0553"/>
    <w:rsid w:val="00FA0E78"/>
    <w:rsid w:val="00FA27D4"/>
    <w:rsid w:val="00FA2CAB"/>
    <w:rsid w:val="00FA7DB3"/>
    <w:rsid w:val="00FB03D4"/>
    <w:rsid w:val="00FB0EDD"/>
    <w:rsid w:val="00FB115C"/>
    <w:rsid w:val="00FB50B3"/>
    <w:rsid w:val="00FC3E48"/>
    <w:rsid w:val="00FC4B63"/>
    <w:rsid w:val="00FC66FF"/>
    <w:rsid w:val="00FE1EC9"/>
    <w:rsid w:val="00FE2B77"/>
    <w:rsid w:val="00FE35B8"/>
    <w:rsid w:val="00FE51CF"/>
    <w:rsid w:val="00FE6CF5"/>
    <w:rsid w:val="00FE78BB"/>
    <w:rsid w:val="00FE7AF8"/>
    <w:rsid w:val="00FE7C71"/>
    <w:rsid w:val="00FE7EB2"/>
    <w:rsid w:val="00FF0F0B"/>
    <w:rsid w:val="00FF2568"/>
    <w:rsid w:val="00FF674D"/>
    <w:rsid w:val="00FF69C8"/>
    <w:rsid w:val="01397BBB"/>
    <w:rsid w:val="018D799B"/>
    <w:rsid w:val="02A403DC"/>
    <w:rsid w:val="02D859FD"/>
    <w:rsid w:val="02E45239"/>
    <w:rsid w:val="03045CCA"/>
    <w:rsid w:val="03BC5380"/>
    <w:rsid w:val="04507497"/>
    <w:rsid w:val="05A5042F"/>
    <w:rsid w:val="05DD07A3"/>
    <w:rsid w:val="05F60570"/>
    <w:rsid w:val="065866E2"/>
    <w:rsid w:val="06967249"/>
    <w:rsid w:val="06972F47"/>
    <w:rsid w:val="06B86773"/>
    <w:rsid w:val="06E41AFF"/>
    <w:rsid w:val="0740517F"/>
    <w:rsid w:val="07596208"/>
    <w:rsid w:val="075F6BBD"/>
    <w:rsid w:val="076B3776"/>
    <w:rsid w:val="077D3381"/>
    <w:rsid w:val="090678B2"/>
    <w:rsid w:val="091B118B"/>
    <w:rsid w:val="09A9191C"/>
    <w:rsid w:val="0A313DDB"/>
    <w:rsid w:val="0A62065A"/>
    <w:rsid w:val="0AF252B8"/>
    <w:rsid w:val="0B0700E9"/>
    <w:rsid w:val="0B4A093D"/>
    <w:rsid w:val="0BC71B11"/>
    <w:rsid w:val="0BFE2FEE"/>
    <w:rsid w:val="0C0B121B"/>
    <w:rsid w:val="0C2C0D6B"/>
    <w:rsid w:val="0D025760"/>
    <w:rsid w:val="0D9A3E62"/>
    <w:rsid w:val="0DB3404E"/>
    <w:rsid w:val="0DD57143"/>
    <w:rsid w:val="0E1A7FCE"/>
    <w:rsid w:val="0E52682B"/>
    <w:rsid w:val="103D7BC3"/>
    <w:rsid w:val="10D01F41"/>
    <w:rsid w:val="10DB02BA"/>
    <w:rsid w:val="11B9334E"/>
    <w:rsid w:val="11CC444B"/>
    <w:rsid w:val="128B0C7D"/>
    <w:rsid w:val="13C5334C"/>
    <w:rsid w:val="146934DB"/>
    <w:rsid w:val="14800435"/>
    <w:rsid w:val="149B56FD"/>
    <w:rsid w:val="14C93EF5"/>
    <w:rsid w:val="1515680E"/>
    <w:rsid w:val="15BB1E13"/>
    <w:rsid w:val="162B01E6"/>
    <w:rsid w:val="1660350C"/>
    <w:rsid w:val="16787D5A"/>
    <w:rsid w:val="16FD18F0"/>
    <w:rsid w:val="172472B5"/>
    <w:rsid w:val="176A089F"/>
    <w:rsid w:val="18220DD9"/>
    <w:rsid w:val="18B753DE"/>
    <w:rsid w:val="192039B2"/>
    <w:rsid w:val="19BC6A29"/>
    <w:rsid w:val="1A040A80"/>
    <w:rsid w:val="1A714847"/>
    <w:rsid w:val="1B017A33"/>
    <w:rsid w:val="1BD765CC"/>
    <w:rsid w:val="1BF1216F"/>
    <w:rsid w:val="1C2E241B"/>
    <w:rsid w:val="1C35639D"/>
    <w:rsid w:val="1CEE1F12"/>
    <w:rsid w:val="1CF012D0"/>
    <w:rsid w:val="1D0D0C95"/>
    <w:rsid w:val="1D0D1A9C"/>
    <w:rsid w:val="1D0D425F"/>
    <w:rsid w:val="1D465404"/>
    <w:rsid w:val="1D5F0F59"/>
    <w:rsid w:val="1EF62088"/>
    <w:rsid w:val="1F342275"/>
    <w:rsid w:val="1F784F52"/>
    <w:rsid w:val="1FB84DA2"/>
    <w:rsid w:val="1FE451C8"/>
    <w:rsid w:val="20123F4F"/>
    <w:rsid w:val="21187A9E"/>
    <w:rsid w:val="216C160F"/>
    <w:rsid w:val="2188636C"/>
    <w:rsid w:val="22091124"/>
    <w:rsid w:val="220957E3"/>
    <w:rsid w:val="22197E50"/>
    <w:rsid w:val="22701500"/>
    <w:rsid w:val="228D5D39"/>
    <w:rsid w:val="2316263C"/>
    <w:rsid w:val="23240039"/>
    <w:rsid w:val="23412340"/>
    <w:rsid w:val="234C11B9"/>
    <w:rsid w:val="235A584A"/>
    <w:rsid w:val="238E70D6"/>
    <w:rsid w:val="241203F4"/>
    <w:rsid w:val="2446244C"/>
    <w:rsid w:val="24613B28"/>
    <w:rsid w:val="249F380E"/>
    <w:rsid w:val="258511D2"/>
    <w:rsid w:val="25FC5E4F"/>
    <w:rsid w:val="261F295B"/>
    <w:rsid w:val="267404AF"/>
    <w:rsid w:val="26AF28F9"/>
    <w:rsid w:val="281636C4"/>
    <w:rsid w:val="28264587"/>
    <w:rsid w:val="284A5FFB"/>
    <w:rsid w:val="285A358A"/>
    <w:rsid w:val="287708DA"/>
    <w:rsid w:val="28A00B1F"/>
    <w:rsid w:val="28F92FBC"/>
    <w:rsid w:val="28FD3DE4"/>
    <w:rsid w:val="29202824"/>
    <w:rsid w:val="29D576C5"/>
    <w:rsid w:val="29FF5CEA"/>
    <w:rsid w:val="2A3155D5"/>
    <w:rsid w:val="2A392A8E"/>
    <w:rsid w:val="2A785B61"/>
    <w:rsid w:val="2B622CF1"/>
    <w:rsid w:val="2B7A739F"/>
    <w:rsid w:val="2B8B39FC"/>
    <w:rsid w:val="2B8D793B"/>
    <w:rsid w:val="2BCC2D82"/>
    <w:rsid w:val="2C242E0F"/>
    <w:rsid w:val="2CEA0C60"/>
    <w:rsid w:val="2CFC5035"/>
    <w:rsid w:val="2D2C48AA"/>
    <w:rsid w:val="2D7136BE"/>
    <w:rsid w:val="2DB11CBC"/>
    <w:rsid w:val="2ECA16CA"/>
    <w:rsid w:val="2F005DAA"/>
    <w:rsid w:val="2F44515F"/>
    <w:rsid w:val="2F46148A"/>
    <w:rsid w:val="2F66594A"/>
    <w:rsid w:val="2FDA2EDF"/>
    <w:rsid w:val="30AF6C06"/>
    <w:rsid w:val="30B75FAA"/>
    <w:rsid w:val="30EA260B"/>
    <w:rsid w:val="31125356"/>
    <w:rsid w:val="31327DBD"/>
    <w:rsid w:val="31BC7ADD"/>
    <w:rsid w:val="324A3A16"/>
    <w:rsid w:val="32592900"/>
    <w:rsid w:val="32A73D95"/>
    <w:rsid w:val="32CA0A1C"/>
    <w:rsid w:val="32F2329B"/>
    <w:rsid w:val="33262D06"/>
    <w:rsid w:val="332F3283"/>
    <w:rsid w:val="33D7058A"/>
    <w:rsid w:val="33E234A1"/>
    <w:rsid w:val="35341DD5"/>
    <w:rsid w:val="35374169"/>
    <w:rsid w:val="35710F65"/>
    <w:rsid w:val="359D4C8B"/>
    <w:rsid w:val="35B259AD"/>
    <w:rsid w:val="36867F8C"/>
    <w:rsid w:val="36B00C60"/>
    <w:rsid w:val="374B0ED1"/>
    <w:rsid w:val="37A52A69"/>
    <w:rsid w:val="37F43A0F"/>
    <w:rsid w:val="38247C03"/>
    <w:rsid w:val="385F506B"/>
    <w:rsid w:val="38F41151"/>
    <w:rsid w:val="3921234F"/>
    <w:rsid w:val="395701B8"/>
    <w:rsid w:val="39C944FA"/>
    <w:rsid w:val="39D84F37"/>
    <w:rsid w:val="39E06E00"/>
    <w:rsid w:val="39E864A6"/>
    <w:rsid w:val="3A0241AA"/>
    <w:rsid w:val="3AB06CDC"/>
    <w:rsid w:val="3B2B37A0"/>
    <w:rsid w:val="3B627DCA"/>
    <w:rsid w:val="3BA13EB1"/>
    <w:rsid w:val="3BC44851"/>
    <w:rsid w:val="3C0C49EA"/>
    <w:rsid w:val="3C34038D"/>
    <w:rsid w:val="3C3E7D9F"/>
    <w:rsid w:val="3CC03B8F"/>
    <w:rsid w:val="3CD40A30"/>
    <w:rsid w:val="3CE1607F"/>
    <w:rsid w:val="3D2217DE"/>
    <w:rsid w:val="3DFB24E1"/>
    <w:rsid w:val="3E0305F7"/>
    <w:rsid w:val="3E10106C"/>
    <w:rsid w:val="3E564B6C"/>
    <w:rsid w:val="3E5D05ED"/>
    <w:rsid w:val="3E5E757D"/>
    <w:rsid w:val="3F6D3AC6"/>
    <w:rsid w:val="3FB3153F"/>
    <w:rsid w:val="40224EEC"/>
    <w:rsid w:val="411775A8"/>
    <w:rsid w:val="41E95ADB"/>
    <w:rsid w:val="42490DE3"/>
    <w:rsid w:val="42B17179"/>
    <w:rsid w:val="42B86134"/>
    <w:rsid w:val="42DA44F2"/>
    <w:rsid w:val="43436B8E"/>
    <w:rsid w:val="43844DE3"/>
    <w:rsid w:val="439064C3"/>
    <w:rsid w:val="43C65967"/>
    <w:rsid w:val="43F11637"/>
    <w:rsid w:val="4525509F"/>
    <w:rsid w:val="453A46B8"/>
    <w:rsid w:val="455954D6"/>
    <w:rsid w:val="45DC2640"/>
    <w:rsid w:val="46074A20"/>
    <w:rsid w:val="471C6D00"/>
    <w:rsid w:val="483631B3"/>
    <w:rsid w:val="49253ED2"/>
    <w:rsid w:val="492B4E1D"/>
    <w:rsid w:val="49EC49FC"/>
    <w:rsid w:val="4A6C2A50"/>
    <w:rsid w:val="4A6F1B65"/>
    <w:rsid w:val="4A9B4A3B"/>
    <w:rsid w:val="4AA61BB3"/>
    <w:rsid w:val="4AE47830"/>
    <w:rsid w:val="4AFA1529"/>
    <w:rsid w:val="4B1469AC"/>
    <w:rsid w:val="4C381B57"/>
    <w:rsid w:val="4C4B2A8C"/>
    <w:rsid w:val="4C7C118F"/>
    <w:rsid w:val="4CA62BA0"/>
    <w:rsid w:val="4CAC4EF4"/>
    <w:rsid w:val="4D002239"/>
    <w:rsid w:val="4DCE0FA1"/>
    <w:rsid w:val="4DF45CBF"/>
    <w:rsid w:val="4E7937FE"/>
    <w:rsid w:val="4F61190B"/>
    <w:rsid w:val="4FFE30CF"/>
    <w:rsid w:val="50EF622B"/>
    <w:rsid w:val="51244288"/>
    <w:rsid w:val="512F694B"/>
    <w:rsid w:val="51390B14"/>
    <w:rsid w:val="517B6C6B"/>
    <w:rsid w:val="51B6645D"/>
    <w:rsid w:val="51C51CC0"/>
    <w:rsid w:val="5246599D"/>
    <w:rsid w:val="52507B17"/>
    <w:rsid w:val="52A42B6E"/>
    <w:rsid w:val="53716E3F"/>
    <w:rsid w:val="53D05AAF"/>
    <w:rsid w:val="54705EFB"/>
    <w:rsid w:val="54FB6614"/>
    <w:rsid w:val="551E6653"/>
    <w:rsid w:val="5542024E"/>
    <w:rsid w:val="55567515"/>
    <w:rsid w:val="55CD2971"/>
    <w:rsid w:val="56175F21"/>
    <w:rsid w:val="56301377"/>
    <w:rsid w:val="56F570A5"/>
    <w:rsid w:val="573568AE"/>
    <w:rsid w:val="58582DF2"/>
    <w:rsid w:val="58802319"/>
    <w:rsid w:val="58A77395"/>
    <w:rsid w:val="58D72A11"/>
    <w:rsid w:val="590A4487"/>
    <w:rsid w:val="591F7F4E"/>
    <w:rsid w:val="5A342075"/>
    <w:rsid w:val="5A366348"/>
    <w:rsid w:val="5B0E1CDB"/>
    <w:rsid w:val="5BBE2709"/>
    <w:rsid w:val="5C192363"/>
    <w:rsid w:val="5C1D2CD4"/>
    <w:rsid w:val="5D475E3B"/>
    <w:rsid w:val="5D9960ED"/>
    <w:rsid w:val="5DFF4896"/>
    <w:rsid w:val="5E9469C6"/>
    <w:rsid w:val="5E9F5C37"/>
    <w:rsid w:val="5EC92DEA"/>
    <w:rsid w:val="5F060037"/>
    <w:rsid w:val="5F0F0696"/>
    <w:rsid w:val="5F361FC7"/>
    <w:rsid w:val="5FF94964"/>
    <w:rsid w:val="60AA2C59"/>
    <w:rsid w:val="60D71F38"/>
    <w:rsid w:val="60FC21A3"/>
    <w:rsid w:val="63FA430E"/>
    <w:rsid w:val="641D4924"/>
    <w:rsid w:val="64AE6F8D"/>
    <w:rsid w:val="64E26F1D"/>
    <w:rsid w:val="65143B7E"/>
    <w:rsid w:val="652D3E72"/>
    <w:rsid w:val="655670FC"/>
    <w:rsid w:val="657065A7"/>
    <w:rsid w:val="658E4188"/>
    <w:rsid w:val="66526987"/>
    <w:rsid w:val="666D2E86"/>
    <w:rsid w:val="66740F2A"/>
    <w:rsid w:val="667658DC"/>
    <w:rsid w:val="66D32C8F"/>
    <w:rsid w:val="66E353EA"/>
    <w:rsid w:val="66FF4B83"/>
    <w:rsid w:val="672349B8"/>
    <w:rsid w:val="67C11436"/>
    <w:rsid w:val="67C71949"/>
    <w:rsid w:val="68140CCB"/>
    <w:rsid w:val="68262065"/>
    <w:rsid w:val="682F668B"/>
    <w:rsid w:val="686D2348"/>
    <w:rsid w:val="689D5197"/>
    <w:rsid w:val="6943655A"/>
    <w:rsid w:val="694B1794"/>
    <w:rsid w:val="6A2B6A52"/>
    <w:rsid w:val="6A7F0407"/>
    <w:rsid w:val="6A8D05D9"/>
    <w:rsid w:val="6B1209DA"/>
    <w:rsid w:val="6BEC2A34"/>
    <w:rsid w:val="6C2536EE"/>
    <w:rsid w:val="6D0A7D67"/>
    <w:rsid w:val="6D524346"/>
    <w:rsid w:val="6D785AEF"/>
    <w:rsid w:val="6E257A79"/>
    <w:rsid w:val="70D851A8"/>
    <w:rsid w:val="716534F2"/>
    <w:rsid w:val="719072E1"/>
    <w:rsid w:val="71927E3C"/>
    <w:rsid w:val="72222DDE"/>
    <w:rsid w:val="72D47850"/>
    <w:rsid w:val="7307627D"/>
    <w:rsid w:val="742D66C1"/>
    <w:rsid w:val="74383417"/>
    <w:rsid w:val="74444358"/>
    <w:rsid w:val="74610929"/>
    <w:rsid w:val="74FA1E61"/>
    <w:rsid w:val="75D829D0"/>
    <w:rsid w:val="76814950"/>
    <w:rsid w:val="76AA2C1E"/>
    <w:rsid w:val="76EE2B30"/>
    <w:rsid w:val="76FC7AE7"/>
    <w:rsid w:val="77875885"/>
    <w:rsid w:val="77887E88"/>
    <w:rsid w:val="77DB3BB6"/>
    <w:rsid w:val="77ED2C4C"/>
    <w:rsid w:val="78BB1F7B"/>
    <w:rsid w:val="78FA597E"/>
    <w:rsid w:val="799659AB"/>
    <w:rsid w:val="7A3E6AF7"/>
    <w:rsid w:val="7A756D5B"/>
    <w:rsid w:val="7B355FCF"/>
    <w:rsid w:val="7C475767"/>
    <w:rsid w:val="7C717B06"/>
    <w:rsid w:val="7CA3100F"/>
    <w:rsid w:val="7D6363B0"/>
    <w:rsid w:val="7D7A4C3D"/>
    <w:rsid w:val="7E052BC3"/>
    <w:rsid w:val="7E1151D7"/>
    <w:rsid w:val="7E4359D1"/>
    <w:rsid w:val="7F4968B2"/>
    <w:rsid w:val="7F673ED4"/>
    <w:rsid w:val="7F8B61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before="120" w:after="120" w:line="360" w:lineRule="auto"/>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30"/>
    <w:qFormat/>
    <w:uiPriority w:val="9"/>
    <w:pPr>
      <w:keepNext/>
      <w:keepLines/>
      <w:numPr>
        <w:ilvl w:val="0"/>
        <w:numId w:val="1"/>
      </w:numPr>
      <w:spacing w:line="300" w:lineRule="auto"/>
      <w:outlineLvl w:val="0"/>
    </w:pPr>
    <w:rPr>
      <w:rFonts w:eastAsia="黑体"/>
      <w:bCs/>
      <w:kern w:val="44"/>
      <w:sz w:val="30"/>
      <w:szCs w:val="44"/>
    </w:rPr>
  </w:style>
  <w:style w:type="paragraph" w:styleId="3">
    <w:name w:val="heading 2"/>
    <w:basedOn w:val="1"/>
    <w:next w:val="1"/>
    <w:link w:val="31"/>
    <w:unhideWhenUsed/>
    <w:qFormat/>
    <w:uiPriority w:val="9"/>
    <w:pPr>
      <w:keepNext/>
      <w:keepLines/>
      <w:numPr>
        <w:ilvl w:val="1"/>
        <w:numId w:val="1"/>
      </w:numPr>
      <w:spacing w:line="300" w:lineRule="auto"/>
      <w:outlineLvl w:val="1"/>
    </w:pPr>
    <w:rPr>
      <w:rFonts w:eastAsia="黑体" w:cstheme="majorBidi"/>
      <w:bCs/>
      <w:sz w:val="28"/>
      <w:szCs w:val="32"/>
    </w:rPr>
  </w:style>
  <w:style w:type="paragraph" w:styleId="4">
    <w:name w:val="heading 3"/>
    <w:basedOn w:val="1"/>
    <w:next w:val="1"/>
    <w:link w:val="32"/>
    <w:unhideWhenUsed/>
    <w:qFormat/>
    <w:uiPriority w:val="9"/>
    <w:pPr>
      <w:keepNext/>
      <w:keepLines/>
      <w:numPr>
        <w:ilvl w:val="2"/>
        <w:numId w:val="1"/>
      </w:numPr>
      <w:spacing w:after="0"/>
      <w:outlineLvl w:val="2"/>
    </w:pPr>
    <w:rPr>
      <w:rFonts w:eastAsia="黑体"/>
      <w:bCs/>
      <w:szCs w:val="32"/>
    </w:rPr>
  </w:style>
  <w:style w:type="paragraph" w:styleId="5">
    <w:name w:val="heading 4"/>
    <w:basedOn w:val="1"/>
    <w:next w:val="1"/>
    <w:link w:val="33"/>
    <w:semiHidden/>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4"/>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5"/>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next w:val="1"/>
    <w:link w:val="36"/>
    <w:semiHidden/>
    <w:unhideWhenUsed/>
    <w:qFormat/>
    <w:uiPriority w:val="9"/>
    <w:pPr>
      <w:keepNext/>
      <w:keepLines/>
      <w:numPr>
        <w:ilvl w:val="6"/>
        <w:numId w:val="1"/>
      </w:numPr>
      <w:spacing w:before="240" w:after="64" w:line="320" w:lineRule="auto"/>
      <w:outlineLvl w:val="6"/>
    </w:pPr>
    <w:rPr>
      <w:b/>
      <w:bCs/>
      <w:szCs w:val="24"/>
    </w:rPr>
  </w:style>
  <w:style w:type="paragraph" w:styleId="9">
    <w:name w:val="heading 8"/>
    <w:basedOn w:val="1"/>
    <w:next w:val="1"/>
    <w:link w:val="37"/>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Cs w:val="24"/>
    </w:rPr>
  </w:style>
  <w:style w:type="paragraph" w:styleId="10">
    <w:name w:val="heading 9"/>
    <w:basedOn w:val="1"/>
    <w:next w:val="1"/>
    <w:link w:val="38"/>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adjustRightInd/>
      <w:snapToGrid/>
      <w:spacing w:before="0" w:after="0" w:line="240" w:lineRule="auto"/>
      <w:ind w:left="2520" w:leftChars="1200"/>
    </w:pPr>
    <w:rPr>
      <w:rFonts w:asciiTheme="minorHAnsi" w:hAnsiTheme="minorHAnsi" w:eastAsiaTheme="minorEastAsia"/>
      <w:sz w:val="21"/>
    </w:rPr>
  </w:style>
  <w:style w:type="paragraph" w:styleId="12">
    <w:name w:val="caption"/>
    <w:basedOn w:val="1"/>
    <w:next w:val="1"/>
    <w:unhideWhenUsed/>
    <w:qFormat/>
    <w:uiPriority w:val="35"/>
    <w:pPr>
      <w:spacing w:before="60" w:after="60" w:line="240" w:lineRule="auto"/>
      <w:jc w:val="center"/>
    </w:pPr>
    <w:rPr>
      <w:rFonts w:cstheme="majorBidi"/>
      <w:sz w:val="21"/>
      <w:szCs w:val="20"/>
    </w:rPr>
  </w:style>
  <w:style w:type="paragraph" w:styleId="13">
    <w:name w:val="Body Text"/>
    <w:basedOn w:val="1"/>
    <w:link w:val="45"/>
    <w:qFormat/>
    <w:uiPriority w:val="1"/>
    <w:pPr>
      <w:widowControl/>
      <w:adjustRightInd/>
      <w:snapToGrid/>
      <w:spacing w:before="0" w:after="0" w:line="240" w:lineRule="auto"/>
      <w:ind w:left="118"/>
      <w:jc w:val="left"/>
    </w:pPr>
    <w:rPr>
      <w:rFonts w:ascii="Microsoft JhengHei" w:hAnsi="Microsoft JhengHei" w:eastAsia="Microsoft JhengHei" w:cs="宋体"/>
      <w:kern w:val="0"/>
      <w:sz w:val="32"/>
      <w:szCs w:val="32"/>
    </w:rPr>
  </w:style>
  <w:style w:type="paragraph" w:styleId="14">
    <w:name w:val="toc 5"/>
    <w:basedOn w:val="1"/>
    <w:next w:val="1"/>
    <w:unhideWhenUsed/>
    <w:qFormat/>
    <w:uiPriority w:val="39"/>
    <w:pPr>
      <w:adjustRightInd/>
      <w:snapToGrid/>
      <w:spacing w:before="0" w:after="0" w:line="240" w:lineRule="auto"/>
      <w:ind w:left="1680" w:leftChars="800"/>
    </w:pPr>
    <w:rPr>
      <w:rFonts w:asciiTheme="minorHAnsi" w:hAnsiTheme="minorHAnsi" w:eastAsiaTheme="minorEastAsia"/>
      <w:sz w:val="21"/>
    </w:rPr>
  </w:style>
  <w:style w:type="paragraph" w:styleId="15">
    <w:name w:val="toc 3"/>
    <w:basedOn w:val="1"/>
    <w:next w:val="1"/>
    <w:unhideWhenUsed/>
    <w:qFormat/>
    <w:uiPriority w:val="39"/>
    <w:pPr>
      <w:ind w:left="840" w:leftChars="400"/>
    </w:pPr>
  </w:style>
  <w:style w:type="paragraph" w:styleId="16">
    <w:name w:val="toc 8"/>
    <w:basedOn w:val="1"/>
    <w:next w:val="1"/>
    <w:unhideWhenUsed/>
    <w:qFormat/>
    <w:uiPriority w:val="39"/>
    <w:pPr>
      <w:adjustRightInd/>
      <w:snapToGrid/>
      <w:spacing w:before="0" w:after="0" w:line="240" w:lineRule="auto"/>
      <w:ind w:left="2940" w:leftChars="1400"/>
    </w:pPr>
    <w:rPr>
      <w:rFonts w:asciiTheme="minorHAnsi" w:hAnsiTheme="minorHAnsi" w:eastAsiaTheme="minorEastAsia"/>
      <w:sz w:val="21"/>
    </w:rPr>
  </w:style>
  <w:style w:type="paragraph" w:styleId="17">
    <w:name w:val="Balloon Text"/>
    <w:basedOn w:val="1"/>
    <w:link w:val="40"/>
    <w:semiHidden/>
    <w:unhideWhenUsed/>
    <w:qFormat/>
    <w:uiPriority w:val="99"/>
    <w:pPr>
      <w:spacing w:before="0" w:after="0" w:line="240" w:lineRule="auto"/>
    </w:pPr>
    <w:rPr>
      <w:sz w:val="18"/>
      <w:szCs w:val="18"/>
    </w:rPr>
  </w:style>
  <w:style w:type="paragraph" w:styleId="18">
    <w:name w:val="footer"/>
    <w:basedOn w:val="1"/>
    <w:link w:val="39"/>
    <w:semiHidden/>
    <w:unhideWhenUsed/>
    <w:qFormat/>
    <w:uiPriority w:val="99"/>
    <w:pPr>
      <w:tabs>
        <w:tab w:val="center" w:pos="4153"/>
        <w:tab w:val="right" w:pos="8306"/>
      </w:tabs>
      <w:spacing w:line="240" w:lineRule="auto"/>
      <w:jc w:val="left"/>
    </w:pPr>
    <w:rPr>
      <w:sz w:val="18"/>
      <w:szCs w:val="18"/>
    </w:rPr>
  </w:style>
  <w:style w:type="paragraph" w:styleId="19">
    <w:name w:val="header"/>
    <w:basedOn w:val="1"/>
    <w:link w:val="41"/>
    <w:unhideWhenUsed/>
    <w:qFormat/>
    <w:uiPriority w:val="99"/>
    <w:pPr>
      <w:pBdr>
        <w:bottom w:val="single" w:color="auto" w:sz="6" w:space="1"/>
      </w:pBdr>
      <w:tabs>
        <w:tab w:val="center" w:pos="4153"/>
        <w:tab w:val="right" w:pos="8306"/>
      </w:tabs>
      <w:spacing w:line="240" w:lineRule="auto"/>
      <w:jc w:val="center"/>
    </w:pPr>
    <w:rPr>
      <w:sz w:val="18"/>
      <w:szCs w:val="18"/>
    </w:rPr>
  </w:style>
  <w:style w:type="paragraph" w:styleId="20">
    <w:name w:val="toc 1"/>
    <w:basedOn w:val="1"/>
    <w:next w:val="1"/>
    <w:unhideWhenUsed/>
    <w:qFormat/>
    <w:uiPriority w:val="39"/>
  </w:style>
  <w:style w:type="paragraph" w:styleId="21">
    <w:name w:val="toc 4"/>
    <w:basedOn w:val="1"/>
    <w:next w:val="1"/>
    <w:unhideWhenUsed/>
    <w:qFormat/>
    <w:uiPriority w:val="39"/>
    <w:pPr>
      <w:adjustRightInd/>
      <w:snapToGrid/>
      <w:spacing w:before="0" w:after="0" w:line="240" w:lineRule="auto"/>
      <w:ind w:left="1260" w:leftChars="600"/>
    </w:pPr>
    <w:rPr>
      <w:rFonts w:asciiTheme="minorHAnsi" w:hAnsiTheme="minorHAnsi" w:eastAsiaTheme="minorEastAsia"/>
      <w:sz w:val="21"/>
    </w:rPr>
  </w:style>
  <w:style w:type="paragraph" w:styleId="22">
    <w:name w:val="toc 6"/>
    <w:basedOn w:val="1"/>
    <w:next w:val="1"/>
    <w:unhideWhenUsed/>
    <w:qFormat/>
    <w:uiPriority w:val="39"/>
    <w:pPr>
      <w:adjustRightInd/>
      <w:snapToGrid/>
      <w:spacing w:before="0" w:after="0" w:line="240" w:lineRule="auto"/>
      <w:ind w:left="2100" w:leftChars="1000"/>
    </w:pPr>
    <w:rPr>
      <w:rFonts w:asciiTheme="minorHAnsi" w:hAnsiTheme="minorHAnsi" w:eastAsiaTheme="minorEastAsia"/>
      <w:sz w:val="21"/>
    </w:rPr>
  </w:style>
  <w:style w:type="paragraph" w:styleId="23">
    <w:name w:val="toc 2"/>
    <w:basedOn w:val="1"/>
    <w:next w:val="1"/>
    <w:unhideWhenUsed/>
    <w:qFormat/>
    <w:uiPriority w:val="39"/>
    <w:pPr>
      <w:ind w:left="420" w:leftChars="200"/>
    </w:pPr>
  </w:style>
  <w:style w:type="paragraph" w:styleId="24">
    <w:name w:val="toc 9"/>
    <w:basedOn w:val="1"/>
    <w:next w:val="1"/>
    <w:unhideWhenUsed/>
    <w:qFormat/>
    <w:uiPriority w:val="39"/>
    <w:pPr>
      <w:adjustRightInd/>
      <w:snapToGrid/>
      <w:spacing w:before="0" w:after="0" w:line="240" w:lineRule="auto"/>
      <w:ind w:left="3360" w:leftChars="1600"/>
    </w:pPr>
    <w:rPr>
      <w:rFonts w:asciiTheme="minorHAnsi" w:hAnsiTheme="minorHAnsi" w:eastAsiaTheme="minorEastAsia"/>
      <w:sz w:val="21"/>
    </w:rPr>
  </w:style>
  <w:style w:type="table" w:styleId="26">
    <w:name w:val="Table Grid"/>
    <w:basedOn w:val="25"/>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0"/>
  </w:style>
  <w:style w:type="character" w:styleId="29">
    <w:name w:val="Hyperlink"/>
    <w:basedOn w:val="27"/>
    <w:unhideWhenUsed/>
    <w:qFormat/>
    <w:uiPriority w:val="99"/>
    <w:rPr>
      <w:color w:val="0000FF" w:themeColor="hyperlink"/>
      <w:u w:val="single"/>
      <w14:textFill>
        <w14:solidFill>
          <w14:schemeClr w14:val="hlink"/>
        </w14:solidFill>
      </w14:textFill>
    </w:rPr>
  </w:style>
  <w:style w:type="character" w:customStyle="1" w:styleId="30">
    <w:name w:val="标题 1 字符"/>
    <w:basedOn w:val="27"/>
    <w:link w:val="2"/>
    <w:qFormat/>
    <w:uiPriority w:val="9"/>
    <w:rPr>
      <w:rFonts w:ascii="Times New Roman" w:hAnsi="Times New Roman" w:eastAsia="黑体"/>
      <w:bCs/>
      <w:kern w:val="44"/>
      <w:sz w:val="30"/>
      <w:szCs w:val="44"/>
    </w:rPr>
  </w:style>
  <w:style w:type="character" w:customStyle="1" w:styleId="31">
    <w:name w:val="标题 2 字符"/>
    <w:basedOn w:val="27"/>
    <w:link w:val="3"/>
    <w:qFormat/>
    <w:uiPriority w:val="9"/>
    <w:rPr>
      <w:rFonts w:ascii="Times New Roman" w:hAnsi="Times New Roman" w:eastAsia="黑体" w:cstheme="majorBidi"/>
      <w:bCs/>
      <w:kern w:val="2"/>
      <w:sz w:val="28"/>
      <w:szCs w:val="32"/>
    </w:rPr>
  </w:style>
  <w:style w:type="character" w:customStyle="1" w:styleId="32">
    <w:name w:val="标题 3 字符"/>
    <w:basedOn w:val="27"/>
    <w:link w:val="4"/>
    <w:qFormat/>
    <w:uiPriority w:val="9"/>
    <w:rPr>
      <w:rFonts w:ascii="Times New Roman" w:hAnsi="Times New Roman" w:eastAsia="黑体"/>
      <w:bCs/>
      <w:kern w:val="2"/>
      <w:sz w:val="24"/>
      <w:szCs w:val="32"/>
    </w:rPr>
  </w:style>
  <w:style w:type="character" w:customStyle="1" w:styleId="33">
    <w:name w:val="标题 4 字符"/>
    <w:basedOn w:val="27"/>
    <w:link w:val="5"/>
    <w:semiHidden/>
    <w:qFormat/>
    <w:uiPriority w:val="9"/>
    <w:rPr>
      <w:rFonts w:asciiTheme="majorHAnsi" w:hAnsiTheme="majorHAnsi" w:eastAsiaTheme="majorEastAsia" w:cstheme="majorBidi"/>
      <w:b/>
      <w:bCs/>
      <w:kern w:val="2"/>
      <w:sz w:val="28"/>
      <w:szCs w:val="28"/>
    </w:rPr>
  </w:style>
  <w:style w:type="character" w:customStyle="1" w:styleId="34">
    <w:name w:val="标题 5 字符"/>
    <w:basedOn w:val="27"/>
    <w:link w:val="6"/>
    <w:semiHidden/>
    <w:qFormat/>
    <w:uiPriority w:val="9"/>
    <w:rPr>
      <w:rFonts w:ascii="Times New Roman" w:hAnsi="Times New Roman" w:eastAsia="宋体"/>
      <w:b/>
      <w:bCs/>
      <w:kern w:val="2"/>
      <w:sz w:val="28"/>
      <w:szCs w:val="28"/>
    </w:rPr>
  </w:style>
  <w:style w:type="character" w:customStyle="1" w:styleId="35">
    <w:name w:val="标题 6 字符"/>
    <w:basedOn w:val="27"/>
    <w:link w:val="7"/>
    <w:semiHidden/>
    <w:qFormat/>
    <w:uiPriority w:val="9"/>
    <w:rPr>
      <w:rFonts w:asciiTheme="majorHAnsi" w:hAnsiTheme="majorHAnsi" w:eastAsiaTheme="majorEastAsia" w:cstheme="majorBidi"/>
      <w:b/>
      <w:bCs/>
      <w:kern w:val="2"/>
      <w:sz w:val="24"/>
      <w:szCs w:val="24"/>
    </w:rPr>
  </w:style>
  <w:style w:type="character" w:customStyle="1" w:styleId="36">
    <w:name w:val="标题 7 字符"/>
    <w:basedOn w:val="27"/>
    <w:link w:val="8"/>
    <w:semiHidden/>
    <w:qFormat/>
    <w:uiPriority w:val="9"/>
    <w:rPr>
      <w:rFonts w:ascii="Times New Roman" w:hAnsi="Times New Roman" w:eastAsia="宋体"/>
      <w:b/>
      <w:bCs/>
      <w:kern w:val="2"/>
      <w:sz w:val="24"/>
      <w:szCs w:val="24"/>
    </w:rPr>
  </w:style>
  <w:style w:type="character" w:customStyle="1" w:styleId="37">
    <w:name w:val="标题 8 字符"/>
    <w:basedOn w:val="27"/>
    <w:link w:val="9"/>
    <w:semiHidden/>
    <w:qFormat/>
    <w:uiPriority w:val="9"/>
    <w:rPr>
      <w:rFonts w:asciiTheme="majorHAnsi" w:hAnsiTheme="majorHAnsi" w:eastAsiaTheme="majorEastAsia" w:cstheme="majorBidi"/>
      <w:kern w:val="2"/>
      <w:sz w:val="24"/>
      <w:szCs w:val="24"/>
    </w:rPr>
  </w:style>
  <w:style w:type="character" w:customStyle="1" w:styleId="38">
    <w:name w:val="标题 9 字符"/>
    <w:basedOn w:val="27"/>
    <w:link w:val="10"/>
    <w:semiHidden/>
    <w:qFormat/>
    <w:uiPriority w:val="9"/>
    <w:rPr>
      <w:rFonts w:asciiTheme="majorHAnsi" w:hAnsiTheme="majorHAnsi" w:eastAsiaTheme="majorEastAsia" w:cstheme="majorBidi"/>
      <w:kern w:val="2"/>
      <w:sz w:val="21"/>
      <w:szCs w:val="21"/>
    </w:rPr>
  </w:style>
  <w:style w:type="character" w:customStyle="1" w:styleId="39">
    <w:name w:val="页脚 字符"/>
    <w:basedOn w:val="27"/>
    <w:link w:val="18"/>
    <w:semiHidden/>
    <w:qFormat/>
    <w:uiPriority w:val="99"/>
    <w:rPr>
      <w:rFonts w:ascii="Times New Roman" w:hAnsi="Times New Roman" w:eastAsia="宋体"/>
      <w:sz w:val="18"/>
      <w:szCs w:val="18"/>
    </w:rPr>
  </w:style>
  <w:style w:type="character" w:customStyle="1" w:styleId="40">
    <w:name w:val="批注框文本 字符"/>
    <w:basedOn w:val="27"/>
    <w:link w:val="17"/>
    <w:semiHidden/>
    <w:qFormat/>
    <w:uiPriority w:val="99"/>
    <w:rPr>
      <w:rFonts w:ascii="Times New Roman" w:hAnsi="Times New Roman" w:eastAsia="宋体"/>
      <w:sz w:val="18"/>
      <w:szCs w:val="18"/>
    </w:rPr>
  </w:style>
  <w:style w:type="character" w:customStyle="1" w:styleId="41">
    <w:name w:val="页眉 字符"/>
    <w:basedOn w:val="27"/>
    <w:link w:val="19"/>
    <w:qFormat/>
    <w:uiPriority w:val="99"/>
    <w:rPr>
      <w:rFonts w:ascii="Times New Roman" w:hAnsi="Times New Roman" w:eastAsia="宋体"/>
      <w:sz w:val="18"/>
      <w:szCs w:val="18"/>
    </w:rPr>
  </w:style>
  <w:style w:type="paragraph" w:customStyle="1" w:styleId="4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43">
    <w:name w:val="新正文 Char Char"/>
    <w:link w:val="44"/>
    <w:qFormat/>
    <w:uiPriority w:val="0"/>
    <w:rPr>
      <w:rFonts w:eastAsia="宋体"/>
      <w:sz w:val="28"/>
    </w:rPr>
  </w:style>
  <w:style w:type="paragraph" w:customStyle="1" w:styleId="44">
    <w:name w:val="新正文"/>
    <w:basedOn w:val="1"/>
    <w:link w:val="43"/>
    <w:qFormat/>
    <w:uiPriority w:val="0"/>
    <w:pPr>
      <w:adjustRightInd/>
      <w:snapToGrid/>
      <w:spacing w:before="0" w:after="0" w:line="240" w:lineRule="auto"/>
      <w:ind w:firstLine="480" w:firstLineChars="200"/>
    </w:pPr>
    <w:rPr>
      <w:rFonts w:asciiTheme="minorHAnsi" w:hAnsiTheme="minorHAnsi"/>
      <w:sz w:val="28"/>
    </w:rPr>
  </w:style>
  <w:style w:type="character" w:customStyle="1" w:styleId="45">
    <w:name w:val="正文文本 字符"/>
    <w:basedOn w:val="27"/>
    <w:link w:val="13"/>
    <w:qFormat/>
    <w:uiPriority w:val="1"/>
    <w:rPr>
      <w:rFonts w:ascii="Microsoft JhengHei" w:hAnsi="Microsoft JhengHei" w:eastAsia="Microsoft JhengHei" w:cs="宋体"/>
      <w:kern w:val="0"/>
      <w:sz w:val="32"/>
      <w:szCs w:val="32"/>
    </w:rPr>
  </w:style>
  <w:style w:type="table" w:customStyle="1" w:styleId="46">
    <w:name w:val="三线条表格"/>
    <w:basedOn w:val="25"/>
    <w:qFormat/>
    <w:uiPriority w:val="99"/>
    <w:pPr>
      <w:spacing w:line="0" w:lineRule="atLeast"/>
    </w:pPr>
    <w:tblPr>
      <w:jc w:val="center"/>
      <w:tblBorders>
        <w:top w:val="single" w:color="auto" w:sz="12" w:space="0"/>
        <w:bottom w:val="single" w:color="auto" w:sz="12" w:space="0"/>
        <w:insideH w:val="single" w:color="auto" w:sz="4" w:space="0"/>
      </w:tblBorders>
    </w:tblPr>
    <w:trPr>
      <w:tblHeader/>
      <w:jc w:val="center"/>
    </w:trPr>
    <w:tcPr>
      <w:vAlign w:val="center"/>
    </w:tcPr>
  </w:style>
  <w:style w:type="paragraph" w:customStyle="1" w:styleId="47">
    <w:name w:val="列出段落1"/>
    <w:basedOn w:val="1"/>
    <w:qFormat/>
    <w:uiPriority w:val="34"/>
    <w:pPr>
      <w:adjustRightInd/>
      <w:snapToGrid/>
      <w:ind w:firstLine="420" w:firstLineChars="200"/>
    </w:pPr>
    <w:rPr>
      <w:rFonts w:cs="Times New Roman"/>
      <w:sz w:val="21"/>
      <w:szCs w:val="24"/>
    </w:rPr>
  </w:style>
  <w:style w:type="paragraph" w:customStyle="1" w:styleId="48">
    <w:name w:val="表格"/>
    <w:basedOn w:val="1"/>
    <w:qFormat/>
    <w:uiPriority w:val="0"/>
    <w:pPr>
      <w:widowControl/>
      <w:adjustRightInd/>
      <w:snapToGrid/>
      <w:spacing w:before="0" w:after="0" w:line="240" w:lineRule="auto"/>
      <w:jc w:val="center"/>
    </w:pPr>
    <w:rPr>
      <w:rFonts w:cs="Times New Roman" w:eastAsiaTheme="minorEastAsia"/>
      <w:bCs/>
      <w:kern w:val="0"/>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49.wmf"/><Relationship Id="rId98" Type="http://schemas.openxmlformats.org/officeDocument/2006/relationships/oleObject" Target="embeddings/oleObject43.bin"/><Relationship Id="rId97" Type="http://schemas.openxmlformats.org/officeDocument/2006/relationships/image" Target="media/image48.png"/><Relationship Id="rId96" Type="http://schemas.openxmlformats.org/officeDocument/2006/relationships/image" Target="media/image47.png"/><Relationship Id="rId95" Type="http://schemas.openxmlformats.org/officeDocument/2006/relationships/image" Target="media/image46.jpeg"/><Relationship Id="rId94" Type="http://schemas.openxmlformats.org/officeDocument/2006/relationships/image" Target="media/image45.jpeg"/><Relationship Id="rId93" Type="http://schemas.openxmlformats.org/officeDocument/2006/relationships/image" Target="media/image44.png"/><Relationship Id="rId92" Type="http://schemas.openxmlformats.org/officeDocument/2006/relationships/image" Target="media/image43.png"/><Relationship Id="rId91" Type="http://schemas.openxmlformats.org/officeDocument/2006/relationships/image" Target="media/image42.png"/><Relationship Id="rId90" Type="http://schemas.openxmlformats.org/officeDocument/2006/relationships/image" Target="media/image41.wmf"/><Relationship Id="rId9" Type="http://schemas.openxmlformats.org/officeDocument/2006/relationships/image" Target="media/image2.png"/><Relationship Id="rId89" Type="http://schemas.openxmlformats.org/officeDocument/2006/relationships/oleObject" Target="embeddings/oleObject42.bin"/><Relationship Id="rId88" Type="http://schemas.openxmlformats.org/officeDocument/2006/relationships/image" Target="media/image40.wmf"/><Relationship Id="rId87" Type="http://schemas.openxmlformats.org/officeDocument/2006/relationships/oleObject" Target="embeddings/oleObject41.bin"/><Relationship Id="rId86" Type="http://schemas.openxmlformats.org/officeDocument/2006/relationships/oleObject" Target="embeddings/oleObject40.bin"/><Relationship Id="rId85" Type="http://schemas.openxmlformats.org/officeDocument/2006/relationships/image" Target="media/image39.wmf"/><Relationship Id="rId84" Type="http://schemas.openxmlformats.org/officeDocument/2006/relationships/oleObject" Target="embeddings/oleObject39.bin"/><Relationship Id="rId83" Type="http://schemas.openxmlformats.org/officeDocument/2006/relationships/image" Target="media/image38.wmf"/><Relationship Id="rId82" Type="http://schemas.openxmlformats.org/officeDocument/2006/relationships/oleObject" Target="embeddings/oleObject38.bin"/><Relationship Id="rId81" Type="http://schemas.openxmlformats.org/officeDocument/2006/relationships/image" Target="media/image37.wmf"/><Relationship Id="rId80" Type="http://schemas.openxmlformats.org/officeDocument/2006/relationships/oleObject" Target="embeddings/oleObject37.bin"/><Relationship Id="rId8" Type="http://schemas.openxmlformats.org/officeDocument/2006/relationships/image" Target="media/image1.png"/><Relationship Id="rId79" Type="http://schemas.openxmlformats.org/officeDocument/2006/relationships/image" Target="media/image36.wmf"/><Relationship Id="rId78" Type="http://schemas.openxmlformats.org/officeDocument/2006/relationships/oleObject" Target="embeddings/oleObject36.bin"/><Relationship Id="rId77" Type="http://schemas.openxmlformats.org/officeDocument/2006/relationships/image" Target="media/image35.wmf"/><Relationship Id="rId76" Type="http://schemas.openxmlformats.org/officeDocument/2006/relationships/oleObject" Target="embeddings/oleObject35.bin"/><Relationship Id="rId75" Type="http://schemas.openxmlformats.org/officeDocument/2006/relationships/image" Target="media/image34.wmf"/><Relationship Id="rId74" Type="http://schemas.openxmlformats.org/officeDocument/2006/relationships/oleObject" Target="embeddings/oleObject34.bin"/><Relationship Id="rId73" Type="http://schemas.openxmlformats.org/officeDocument/2006/relationships/image" Target="media/image33.wmf"/><Relationship Id="rId72" Type="http://schemas.openxmlformats.org/officeDocument/2006/relationships/oleObject" Target="embeddings/oleObject33.bin"/><Relationship Id="rId71" Type="http://schemas.openxmlformats.org/officeDocument/2006/relationships/image" Target="media/image32.wmf"/><Relationship Id="rId70" Type="http://schemas.openxmlformats.org/officeDocument/2006/relationships/oleObject" Target="embeddings/oleObject32.bin"/><Relationship Id="rId7" Type="http://schemas.openxmlformats.org/officeDocument/2006/relationships/theme" Target="theme/theme1.xml"/><Relationship Id="rId69" Type="http://schemas.openxmlformats.org/officeDocument/2006/relationships/image" Target="media/image31.wmf"/><Relationship Id="rId68" Type="http://schemas.openxmlformats.org/officeDocument/2006/relationships/oleObject" Target="embeddings/oleObject31.bin"/><Relationship Id="rId67" Type="http://schemas.openxmlformats.org/officeDocument/2006/relationships/image" Target="media/image30.wmf"/><Relationship Id="rId66" Type="http://schemas.openxmlformats.org/officeDocument/2006/relationships/oleObject" Target="embeddings/oleObject30.bin"/><Relationship Id="rId65" Type="http://schemas.openxmlformats.org/officeDocument/2006/relationships/image" Target="media/image29.wmf"/><Relationship Id="rId64" Type="http://schemas.openxmlformats.org/officeDocument/2006/relationships/oleObject" Target="embeddings/oleObject29.bin"/><Relationship Id="rId63" Type="http://schemas.openxmlformats.org/officeDocument/2006/relationships/image" Target="media/image28.wmf"/><Relationship Id="rId62" Type="http://schemas.openxmlformats.org/officeDocument/2006/relationships/oleObject" Target="embeddings/oleObject28.bin"/><Relationship Id="rId61" Type="http://schemas.openxmlformats.org/officeDocument/2006/relationships/image" Target="media/image27.wmf"/><Relationship Id="rId60" Type="http://schemas.openxmlformats.org/officeDocument/2006/relationships/oleObject" Target="embeddings/oleObject27.bin"/><Relationship Id="rId6" Type="http://schemas.openxmlformats.org/officeDocument/2006/relationships/footer" Target="footer4.xml"/><Relationship Id="rId59" Type="http://schemas.openxmlformats.org/officeDocument/2006/relationships/image" Target="media/image26.wmf"/><Relationship Id="rId58" Type="http://schemas.openxmlformats.org/officeDocument/2006/relationships/oleObject" Target="embeddings/oleObject26.bin"/><Relationship Id="rId57" Type="http://schemas.openxmlformats.org/officeDocument/2006/relationships/image" Target="media/image25.wmf"/><Relationship Id="rId56" Type="http://schemas.openxmlformats.org/officeDocument/2006/relationships/oleObject" Target="embeddings/oleObject25.bin"/><Relationship Id="rId55" Type="http://schemas.openxmlformats.org/officeDocument/2006/relationships/image" Target="media/image24.wmf"/><Relationship Id="rId54" Type="http://schemas.openxmlformats.org/officeDocument/2006/relationships/oleObject" Target="embeddings/oleObject24.bin"/><Relationship Id="rId53" Type="http://schemas.openxmlformats.org/officeDocument/2006/relationships/image" Target="media/image23.wmf"/><Relationship Id="rId52" Type="http://schemas.openxmlformats.org/officeDocument/2006/relationships/oleObject" Target="embeddings/oleObject23.bin"/><Relationship Id="rId51" Type="http://schemas.openxmlformats.org/officeDocument/2006/relationships/oleObject" Target="embeddings/oleObject22.bin"/><Relationship Id="rId50" Type="http://schemas.openxmlformats.org/officeDocument/2006/relationships/oleObject" Target="embeddings/oleObject21.bin"/><Relationship Id="rId5" Type="http://schemas.openxmlformats.org/officeDocument/2006/relationships/footer" Target="footer3.xml"/><Relationship Id="rId49" Type="http://schemas.openxmlformats.org/officeDocument/2006/relationships/image" Target="media/image22.wmf"/><Relationship Id="rId48" Type="http://schemas.openxmlformats.org/officeDocument/2006/relationships/oleObject" Target="embeddings/oleObject20.bin"/><Relationship Id="rId47" Type="http://schemas.openxmlformats.org/officeDocument/2006/relationships/image" Target="media/image21.wmf"/><Relationship Id="rId46" Type="http://schemas.openxmlformats.org/officeDocument/2006/relationships/oleObject" Target="embeddings/oleObject19.bin"/><Relationship Id="rId45" Type="http://schemas.openxmlformats.org/officeDocument/2006/relationships/image" Target="media/image20.wmf"/><Relationship Id="rId44" Type="http://schemas.openxmlformats.org/officeDocument/2006/relationships/oleObject" Target="embeddings/oleObject18.bin"/><Relationship Id="rId43" Type="http://schemas.openxmlformats.org/officeDocument/2006/relationships/image" Target="media/image19.wmf"/><Relationship Id="rId42" Type="http://schemas.openxmlformats.org/officeDocument/2006/relationships/oleObject" Target="embeddings/oleObject17.bin"/><Relationship Id="rId41" Type="http://schemas.openxmlformats.org/officeDocument/2006/relationships/image" Target="media/image18.wmf"/><Relationship Id="rId40" Type="http://schemas.openxmlformats.org/officeDocument/2006/relationships/oleObject" Target="embeddings/oleObject16.bin"/><Relationship Id="rId4" Type="http://schemas.openxmlformats.org/officeDocument/2006/relationships/footer" Target="footer2.xml"/><Relationship Id="rId39" Type="http://schemas.openxmlformats.org/officeDocument/2006/relationships/image" Target="media/image17.wmf"/><Relationship Id="rId38" Type="http://schemas.openxmlformats.org/officeDocument/2006/relationships/oleObject" Target="embeddings/oleObject15.bin"/><Relationship Id="rId37" Type="http://schemas.openxmlformats.org/officeDocument/2006/relationships/oleObject" Target="embeddings/oleObject14.bin"/><Relationship Id="rId36" Type="http://schemas.openxmlformats.org/officeDocument/2006/relationships/oleObject" Target="embeddings/oleObject13.bin"/><Relationship Id="rId35" Type="http://schemas.openxmlformats.org/officeDocument/2006/relationships/image" Target="media/image16.wmf"/><Relationship Id="rId34" Type="http://schemas.openxmlformats.org/officeDocument/2006/relationships/oleObject" Target="embeddings/oleObject12.bin"/><Relationship Id="rId33" Type="http://schemas.openxmlformats.org/officeDocument/2006/relationships/oleObject" Target="embeddings/oleObject11.bin"/><Relationship Id="rId32" Type="http://schemas.openxmlformats.org/officeDocument/2006/relationships/oleObject" Target="embeddings/oleObject10.bin"/><Relationship Id="rId31" Type="http://schemas.openxmlformats.org/officeDocument/2006/relationships/image" Target="media/image15.wmf"/><Relationship Id="rId30" Type="http://schemas.openxmlformats.org/officeDocument/2006/relationships/oleObject" Target="embeddings/oleObject9.bin"/><Relationship Id="rId3" Type="http://schemas.openxmlformats.org/officeDocument/2006/relationships/footer" Target="footer1.xml"/><Relationship Id="rId29" Type="http://schemas.openxmlformats.org/officeDocument/2006/relationships/image" Target="media/image14.wmf"/><Relationship Id="rId28" Type="http://schemas.openxmlformats.org/officeDocument/2006/relationships/oleObject" Target="embeddings/oleObject8.bin"/><Relationship Id="rId27" Type="http://schemas.openxmlformats.org/officeDocument/2006/relationships/image" Target="media/image13.wmf"/><Relationship Id="rId26" Type="http://schemas.openxmlformats.org/officeDocument/2006/relationships/oleObject" Target="embeddings/oleObject7.bin"/><Relationship Id="rId25" Type="http://schemas.openxmlformats.org/officeDocument/2006/relationships/image" Target="media/image12.wmf"/><Relationship Id="rId24" Type="http://schemas.openxmlformats.org/officeDocument/2006/relationships/oleObject" Target="embeddings/oleObject6.bin"/><Relationship Id="rId23" Type="http://schemas.openxmlformats.org/officeDocument/2006/relationships/image" Target="media/image11.wmf"/><Relationship Id="rId22" Type="http://schemas.openxmlformats.org/officeDocument/2006/relationships/oleObject" Target="embeddings/oleObject5.bin"/><Relationship Id="rId21" Type="http://schemas.openxmlformats.org/officeDocument/2006/relationships/image" Target="media/image10.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3.bin"/><Relationship Id="rId17" Type="http://schemas.openxmlformats.org/officeDocument/2006/relationships/image" Target="media/image8.wmf"/><Relationship Id="rId16" Type="http://schemas.openxmlformats.org/officeDocument/2006/relationships/oleObject" Target="embeddings/oleObject2.bin"/><Relationship Id="rId15" Type="http://schemas.openxmlformats.org/officeDocument/2006/relationships/image" Target="media/image7.wmf"/><Relationship Id="rId14" Type="http://schemas.openxmlformats.org/officeDocument/2006/relationships/oleObject" Target="embeddings/oleObject1.bin"/><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4" Type="http://schemas.openxmlformats.org/officeDocument/2006/relationships/fontTable" Target="fontTable.xml"/><Relationship Id="rId103" Type="http://schemas.openxmlformats.org/officeDocument/2006/relationships/customXml" Target="../customXml/item2.xml"/><Relationship Id="rId102" Type="http://schemas.openxmlformats.org/officeDocument/2006/relationships/numbering" Target="numbering.xml"/><Relationship Id="rId101" Type="http://schemas.openxmlformats.org/officeDocument/2006/relationships/customXml" Target="../customXml/item1.xml"/><Relationship Id="rId100" Type="http://schemas.openxmlformats.org/officeDocument/2006/relationships/image" Target="media/image50.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15B883-578A-4AC3-AA0A-7F43FC12E8F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48</Pages>
  <Words>4952</Words>
  <Characters>28229</Characters>
  <Lines>235</Lines>
  <Paragraphs>66</Paragraphs>
  <TotalTime>0</TotalTime>
  <ScaleCrop>false</ScaleCrop>
  <LinksUpToDate>false</LinksUpToDate>
  <CharactersWithSpaces>33115</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2020-09-11T09:13:00Z</dcterms:created>
  <dc:creator>admin</dc:creator>
  <cp:lastModifiedBy>谭</cp:lastModifiedBy>
  <cp:lastPrinted>2020-09-28T01:06:00Z</cp:lastPrinted>
  <dcterms:modified xsi:type="dcterms:W3CDTF">2020-12-15T08:01:08Z</dcterms:modified>
  <cp:revision>256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