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07C1" w:rsidRDefault="00F0427B">
      <w:pPr>
        <w:tabs>
          <w:tab w:val="left" w:pos="6240"/>
        </w:tabs>
        <w:spacing w:line="560" w:lineRule="exact"/>
        <w:rPr>
          <w:rFonts w:ascii="仿宋_GB2312" w:eastAsia="仿宋_GB2312"/>
          <w:b/>
          <w:bCs/>
          <w:color w:val="000000"/>
          <w:sz w:val="36"/>
          <w:szCs w:val="36"/>
        </w:rPr>
      </w:pPr>
      <w:r>
        <w:rPr>
          <w:rFonts w:ascii="仿宋_GB2312" w:eastAsia="仿宋_GB2312" w:hint="eastAsia"/>
          <w:color w:val="000000" w:themeColor="text1"/>
          <w:sz w:val="24"/>
        </w:rPr>
        <w:t xml:space="preserve">                         </w:t>
      </w:r>
    </w:p>
    <w:p w:rsidR="008A07C1" w:rsidRDefault="00F0427B">
      <w:pPr>
        <w:spacing w:line="360" w:lineRule="auto"/>
        <w:jc w:val="center"/>
        <w:rPr>
          <w:rFonts w:eastAsia="黑体"/>
          <w:sz w:val="36"/>
          <w:szCs w:val="36"/>
        </w:rPr>
      </w:pPr>
      <w:r>
        <w:rPr>
          <w:rFonts w:eastAsia="黑体" w:hint="eastAsia"/>
          <w:sz w:val="36"/>
          <w:szCs w:val="36"/>
        </w:rPr>
        <w:t>关于</w:t>
      </w:r>
      <w:r w:rsidR="00F43416" w:rsidRPr="00F43416">
        <w:rPr>
          <w:rFonts w:eastAsia="黑体" w:hint="eastAsia"/>
          <w:sz w:val="36"/>
          <w:szCs w:val="36"/>
        </w:rPr>
        <w:t>中国石化销售股份有限公司湖南益阳石油分公司</w:t>
      </w:r>
    </w:p>
    <w:p w:rsidR="008A07C1" w:rsidRDefault="00F43416">
      <w:pPr>
        <w:spacing w:line="360" w:lineRule="auto"/>
        <w:jc w:val="center"/>
        <w:rPr>
          <w:rFonts w:eastAsia="黑体"/>
          <w:sz w:val="36"/>
          <w:szCs w:val="36"/>
        </w:rPr>
      </w:pPr>
      <w:r w:rsidRPr="00F43416">
        <w:rPr>
          <w:rFonts w:eastAsia="黑体" w:hint="eastAsia"/>
          <w:sz w:val="36"/>
          <w:szCs w:val="36"/>
        </w:rPr>
        <w:t>湖南益阳茈湖口加油站建设项目</w:t>
      </w:r>
      <w:r w:rsidR="00F0427B">
        <w:rPr>
          <w:rFonts w:eastAsia="黑体" w:hint="eastAsia"/>
          <w:sz w:val="36"/>
          <w:szCs w:val="36"/>
        </w:rPr>
        <w:t>环境影响报告表的批复</w:t>
      </w:r>
    </w:p>
    <w:p w:rsidR="008A07C1" w:rsidRDefault="008A07C1">
      <w:pPr>
        <w:spacing w:line="560" w:lineRule="exact"/>
        <w:rPr>
          <w:rFonts w:ascii="仿宋_GB2312" w:eastAsia="仿宋_GB2312" w:hAnsi="黑体"/>
          <w:color w:val="000000"/>
          <w:sz w:val="36"/>
          <w:szCs w:val="36"/>
        </w:rPr>
      </w:pPr>
    </w:p>
    <w:p w:rsidR="008A07C1" w:rsidRDefault="00F43416">
      <w:pPr>
        <w:spacing w:line="560" w:lineRule="exact"/>
        <w:rPr>
          <w:rFonts w:ascii="仿宋_GB2312" w:eastAsia="仿宋_GB2312"/>
          <w:szCs w:val="32"/>
        </w:rPr>
      </w:pPr>
      <w:r w:rsidRPr="00F43416">
        <w:rPr>
          <w:rFonts w:ascii="仿宋_GB2312" w:eastAsia="仿宋_GB2312" w:hint="eastAsia"/>
          <w:szCs w:val="32"/>
        </w:rPr>
        <w:t>中国石化销售股份有限公司湖南益阳石油分公司</w:t>
      </w:r>
      <w:r w:rsidR="00F0427B">
        <w:rPr>
          <w:rFonts w:ascii="仿宋_GB2312" w:eastAsia="仿宋_GB2312" w:hint="eastAsia"/>
          <w:szCs w:val="32"/>
        </w:rPr>
        <w:t>：</w:t>
      </w:r>
    </w:p>
    <w:p w:rsidR="008A07C1" w:rsidRDefault="00F0427B">
      <w:pPr>
        <w:spacing w:line="560" w:lineRule="exact"/>
        <w:ind w:firstLineChars="200" w:firstLine="656"/>
        <w:rPr>
          <w:rFonts w:ascii="仿宋_GB2312" w:eastAsia="仿宋_GB2312"/>
          <w:color w:val="000000"/>
          <w:spacing w:val="4"/>
          <w:szCs w:val="32"/>
        </w:rPr>
      </w:pPr>
      <w:r>
        <w:rPr>
          <w:rFonts w:ascii="仿宋_GB2312" w:eastAsia="仿宋_GB2312" w:hint="eastAsia"/>
          <w:color w:val="000000"/>
          <w:spacing w:val="4"/>
          <w:szCs w:val="32"/>
        </w:rPr>
        <w:t>你单位呈报的由湖南方瑞节能环保咨询有限公司编制的《</w:t>
      </w:r>
      <w:r w:rsidR="00F43416" w:rsidRPr="00F43416">
        <w:rPr>
          <w:rFonts w:ascii="仿宋_GB2312" w:eastAsia="仿宋_GB2312" w:hint="eastAsia"/>
          <w:color w:val="000000"/>
          <w:spacing w:val="4"/>
          <w:szCs w:val="32"/>
        </w:rPr>
        <w:t>湖南益阳茈湖口加油站建设项目</w:t>
      </w:r>
      <w:r>
        <w:rPr>
          <w:rFonts w:ascii="仿宋_GB2312" w:eastAsia="仿宋_GB2312" w:hint="eastAsia"/>
          <w:color w:val="000000"/>
          <w:spacing w:val="4"/>
          <w:szCs w:val="32"/>
        </w:rPr>
        <w:t>环境影响报告表》收悉。经审查，批复如下：</w:t>
      </w:r>
    </w:p>
    <w:p w:rsidR="008A07C1" w:rsidRDefault="00F43416" w:rsidP="00F43416">
      <w:pPr>
        <w:numPr>
          <w:ilvl w:val="0"/>
          <w:numId w:val="1"/>
        </w:numPr>
        <w:spacing w:line="560" w:lineRule="exact"/>
        <w:ind w:firstLine="640"/>
        <w:rPr>
          <w:rFonts w:ascii="仿宋_GB2312" w:eastAsia="仿宋_GB2312"/>
          <w:color w:val="000000"/>
          <w:spacing w:val="4"/>
          <w:szCs w:val="32"/>
        </w:rPr>
      </w:pPr>
      <w:r w:rsidRPr="00F43416">
        <w:rPr>
          <w:rFonts w:ascii="仿宋_GB2312" w:eastAsia="仿宋_GB2312" w:hint="eastAsia"/>
          <w:bCs/>
          <w:szCs w:val="32"/>
        </w:rPr>
        <w:t>湖南益阳茈湖口加油站</w:t>
      </w:r>
      <w:r>
        <w:rPr>
          <w:rFonts w:ascii="仿宋_GB2312" w:eastAsia="仿宋_GB2312" w:hint="eastAsia"/>
          <w:bCs/>
          <w:szCs w:val="32"/>
        </w:rPr>
        <w:t>位于</w:t>
      </w:r>
      <w:r w:rsidRPr="00F43416">
        <w:rPr>
          <w:rFonts w:ascii="仿宋_GB2312" w:eastAsia="仿宋_GB2312" w:hint="eastAsia"/>
          <w:bCs/>
          <w:szCs w:val="32"/>
        </w:rPr>
        <w:t>资阳区茈湖口镇S317省道一侧</w:t>
      </w:r>
      <w:r>
        <w:rPr>
          <w:rFonts w:ascii="仿宋_GB2312" w:eastAsia="仿宋_GB2312" w:hint="eastAsia"/>
          <w:bCs/>
          <w:szCs w:val="32"/>
        </w:rPr>
        <w:t>，</w:t>
      </w:r>
      <w:r w:rsidR="00F0427B">
        <w:rPr>
          <w:rFonts w:ascii="仿宋_GB2312" w:eastAsia="仿宋_GB2312" w:hint="eastAsia"/>
          <w:bCs/>
          <w:szCs w:val="32"/>
        </w:rPr>
        <w:t>项目总投资</w:t>
      </w:r>
      <w:r>
        <w:rPr>
          <w:rFonts w:ascii="仿宋_GB2312" w:eastAsia="仿宋_GB2312" w:hint="eastAsia"/>
          <w:bCs/>
          <w:szCs w:val="32"/>
        </w:rPr>
        <w:t>5</w:t>
      </w:r>
      <w:r w:rsidR="00F0427B">
        <w:rPr>
          <w:rFonts w:ascii="仿宋_GB2312" w:eastAsia="仿宋_GB2312" w:hint="eastAsia"/>
          <w:bCs/>
          <w:szCs w:val="32"/>
        </w:rPr>
        <w:t>0</w:t>
      </w:r>
      <w:r w:rsidR="00F0427B">
        <w:rPr>
          <w:rFonts w:ascii="仿宋_GB2312" w:eastAsia="仿宋_GB2312" w:hint="eastAsia"/>
          <w:bCs/>
          <w:szCs w:val="32"/>
        </w:rPr>
        <w:t>0</w:t>
      </w:r>
      <w:r w:rsidR="00F0427B">
        <w:rPr>
          <w:rFonts w:ascii="仿宋_GB2312" w:eastAsia="仿宋_GB2312" w:hint="eastAsia"/>
          <w:bCs/>
          <w:szCs w:val="32"/>
        </w:rPr>
        <w:t>万元，</w:t>
      </w:r>
      <w:r w:rsidRPr="00F43416">
        <w:rPr>
          <w:rFonts w:ascii="仿宋_GB2312" w:eastAsia="仿宋_GB2312" w:hint="eastAsia"/>
          <w:bCs/>
          <w:szCs w:val="32"/>
        </w:rPr>
        <w:t>占地1250m</w:t>
      </w:r>
      <w:r w:rsidRPr="00F43416">
        <w:rPr>
          <w:rFonts w:ascii="仿宋_GB2312" w:eastAsia="仿宋_GB2312" w:hint="eastAsia"/>
          <w:bCs/>
          <w:szCs w:val="32"/>
          <w:vertAlign w:val="superscript"/>
        </w:rPr>
        <w:t>2</w:t>
      </w:r>
      <w:r w:rsidRPr="00F43416">
        <w:rPr>
          <w:rFonts w:ascii="仿宋_GB2312" w:eastAsia="仿宋_GB2312" w:hint="eastAsia"/>
          <w:bCs/>
          <w:szCs w:val="32"/>
        </w:rPr>
        <w:t>，其中加油棚占地面积270m</w:t>
      </w:r>
      <w:r w:rsidRPr="00F43416">
        <w:rPr>
          <w:rFonts w:ascii="仿宋_GB2312" w:eastAsia="仿宋_GB2312" w:hint="eastAsia"/>
          <w:bCs/>
          <w:szCs w:val="32"/>
          <w:vertAlign w:val="superscript"/>
        </w:rPr>
        <w:t>2</w:t>
      </w:r>
      <w:r w:rsidRPr="00F43416">
        <w:rPr>
          <w:rFonts w:ascii="仿宋_GB2312" w:eastAsia="仿宋_GB2312" w:hint="eastAsia"/>
          <w:bCs/>
          <w:szCs w:val="32"/>
        </w:rPr>
        <w:t>，营业室站房建筑面积180m</w:t>
      </w:r>
      <w:r w:rsidRPr="00F43416">
        <w:rPr>
          <w:rFonts w:ascii="仿宋_GB2312" w:eastAsia="仿宋_GB2312" w:hint="eastAsia"/>
          <w:bCs/>
          <w:szCs w:val="32"/>
          <w:vertAlign w:val="superscript"/>
        </w:rPr>
        <w:t>2</w:t>
      </w:r>
      <w:r w:rsidRPr="00F43416">
        <w:rPr>
          <w:rFonts w:ascii="仿宋_GB2312" w:eastAsia="仿宋_GB2312" w:hint="eastAsia"/>
          <w:bCs/>
          <w:szCs w:val="32"/>
        </w:rPr>
        <w:t>，加油站设加油岛4台，配钢制双层地埋卧式储油罐3个，其中20m</w:t>
      </w:r>
      <w:r w:rsidRPr="00F43416">
        <w:rPr>
          <w:rFonts w:ascii="宋体" w:eastAsia="宋体" w:hAnsi="宋体" w:cs="宋体" w:hint="eastAsia"/>
          <w:bCs/>
          <w:szCs w:val="32"/>
        </w:rPr>
        <w:t>³</w:t>
      </w:r>
      <w:r w:rsidRPr="00F43416">
        <w:rPr>
          <w:rFonts w:ascii="仿宋_GB2312" w:eastAsia="仿宋_GB2312" w:hint="eastAsia"/>
          <w:bCs/>
          <w:szCs w:val="32"/>
        </w:rPr>
        <w:t>SF双层柴油罐1个（0#），20m</w:t>
      </w:r>
      <w:r w:rsidRPr="00F43416">
        <w:rPr>
          <w:rFonts w:ascii="仿宋_GB2312" w:eastAsia="仿宋_GB2312" w:hint="eastAsia"/>
          <w:bCs/>
          <w:szCs w:val="32"/>
          <w:vertAlign w:val="superscript"/>
        </w:rPr>
        <w:t>3</w:t>
      </w:r>
      <w:r w:rsidRPr="00F43416">
        <w:rPr>
          <w:rFonts w:ascii="仿宋_GB2312" w:eastAsia="仿宋_GB2312" w:hint="eastAsia"/>
          <w:bCs/>
          <w:szCs w:val="32"/>
        </w:rPr>
        <w:t>SF双层汽油罐2个（92#1个、95#1个），总罐容为60m</w:t>
      </w:r>
      <w:r w:rsidRPr="00F43416">
        <w:rPr>
          <w:rFonts w:ascii="宋体" w:eastAsia="宋体" w:hAnsi="宋体" w:cs="宋体" w:hint="eastAsia"/>
          <w:bCs/>
          <w:szCs w:val="32"/>
        </w:rPr>
        <w:t>³</w:t>
      </w:r>
      <w:r w:rsidRPr="00F43416">
        <w:rPr>
          <w:rFonts w:ascii="仿宋" w:eastAsia="仿宋" w:hAnsi="仿宋" w:cs="仿宋" w:hint="eastAsia"/>
          <w:bCs/>
          <w:szCs w:val="32"/>
        </w:rPr>
        <w:t>，折合油总储量</w:t>
      </w:r>
      <w:r w:rsidRPr="00F43416">
        <w:rPr>
          <w:rFonts w:ascii="仿宋_GB2312" w:eastAsia="仿宋_GB2312" w:hint="eastAsia"/>
          <w:bCs/>
          <w:szCs w:val="32"/>
        </w:rPr>
        <w:t>50m</w:t>
      </w:r>
      <w:r w:rsidRPr="00F43416">
        <w:rPr>
          <w:rFonts w:ascii="宋体" w:eastAsia="宋体" w:hAnsi="宋体" w:cs="宋体" w:hint="eastAsia"/>
          <w:bCs/>
          <w:szCs w:val="32"/>
        </w:rPr>
        <w:t>³</w:t>
      </w:r>
      <w:r w:rsidRPr="00F43416">
        <w:rPr>
          <w:rFonts w:ascii="仿宋" w:eastAsia="仿宋" w:hAnsi="仿宋" w:cs="仿宋" w:hint="eastAsia"/>
          <w:bCs/>
          <w:szCs w:val="32"/>
        </w:rPr>
        <w:t>（柴油容积折半）</w:t>
      </w:r>
      <w:r>
        <w:rPr>
          <w:rFonts w:ascii="仿宋" w:eastAsia="仿宋" w:hAnsi="仿宋" w:cs="仿宋" w:hint="eastAsia"/>
          <w:bCs/>
          <w:szCs w:val="32"/>
        </w:rPr>
        <w:t>，</w:t>
      </w:r>
      <w:r w:rsidRPr="00F43416">
        <w:rPr>
          <w:rFonts w:ascii="仿宋" w:eastAsia="仿宋" w:hAnsi="仿宋" w:cs="仿宋" w:hint="eastAsia"/>
          <w:bCs/>
          <w:szCs w:val="32"/>
        </w:rPr>
        <w:t>为三级加油站</w:t>
      </w:r>
      <w:r w:rsidRPr="00F43416">
        <w:rPr>
          <w:rFonts w:ascii="仿宋_GB2312" w:eastAsia="仿宋_GB2312" w:hint="eastAsia"/>
          <w:bCs/>
          <w:szCs w:val="32"/>
        </w:rPr>
        <w:t>。</w:t>
      </w:r>
      <w:r w:rsidR="00F0427B">
        <w:rPr>
          <w:rFonts w:ascii="仿宋_GB2312" w:eastAsia="仿宋_GB2312" w:hint="eastAsia"/>
          <w:color w:val="000000"/>
          <w:spacing w:val="4"/>
          <w:szCs w:val="32"/>
        </w:rPr>
        <w:t>项目符合国家产业政策，选址合理。根据报告表的分析结论及专家意见，在建设单位认真落实报告表提出的各项污染防治和风险防范措施，确保外排污染物稳定达标</w:t>
      </w:r>
      <w:r w:rsidR="00F0427B">
        <w:rPr>
          <w:rFonts w:ascii="仿宋_GB2312" w:eastAsia="仿宋_GB2312" w:hAnsi="仿宋_GB2312" w:cs="仿宋_GB2312" w:hint="eastAsia"/>
          <w:szCs w:val="32"/>
        </w:rPr>
        <w:t>、环境风险可控的前提下</w:t>
      </w:r>
      <w:r w:rsidR="00F0427B">
        <w:rPr>
          <w:rFonts w:ascii="仿宋_GB2312" w:eastAsia="仿宋_GB2312" w:hint="eastAsia"/>
          <w:color w:val="000000"/>
          <w:spacing w:val="4"/>
          <w:szCs w:val="32"/>
        </w:rPr>
        <w:t>，从环境保护角度分析，我局同意该</w:t>
      </w:r>
      <w:r w:rsidR="00F0427B">
        <w:rPr>
          <w:rFonts w:ascii="仿宋_GB2312" w:eastAsia="仿宋_GB2312" w:hint="eastAsia"/>
          <w:bCs/>
          <w:color w:val="000000"/>
          <w:spacing w:val="4"/>
          <w:szCs w:val="32"/>
        </w:rPr>
        <w:t>项目</w:t>
      </w:r>
      <w:r w:rsidR="00F0427B">
        <w:rPr>
          <w:rFonts w:ascii="仿宋_GB2312" w:eastAsia="仿宋_GB2312" w:hint="eastAsia"/>
          <w:color w:val="000000"/>
          <w:spacing w:val="4"/>
          <w:szCs w:val="32"/>
        </w:rPr>
        <w:t>的选址并建设。</w:t>
      </w:r>
    </w:p>
    <w:p w:rsidR="008A07C1" w:rsidRDefault="00F0427B">
      <w:pPr>
        <w:numPr>
          <w:ilvl w:val="0"/>
          <w:numId w:val="1"/>
        </w:numPr>
        <w:spacing w:line="560" w:lineRule="exact"/>
        <w:ind w:firstLineChars="200" w:firstLine="656"/>
        <w:rPr>
          <w:rFonts w:ascii="仿宋_GB2312" w:eastAsia="仿宋_GB2312"/>
          <w:color w:val="000000"/>
          <w:spacing w:val="4"/>
          <w:szCs w:val="32"/>
        </w:rPr>
      </w:pPr>
      <w:r>
        <w:rPr>
          <w:rFonts w:ascii="仿宋_GB2312" w:eastAsia="仿宋_GB2312" w:hint="eastAsia"/>
          <w:color w:val="000000"/>
          <w:spacing w:val="4"/>
          <w:szCs w:val="32"/>
        </w:rPr>
        <w:t>建设单位在工程设计、建设和运营过程中，必须严格按照报告表要求落实各项污染防治措施，并着重做好如下工作：</w:t>
      </w:r>
    </w:p>
    <w:p w:rsidR="008A07C1" w:rsidRDefault="00F0427B">
      <w:pPr>
        <w:spacing w:line="560" w:lineRule="exact"/>
        <w:ind w:firstLine="629"/>
        <w:rPr>
          <w:rFonts w:ascii="仿宋" w:eastAsia="仿宋" w:hAnsi="仿宋"/>
          <w:szCs w:val="32"/>
        </w:rPr>
      </w:pPr>
      <w:r>
        <w:rPr>
          <w:rFonts w:ascii="仿宋" w:eastAsia="仿宋" w:hAnsi="仿宋" w:hint="eastAsia"/>
          <w:szCs w:val="32"/>
        </w:rPr>
        <w:lastRenderedPageBreak/>
        <w:t>（</w:t>
      </w:r>
      <w:r>
        <w:rPr>
          <w:rFonts w:ascii="仿宋" w:eastAsia="仿宋" w:hAnsi="仿宋" w:hint="eastAsia"/>
          <w:szCs w:val="32"/>
        </w:rPr>
        <w:t>一</w:t>
      </w:r>
      <w:r>
        <w:rPr>
          <w:rFonts w:ascii="仿宋" w:eastAsia="仿宋" w:hAnsi="仿宋" w:hint="eastAsia"/>
          <w:szCs w:val="32"/>
        </w:rPr>
        <w:t>）</w:t>
      </w:r>
      <w:r w:rsidR="00F43416" w:rsidRPr="00F43416">
        <w:rPr>
          <w:rFonts w:ascii="仿宋" w:eastAsia="仿宋" w:hAnsi="仿宋" w:hint="eastAsia"/>
          <w:szCs w:val="32"/>
        </w:rPr>
        <w:t>加强环境管理，建立环境管理机构，配备专职或兼职环保管理人员，完善环境管理的各项规章制度，完善各项应急事故处理措施，定期对“三废”治理设施，应急处理设施进行维护和检查，确保各项污染物达标排放和环境安全。</w:t>
      </w:r>
    </w:p>
    <w:p w:rsidR="008A07C1" w:rsidRDefault="00F0427B">
      <w:pPr>
        <w:spacing w:line="560" w:lineRule="exact"/>
        <w:ind w:firstLineChars="200" w:firstLine="616"/>
        <w:rPr>
          <w:rFonts w:ascii="仿宋_GB2312" w:eastAsia="仿宋_GB2312"/>
          <w:color w:val="000000"/>
          <w:spacing w:val="4"/>
          <w:szCs w:val="32"/>
        </w:rPr>
      </w:pPr>
      <w:r>
        <w:rPr>
          <w:rFonts w:ascii="仿宋" w:eastAsia="仿宋" w:hAnsi="仿宋" w:hint="eastAsia"/>
          <w:spacing w:val="-6"/>
          <w:szCs w:val="32"/>
        </w:rPr>
        <w:t>（</w:t>
      </w:r>
      <w:r>
        <w:rPr>
          <w:rFonts w:ascii="仿宋" w:eastAsia="仿宋" w:hAnsi="仿宋" w:hint="eastAsia"/>
          <w:spacing w:val="-6"/>
          <w:szCs w:val="32"/>
        </w:rPr>
        <w:t>二</w:t>
      </w:r>
      <w:r>
        <w:rPr>
          <w:rFonts w:ascii="仿宋" w:eastAsia="仿宋" w:hAnsi="仿宋" w:hint="eastAsia"/>
          <w:spacing w:val="-6"/>
          <w:szCs w:val="32"/>
        </w:rPr>
        <w:t>）</w:t>
      </w:r>
      <w:r>
        <w:rPr>
          <w:rFonts w:ascii="仿宋" w:eastAsia="仿宋" w:hAnsi="仿宋"/>
          <w:spacing w:val="-6"/>
          <w:szCs w:val="32"/>
        </w:rPr>
        <w:t>落实大气污染防治措施</w:t>
      </w:r>
      <w:r>
        <w:rPr>
          <w:rFonts w:ascii="仿宋" w:eastAsia="仿宋" w:hAnsi="仿宋"/>
          <w:color w:val="000000" w:themeColor="text1"/>
          <w:szCs w:val="32"/>
        </w:rPr>
        <w:t>。</w:t>
      </w:r>
      <w:r w:rsidR="00F43416" w:rsidRPr="00F43416">
        <w:rPr>
          <w:rFonts w:ascii="仿宋" w:eastAsia="仿宋" w:hAnsi="仿宋" w:hint="eastAsia"/>
          <w:color w:val="000000" w:themeColor="text1"/>
          <w:szCs w:val="32"/>
        </w:rPr>
        <w:t>本项目大气污染物主要来自油品在收集、运输、储备和发油过程中挥发的非甲烷总烃，必须按环评要求，分别采取有效措施，</w:t>
      </w:r>
      <w:r w:rsidR="00D70918" w:rsidRPr="00D70918">
        <w:rPr>
          <w:rFonts w:ascii="仿宋" w:eastAsia="仿宋" w:hAnsi="仿宋" w:hint="eastAsia"/>
          <w:color w:val="000000" w:themeColor="text1"/>
          <w:szCs w:val="32"/>
        </w:rPr>
        <w:t>场界非甲烷总烃浓度</w:t>
      </w:r>
      <w:r w:rsidR="00D70918">
        <w:rPr>
          <w:rFonts w:ascii="仿宋" w:eastAsia="仿宋" w:hAnsi="仿宋" w:hint="eastAsia"/>
          <w:color w:val="000000" w:themeColor="text1"/>
          <w:szCs w:val="32"/>
        </w:rPr>
        <w:t>达到</w:t>
      </w:r>
      <w:r w:rsidR="00D70918" w:rsidRPr="00D70918">
        <w:rPr>
          <w:rFonts w:ascii="仿宋" w:eastAsia="仿宋" w:hAnsi="仿宋" w:hint="eastAsia"/>
          <w:color w:val="000000" w:themeColor="text1"/>
          <w:szCs w:val="32"/>
        </w:rPr>
        <w:t>《大气污染物综合排放标准》（GB16297-1996）</w:t>
      </w:r>
      <w:r w:rsidR="00D70918">
        <w:rPr>
          <w:rFonts w:ascii="仿宋" w:eastAsia="仿宋" w:hAnsi="仿宋" w:hint="eastAsia"/>
          <w:color w:val="000000" w:themeColor="text1"/>
          <w:szCs w:val="32"/>
        </w:rPr>
        <w:t>中</w:t>
      </w:r>
      <w:r w:rsidR="00D70918" w:rsidRPr="00D70918">
        <w:rPr>
          <w:rFonts w:ascii="仿宋" w:eastAsia="仿宋" w:hAnsi="仿宋" w:hint="eastAsia"/>
          <w:color w:val="000000" w:themeColor="text1"/>
          <w:szCs w:val="32"/>
        </w:rPr>
        <w:t>限值</w:t>
      </w:r>
      <w:r w:rsidR="00D70918">
        <w:rPr>
          <w:rFonts w:ascii="仿宋" w:eastAsia="仿宋" w:hAnsi="仿宋" w:hint="eastAsia"/>
          <w:color w:val="000000" w:themeColor="text1"/>
          <w:szCs w:val="32"/>
        </w:rPr>
        <w:t>要求</w:t>
      </w:r>
      <w:r w:rsidR="00D70918" w:rsidRPr="00D70918">
        <w:rPr>
          <w:rFonts w:ascii="仿宋" w:eastAsia="仿宋" w:hAnsi="仿宋" w:hint="eastAsia"/>
          <w:color w:val="000000" w:themeColor="text1"/>
          <w:szCs w:val="32"/>
        </w:rPr>
        <w:t>；</w:t>
      </w:r>
      <w:r w:rsidR="00D70918">
        <w:rPr>
          <w:rFonts w:ascii="仿宋" w:eastAsia="仿宋" w:hAnsi="仿宋" w:hint="eastAsia"/>
          <w:color w:val="000000" w:themeColor="text1"/>
          <w:szCs w:val="32"/>
        </w:rPr>
        <w:t>场区达到</w:t>
      </w:r>
      <w:r w:rsidR="00D70918" w:rsidRPr="00D70918">
        <w:rPr>
          <w:rFonts w:ascii="仿宋" w:eastAsia="仿宋" w:hAnsi="仿宋" w:hint="eastAsia"/>
          <w:color w:val="000000" w:themeColor="text1"/>
          <w:szCs w:val="32"/>
        </w:rPr>
        <w:t>《挥发性有机物无组织排放控制标准》（GB37822-2019）</w:t>
      </w:r>
      <w:r w:rsidR="00D70918">
        <w:rPr>
          <w:rFonts w:ascii="仿宋" w:eastAsia="仿宋" w:hAnsi="仿宋" w:hint="eastAsia"/>
          <w:color w:val="000000" w:themeColor="text1"/>
          <w:szCs w:val="32"/>
        </w:rPr>
        <w:t>标准要求</w:t>
      </w:r>
      <w:r w:rsidR="00D70918" w:rsidRPr="00D70918">
        <w:rPr>
          <w:rFonts w:ascii="仿宋" w:eastAsia="仿宋" w:hAnsi="仿宋" w:hint="eastAsia"/>
          <w:color w:val="000000" w:themeColor="text1"/>
          <w:szCs w:val="32"/>
        </w:rPr>
        <w:t>；油气处理装置排气口的油气排放浓度</w:t>
      </w:r>
      <w:r w:rsidR="00D70918">
        <w:rPr>
          <w:rFonts w:ascii="仿宋" w:eastAsia="仿宋" w:hAnsi="仿宋" w:hint="eastAsia"/>
          <w:color w:val="000000" w:themeColor="text1"/>
          <w:szCs w:val="32"/>
        </w:rPr>
        <w:t>达到</w:t>
      </w:r>
      <w:r w:rsidR="00D70918" w:rsidRPr="00D70918">
        <w:rPr>
          <w:rFonts w:ascii="仿宋" w:eastAsia="仿宋" w:hAnsi="仿宋" w:hint="eastAsia"/>
          <w:color w:val="000000" w:themeColor="text1"/>
          <w:szCs w:val="32"/>
        </w:rPr>
        <w:t>《加油站大气污染物排放标准》（GB 20952-2007）（≤25g/m</w:t>
      </w:r>
      <w:r w:rsidR="00D70918" w:rsidRPr="00D70918">
        <w:rPr>
          <w:rFonts w:ascii="仿宋" w:eastAsia="仿宋" w:hAnsi="仿宋" w:hint="eastAsia"/>
          <w:color w:val="000000" w:themeColor="text1"/>
          <w:szCs w:val="32"/>
          <w:vertAlign w:val="superscript"/>
        </w:rPr>
        <w:t>3</w:t>
      </w:r>
      <w:r w:rsidR="00D70918" w:rsidRPr="00D70918">
        <w:rPr>
          <w:rFonts w:ascii="仿宋" w:eastAsia="仿宋" w:hAnsi="仿宋" w:hint="eastAsia"/>
          <w:color w:val="000000" w:themeColor="text1"/>
          <w:szCs w:val="32"/>
        </w:rPr>
        <w:t>）</w:t>
      </w:r>
      <w:r w:rsidR="00D70918">
        <w:rPr>
          <w:rFonts w:ascii="仿宋" w:eastAsia="仿宋" w:hAnsi="仿宋" w:hint="eastAsia"/>
          <w:color w:val="000000" w:themeColor="text1"/>
          <w:szCs w:val="32"/>
        </w:rPr>
        <w:t>要求；</w:t>
      </w:r>
      <w:r>
        <w:rPr>
          <w:rFonts w:ascii="仿宋" w:eastAsia="仿宋" w:hAnsi="仿宋" w:hint="eastAsia"/>
          <w:color w:val="000000" w:themeColor="text1"/>
          <w:szCs w:val="32"/>
        </w:rPr>
        <w:t>食堂油烟经油烟净化器处理后引至屋顶排放</w:t>
      </w:r>
      <w:r>
        <w:rPr>
          <w:rFonts w:ascii="仿宋" w:eastAsia="仿宋" w:hAnsi="仿宋" w:hint="eastAsia"/>
          <w:color w:val="000000" w:themeColor="text1"/>
          <w:szCs w:val="32"/>
        </w:rPr>
        <w:t>达到《饮食业油烟排放标准（试行）》（</w:t>
      </w:r>
      <w:r>
        <w:rPr>
          <w:rFonts w:ascii="仿宋" w:eastAsia="仿宋" w:hAnsi="仿宋" w:hint="eastAsia"/>
          <w:color w:val="000000" w:themeColor="text1"/>
          <w:szCs w:val="32"/>
        </w:rPr>
        <w:t>GB18483-2001</w:t>
      </w:r>
      <w:r>
        <w:rPr>
          <w:rFonts w:ascii="仿宋" w:eastAsia="仿宋" w:hAnsi="仿宋" w:hint="eastAsia"/>
          <w:color w:val="000000" w:themeColor="text1"/>
          <w:szCs w:val="32"/>
        </w:rPr>
        <w:t>）标准限值要求</w:t>
      </w:r>
      <w:r>
        <w:rPr>
          <w:rFonts w:ascii="仿宋_GB2312" w:eastAsia="仿宋_GB2312" w:hint="eastAsia"/>
          <w:color w:val="000000"/>
          <w:spacing w:val="4"/>
          <w:szCs w:val="32"/>
        </w:rPr>
        <w:t>。</w:t>
      </w:r>
    </w:p>
    <w:p w:rsidR="008A07C1" w:rsidRDefault="00F0427B">
      <w:pPr>
        <w:spacing w:line="560" w:lineRule="exact"/>
        <w:ind w:firstLineChars="200" w:firstLine="640"/>
        <w:rPr>
          <w:rFonts w:ascii="仿宋_GB2312" w:eastAsia="仿宋_GB2312"/>
          <w:color w:val="000000"/>
          <w:spacing w:val="4"/>
          <w:szCs w:val="32"/>
        </w:rPr>
      </w:pPr>
      <w:r>
        <w:rPr>
          <w:rFonts w:ascii="仿宋" w:eastAsia="仿宋" w:hAnsi="仿宋" w:hint="eastAsia"/>
          <w:szCs w:val="32"/>
        </w:rPr>
        <w:t>（</w:t>
      </w:r>
      <w:r>
        <w:rPr>
          <w:rFonts w:ascii="仿宋" w:eastAsia="仿宋" w:hAnsi="仿宋" w:hint="eastAsia"/>
          <w:szCs w:val="32"/>
        </w:rPr>
        <w:t>三</w:t>
      </w:r>
      <w:r>
        <w:rPr>
          <w:rFonts w:ascii="仿宋" w:eastAsia="仿宋" w:hAnsi="仿宋" w:hint="eastAsia"/>
          <w:szCs w:val="32"/>
        </w:rPr>
        <w:t>）落实水污染防治措施。</w:t>
      </w:r>
      <w:r w:rsidR="00D70918" w:rsidRPr="00D70918">
        <w:rPr>
          <w:rFonts w:ascii="仿宋_GB2312" w:eastAsia="仿宋_GB2312" w:hint="eastAsia"/>
          <w:color w:val="000000"/>
          <w:spacing w:val="4"/>
          <w:szCs w:val="32"/>
        </w:rPr>
        <w:t>按“雨污分流”原则建设场区排污管道，认真落实报告表提出的废水处理方案。本项目运营期产生的废水主要来自于站区的冲洗用水</w:t>
      </w:r>
      <w:r w:rsidR="00D70918">
        <w:rPr>
          <w:rFonts w:ascii="仿宋_GB2312" w:eastAsia="仿宋_GB2312" w:hint="eastAsia"/>
          <w:color w:val="000000"/>
          <w:spacing w:val="4"/>
          <w:szCs w:val="32"/>
        </w:rPr>
        <w:t>、站内员工生活用水以及往来乘客的冲厕用水。</w:t>
      </w:r>
      <w:r w:rsidR="00D70918" w:rsidRPr="00D70918">
        <w:rPr>
          <w:rFonts w:ascii="仿宋_GB2312" w:eastAsia="仿宋_GB2312" w:hint="eastAsia"/>
          <w:color w:val="000000"/>
          <w:spacing w:val="4"/>
          <w:szCs w:val="32"/>
        </w:rPr>
        <w:t>生活污水经</w:t>
      </w:r>
      <w:r w:rsidR="00D70918">
        <w:rPr>
          <w:rFonts w:ascii="仿宋_GB2312" w:eastAsia="仿宋_GB2312" w:hint="eastAsia"/>
          <w:color w:val="000000"/>
          <w:spacing w:val="4"/>
          <w:szCs w:val="32"/>
        </w:rPr>
        <w:t>隔油池、</w:t>
      </w:r>
      <w:r w:rsidR="00D70918" w:rsidRPr="00D70918">
        <w:rPr>
          <w:rFonts w:ascii="仿宋_GB2312" w:eastAsia="仿宋_GB2312" w:hint="eastAsia"/>
          <w:color w:val="000000"/>
          <w:spacing w:val="4"/>
          <w:szCs w:val="32"/>
        </w:rPr>
        <w:t>化粪池处理后</w:t>
      </w:r>
      <w:r w:rsidR="00D70918">
        <w:rPr>
          <w:rFonts w:ascii="仿宋_GB2312" w:eastAsia="仿宋_GB2312" w:hint="eastAsia"/>
          <w:color w:val="000000"/>
          <w:spacing w:val="4"/>
          <w:szCs w:val="32"/>
        </w:rPr>
        <w:t>，</w:t>
      </w:r>
      <w:r w:rsidR="00D70918" w:rsidRPr="00D70918">
        <w:rPr>
          <w:rFonts w:ascii="仿宋_GB2312" w:eastAsia="仿宋_GB2312" w:hint="eastAsia"/>
          <w:color w:val="000000"/>
          <w:spacing w:val="4"/>
          <w:szCs w:val="32"/>
        </w:rPr>
        <w:t>场地冲洗废水经隔油池处理后，</w:t>
      </w:r>
      <w:r w:rsidR="00D70918">
        <w:rPr>
          <w:rFonts w:ascii="仿宋_GB2312" w:eastAsia="仿宋_GB2312" w:hint="eastAsia"/>
          <w:color w:val="000000"/>
          <w:spacing w:val="4"/>
          <w:szCs w:val="32"/>
        </w:rPr>
        <w:t>回用于农田灌溉或站区北侧</w:t>
      </w:r>
      <w:r w:rsidR="00D70918" w:rsidRPr="00D70918">
        <w:rPr>
          <w:rFonts w:ascii="仿宋_GB2312" w:eastAsia="仿宋_GB2312" w:hint="eastAsia"/>
          <w:color w:val="000000"/>
          <w:spacing w:val="4"/>
          <w:szCs w:val="32"/>
        </w:rPr>
        <w:t>池塘补水</w:t>
      </w:r>
      <w:r>
        <w:rPr>
          <w:rFonts w:ascii="仿宋_GB2312" w:eastAsia="仿宋_GB2312" w:hint="eastAsia"/>
          <w:color w:val="000000"/>
          <w:spacing w:val="4"/>
          <w:szCs w:val="32"/>
        </w:rPr>
        <w:t>。</w:t>
      </w:r>
    </w:p>
    <w:p w:rsidR="008A07C1" w:rsidRDefault="00F0427B">
      <w:pPr>
        <w:spacing w:line="560" w:lineRule="exact"/>
        <w:ind w:firstLineChars="200" w:firstLine="640"/>
        <w:rPr>
          <w:rFonts w:ascii="仿宋_GB2312" w:eastAsia="仿宋_GB2312"/>
          <w:color w:val="000000"/>
          <w:spacing w:val="4"/>
          <w:szCs w:val="32"/>
        </w:rPr>
      </w:pPr>
      <w:r>
        <w:rPr>
          <w:rFonts w:ascii="仿宋" w:eastAsia="仿宋" w:hAnsi="仿宋" w:hint="eastAsia"/>
          <w:szCs w:val="32"/>
        </w:rPr>
        <w:t>（</w:t>
      </w:r>
      <w:r>
        <w:rPr>
          <w:rFonts w:ascii="仿宋" w:eastAsia="仿宋" w:hAnsi="仿宋" w:hint="eastAsia"/>
          <w:szCs w:val="32"/>
        </w:rPr>
        <w:t>四</w:t>
      </w:r>
      <w:r>
        <w:rPr>
          <w:rFonts w:ascii="仿宋" w:eastAsia="仿宋" w:hAnsi="仿宋" w:hint="eastAsia"/>
          <w:szCs w:val="32"/>
        </w:rPr>
        <w:t>）</w:t>
      </w:r>
      <w:r>
        <w:rPr>
          <w:rFonts w:ascii="仿宋" w:eastAsia="仿宋" w:hAnsi="仿宋" w:hint="eastAsia"/>
          <w:szCs w:val="32"/>
        </w:rPr>
        <w:t>落实固体废弃物处置措施。</w:t>
      </w:r>
      <w:r>
        <w:rPr>
          <w:rFonts w:ascii="仿宋_GB2312" w:eastAsia="仿宋_GB2312" w:hint="eastAsia"/>
          <w:color w:val="000000"/>
          <w:spacing w:val="4"/>
          <w:szCs w:val="32"/>
        </w:rPr>
        <w:t>按照“无害化、资源化、减量化”的原则，做好固废的分类收集、暂存、安全处置和综合利用工作。</w:t>
      </w:r>
      <w:r w:rsidR="00D70918" w:rsidRPr="00D70918">
        <w:rPr>
          <w:rFonts w:ascii="仿宋_GB2312" w:eastAsia="仿宋_GB2312" w:hint="eastAsia"/>
          <w:color w:val="000000"/>
          <w:spacing w:val="4"/>
          <w:szCs w:val="32"/>
        </w:rPr>
        <w:t>本项目固体废物主要为工作人员产生的生活垃圾和清理油罐后产生的含油污泥</w:t>
      </w:r>
      <w:r w:rsidR="00D70918">
        <w:rPr>
          <w:rFonts w:ascii="仿宋_GB2312" w:eastAsia="仿宋_GB2312" w:hint="eastAsia"/>
          <w:color w:val="000000"/>
          <w:spacing w:val="4"/>
          <w:szCs w:val="32"/>
        </w:rPr>
        <w:t>、</w:t>
      </w:r>
      <w:r w:rsidR="00D70918" w:rsidRPr="00D70918">
        <w:rPr>
          <w:rFonts w:ascii="仿宋_GB2312" w:eastAsia="仿宋_GB2312" w:hint="eastAsia"/>
          <w:color w:val="000000"/>
          <w:spacing w:val="4"/>
          <w:szCs w:val="32"/>
        </w:rPr>
        <w:t>含油抹布、手套</w:t>
      </w:r>
      <w:r w:rsidR="00D70918">
        <w:rPr>
          <w:rFonts w:ascii="仿宋_GB2312" w:eastAsia="仿宋_GB2312" w:hint="eastAsia"/>
          <w:color w:val="000000"/>
          <w:spacing w:val="4"/>
          <w:szCs w:val="32"/>
        </w:rPr>
        <w:t>等</w:t>
      </w:r>
      <w:r w:rsidR="00D70918" w:rsidRPr="00D70918">
        <w:rPr>
          <w:rFonts w:ascii="仿宋_GB2312" w:eastAsia="仿宋_GB2312" w:hint="eastAsia"/>
          <w:color w:val="000000"/>
          <w:spacing w:val="4"/>
          <w:szCs w:val="32"/>
        </w:rPr>
        <w:t>。</w:t>
      </w:r>
      <w:r w:rsidR="00D70918" w:rsidRPr="00D70918">
        <w:rPr>
          <w:rFonts w:ascii="仿宋_GB2312" w:eastAsia="仿宋_GB2312" w:hint="eastAsia"/>
          <w:color w:val="000000"/>
          <w:spacing w:val="4"/>
          <w:szCs w:val="32"/>
        </w:rPr>
        <w:lastRenderedPageBreak/>
        <w:t>生活垃圾必须由专人收集，采取全封闭式集中堆放，定时清运处理。清理油罐后产生的</w:t>
      </w:r>
      <w:r w:rsidR="00D70918" w:rsidRPr="00D70918">
        <w:rPr>
          <w:rFonts w:ascii="仿宋_GB2312" w:eastAsia="仿宋_GB2312" w:hint="eastAsia"/>
          <w:color w:val="000000"/>
          <w:spacing w:val="4"/>
          <w:szCs w:val="32"/>
        </w:rPr>
        <w:t>含油污泥</w:t>
      </w:r>
      <w:r w:rsidR="00D70918">
        <w:rPr>
          <w:rFonts w:ascii="仿宋_GB2312" w:eastAsia="仿宋_GB2312" w:hint="eastAsia"/>
          <w:color w:val="000000"/>
          <w:spacing w:val="4"/>
          <w:szCs w:val="32"/>
        </w:rPr>
        <w:t>、</w:t>
      </w:r>
      <w:r w:rsidR="00D70918" w:rsidRPr="00D70918">
        <w:rPr>
          <w:rFonts w:ascii="仿宋_GB2312" w:eastAsia="仿宋_GB2312" w:hint="eastAsia"/>
          <w:color w:val="000000"/>
          <w:spacing w:val="4"/>
          <w:szCs w:val="32"/>
        </w:rPr>
        <w:t>含油抹布、手套</w:t>
      </w:r>
      <w:r w:rsidR="00D70918">
        <w:rPr>
          <w:rFonts w:ascii="仿宋_GB2312" w:eastAsia="仿宋_GB2312" w:hint="eastAsia"/>
          <w:color w:val="000000"/>
          <w:spacing w:val="4"/>
          <w:szCs w:val="32"/>
        </w:rPr>
        <w:t>等</w:t>
      </w:r>
      <w:r w:rsidR="00D70918" w:rsidRPr="00D70918">
        <w:rPr>
          <w:rFonts w:ascii="仿宋_GB2312" w:eastAsia="仿宋_GB2312" w:hint="eastAsia"/>
          <w:color w:val="000000"/>
          <w:spacing w:val="4"/>
          <w:szCs w:val="32"/>
        </w:rPr>
        <w:t>属危险废物，必须送有资质的单位进行</w:t>
      </w:r>
      <w:r>
        <w:rPr>
          <w:rFonts w:ascii="仿宋_GB2312" w:eastAsia="仿宋_GB2312" w:hint="eastAsia"/>
          <w:color w:val="000000"/>
          <w:spacing w:val="4"/>
          <w:szCs w:val="32"/>
        </w:rPr>
        <w:t>安全</w:t>
      </w:r>
      <w:r w:rsidR="00D70918" w:rsidRPr="00D70918">
        <w:rPr>
          <w:rFonts w:ascii="仿宋_GB2312" w:eastAsia="仿宋_GB2312" w:hint="eastAsia"/>
          <w:color w:val="000000"/>
          <w:spacing w:val="4"/>
          <w:szCs w:val="32"/>
        </w:rPr>
        <w:t>处理。</w:t>
      </w:r>
    </w:p>
    <w:p w:rsidR="008A07C1" w:rsidRDefault="00F0427B">
      <w:pPr>
        <w:spacing w:line="560" w:lineRule="exact"/>
        <w:ind w:firstLineChars="200" w:firstLine="640"/>
        <w:rPr>
          <w:rFonts w:ascii="仿宋_GB2312" w:eastAsia="仿宋_GB2312" w:hint="eastAsia"/>
          <w:color w:val="000000"/>
          <w:spacing w:val="4"/>
          <w:szCs w:val="32"/>
        </w:rPr>
      </w:pPr>
      <w:r>
        <w:rPr>
          <w:rFonts w:ascii="仿宋" w:eastAsia="仿宋" w:hAnsi="仿宋" w:hint="eastAsia"/>
          <w:szCs w:val="32"/>
        </w:rPr>
        <w:t>（</w:t>
      </w:r>
      <w:r>
        <w:rPr>
          <w:rFonts w:ascii="仿宋" w:eastAsia="仿宋" w:hAnsi="仿宋" w:hint="eastAsia"/>
          <w:szCs w:val="32"/>
        </w:rPr>
        <w:t>五</w:t>
      </w:r>
      <w:r>
        <w:rPr>
          <w:rFonts w:ascii="仿宋" w:eastAsia="仿宋" w:hAnsi="仿宋" w:hint="eastAsia"/>
          <w:szCs w:val="32"/>
        </w:rPr>
        <w:t>）落实噪声污染防治措施。</w:t>
      </w:r>
      <w:r w:rsidR="00D70918" w:rsidRPr="00D70918">
        <w:rPr>
          <w:rFonts w:ascii="仿宋_GB2312" w:eastAsia="仿宋_GB2312" w:hint="eastAsia"/>
          <w:color w:val="000000"/>
          <w:spacing w:val="4"/>
          <w:szCs w:val="32"/>
        </w:rPr>
        <w:t>本项目噪声主要来自加油机油泵、加油车辆进出等产生的噪声。必须通过合理布局，选用低噪声设备，加装降噪减振设施，对进出站机动车辆严格管理，设置绿化隔离带等措施，</w:t>
      </w:r>
      <w:r w:rsidR="00D70918">
        <w:rPr>
          <w:rFonts w:ascii="仿宋_GB2312" w:eastAsia="仿宋_GB2312" w:hint="eastAsia"/>
          <w:color w:val="000000"/>
          <w:spacing w:val="4"/>
          <w:szCs w:val="32"/>
        </w:rPr>
        <w:t>使区域</w:t>
      </w:r>
      <w:r w:rsidR="00D70918" w:rsidRPr="00D70918">
        <w:rPr>
          <w:rFonts w:ascii="仿宋_GB2312" w:eastAsia="仿宋_GB2312" w:hint="eastAsia"/>
          <w:color w:val="000000"/>
          <w:spacing w:val="4"/>
          <w:szCs w:val="32"/>
        </w:rPr>
        <w:t>噪声降到最低达到《工业企业厂界环境噪声排放标准》（GB12348-2008）2类标准，临近城市主干路一侧达到《工业企业厂界环境噪声排放标准》（GB12348-2008）4类标准。</w:t>
      </w:r>
    </w:p>
    <w:p w:rsidR="008A07C1" w:rsidRDefault="00F0427B">
      <w:pPr>
        <w:spacing w:line="560" w:lineRule="exact"/>
        <w:ind w:firstLineChars="200" w:firstLine="656"/>
        <w:rPr>
          <w:rFonts w:ascii="仿宋_GB2312" w:eastAsia="仿宋_GB2312"/>
          <w:color w:val="000000"/>
          <w:spacing w:val="4"/>
          <w:szCs w:val="32"/>
        </w:rPr>
      </w:pPr>
      <w:r>
        <w:rPr>
          <w:rFonts w:ascii="仿宋_GB2312" w:eastAsia="仿宋_GB2312" w:hint="eastAsia"/>
          <w:color w:val="000000"/>
          <w:spacing w:val="4"/>
          <w:szCs w:val="32"/>
        </w:rPr>
        <w:t>三</w:t>
      </w:r>
      <w:r>
        <w:rPr>
          <w:rFonts w:ascii="仿宋_GB2312" w:eastAsia="仿宋_GB2312" w:hint="eastAsia"/>
          <w:color w:val="000000"/>
          <w:spacing w:val="4"/>
          <w:szCs w:val="32"/>
        </w:rPr>
        <w:t>、</w:t>
      </w:r>
      <w:r w:rsidRPr="00F0427B">
        <w:rPr>
          <w:rFonts w:ascii="仿宋_GB2312" w:eastAsia="仿宋_GB2312" w:hint="eastAsia"/>
          <w:color w:val="000000"/>
          <w:spacing w:val="4"/>
          <w:szCs w:val="32"/>
        </w:rPr>
        <w:t>中国石化销售股份有限公司湖南益阳石油分公司</w:t>
      </w:r>
      <w:r>
        <w:rPr>
          <w:rFonts w:ascii="仿宋_GB2312" w:eastAsia="仿宋_GB2312" w:hint="eastAsia"/>
          <w:color w:val="000000"/>
          <w:spacing w:val="4"/>
          <w:szCs w:val="32"/>
        </w:rPr>
        <w:t>在本次环评审批后，须严格按照《报告表》的内容和批复要求落实各项污染防治措施，项目建成后，应按规定程序及时进行竣工环境保护验收。</w:t>
      </w:r>
    </w:p>
    <w:p w:rsidR="008A07C1" w:rsidRDefault="00F0427B">
      <w:pPr>
        <w:spacing w:line="560" w:lineRule="exact"/>
        <w:ind w:firstLineChars="200" w:firstLine="640"/>
        <w:rPr>
          <w:rFonts w:ascii="仿宋_GB2312" w:eastAsia="仿宋_GB2312"/>
        </w:rPr>
      </w:pPr>
      <w:r>
        <w:rPr>
          <w:rFonts w:ascii="仿宋_GB2312" w:eastAsia="仿宋_GB2312" w:hint="eastAsia"/>
        </w:rPr>
        <w:t>四、项目须建立完善的环境风险控制制度，</w:t>
      </w:r>
      <w:r w:rsidRPr="00D70918">
        <w:rPr>
          <w:rFonts w:ascii="仿宋_GB2312" w:eastAsia="仿宋_GB2312" w:hint="eastAsia"/>
          <w:color w:val="000000"/>
          <w:spacing w:val="4"/>
          <w:szCs w:val="32"/>
        </w:rPr>
        <w:t>加强环境风险防范工作。严格落实安全和消防的要求，加强员工安全教育培训，提高安全意识和安全防范；制定行之有效的环境风险事故应急预案和切实可行的应急措施，确保周边环境安全。</w:t>
      </w:r>
    </w:p>
    <w:p w:rsidR="008A07C1" w:rsidRDefault="00F0427B" w:rsidP="00F0427B">
      <w:pPr>
        <w:spacing w:line="560" w:lineRule="exact"/>
        <w:ind w:firstLineChars="200" w:firstLine="640"/>
        <w:rPr>
          <w:rFonts w:ascii="仿宋_GB2312" w:eastAsia="仿宋_GB2312"/>
        </w:rPr>
      </w:pPr>
      <w:r>
        <w:rPr>
          <w:rFonts w:ascii="仿宋_GB2312" w:eastAsia="仿宋_GB2312" w:hint="eastAsia"/>
        </w:rPr>
        <w:t>五</w:t>
      </w:r>
      <w:r w:rsidRPr="00F0427B">
        <w:rPr>
          <w:rFonts w:ascii="仿宋_GB2312" w:eastAsia="仿宋_GB2312" w:hint="eastAsia"/>
        </w:rPr>
        <w:t>、本项目的性质、规模、地点或者污染防治措施等发生重大变化时，应当重新向环保部门进行环评报批。</w:t>
      </w:r>
    </w:p>
    <w:p w:rsidR="008A07C1" w:rsidRDefault="00F0427B">
      <w:pPr>
        <w:spacing w:line="560" w:lineRule="exact"/>
        <w:ind w:firstLineChars="200" w:firstLine="640"/>
        <w:rPr>
          <w:rFonts w:ascii="仿宋_GB2312" w:eastAsia="仿宋_GB2312"/>
        </w:rPr>
      </w:pPr>
      <w:r>
        <w:rPr>
          <w:rFonts w:ascii="仿宋_GB2312" w:eastAsia="仿宋_GB2312" w:hint="eastAsia"/>
        </w:rPr>
        <w:t xml:space="preserve">                         </w:t>
      </w:r>
      <w:r>
        <w:rPr>
          <w:rFonts w:ascii="仿宋_GB2312" w:eastAsia="仿宋_GB2312" w:hint="eastAsia"/>
        </w:rPr>
        <w:t>益阳市生态</w:t>
      </w:r>
      <w:bookmarkStart w:id="0" w:name="_GoBack"/>
      <w:bookmarkEnd w:id="0"/>
      <w:r>
        <w:rPr>
          <w:rFonts w:ascii="仿宋_GB2312" w:eastAsia="仿宋_GB2312" w:hint="eastAsia"/>
        </w:rPr>
        <w:t>环境局</w:t>
      </w:r>
      <w:r>
        <w:rPr>
          <w:rFonts w:ascii="仿宋_GB2312" w:eastAsia="仿宋_GB2312" w:hint="eastAsia"/>
        </w:rPr>
        <w:t>资阳分局</w:t>
      </w:r>
    </w:p>
    <w:p w:rsidR="008A07C1" w:rsidRDefault="00F0427B">
      <w:pPr>
        <w:spacing w:line="560" w:lineRule="exact"/>
        <w:ind w:firstLineChars="200" w:firstLine="640"/>
        <w:rPr>
          <w:rFonts w:ascii="仿宋_GB2312" w:eastAsia="仿宋_GB2312"/>
          <w:color w:val="FF0000"/>
        </w:rPr>
      </w:pPr>
      <w:r>
        <w:rPr>
          <w:rFonts w:ascii="仿宋_GB2312" w:eastAsia="仿宋_GB2312" w:hint="eastAsia"/>
          <w:color w:val="FF0000"/>
        </w:rPr>
        <w:t xml:space="preserve">                                 </w:t>
      </w:r>
      <w:r>
        <w:rPr>
          <w:rFonts w:ascii="仿宋_GB2312" w:eastAsia="仿宋_GB2312" w:hint="eastAsia"/>
        </w:rPr>
        <w:t>2020</w:t>
      </w:r>
      <w:r>
        <w:rPr>
          <w:rFonts w:ascii="仿宋_GB2312" w:eastAsia="仿宋_GB2312" w:hint="eastAsia"/>
        </w:rPr>
        <w:t>年</w:t>
      </w:r>
      <w:r>
        <w:rPr>
          <w:rFonts w:ascii="仿宋_GB2312" w:eastAsia="仿宋_GB2312" w:hint="eastAsia"/>
        </w:rPr>
        <w:t xml:space="preserve">  </w:t>
      </w:r>
      <w:r>
        <w:rPr>
          <w:rFonts w:ascii="仿宋_GB2312" w:eastAsia="仿宋_GB2312" w:hint="eastAsia"/>
        </w:rPr>
        <w:t>月</w:t>
      </w:r>
      <w:r>
        <w:rPr>
          <w:rFonts w:ascii="仿宋_GB2312" w:eastAsia="仿宋_GB2312" w:hint="eastAsia"/>
        </w:rPr>
        <w:t xml:space="preserve">  </w:t>
      </w:r>
      <w:r>
        <w:rPr>
          <w:rFonts w:ascii="仿宋_GB2312" w:eastAsia="仿宋_GB2312" w:hint="eastAsia"/>
        </w:rPr>
        <w:t>日</w:t>
      </w:r>
    </w:p>
    <w:sectPr w:rsidR="008A07C1">
      <w:pgSz w:w="11906" w:h="16838"/>
      <w:pgMar w:top="1701" w:right="1701" w:bottom="1701" w:left="170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仿宋">
    <w:altName w:val="Malgun Gothic Semilight"/>
    <w:charset w:val="86"/>
    <w:family w:val="auto"/>
    <w:pitch w:val="variable"/>
    <w:sig w:usb0="00000000" w:usb1="080F0000" w:usb2="00000010" w:usb3="00000000" w:csb0="0004009F" w:csb1="00000000"/>
  </w:font>
  <w:font w:name="Arial Unicode MS">
    <w:altName w:val="Arial"/>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78EAEC"/>
    <w:multiLevelType w:val="singleLevel"/>
    <w:tmpl w:val="7478EAEC"/>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A417E"/>
    <w:rsid w:val="00001BF0"/>
    <w:rsid w:val="000048E1"/>
    <w:rsid w:val="00025DD7"/>
    <w:rsid w:val="0003774F"/>
    <w:rsid w:val="00045768"/>
    <w:rsid w:val="00051EBB"/>
    <w:rsid w:val="00061FF5"/>
    <w:rsid w:val="000631CD"/>
    <w:rsid w:val="00070A82"/>
    <w:rsid w:val="000731FD"/>
    <w:rsid w:val="00080857"/>
    <w:rsid w:val="00083200"/>
    <w:rsid w:val="000937FB"/>
    <w:rsid w:val="000B4630"/>
    <w:rsid w:val="000C0A77"/>
    <w:rsid w:val="000C212A"/>
    <w:rsid w:val="000D0A02"/>
    <w:rsid w:val="000D2CC4"/>
    <w:rsid w:val="000D481A"/>
    <w:rsid w:val="000D5172"/>
    <w:rsid w:val="000E1649"/>
    <w:rsid w:val="000F2C08"/>
    <w:rsid w:val="000F4556"/>
    <w:rsid w:val="00110053"/>
    <w:rsid w:val="00111F88"/>
    <w:rsid w:val="00117285"/>
    <w:rsid w:val="0012723E"/>
    <w:rsid w:val="00131AB6"/>
    <w:rsid w:val="001663FB"/>
    <w:rsid w:val="00183370"/>
    <w:rsid w:val="00185ED5"/>
    <w:rsid w:val="001A21A9"/>
    <w:rsid w:val="001A5E8D"/>
    <w:rsid w:val="001B2F42"/>
    <w:rsid w:val="001C3A30"/>
    <w:rsid w:val="001D2001"/>
    <w:rsid w:val="0022226D"/>
    <w:rsid w:val="002371E9"/>
    <w:rsid w:val="002549FF"/>
    <w:rsid w:val="00261EB2"/>
    <w:rsid w:val="00263B19"/>
    <w:rsid w:val="00290FDA"/>
    <w:rsid w:val="002C17C9"/>
    <w:rsid w:val="002C7DBB"/>
    <w:rsid w:val="002E1D0E"/>
    <w:rsid w:val="002F3855"/>
    <w:rsid w:val="0030248F"/>
    <w:rsid w:val="00306B0D"/>
    <w:rsid w:val="00310CA4"/>
    <w:rsid w:val="003113CF"/>
    <w:rsid w:val="003326FA"/>
    <w:rsid w:val="00350787"/>
    <w:rsid w:val="00355987"/>
    <w:rsid w:val="00360EF0"/>
    <w:rsid w:val="0036540D"/>
    <w:rsid w:val="0037180A"/>
    <w:rsid w:val="00372D78"/>
    <w:rsid w:val="00386FA5"/>
    <w:rsid w:val="003873AE"/>
    <w:rsid w:val="003962E8"/>
    <w:rsid w:val="003A3A37"/>
    <w:rsid w:val="003A417E"/>
    <w:rsid w:val="003B01AD"/>
    <w:rsid w:val="003B478D"/>
    <w:rsid w:val="003C033E"/>
    <w:rsid w:val="003C0B3E"/>
    <w:rsid w:val="003C6794"/>
    <w:rsid w:val="003C723E"/>
    <w:rsid w:val="003D7CF6"/>
    <w:rsid w:val="004126F5"/>
    <w:rsid w:val="00425753"/>
    <w:rsid w:val="004263B3"/>
    <w:rsid w:val="004263F7"/>
    <w:rsid w:val="00430BBE"/>
    <w:rsid w:val="004453C2"/>
    <w:rsid w:val="00453453"/>
    <w:rsid w:val="0045359D"/>
    <w:rsid w:val="0045451A"/>
    <w:rsid w:val="00462C7E"/>
    <w:rsid w:val="00471768"/>
    <w:rsid w:val="004765AE"/>
    <w:rsid w:val="00483AE6"/>
    <w:rsid w:val="004A33AC"/>
    <w:rsid w:val="004A7DE3"/>
    <w:rsid w:val="004B2C90"/>
    <w:rsid w:val="004B4DB9"/>
    <w:rsid w:val="004B72C7"/>
    <w:rsid w:val="004C6F89"/>
    <w:rsid w:val="004E1812"/>
    <w:rsid w:val="004E58E8"/>
    <w:rsid w:val="004E6E66"/>
    <w:rsid w:val="004F3A16"/>
    <w:rsid w:val="00507694"/>
    <w:rsid w:val="00540290"/>
    <w:rsid w:val="005655C9"/>
    <w:rsid w:val="005724A2"/>
    <w:rsid w:val="00574CE8"/>
    <w:rsid w:val="00592C7E"/>
    <w:rsid w:val="00594977"/>
    <w:rsid w:val="005A3F9F"/>
    <w:rsid w:val="005C1025"/>
    <w:rsid w:val="005C6754"/>
    <w:rsid w:val="005D39A4"/>
    <w:rsid w:val="005D5D29"/>
    <w:rsid w:val="005E3244"/>
    <w:rsid w:val="005E4435"/>
    <w:rsid w:val="005F17E9"/>
    <w:rsid w:val="00607224"/>
    <w:rsid w:val="006132DE"/>
    <w:rsid w:val="006277FB"/>
    <w:rsid w:val="00652255"/>
    <w:rsid w:val="00682E08"/>
    <w:rsid w:val="0068731F"/>
    <w:rsid w:val="00693AB7"/>
    <w:rsid w:val="006971BB"/>
    <w:rsid w:val="006F04FD"/>
    <w:rsid w:val="006F6BDD"/>
    <w:rsid w:val="00733AC7"/>
    <w:rsid w:val="00736DFB"/>
    <w:rsid w:val="007462E3"/>
    <w:rsid w:val="00750B05"/>
    <w:rsid w:val="00761219"/>
    <w:rsid w:val="00774D02"/>
    <w:rsid w:val="007A72EA"/>
    <w:rsid w:val="007B43D1"/>
    <w:rsid w:val="007C681B"/>
    <w:rsid w:val="007C72A6"/>
    <w:rsid w:val="007E59C8"/>
    <w:rsid w:val="007F14CB"/>
    <w:rsid w:val="00815E14"/>
    <w:rsid w:val="0086218D"/>
    <w:rsid w:val="008746D2"/>
    <w:rsid w:val="0089082A"/>
    <w:rsid w:val="008A07C1"/>
    <w:rsid w:val="008A0B01"/>
    <w:rsid w:val="008A1C29"/>
    <w:rsid w:val="008C36BC"/>
    <w:rsid w:val="008C5CA9"/>
    <w:rsid w:val="008D583C"/>
    <w:rsid w:val="008F23DE"/>
    <w:rsid w:val="00901A2D"/>
    <w:rsid w:val="00914280"/>
    <w:rsid w:val="0091432D"/>
    <w:rsid w:val="009278DE"/>
    <w:rsid w:val="00936875"/>
    <w:rsid w:val="009549B7"/>
    <w:rsid w:val="0095578A"/>
    <w:rsid w:val="0096441F"/>
    <w:rsid w:val="009A6627"/>
    <w:rsid w:val="009A7161"/>
    <w:rsid w:val="009C2585"/>
    <w:rsid w:val="009D5A3E"/>
    <w:rsid w:val="009E0D18"/>
    <w:rsid w:val="009F3762"/>
    <w:rsid w:val="00A040C7"/>
    <w:rsid w:val="00A40D17"/>
    <w:rsid w:val="00A50CF1"/>
    <w:rsid w:val="00A61D09"/>
    <w:rsid w:val="00A71067"/>
    <w:rsid w:val="00A75DD9"/>
    <w:rsid w:val="00A77751"/>
    <w:rsid w:val="00A8604D"/>
    <w:rsid w:val="00AC03A6"/>
    <w:rsid w:val="00AE6C55"/>
    <w:rsid w:val="00AF46EC"/>
    <w:rsid w:val="00B10801"/>
    <w:rsid w:val="00B3197F"/>
    <w:rsid w:val="00B33FA4"/>
    <w:rsid w:val="00B56F40"/>
    <w:rsid w:val="00B57591"/>
    <w:rsid w:val="00B64801"/>
    <w:rsid w:val="00B72013"/>
    <w:rsid w:val="00B777F7"/>
    <w:rsid w:val="00B80DB3"/>
    <w:rsid w:val="00B829CC"/>
    <w:rsid w:val="00B83300"/>
    <w:rsid w:val="00BB23D5"/>
    <w:rsid w:val="00BB7D3F"/>
    <w:rsid w:val="00BC4262"/>
    <w:rsid w:val="00BC78D4"/>
    <w:rsid w:val="00BD0548"/>
    <w:rsid w:val="00BD2723"/>
    <w:rsid w:val="00BF042C"/>
    <w:rsid w:val="00C131C0"/>
    <w:rsid w:val="00C31CFD"/>
    <w:rsid w:val="00C5157C"/>
    <w:rsid w:val="00C57A90"/>
    <w:rsid w:val="00C64DD0"/>
    <w:rsid w:val="00C75CEA"/>
    <w:rsid w:val="00C8365B"/>
    <w:rsid w:val="00CA1923"/>
    <w:rsid w:val="00CB4707"/>
    <w:rsid w:val="00CC3DD4"/>
    <w:rsid w:val="00CE1397"/>
    <w:rsid w:val="00CF0C36"/>
    <w:rsid w:val="00CF5456"/>
    <w:rsid w:val="00CF5985"/>
    <w:rsid w:val="00CF742E"/>
    <w:rsid w:val="00D14609"/>
    <w:rsid w:val="00D15CFC"/>
    <w:rsid w:val="00D36B6F"/>
    <w:rsid w:val="00D41047"/>
    <w:rsid w:val="00D462B5"/>
    <w:rsid w:val="00D547FD"/>
    <w:rsid w:val="00D62666"/>
    <w:rsid w:val="00D66D69"/>
    <w:rsid w:val="00D70918"/>
    <w:rsid w:val="00D74C97"/>
    <w:rsid w:val="00D831DF"/>
    <w:rsid w:val="00DB19A8"/>
    <w:rsid w:val="00DB48B0"/>
    <w:rsid w:val="00DD19D4"/>
    <w:rsid w:val="00DE1668"/>
    <w:rsid w:val="00DE16B9"/>
    <w:rsid w:val="00DE2408"/>
    <w:rsid w:val="00DF6B84"/>
    <w:rsid w:val="00E0598B"/>
    <w:rsid w:val="00E10E44"/>
    <w:rsid w:val="00E26450"/>
    <w:rsid w:val="00E31040"/>
    <w:rsid w:val="00E44DF8"/>
    <w:rsid w:val="00E6023E"/>
    <w:rsid w:val="00E7377D"/>
    <w:rsid w:val="00E73A50"/>
    <w:rsid w:val="00E90832"/>
    <w:rsid w:val="00EB1F0E"/>
    <w:rsid w:val="00EB259B"/>
    <w:rsid w:val="00EC157C"/>
    <w:rsid w:val="00EC436B"/>
    <w:rsid w:val="00EC4CB3"/>
    <w:rsid w:val="00EC7A75"/>
    <w:rsid w:val="00ED1286"/>
    <w:rsid w:val="00EF2DA4"/>
    <w:rsid w:val="00F0178D"/>
    <w:rsid w:val="00F0427B"/>
    <w:rsid w:val="00F12E10"/>
    <w:rsid w:val="00F3314B"/>
    <w:rsid w:val="00F34A3D"/>
    <w:rsid w:val="00F43416"/>
    <w:rsid w:val="00F442B2"/>
    <w:rsid w:val="00F4790B"/>
    <w:rsid w:val="00F54EAA"/>
    <w:rsid w:val="00F74152"/>
    <w:rsid w:val="00F85AEE"/>
    <w:rsid w:val="00F86E75"/>
    <w:rsid w:val="00F91272"/>
    <w:rsid w:val="00F9172A"/>
    <w:rsid w:val="00F95F9E"/>
    <w:rsid w:val="00F96563"/>
    <w:rsid w:val="00F97E32"/>
    <w:rsid w:val="00FB255A"/>
    <w:rsid w:val="00FB7ED1"/>
    <w:rsid w:val="00FB7F67"/>
    <w:rsid w:val="00FE559B"/>
    <w:rsid w:val="00FE56D2"/>
    <w:rsid w:val="00FE632D"/>
    <w:rsid w:val="00FF6534"/>
    <w:rsid w:val="040849CC"/>
    <w:rsid w:val="046E7782"/>
    <w:rsid w:val="068B2A42"/>
    <w:rsid w:val="06A7115C"/>
    <w:rsid w:val="092A09E4"/>
    <w:rsid w:val="09FC7026"/>
    <w:rsid w:val="0CB36146"/>
    <w:rsid w:val="0CD301CA"/>
    <w:rsid w:val="0E2F295D"/>
    <w:rsid w:val="0FF64AA4"/>
    <w:rsid w:val="11A601E5"/>
    <w:rsid w:val="12B5649D"/>
    <w:rsid w:val="18790575"/>
    <w:rsid w:val="191208FE"/>
    <w:rsid w:val="199D4718"/>
    <w:rsid w:val="1BEF38CC"/>
    <w:rsid w:val="1EA5219C"/>
    <w:rsid w:val="1EE04CC5"/>
    <w:rsid w:val="22153EB7"/>
    <w:rsid w:val="226F2730"/>
    <w:rsid w:val="26194B26"/>
    <w:rsid w:val="2CFD7922"/>
    <w:rsid w:val="31342D05"/>
    <w:rsid w:val="32393F80"/>
    <w:rsid w:val="33E51F8F"/>
    <w:rsid w:val="33FC6B8A"/>
    <w:rsid w:val="347F48C6"/>
    <w:rsid w:val="38F21D81"/>
    <w:rsid w:val="411C1E8C"/>
    <w:rsid w:val="4194014A"/>
    <w:rsid w:val="466637DA"/>
    <w:rsid w:val="48707892"/>
    <w:rsid w:val="4A2D2E48"/>
    <w:rsid w:val="4BD039C9"/>
    <w:rsid w:val="531E343F"/>
    <w:rsid w:val="5343354A"/>
    <w:rsid w:val="54737456"/>
    <w:rsid w:val="55775F97"/>
    <w:rsid w:val="5FEE45DC"/>
    <w:rsid w:val="5FF550F6"/>
    <w:rsid w:val="60376ECA"/>
    <w:rsid w:val="60FE05BB"/>
    <w:rsid w:val="62290153"/>
    <w:rsid w:val="624A4F35"/>
    <w:rsid w:val="66466DBE"/>
    <w:rsid w:val="66E85E08"/>
    <w:rsid w:val="71167EE7"/>
    <w:rsid w:val="734B7E6E"/>
    <w:rsid w:val="73E767AC"/>
    <w:rsid w:val="74D60C71"/>
    <w:rsid w:val="77A811C1"/>
    <w:rsid w:val="77A94B6D"/>
    <w:rsid w:val="77B43742"/>
    <w:rsid w:val="7ECD1F26"/>
    <w:rsid w:val="7F6949C3"/>
    <w:rsid w:val="7FEF3A2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iPriority="0"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Body Text" w:semiHidden="0" w:uiPriority="0" w:qFormat="1"/>
    <w:lsdException w:name="Subtitle" w:semiHidden="0" w:uiPriority="11" w:unhideWhenUsed="0" w:qFormat="1"/>
    <w:lsdException w:name="Body Text First Indent" w:semiHidden="0" w:qFormat="1"/>
    <w:lsdException w:name="Strong" w:semiHidden="0" w:uiPriority="22" w:unhideWhenUsed="0" w:qFormat="1"/>
    <w:lsdException w:name="Emphasis" w:semiHidden="0" w:uiPriority="20" w:unhideWhenUsed="0" w:qFormat="1"/>
    <w:lsdException w:name="Document Map"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pPr>
      <w:widowControl w:val="0"/>
      <w:jc w:val="both"/>
    </w:pPr>
    <w:rPr>
      <w:rFonts w:eastAsia="华文仿宋"/>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next w:val="a"/>
    <w:uiPriority w:val="99"/>
    <w:unhideWhenUsed/>
    <w:qFormat/>
    <w:pPr>
      <w:widowControl w:val="0"/>
      <w:autoSpaceDE w:val="0"/>
      <w:autoSpaceDN w:val="0"/>
      <w:adjustRightInd w:val="0"/>
    </w:pPr>
    <w:rPr>
      <w:rFonts w:ascii="宋体" w:hAnsi="宋体"/>
      <w:color w:val="000000"/>
      <w:sz w:val="24"/>
      <w:szCs w:val="22"/>
    </w:rPr>
  </w:style>
  <w:style w:type="paragraph" w:styleId="a3">
    <w:name w:val="Normal Indent"/>
    <w:basedOn w:val="a"/>
    <w:next w:val="a"/>
    <w:qFormat/>
    <w:pPr>
      <w:ind w:firstLineChars="200" w:firstLine="420"/>
    </w:pPr>
  </w:style>
  <w:style w:type="paragraph" w:styleId="a4">
    <w:name w:val="Document Map"/>
    <w:basedOn w:val="a"/>
    <w:link w:val="Char"/>
    <w:uiPriority w:val="99"/>
    <w:semiHidden/>
    <w:unhideWhenUsed/>
    <w:qFormat/>
    <w:rPr>
      <w:rFonts w:ascii="宋体" w:eastAsia="宋体"/>
      <w:sz w:val="18"/>
      <w:szCs w:val="18"/>
    </w:rPr>
  </w:style>
  <w:style w:type="paragraph" w:styleId="a5">
    <w:name w:val="annotation text"/>
    <w:basedOn w:val="a"/>
    <w:link w:val="Char0"/>
    <w:unhideWhenUsed/>
    <w:qFormat/>
    <w:pPr>
      <w:jc w:val="left"/>
    </w:pPr>
  </w:style>
  <w:style w:type="paragraph" w:styleId="a6">
    <w:name w:val="Body Text"/>
    <w:basedOn w:val="a"/>
    <w:next w:val="xl27"/>
    <w:unhideWhenUsed/>
    <w:qFormat/>
  </w:style>
  <w:style w:type="paragraph" w:customStyle="1" w:styleId="xl27">
    <w:name w:val="xl27"/>
    <w:basedOn w:val="a"/>
    <w:qFormat/>
    <w:pPr>
      <w:widowControl/>
      <w:pBdr>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1"/>
      <w:szCs w:val="21"/>
    </w:rPr>
  </w:style>
  <w:style w:type="paragraph" w:styleId="a7">
    <w:name w:val="Balloon Text"/>
    <w:basedOn w:val="a"/>
    <w:link w:val="Char1"/>
    <w:uiPriority w:val="99"/>
    <w:semiHidden/>
    <w:unhideWhenUsed/>
    <w:qFormat/>
    <w:rPr>
      <w:sz w:val="18"/>
      <w:szCs w:val="18"/>
    </w:rPr>
  </w:style>
  <w:style w:type="paragraph" w:styleId="a8">
    <w:name w:val="footer"/>
    <w:basedOn w:val="a"/>
    <w:link w:val="Char2"/>
    <w:uiPriority w:val="99"/>
    <w:semiHidden/>
    <w:unhideWhenUsed/>
    <w:qFormat/>
    <w:pPr>
      <w:tabs>
        <w:tab w:val="center" w:pos="4153"/>
        <w:tab w:val="right" w:pos="8306"/>
      </w:tabs>
      <w:snapToGrid w:val="0"/>
      <w:jc w:val="left"/>
    </w:pPr>
    <w:rPr>
      <w:sz w:val="18"/>
      <w:szCs w:val="18"/>
    </w:rPr>
  </w:style>
  <w:style w:type="paragraph" w:styleId="a9">
    <w:name w:val="header"/>
    <w:basedOn w:val="a"/>
    <w:link w:val="Char3"/>
    <w:uiPriority w:val="99"/>
    <w:semiHidden/>
    <w:unhideWhenUsed/>
    <w:qFormat/>
    <w:pPr>
      <w:pBdr>
        <w:bottom w:val="single" w:sz="6" w:space="1" w:color="auto"/>
      </w:pBdr>
      <w:tabs>
        <w:tab w:val="center" w:pos="4153"/>
        <w:tab w:val="right" w:pos="8306"/>
      </w:tabs>
      <w:snapToGrid w:val="0"/>
      <w:jc w:val="center"/>
    </w:pPr>
    <w:rPr>
      <w:sz w:val="18"/>
      <w:szCs w:val="18"/>
    </w:rPr>
  </w:style>
  <w:style w:type="paragraph" w:styleId="aa">
    <w:name w:val="annotation subject"/>
    <w:basedOn w:val="a5"/>
    <w:next w:val="a5"/>
    <w:link w:val="Char4"/>
    <w:uiPriority w:val="99"/>
    <w:semiHidden/>
    <w:unhideWhenUsed/>
    <w:qFormat/>
    <w:rPr>
      <w:b/>
      <w:bCs/>
    </w:rPr>
  </w:style>
  <w:style w:type="paragraph" w:styleId="ab">
    <w:name w:val="Body Text First Indent"/>
    <w:basedOn w:val="a6"/>
    <w:next w:val="a"/>
    <w:uiPriority w:val="99"/>
    <w:unhideWhenUsed/>
    <w:qFormat/>
    <w:pPr>
      <w:adjustRightInd w:val="0"/>
      <w:snapToGrid w:val="0"/>
      <w:spacing w:line="360" w:lineRule="auto"/>
      <w:ind w:firstLineChars="200" w:firstLine="200"/>
    </w:pPr>
    <w:rPr>
      <w:sz w:val="24"/>
    </w:rPr>
  </w:style>
  <w:style w:type="table" w:styleId="ac">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basedOn w:val="a0"/>
    <w:uiPriority w:val="99"/>
    <w:semiHidden/>
    <w:unhideWhenUsed/>
    <w:qFormat/>
    <w:rPr>
      <w:sz w:val="21"/>
      <w:szCs w:val="21"/>
    </w:rPr>
  </w:style>
  <w:style w:type="character" w:customStyle="1" w:styleId="Char3">
    <w:name w:val="页眉 Char"/>
    <w:basedOn w:val="a0"/>
    <w:link w:val="a9"/>
    <w:uiPriority w:val="99"/>
    <w:semiHidden/>
    <w:qFormat/>
    <w:rPr>
      <w:rFonts w:ascii="Times New Roman" w:eastAsia="华文仿宋" w:hAnsi="Times New Roman" w:cs="Times New Roman"/>
      <w:sz w:val="18"/>
      <w:szCs w:val="18"/>
    </w:rPr>
  </w:style>
  <w:style w:type="character" w:customStyle="1" w:styleId="Char2">
    <w:name w:val="页脚 Char"/>
    <w:basedOn w:val="a0"/>
    <w:link w:val="a8"/>
    <w:uiPriority w:val="99"/>
    <w:semiHidden/>
    <w:qFormat/>
    <w:rPr>
      <w:rFonts w:ascii="Times New Roman" w:eastAsia="华文仿宋" w:hAnsi="Times New Roman" w:cs="Times New Roman"/>
      <w:sz w:val="18"/>
      <w:szCs w:val="18"/>
    </w:rPr>
  </w:style>
  <w:style w:type="character" w:customStyle="1" w:styleId="Char">
    <w:name w:val="文档结构图 Char"/>
    <w:basedOn w:val="a0"/>
    <w:link w:val="a4"/>
    <w:uiPriority w:val="99"/>
    <w:semiHidden/>
    <w:qFormat/>
    <w:rPr>
      <w:rFonts w:ascii="宋体" w:eastAsia="宋体" w:hAnsi="Times New Roman" w:cs="Times New Roman"/>
      <w:sz w:val="18"/>
      <w:szCs w:val="18"/>
    </w:rPr>
  </w:style>
  <w:style w:type="character" w:customStyle="1" w:styleId="Char1">
    <w:name w:val="批注框文本 Char"/>
    <w:basedOn w:val="a0"/>
    <w:link w:val="a7"/>
    <w:uiPriority w:val="99"/>
    <w:semiHidden/>
    <w:qFormat/>
    <w:rPr>
      <w:rFonts w:ascii="Times New Roman" w:eastAsia="华文仿宋" w:hAnsi="Times New Roman" w:cs="Times New Roman"/>
      <w:sz w:val="18"/>
      <w:szCs w:val="18"/>
    </w:rPr>
  </w:style>
  <w:style w:type="character" w:customStyle="1" w:styleId="Char0">
    <w:name w:val="批注文字 Char"/>
    <w:basedOn w:val="a0"/>
    <w:link w:val="a5"/>
    <w:qFormat/>
    <w:rPr>
      <w:rFonts w:ascii="Times New Roman" w:eastAsia="华文仿宋" w:hAnsi="Times New Roman" w:cs="Times New Roman"/>
      <w:sz w:val="32"/>
      <w:szCs w:val="24"/>
    </w:rPr>
  </w:style>
  <w:style w:type="character" w:customStyle="1" w:styleId="Char4">
    <w:name w:val="批注主题 Char"/>
    <w:basedOn w:val="Char0"/>
    <w:link w:val="aa"/>
    <w:uiPriority w:val="99"/>
    <w:semiHidden/>
    <w:qFormat/>
    <w:rPr>
      <w:rFonts w:ascii="Times New Roman" w:eastAsia="华文仿宋" w:hAnsi="Times New Roman" w:cs="Times New Roman"/>
      <w:b/>
      <w:bCs/>
      <w:sz w:val="32"/>
      <w:szCs w:val="24"/>
    </w:rPr>
  </w:style>
  <w:style w:type="paragraph" w:styleId="ae">
    <w:name w:val="List Paragraph"/>
    <w:basedOn w:val="a"/>
    <w:uiPriority w:val="34"/>
    <w:qFormat/>
    <w:pPr>
      <w:ind w:firstLineChars="200" w:firstLine="420"/>
    </w:pPr>
  </w:style>
  <w:style w:type="paragraph" w:customStyle="1" w:styleId="af">
    <w:name w:val="表文字"/>
    <w:basedOn w:val="a"/>
    <w:qFormat/>
    <w:pPr>
      <w:overflowPunct w:val="0"/>
      <w:autoSpaceDE w:val="0"/>
      <w:autoSpaceDN w:val="0"/>
      <w:spacing w:line="240" w:lineRule="atLeast"/>
      <w:jc w:val="center"/>
      <w:textAlignment w:val="baseline"/>
    </w:pPr>
    <w:rPr>
      <w:kern w:val="0"/>
    </w:rPr>
  </w:style>
  <w:style w:type="paragraph" w:customStyle="1" w:styleId="af0">
    <w:name w:val="报告书正文"/>
    <w:basedOn w:val="a"/>
    <w:qFormat/>
    <w:pPr>
      <w:spacing w:line="300" w:lineRule="auto"/>
      <w:ind w:firstLineChars="200" w:firstLine="200"/>
    </w:pPr>
    <w:rPr>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254</Words>
  <Characters>1449</Characters>
  <Application>Microsoft Office Word</Application>
  <DocSecurity>0</DocSecurity>
  <Lines>12</Lines>
  <Paragraphs>3</Paragraphs>
  <ScaleCrop>false</ScaleCrop>
  <Company>Microsoft</Company>
  <LinksUpToDate>false</LinksUpToDate>
  <CharactersWithSpaces>1700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xb21cn</cp:lastModifiedBy>
  <cp:revision>87</cp:revision>
  <cp:lastPrinted>2020-01-07T06:20:00Z</cp:lastPrinted>
  <dcterms:created xsi:type="dcterms:W3CDTF">2018-05-17T02:57:00Z</dcterms:created>
  <dcterms:modified xsi:type="dcterms:W3CDTF">2020-12-30T01:40:00Z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