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985"/>
        </w:tabs>
        <w:spacing w:line="540" w:lineRule="exact"/>
        <w:jc w:val="center"/>
        <w:rPr>
          <w:rFonts w:ascii="宋体" w:hAnsi="宋体"/>
          <w:bCs/>
          <w:sz w:val="32"/>
          <w:szCs w:val="32"/>
        </w:rPr>
      </w:pPr>
    </w:p>
    <w:p>
      <w:pPr>
        <w:pStyle w:val="2"/>
        <w:spacing w:line="540" w:lineRule="exact"/>
        <w:jc w:val="center"/>
        <w:rPr>
          <w:rFonts w:ascii="仿宋_GB2312" w:eastAsia="仿宋_GB2312"/>
          <w:spacing w:val="-20"/>
        </w:rPr>
      </w:pPr>
    </w:p>
    <w:p>
      <w:pPr>
        <w:pStyle w:val="2"/>
        <w:spacing w:line="540" w:lineRule="exact"/>
        <w:jc w:val="center"/>
        <w:rPr>
          <w:rFonts w:ascii="仿宋_GB2312" w:eastAsia="仿宋_GB2312"/>
          <w:spacing w:val="-20"/>
        </w:rPr>
      </w:pPr>
    </w:p>
    <w:p>
      <w:pPr>
        <w:pStyle w:val="2"/>
        <w:spacing w:line="560" w:lineRule="exact"/>
        <w:jc w:val="right"/>
        <w:rPr>
          <w:rFonts w:asciiTheme="minorEastAsia" w:hAnsiTheme="minorEastAsia" w:eastAsiaTheme="minorEastAsia"/>
          <w:spacing w:val="-20"/>
          <w:sz w:val="32"/>
          <w:szCs w:val="32"/>
        </w:rPr>
      </w:pPr>
      <w:r>
        <w:rPr>
          <w:rFonts w:hint="eastAsia" w:ascii="宋体" w:hAnsi="宋体"/>
          <w:spacing w:val="-20"/>
          <w:sz w:val="32"/>
          <w:szCs w:val="32"/>
        </w:rPr>
        <w:t>益</w:t>
      </w:r>
      <w:r>
        <w:rPr>
          <w:rFonts w:hint="eastAsia" w:ascii="宋体" w:hAnsi="宋体" w:cs="宋体"/>
          <w:spacing w:val="-20"/>
          <w:sz w:val="32"/>
          <w:szCs w:val="32"/>
        </w:rPr>
        <w:t>环审(表</w:t>
      </w:r>
      <w:r>
        <w:rPr>
          <w:rFonts w:hint="eastAsia" w:ascii="宋体" w:hAnsi="宋体"/>
          <w:spacing w:val="-20"/>
          <w:sz w:val="32"/>
          <w:szCs w:val="32"/>
        </w:rPr>
        <w:t>)〔2020〕</w:t>
      </w:r>
      <w:r>
        <w:rPr>
          <w:rFonts w:hint="eastAsia" w:ascii="宋体" w:hAnsi="宋体"/>
          <w:spacing w:val="-20"/>
          <w:sz w:val="32"/>
          <w:szCs w:val="32"/>
          <w:lang w:val="en-US" w:eastAsia="zh-CN"/>
        </w:rPr>
        <w:t>161</w:t>
      </w:r>
      <w:r>
        <w:rPr>
          <w:rFonts w:hint="eastAsia" w:ascii="宋体" w:hAnsi="宋体"/>
          <w:spacing w:val="-20"/>
          <w:sz w:val="32"/>
          <w:szCs w:val="32"/>
        </w:rPr>
        <w:t>号</w:t>
      </w:r>
    </w:p>
    <w:p>
      <w:pPr>
        <w:tabs>
          <w:tab w:val="left" w:pos="1021"/>
        </w:tabs>
        <w:spacing w:after="0" w:line="700" w:lineRule="exact"/>
        <w:jc w:val="center"/>
        <w:rPr>
          <w:rFonts w:ascii="方正小标宋简体" w:eastAsia="方正小标宋简体" w:hAnsiTheme="majorEastAsia"/>
          <w:spacing w:val="-10"/>
          <w:sz w:val="44"/>
          <w:szCs w:val="44"/>
        </w:rPr>
      </w:pPr>
      <w:r>
        <w:rPr>
          <w:rFonts w:hint="eastAsia" w:ascii="方正小标宋简体" w:eastAsia="方正小标宋简体" w:hAnsiTheme="majorEastAsia"/>
          <w:spacing w:val="-10"/>
          <w:sz w:val="44"/>
          <w:szCs w:val="44"/>
        </w:rPr>
        <w:t>益阳市生态环境局</w:t>
      </w:r>
    </w:p>
    <w:p>
      <w:pPr>
        <w:tabs>
          <w:tab w:val="left" w:pos="1021"/>
        </w:tabs>
        <w:spacing w:after="0" w:line="700" w:lineRule="exact"/>
        <w:jc w:val="center"/>
        <w:rPr>
          <w:rFonts w:ascii="方正小标宋简体" w:eastAsia="方正小标宋简体" w:hAnsiTheme="majorEastAsia"/>
          <w:spacing w:val="-10"/>
          <w:sz w:val="44"/>
          <w:szCs w:val="44"/>
        </w:rPr>
      </w:pPr>
      <w:r>
        <w:rPr>
          <w:rFonts w:hint="eastAsia" w:ascii="方正小标宋简体" w:eastAsia="方正小标宋简体" w:hAnsiTheme="majorEastAsia"/>
          <w:spacing w:val="-10"/>
          <w:sz w:val="44"/>
          <w:szCs w:val="44"/>
        </w:rPr>
        <w:t>关于沅江精一科技机械制造有限公司</w:t>
      </w:r>
    </w:p>
    <w:p>
      <w:pPr>
        <w:tabs>
          <w:tab w:val="left" w:pos="1021"/>
        </w:tabs>
        <w:spacing w:after="0" w:line="700" w:lineRule="exact"/>
        <w:jc w:val="center"/>
        <w:rPr>
          <w:rFonts w:ascii="方正小标宋简体" w:eastAsia="方正小标宋简体" w:hAnsiTheme="majorEastAsia"/>
          <w:spacing w:val="-10"/>
          <w:sz w:val="44"/>
          <w:szCs w:val="44"/>
        </w:rPr>
      </w:pPr>
      <w:r>
        <w:rPr>
          <w:rFonts w:hint="eastAsia" w:ascii="方正小标宋简体" w:eastAsia="方正小标宋简体" w:hAnsiTheme="majorEastAsia"/>
          <w:spacing w:val="-10"/>
          <w:sz w:val="44"/>
          <w:szCs w:val="44"/>
        </w:rPr>
        <w:t>环保设备生产厂建设项目环境影响报告表的批     复</w:t>
      </w:r>
    </w:p>
    <w:p>
      <w:pPr>
        <w:spacing w:after="0" w:line="560" w:lineRule="exact"/>
        <w:jc w:val="both"/>
        <w:rPr>
          <w:rFonts w:ascii="仿宋" w:hAnsi="仿宋" w:eastAsia="仿宋" w:cs="Times New Roman"/>
          <w:kern w:val="2"/>
          <w:sz w:val="32"/>
          <w:szCs w:val="32"/>
        </w:rPr>
      </w:pPr>
    </w:p>
    <w:p>
      <w:pPr>
        <w:spacing w:after="0" w:line="560" w:lineRule="exact"/>
        <w:jc w:val="both"/>
        <w:rPr>
          <w:rFonts w:ascii="仿宋" w:hAnsi="仿宋" w:eastAsia="仿宋" w:cs="Times New Roman"/>
          <w:kern w:val="2"/>
          <w:sz w:val="32"/>
          <w:szCs w:val="32"/>
        </w:rPr>
      </w:pPr>
      <w:r>
        <w:rPr>
          <w:rFonts w:hint="eastAsia" w:ascii="仿宋" w:hAnsi="仿宋" w:eastAsia="仿宋" w:cs="Times New Roman"/>
          <w:kern w:val="2"/>
          <w:sz w:val="32"/>
          <w:szCs w:val="32"/>
        </w:rPr>
        <w:t>沅江精一科技机械制造有限公司：</w:t>
      </w:r>
    </w:p>
    <w:p>
      <w:pPr>
        <w:pStyle w:val="2"/>
        <w:spacing w:after="0" w:line="560" w:lineRule="exact"/>
        <w:ind w:firstLine="640" w:firstLineChars="200"/>
        <w:rPr>
          <w:rFonts w:ascii="仿宋" w:hAnsi="仿宋" w:eastAsia="仿宋"/>
          <w:sz w:val="32"/>
          <w:szCs w:val="32"/>
        </w:rPr>
      </w:pPr>
      <w:r>
        <w:rPr>
          <w:rFonts w:hint="eastAsia" w:ascii="仿宋" w:hAnsi="仿宋" w:eastAsia="仿宋"/>
          <w:sz w:val="32"/>
          <w:szCs w:val="32"/>
        </w:rPr>
        <w:t>你公司呈报的《关于请求对&lt;沅江精一科技机械制造有限公司环保设备生产厂建设项目环境影响报告表&gt;进行审批的报告》、益阳市生态环境局沅江分局的预审意见及相关材料收悉。经审查、研究，批复如下：</w:t>
      </w:r>
    </w:p>
    <w:p>
      <w:pPr>
        <w:spacing w:after="0" w:line="560" w:lineRule="exact"/>
        <w:ind w:firstLine="629"/>
        <w:jc w:val="both"/>
        <w:rPr>
          <w:rFonts w:ascii="仿宋" w:hAnsi="仿宋" w:eastAsia="仿宋" w:cs="Times New Roman"/>
          <w:kern w:val="2"/>
          <w:sz w:val="32"/>
          <w:szCs w:val="32"/>
        </w:rPr>
      </w:pPr>
      <w:r>
        <w:rPr>
          <w:rFonts w:hint="eastAsia" w:ascii="仿宋" w:hAnsi="仿宋" w:eastAsia="仿宋"/>
          <w:b/>
          <w:bCs/>
          <w:sz w:val="32"/>
          <w:szCs w:val="32"/>
        </w:rPr>
        <w:t>一</w:t>
      </w:r>
      <w:r>
        <w:rPr>
          <w:rFonts w:hint="eastAsia" w:ascii="仿宋" w:hAnsi="仿宋" w:eastAsia="仿宋"/>
          <w:bCs/>
          <w:sz w:val="32"/>
          <w:szCs w:val="32"/>
        </w:rPr>
        <w:t>、</w:t>
      </w:r>
      <w:r>
        <w:rPr>
          <w:rFonts w:hint="eastAsia" w:ascii="仿宋" w:hAnsi="仿宋" w:eastAsia="仿宋" w:cs="Times New Roman"/>
          <w:kern w:val="2"/>
          <w:sz w:val="32"/>
          <w:szCs w:val="32"/>
        </w:rPr>
        <w:t>沅江精一科技机械制造有限公司拟投资18000万元，在湖南沅江高新技术产业园枫杨路以北征地39.95亩建设</w:t>
      </w:r>
      <w:r>
        <w:rPr>
          <w:rFonts w:hint="eastAsia" w:ascii="仿宋" w:hAnsi="仿宋" w:eastAsia="仿宋"/>
          <w:sz w:val="32"/>
          <w:szCs w:val="32"/>
        </w:rPr>
        <w:t>环保设备生产厂项目</w:t>
      </w:r>
      <w:r>
        <w:rPr>
          <w:rFonts w:hint="eastAsia" w:ascii="仿宋" w:hAnsi="仿宋" w:eastAsia="仿宋" w:cs="Times New Roman"/>
          <w:kern w:val="2"/>
          <w:sz w:val="32"/>
          <w:szCs w:val="32"/>
        </w:rPr>
        <w:t>。项目主要建设内容包括2栋建筑面积均为4446m</w:t>
      </w:r>
      <w:r>
        <w:rPr>
          <w:rFonts w:hint="eastAsia" w:ascii="仿宋" w:hAnsi="仿宋" w:eastAsia="仿宋" w:cs="Times New Roman"/>
          <w:kern w:val="2"/>
          <w:sz w:val="32"/>
          <w:szCs w:val="32"/>
          <w:vertAlign w:val="superscript"/>
        </w:rPr>
        <w:t>2</w:t>
      </w:r>
      <w:r>
        <w:rPr>
          <w:rFonts w:hint="eastAsia" w:ascii="仿宋" w:hAnsi="仿宋" w:eastAsia="仿宋" w:cs="Times New Roman"/>
          <w:kern w:val="2"/>
          <w:sz w:val="32"/>
          <w:szCs w:val="32"/>
        </w:rPr>
        <w:t>的钢结构生产厂房，其中1号栋主要布置激光切割机等机加工设备，2号栋布置除油、酸洗、表调、磷化、清洗工序等生产加工区域和喷涂车间，配套办公研发楼、宿舍及食堂生活区、给排水、供配电、仓库及储运和环保工程等相关公用辅助工程。项目建成后，年产船舶用生活污水处理装置、舱底油水分离器、环保垃圾箱等环保设备8900套。</w:t>
      </w:r>
    </w:p>
    <w:p>
      <w:pPr>
        <w:spacing w:after="0" w:line="560" w:lineRule="exact"/>
        <w:ind w:firstLine="629"/>
        <w:jc w:val="both"/>
        <w:rPr>
          <w:rFonts w:ascii="仿宋" w:hAnsi="仿宋" w:eastAsia="仿宋" w:cs="Times New Roman"/>
          <w:kern w:val="2"/>
          <w:sz w:val="32"/>
          <w:szCs w:val="32"/>
        </w:rPr>
      </w:pPr>
      <w:r>
        <w:rPr>
          <w:rFonts w:hint="eastAsia" w:ascii="仿宋" w:hAnsi="仿宋" w:eastAsia="仿宋" w:cs="Times New Roman"/>
          <w:kern w:val="2"/>
          <w:sz w:val="32"/>
          <w:szCs w:val="32"/>
        </w:rPr>
        <w:t>项目符合国家产业政策，项目选址得到了沅江高新区管委会</w:t>
      </w:r>
      <w:r>
        <w:rPr>
          <w:rFonts w:hint="eastAsia" w:ascii="仿宋" w:hAnsi="仿宋" w:eastAsia="仿宋" w:cs="Times New Roman"/>
          <w:kern w:val="2"/>
          <w:sz w:val="32"/>
          <w:szCs w:val="32"/>
          <w:lang w:eastAsia="zh-CN"/>
        </w:rPr>
        <w:t>的同意</w:t>
      </w:r>
      <w:r>
        <w:rPr>
          <w:rFonts w:hint="eastAsia" w:ascii="仿宋" w:hAnsi="仿宋" w:eastAsia="仿宋" w:cs="Times New Roman"/>
          <w:kern w:val="2"/>
          <w:sz w:val="32"/>
          <w:szCs w:val="32"/>
        </w:rPr>
        <w:t>和沅江市自然资源局的</w:t>
      </w:r>
      <w:r>
        <w:rPr>
          <w:rFonts w:hint="eastAsia" w:ascii="仿宋" w:hAnsi="仿宋" w:eastAsia="仿宋" w:cs="Times New Roman"/>
          <w:kern w:val="2"/>
          <w:sz w:val="32"/>
          <w:szCs w:val="32"/>
          <w:lang w:eastAsia="zh-CN"/>
        </w:rPr>
        <w:t>建设用地规划许可证</w:t>
      </w:r>
      <w:r>
        <w:rPr>
          <w:rFonts w:hint="eastAsia" w:ascii="仿宋" w:hAnsi="仿宋" w:eastAsia="仿宋" w:cs="Times New Roman"/>
          <w:kern w:val="2"/>
          <w:sz w:val="32"/>
          <w:szCs w:val="32"/>
        </w:rPr>
        <w:t>。</w:t>
      </w:r>
      <w:r>
        <w:rPr>
          <w:rFonts w:hint="eastAsia" w:ascii="仿宋" w:hAnsi="仿宋" w:eastAsia="仿宋"/>
          <w:sz w:val="32"/>
          <w:szCs w:val="32"/>
        </w:rPr>
        <w:t>根据湖南德景环保有限公司编制的该建设项目环境影响报告表分析结论和益阳市生态环境局沅江分局的预审意见，在建设单位认真落实报</w:t>
      </w:r>
      <w:r>
        <w:rPr>
          <w:rFonts w:hint="eastAsia" w:ascii="仿宋" w:hAnsi="仿宋" w:eastAsia="仿宋" w:cs="Times New Roman"/>
          <w:kern w:val="2"/>
          <w:sz w:val="32"/>
          <w:szCs w:val="32"/>
        </w:rPr>
        <w:t>告表和本批复提出的各项生态环境保护措施，确保各项污染物稳定达标排放的前提下，我局原则同意</w:t>
      </w:r>
      <w:r>
        <w:rPr>
          <w:rFonts w:hint="eastAsia" w:ascii="仿宋" w:hAnsi="仿宋" w:eastAsia="仿宋"/>
          <w:sz w:val="32"/>
          <w:szCs w:val="32"/>
        </w:rPr>
        <w:t>沅江精一科技机械制造有限公司环保设备生产厂建设项目的选址并建设。</w:t>
      </w:r>
    </w:p>
    <w:p>
      <w:pPr>
        <w:spacing w:after="0" w:line="520" w:lineRule="exact"/>
        <w:ind w:firstLine="640" w:firstLineChars="200"/>
        <w:rPr>
          <w:rFonts w:ascii="仿宋" w:hAnsi="仿宋" w:eastAsia="仿宋"/>
          <w:sz w:val="32"/>
          <w:szCs w:val="32"/>
        </w:rPr>
      </w:pPr>
      <w:r>
        <w:rPr>
          <w:rFonts w:hint="eastAsia" w:ascii="仿宋" w:hAnsi="仿宋" w:eastAsia="仿宋" w:cs="Times New Roman"/>
          <w:kern w:val="2"/>
          <w:sz w:val="32"/>
          <w:szCs w:val="32"/>
        </w:rPr>
        <w:t>二、</w:t>
      </w:r>
      <w:r>
        <w:rPr>
          <w:rFonts w:hint="eastAsia" w:ascii="仿宋" w:hAnsi="仿宋" w:eastAsia="仿宋"/>
          <w:sz w:val="32"/>
          <w:szCs w:val="32"/>
        </w:rPr>
        <w:t>你公司在工程设计、建设和运营管理中，必须切实落实环评提出的各项污染防治和风险防范措施要求，并着重做好如下工作：</w:t>
      </w:r>
    </w:p>
    <w:p>
      <w:pPr>
        <w:spacing w:after="0" w:line="560" w:lineRule="exact"/>
        <w:ind w:firstLine="629"/>
        <w:jc w:val="both"/>
        <w:rPr>
          <w:rFonts w:ascii="仿宋" w:hAnsi="仿宋" w:eastAsia="仿宋" w:cs="Times New Roman"/>
          <w:kern w:val="2"/>
          <w:sz w:val="32"/>
          <w:szCs w:val="32"/>
        </w:rPr>
      </w:pPr>
      <w:r>
        <w:rPr>
          <w:rFonts w:hint="eastAsia" w:ascii="仿宋" w:hAnsi="仿宋" w:eastAsia="仿宋"/>
          <w:sz w:val="32"/>
          <w:szCs w:val="32"/>
        </w:rPr>
        <w:t>（一）严格履行建设单位的环保主体责任，加强环境管理。建立环保规章制度和岗位责任制，配备专职或兼职环保管理人员，定期对污染治理设施进行检查和维修，确保环保设施正常运行和污染物的稳定达标排放。制定环境风险</w:t>
      </w:r>
      <w:r>
        <w:rPr>
          <w:rFonts w:hint="eastAsia" w:ascii="仿宋" w:hAnsi="仿宋" w:eastAsia="仿宋" w:cs="Times New Roman"/>
          <w:kern w:val="2"/>
          <w:sz w:val="32"/>
          <w:szCs w:val="32"/>
        </w:rPr>
        <w:t>事故应急预案，落实环境风险防范措施，切实防范各类环境风险事故。</w:t>
      </w:r>
    </w:p>
    <w:p>
      <w:pPr>
        <w:spacing w:after="0" w:line="560" w:lineRule="exact"/>
        <w:ind w:firstLine="629"/>
        <w:jc w:val="both"/>
        <w:rPr>
          <w:rFonts w:ascii="仿宋" w:hAnsi="仿宋" w:eastAsia="仿宋" w:cs="Times New Roman"/>
          <w:kern w:val="2"/>
          <w:sz w:val="32"/>
          <w:szCs w:val="32"/>
        </w:rPr>
      </w:pPr>
      <w:r>
        <w:rPr>
          <w:rFonts w:hint="eastAsia" w:ascii="仿宋" w:hAnsi="仿宋" w:eastAsia="仿宋" w:cs="Times New Roman"/>
          <w:kern w:val="2"/>
          <w:sz w:val="32"/>
          <w:szCs w:val="32"/>
        </w:rPr>
        <w:t>（二）加强施工期的环境管理。对施工场地采取围挡、洒水降尘等措施，采用密闭车辆运输渣土物料，减轻施工及运输扬尘污染影响；妥善处置建筑弃渣和施工垃圾，施工废水必须收集处理后排入园区污水管网；选用低噪声施工设备，合理安排工期，控制夜间作业时段，防止施工噪声扰民。</w:t>
      </w:r>
    </w:p>
    <w:p>
      <w:pPr>
        <w:spacing w:after="0" w:line="560" w:lineRule="exact"/>
        <w:ind w:firstLine="629"/>
        <w:jc w:val="both"/>
        <w:rPr>
          <w:rFonts w:ascii="仿宋" w:hAnsi="仿宋" w:eastAsia="仿宋" w:cs="Times New Roman"/>
          <w:kern w:val="2"/>
          <w:sz w:val="32"/>
          <w:szCs w:val="32"/>
        </w:rPr>
      </w:pPr>
      <w:r>
        <w:rPr>
          <w:rFonts w:hint="eastAsia" w:ascii="仿宋" w:hAnsi="仿宋" w:eastAsia="仿宋"/>
          <w:sz w:val="32"/>
          <w:szCs w:val="32"/>
        </w:rPr>
        <w:t>（三）落实大气污染防治措施。项目切割下料和打磨工序产生的烟尘须经集气罩收集采取“布袋除尘”装置处置，通过25米高1#排气筒排放；酸洗工序产生的废气须经吸风装置收集采取“碱喷淋塔”措施处理，通过25高2#排气筒排放；喷粉工序产生的废气须经集气罩有效收集后，采取“布袋除尘”装置处理，通过25高3#排气筒排放；喷漆、烤漆和固化工序产生的废气须采取“水幕除尘+吸附浓缩+催化燃烧”措施处理后，通过25高4#排气筒排放，经排气筒外排的废气须满足</w:t>
      </w:r>
      <w:r>
        <w:rPr>
          <w:rFonts w:ascii="仿宋" w:hAnsi="仿宋" w:eastAsia="仿宋" w:cs="Times New Roman"/>
          <w:kern w:val="2"/>
          <w:sz w:val="32"/>
          <w:szCs w:val="32"/>
        </w:rPr>
        <w:t>《大气污染物综合排放标准》(GB16297-1996)表 2 中二级标准</w:t>
      </w:r>
      <w:r>
        <w:rPr>
          <w:rFonts w:hint="eastAsia" w:ascii="仿宋" w:hAnsi="仿宋" w:eastAsia="仿宋" w:cs="Times New Roman"/>
          <w:kern w:val="2"/>
          <w:sz w:val="32"/>
          <w:szCs w:val="32"/>
        </w:rPr>
        <w:t>、</w:t>
      </w:r>
      <w:r>
        <w:rPr>
          <w:rFonts w:hint="eastAsia" w:ascii="仿宋" w:hAnsi="仿宋" w:eastAsia="仿宋"/>
          <w:sz w:val="32"/>
          <w:szCs w:val="32"/>
        </w:rPr>
        <w:t>《表面涂装（汽车制造及维修）挥发性有机物、镍排放标准》（DB43</w:t>
      </w:r>
      <w:r>
        <w:rPr>
          <w:rFonts w:ascii="仿宋" w:hAnsi="仿宋" w:eastAsia="仿宋"/>
          <w:sz w:val="32"/>
          <w:szCs w:val="32"/>
        </w:rPr>
        <w:t>/</w:t>
      </w:r>
      <w:r>
        <w:rPr>
          <w:rFonts w:hint="eastAsia" w:ascii="仿宋" w:hAnsi="仿宋" w:eastAsia="仿宋"/>
          <w:sz w:val="32"/>
          <w:szCs w:val="32"/>
        </w:rPr>
        <w:t>135</w:t>
      </w:r>
      <w:r>
        <w:rPr>
          <w:rFonts w:ascii="仿宋" w:hAnsi="仿宋" w:eastAsia="仿宋"/>
          <w:sz w:val="32"/>
          <w:szCs w:val="32"/>
        </w:rPr>
        <w:t>6</w:t>
      </w:r>
      <w:r>
        <w:rPr>
          <w:rFonts w:hint="eastAsia" w:ascii="仿宋" w:hAnsi="仿宋" w:eastAsia="仿宋"/>
          <w:sz w:val="32"/>
          <w:szCs w:val="32"/>
        </w:rPr>
        <w:t>-2017）表1中汽车制造其它车型排放浓度限值和</w:t>
      </w:r>
      <w:r>
        <w:rPr>
          <w:rFonts w:hint="eastAsia" w:ascii="仿宋" w:hAnsi="仿宋" w:eastAsia="仿宋" w:cs="Times New Roman"/>
          <w:kern w:val="2"/>
          <w:sz w:val="32"/>
          <w:szCs w:val="32"/>
        </w:rPr>
        <w:t>《挥发性有机物无组织排放控制标准》（GB37822-2019）的相关要求。</w:t>
      </w:r>
      <w:r>
        <w:rPr>
          <w:rFonts w:hint="eastAsia" w:ascii="仿宋" w:hAnsi="仿宋" w:eastAsia="仿宋"/>
          <w:sz w:val="32"/>
          <w:szCs w:val="32"/>
        </w:rPr>
        <w:t>加强机加工车间等区域的环境卫生管理，减少无组织废气排放，</w:t>
      </w:r>
      <w:r>
        <w:rPr>
          <w:rFonts w:hint="eastAsia" w:ascii="仿宋" w:hAnsi="仿宋" w:eastAsia="仿宋" w:cs="Times New Roman"/>
          <w:kern w:val="2"/>
          <w:sz w:val="32"/>
          <w:szCs w:val="32"/>
        </w:rPr>
        <w:t>焊接工序产生的烟尘需采取移动式烟尘净化器收集处置，无组织</w:t>
      </w:r>
      <w:r>
        <w:rPr>
          <w:rFonts w:hint="eastAsia" w:ascii="仿宋" w:hAnsi="仿宋" w:eastAsia="仿宋"/>
          <w:sz w:val="32"/>
          <w:szCs w:val="32"/>
        </w:rPr>
        <w:t>外排废气须满足《大气污染综合排放标准》（GB16297-1996）表2中无组织排放浓度限值、《表面涂装（汽车制造及维修）挥发性有机物、镍排放标准》（DB43</w:t>
      </w:r>
      <w:r>
        <w:rPr>
          <w:rFonts w:ascii="仿宋" w:hAnsi="仿宋" w:eastAsia="仿宋"/>
          <w:sz w:val="32"/>
          <w:szCs w:val="32"/>
        </w:rPr>
        <w:t>/</w:t>
      </w:r>
      <w:r>
        <w:rPr>
          <w:rFonts w:hint="eastAsia" w:ascii="仿宋" w:hAnsi="仿宋" w:eastAsia="仿宋"/>
          <w:sz w:val="32"/>
          <w:szCs w:val="32"/>
        </w:rPr>
        <w:t>135</w:t>
      </w:r>
      <w:r>
        <w:rPr>
          <w:rFonts w:ascii="仿宋" w:hAnsi="仿宋" w:eastAsia="仿宋"/>
          <w:sz w:val="32"/>
          <w:szCs w:val="32"/>
        </w:rPr>
        <w:t>6</w:t>
      </w:r>
      <w:r>
        <w:rPr>
          <w:rFonts w:hint="eastAsia" w:ascii="仿宋" w:hAnsi="仿宋" w:eastAsia="仿宋"/>
          <w:sz w:val="32"/>
          <w:szCs w:val="32"/>
        </w:rPr>
        <w:t>-2017）表3中无组织监控点浓度限值和</w:t>
      </w:r>
      <w:r>
        <w:rPr>
          <w:rFonts w:hint="eastAsia" w:ascii="仿宋" w:hAnsi="仿宋" w:eastAsia="仿宋" w:cs="Times New Roman"/>
          <w:kern w:val="2"/>
          <w:sz w:val="32"/>
          <w:szCs w:val="32"/>
        </w:rPr>
        <w:t>《挥发性有机物无组织排放控制标准》（GB37822-2019）表A.1无组织排放限值</w:t>
      </w:r>
      <w:r>
        <w:rPr>
          <w:rFonts w:hint="eastAsia" w:ascii="仿宋" w:hAnsi="仿宋" w:eastAsia="仿宋"/>
          <w:sz w:val="32"/>
          <w:szCs w:val="32"/>
        </w:rPr>
        <w:t>要求；食堂油烟需安装油烟净化装置处理达到《饮食业油烟排放标准（试行）》（</w:t>
      </w:r>
      <w:r>
        <w:rPr>
          <w:rFonts w:ascii="仿宋" w:hAnsi="仿宋" w:eastAsia="仿宋"/>
          <w:sz w:val="32"/>
          <w:szCs w:val="32"/>
        </w:rPr>
        <w:t>GB18483-2001</w:t>
      </w:r>
      <w:r>
        <w:rPr>
          <w:rFonts w:hint="eastAsia" w:ascii="仿宋" w:hAnsi="仿宋" w:eastAsia="仿宋"/>
          <w:sz w:val="32"/>
          <w:szCs w:val="32"/>
        </w:rPr>
        <w:t>）要求后高于屋顶排放。</w:t>
      </w:r>
    </w:p>
    <w:p>
      <w:pPr>
        <w:spacing w:after="0" w:line="560" w:lineRule="exact"/>
        <w:ind w:firstLine="629"/>
        <w:jc w:val="both"/>
        <w:rPr>
          <w:rFonts w:hint="default" w:ascii="仿宋" w:hAnsi="仿宋" w:eastAsia="仿宋"/>
          <w:color w:val="FF0000"/>
          <w:sz w:val="32"/>
          <w:szCs w:val="32"/>
          <w:lang w:val="en-US" w:eastAsia="zh-CN"/>
        </w:rPr>
      </w:pPr>
      <w:r>
        <w:rPr>
          <w:rFonts w:hint="eastAsia" w:ascii="仿宋" w:hAnsi="仿宋" w:eastAsia="仿宋"/>
          <w:sz w:val="32"/>
          <w:szCs w:val="32"/>
        </w:rPr>
        <w:t>（</w:t>
      </w:r>
      <w:r>
        <w:rPr>
          <w:rFonts w:hint="eastAsia" w:ascii="仿宋" w:hAnsi="仿宋" w:eastAsia="仿宋"/>
          <w:sz w:val="32"/>
          <w:szCs w:val="32"/>
          <w:lang w:eastAsia="zh-CN"/>
        </w:rPr>
        <w:t>四</w:t>
      </w:r>
      <w:r>
        <w:rPr>
          <w:rFonts w:hint="eastAsia" w:ascii="仿宋" w:hAnsi="仿宋" w:eastAsia="仿宋"/>
          <w:sz w:val="32"/>
          <w:szCs w:val="32"/>
        </w:rPr>
        <w:t>）落实水污染防治措施。本项目酸洗、磷化工序产生的含重金属废水采取“收集+PH调节+絮凝沉淀+气浮+压滤”工艺处理后部分回用于生产，不能回用的暂存于各工序回收槽，不得外排，最终不能回用的废水须委托有资质的单位进行处置；酸雾喷淋塔产生的废水通过PH调节沉淀后回用，水幕除尘废水沉淀后回用，</w:t>
      </w:r>
      <w:r>
        <w:rPr>
          <w:rFonts w:hint="eastAsia" w:ascii="仿宋" w:hAnsi="仿宋" w:eastAsia="仿宋"/>
          <w:sz w:val="32"/>
          <w:szCs w:val="32"/>
          <w:lang w:eastAsia="zh-CN"/>
        </w:rPr>
        <w:t>酸雾喷淋塔废水和水幕除尘废水尾水不能回用的经处理达到</w:t>
      </w:r>
      <w:r>
        <w:rPr>
          <w:rFonts w:hint="eastAsia" w:ascii="仿宋" w:hAnsi="仿宋" w:eastAsia="仿宋"/>
          <w:color w:val="auto"/>
          <w:sz w:val="32"/>
          <w:szCs w:val="32"/>
          <w:lang w:eastAsia="zh-CN"/>
        </w:rPr>
        <w:t>《污水综合排放标准》（</w:t>
      </w:r>
      <w:r>
        <w:rPr>
          <w:rFonts w:hint="eastAsia" w:ascii="仿宋" w:hAnsi="仿宋" w:eastAsia="仿宋"/>
          <w:color w:val="auto"/>
          <w:sz w:val="32"/>
          <w:szCs w:val="32"/>
          <w:lang w:val="en-US" w:eastAsia="zh-CN"/>
        </w:rPr>
        <w:t>GB8978-1996）三级标准，</w:t>
      </w:r>
      <w:r>
        <w:rPr>
          <w:rFonts w:hint="eastAsia" w:ascii="仿宋" w:hAnsi="仿宋" w:eastAsia="仿宋"/>
          <w:color w:val="auto"/>
          <w:sz w:val="32"/>
          <w:szCs w:val="32"/>
        </w:rPr>
        <w:t>车间拖洗、工人洗手废水、生活污水通过“隔油池+化粪池”处理后达到</w:t>
      </w:r>
      <w:r>
        <w:rPr>
          <w:rFonts w:hint="eastAsia" w:ascii="仿宋" w:hAnsi="仿宋" w:eastAsia="仿宋"/>
          <w:color w:val="auto"/>
          <w:sz w:val="32"/>
          <w:szCs w:val="32"/>
          <w:lang w:eastAsia="zh-CN"/>
        </w:rPr>
        <w:t>《污水综合排放标准》（</w:t>
      </w:r>
      <w:r>
        <w:rPr>
          <w:rFonts w:hint="eastAsia" w:ascii="仿宋" w:hAnsi="仿宋" w:eastAsia="仿宋"/>
          <w:color w:val="auto"/>
          <w:sz w:val="32"/>
          <w:szCs w:val="32"/>
          <w:lang w:val="en-US" w:eastAsia="zh-CN"/>
        </w:rPr>
        <w:t>GB8978-1996）三级标准，</w:t>
      </w:r>
      <w:r>
        <w:rPr>
          <w:rFonts w:hint="eastAsia" w:ascii="仿宋" w:hAnsi="仿宋" w:eastAsia="仿宋"/>
          <w:color w:val="auto"/>
          <w:sz w:val="32"/>
          <w:szCs w:val="32"/>
          <w:lang w:eastAsia="zh-CN"/>
        </w:rPr>
        <w:t>所有外排废水经沅江市第二污水处理厂处理达《城镇污水处理厂污染物排放标准》（</w:t>
      </w:r>
      <w:r>
        <w:rPr>
          <w:rFonts w:hint="eastAsia" w:ascii="仿宋" w:hAnsi="仿宋" w:eastAsia="仿宋"/>
          <w:color w:val="auto"/>
          <w:sz w:val="32"/>
          <w:szCs w:val="32"/>
          <w:lang w:val="en-US" w:eastAsia="zh-CN"/>
        </w:rPr>
        <w:t>GB18918-2002</w:t>
      </w:r>
      <w:r>
        <w:rPr>
          <w:rFonts w:hint="eastAsia" w:ascii="仿宋" w:hAnsi="仿宋" w:eastAsia="仿宋"/>
          <w:color w:val="auto"/>
          <w:sz w:val="32"/>
          <w:szCs w:val="32"/>
          <w:lang w:eastAsia="zh-CN"/>
        </w:rPr>
        <w:t>）中的一级</w:t>
      </w:r>
      <w:r>
        <w:rPr>
          <w:rFonts w:hint="eastAsia" w:ascii="仿宋" w:hAnsi="仿宋" w:eastAsia="仿宋"/>
          <w:color w:val="auto"/>
          <w:sz w:val="32"/>
          <w:szCs w:val="32"/>
          <w:lang w:val="en-US" w:eastAsia="zh-CN"/>
        </w:rPr>
        <w:t>A标准后外排资江分河。</w:t>
      </w:r>
    </w:p>
    <w:p>
      <w:pPr>
        <w:spacing w:after="0" w:line="560" w:lineRule="exact"/>
        <w:ind w:left="110" w:leftChars="50" w:firstLine="640" w:firstLineChars="200"/>
        <w:jc w:val="both"/>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五</w:t>
      </w:r>
      <w:r>
        <w:rPr>
          <w:rFonts w:hint="eastAsia" w:ascii="仿宋" w:hAnsi="仿宋" w:eastAsia="仿宋"/>
          <w:sz w:val="32"/>
          <w:szCs w:val="32"/>
        </w:rPr>
        <w:t>）</w:t>
      </w:r>
      <w:r>
        <w:rPr>
          <w:rFonts w:hint="eastAsia" w:ascii="仿宋" w:hAnsi="仿宋" w:eastAsia="仿宋" w:cs="Times New Roman"/>
          <w:kern w:val="2"/>
          <w:sz w:val="32"/>
          <w:szCs w:val="32"/>
        </w:rPr>
        <w:t>落实固体废物污染防治措施。项目须按照《危险废物贮存污染控制标准》(GB18597－2001)及其修改单要求、《一般工业固体废物贮存、处置场污染控制标准》（GB 18599-2001）及其修改单要求分别设置危废暂存库和一般固废暂存场所，</w:t>
      </w:r>
      <w:r>
        <w:rPr>
          <w:rFonts w:ascii="仿宋" w:hAnsi="仿宋" w:eastAsia="仿宋" w:cs="Times New Roman"/>
          <w:kern w:val="2"/>
          <w:sz w:val="32"/>
          <w:szCs w:val="32"/>
        </w:rPr>
        <w:t>废切削液</w:t>
      </w:r>
      <w:r>
        <w:rPr>
          <w:rFonts w:hint="eastAsia" w:ascii="仿宋" w:hAnsi="仿宋" w:eastAsia="仿宋" w:cs="Times New Roman"/>
          <w:kern w:val="2"/>
          <w:sz w:val="32"/>
          <w:szCs w:val="32"/>
        </w:rPr>
        <w:t>、</w:t>
      </w:r>
      <w:r>
        <w:rPr>
          <w:rFonts w:ascii="仿宋" w:hAnsi="仿宋" w:eastAsia="仿宋" w:cs="Times New Roman"/>
          <w:kern w:val="2"/>
          <w:sz w:val="32"/>
          <w:szCs w:val="32"/>
        </w:rPr>
        <w:t>废机油</w:t>
      </w:r>
      <w:r>
        <w:rPr>
          <w:rFonts w:hint="eastAsia" w:ascii="仿宋" w:hAnsi="仿宋" w:eastAsia="仿宋" w:cs="Times New Roman"/>
          <w:kern w:val="2"/>
          <w:sz w:val="32"/>
          <w:szCs w:val="32"/>
        </w:rPr>
        <w:t>、</w:t>
      </w:r>
      <w:r>
        <w:rPr>
          <w:rFonts w:ascii="仿宋" w:hAnsi="仿宋" w:eastAsia="仿宋" w:cs="Times New Roman"/>
          <w:kern w:val="2"/>
          <w:sz w:val="32"/>
          <w:szCs w:val="32"/>
        </w:rPr>
        <w:t>废液压油</w:t>
      </w:r>
      <w:r>
        <w:rPr>
          <w:rFonts w:hint="eastAsia" w:ascii="仿宋" w:hAnsi="仿宋" w:eastAsia="仿宋" w:cs="Times New Roman"/>
          <w:kern w:val="2"/>
          <w:sz w:val="32"/>
          <w:szCs w:val="32"/>
        </w:rPr>
        <w:t>、</w:t>
      </w:r>
      <w:r>
        <w:rPr>
          <w:rFonts w:ascii="仿宋" w:hAnsi="仿宋" w:eastAsia="仿宋" w:cs="Times New Roman"/>
          <w:kern w:val="2"/>
          <w:sz w:val="32"/>
          <w:szCs w:val="32"/>
        </w:rPr>
        <w:t>废酸洗液</w:t>
      </w:r>
      <w:r>
        <w:rPr>
          <w:rFonts w:hint="eastAsia" w:ascii="仿宋" w:hAnsi="仿宋" w:eastAsia="仿宋" w:cs="Times New Roman"/>
          <w:kern w:val="2"/>
          <w:sz w:val="32"/>
          <w:szCs w:val="32"/>
        </w:rPr>
        <w:t>、</w:t>
      </w:r>
      <w:r>
        <w:rPr>
          <w:rFonts w:ascii="仿宋" w:hAnsi="仿宋" w:eastAsia="仿宋" w:cs="Times New Roman"/>
          <w:kern w:val="2"/>
          <w:sz w:val="32"/>
          <w:szCs w:val="32"/>
        </w:rPr>
        <w:t>废槽液</w:t>
      </w:r>
      <w:r>
        <w:rPr>
          <w:rFonts w:hint="eastAsia" w:ascii="仿宋" w:hAnsi="仿宋" w:eastAsia="仿宋" w:cs="Times New Roman"/>
          <w:kern w:val="2"/>
          <w:sz w:val="32"/>
          <w:szCs w:val="32"/>
        </w:rPr>
        <w:t>、</w:t>
      </w:r>
      <w:r>
        <w:rPr>
          <w:rFonts w:ascii="仿宋" w:hAnsi="仿宋" w:eastAsia="仿宋" w:cs="Times New Roman"/>
          <w:kern w:val="2"/>
          <w:sz w:val="32"/>
          <w:szCs w:val="32"/>
        </w:rPr>
        <w:t>废槽渣</w:t>
      </w:r>
      <w:r>
        <w:rPr>
          <w:rFonts w:hint="eastAsia" w:ascii="仿宋" w:hAnsi="仿宋" w:eastAsia="仿宋" w:cs="Times New Roman"/>
          <w:kern w:val="2"/>
          <w:sz w:val="32"/>
          <w:szCs w:val="32"/>
        </w:rPr>
        <w:t>、</w:t>
      </w:r>
      <w:r>
        <w:rPr>
          <w:rFonts w:ascii="仿宋" w:hAnsi="仿宋" w:eastAsia="仿宋" w:cs="Times New Roman"/>
          <w:kern w:val="2"/>
          <w:sz w:val="32"/>
          <w:szCs w:val="32"/>
        </w:rPr>
        <w:t>压滤污泥</w:t>
      </w:r>
      <w:r>
        <w:rPr>
          <w:rFonts w:hint="eastAsia" w:ascii="仿宋" w:hAnsi="仿宋" w:eastAsia="仿宋" w:cs="Times New Roman"/>
          <w:kern w:val="2"/>
          <w:sz w:val="32"/>
          <w:szCs w:val="32"/>
        </w:rPr>
        <w:t>、</w:t>
      </w:r>
      <w:r>
        <w:rPr>
          <w:rFonts w:ascii="仿宋" w:hAnsi="仿宋" w:eastAsia="仿宋" w:cs="Times New Roman"/>
          <w:kern w:val="2"/>
          <w:sz w:val="32"/>
          <w:szCs w:val="32"/>
        </w:rPr>
        <w:t>漆渣</w:t>
      </w:r>
      <w:r>
        <w:rPr>
          <w:rFonts w:hint="eastAsia" w:ascii="仿宋" w:hAnsi="仿宋" w:eastAsia="仿宋" w:cs="Times New Roman"/>
          <w:kern w:val="2"/>
          <w:sz w:val="32"/>
          <w:szCs w:val="32"/>
        </w:rPr>
        <w:t>、</w:t>
      </w:r>
      <w:r>
        <w:rPr>
          <w:rFonts w:ascii="仿宋" w:hAnsi="仿宋" w:eastAsia="仿宋" w:cs="Times New Roman"/>
          <w:kern w:val="2"/>
          <w:sz w:val="32"/>
          <w:szCs w:val="32"/>
        </w:rPr>
        <w:t>含油抹布以及装危险废物的废容器桶等</w:t>
      </w:r>
      <w:r>
        <w:rPr>
          <w:rFonts w:hint="eastAsia" w:ascii="仿宋" w:hAnsi="仿宋" w:eastAsia="仿宋"/>
          <w:sz w:val="32"/>
          <w:szCs w:val="32"/>
        </w:rPr>
        <w:t>危险废物须委托有危废处置资质的单位进行安全处置；钢材边角料、切割渣、焊渣等一般固废外售综合利用；</w:t>
      </w:r>
      <w:r>
        <w:rPr>
          <w:rFonts w:hint="eastAsia" w:ascii="仿宋" w:hAnsi="仿宋" w:eastAsia="仿宋" w:cs="Times New Roman"/>
          <w:kern w:val="2"/>
          <w:sz w:val="32"/>
          <w:szCs w:val="32"/>
        </w:rPr>
        <w:t>生活垃圾交由</w:t>
      </w:r>
      <w:r>
        <w:rPr>
          <w:rFonts w:hint="eastAsia" w:ascii="仿宋" w:hAnsi="仿宋" w:eastAsia="仿宋"/>
          <w:sz w:val="32"/>
          <w:szCs w:val="32"/>
        </w:rPr>
        <w:t>当地环卫部门处理。</w:t>
      </w:r>
    </w:p>
    <w:p>
      <w:pPr>
        <w:spacing w:after="0" w:line="560" w:lineRule="exact"/>
        <w:ind w:left="110" w:leftChars="50" w:firstLine="640" w:firstLineChars="200"/>
        <w:jc w:val="both"/>
        <w:rPr>
          <w:rFonts w:hint="eastAsia" w:ascii="仿宋" w:hAnsi="仿宋" w:eastAsia="仿宋"/>
          <w:sz w:val="32"/>
          <w:szCs w:val="32"/>
          <w:lang w:val="en-GB" w:eastAsia="zh-CN"/>
        </w:rPr>
      </w:pPr>
      <w:r>
        <w:rPr>
          <w:rFonts w:hint="eastAsia" w:ascii="仿宋" w:hAnsi="仿宋" w:eastAsia="仿宋"/>
          <w:sz w:val="32"/>
          <w:szCs w:val="32"/>
        </w:rPr>
        <w:t>（</w:t>
      </w:r>
      <w:r>
        <w:rPr>
          <w:rFonts w:hint="eastAsia" w:ascii="仿宋" w:hAnsi="仿宋" w:eastAsia="仿宋"/>
          <w:sz w:val="32"/>
          <w:szCs w:val="32"/>
          <w:lang w:eastAsia="zh-CN"/>
        </w:rPr>
        <w:t>六</w:t>
      </w:r>
      <w:r>
        <w:rPr>
          <w:rFonts w:hint="eastAsia" w:ascii="仿宋" w:hAnsi="仿宋" w:eastAsia="仿宋"/>
          <w:sz w:val="32"/>
          <w:szCs w:val="32"/>
        </w:rPr>
        <w:t>）落实噪声污染防治措施。对各项高噪声设备采取基础减震、围挡隔声、优化布局等措施，确保厂界噪声符合《工业企业厂界环境噪声排放标准》（GB12348—2008）中3类区标准要求。</w:t>
      </w:r>
      <w:bookmarkStart w:id="5" w:name="_GoBack"/>
      <w:bookmarkEnd w:id="5"/>
    </w:p>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lang w:val="en-GB"/>
        </w:rPr>
        <w:t>（</w:t>
      </w:r>
      <w:r>
        <w:rPr>
          <w:rFonts w:hint="eastAsia" w:ascii="仿宋" w:hAnsi="仿宋" w:eastAsia="仿宋"/>
          <w:sz w:val="32"/>
          <w:szCs w:val="32"/>
          <w:lang w:val="en-GB" w:eastAsia="zh-CN"/>
        </w:rPr>
        <w:t>七</w:t>
      </w:r>
      <w:r>
        <w:rPr>
          <w:rFonts w:hint="eastAsia" w:ascii="仿宋" w:hAnsi="仿宋" w:eastAsia="仿宋"/>
          <w:sz w:val="32"/>
          <w:szCs w:val="32"/>
          <w:lang w:val="en-GB"/>
        </w:rPr>
        <w:t>）</w:t>
      </w:r>
      <w:r>
        <w:rPr>
          <w:rFonts w:hint="eastAsia" w:ascii="仿宋" w:hAnsi="仿宋" w:eastAsia="仿宋"/>
          <w:sz w:val="32"/>
          <w:szCs w:val="32"/>
        </w:rPr>
        <w:t>污染物排放总量控制为：COD≤0.076t/a、NH</w:t>
      </w:r>
      <w:r>
        <w:rPr>
          <w:rFonts w:hint="eastAsia" w:ascii="仿宋" w:hAnsi="仿宋" w:eastAsia="仿宋"/>
          <w:sz w:val="32"/>
          <w:szCs w:val="32"/>
          <w:vertAlign w:val="subscript"/>
        </w:rPr>
        <w:t>3</w:t>
      </w:r>
      <w:r>
        <w:rPr>
          <w:rFonts w:hint="eastAsia" w:ascii="仿宋" w:hAnsi="仿宋" w:eastAsia="仿宋"/>
          <w:sz w:val="32"/>
          <w:szCs w:val="32"/>
        </w:rPr>
        <w:t>-N≤</w:t>
      </w:r>
      <w:bookmarkStart w:id="0" w:name="_Toc225481844"/>
      <w:bookmarkEnd w:id="0"/>
      <w:bookmarkStart w:id="1" w:name="_Toc202930935"/>
      <w:bookmarkEnd w:id="1"/>
      <w:bookmarkStart w:id="2" w:name="_Toc225402049"/>
      <w:bookmarkEnd w:id="2"/>
      <w:bookmarkStart w:id="3" w:name="_Toc225481845"/>
      <w:bookmarkEnd w:id="3"/>
      <w:bookmarkStart w:id="4" w:name="_Toc225402048"/>
      <w:bookmarkEnd w:id="4"/>
      <w:r>
        <w:rPr>
          <w:rFonts w:hint="eastAsia" w:ascii="仿宋" w:hAnsi="仿宋" w:eastAsia="仿宋"/>
          <w:sz w:val="32"/>
          <w:szCs w:val="32"/>
        </w:rPr>
        <w:t>0.0075t/a，VOCS≤0.22t/a，总量指标纳入益阳市生态环境局沅江分局的总量控制管理。</w:t>
      </w:r>
    </w:p>
    <w:p>
      <w:pPr>
        <w:spacing w:after="0" w:line="560" w:lineRule="exact"/>
        <w:ind w:firstLine="672" w:firstLineChars="200"/>
        <w:jc w:val="both"/>
        <w:rPr>
          <w:rFonts w:ascii="仿宋" w:hAnsi="仿宋" w:eastAsia="仿宋"/>
          <w:sz w:val="32"/>
          <w:szCs w:val="32"/>
        </w:rPr>
      </w:pPr>
      <w:r>
        <w:rPr>
          <w:rFonts w:hint="eastAsia" w:ascii="仿宋" w:hAnsi="仿宋" w:eastAsia="仿宋"/>
          <w:spacing w:val="8"/>
          <w:sz w:val="32"/>
          <w:szCs w:val="32"/>
          <w:lang w:val="en-GB" w:eastAsia="zh-CN"/>
        </w:rPr>
        <w:t>三</w:t>
      </w:r>
      <w:r>
        <w:rPr>
          <w:rFonts w:hint="eastAsia" w:ascii="仿宋" w:hAnsi="仿宋" w:eastAsia="仿宋"/>
          <w:spacing w:val="8"/>
          <w:sz w:val="32"/>
          <w:szCs w:val="32"/>
          <w:lang w:val="en-GB"/>
        </w:rPr>
        <w:t>、项目批复后，</w:t>
      </w:r>
      <w:r>
        <w:rPr>
          <w:rFonts w:hint="eastAsia" w:ascii="仿宋" w:hAnsi="仿宋" w:eastAsia="仿宋"/>
          <w:sz w:val="32"/>
          <w:szCs w:val="32"/>
        </w:rPr>
        <w:t>须按照《固定污染源排污许可分类管理名录》(2019年版) 和《排污许可管理办法（试行）》（环保部令第48号）的要求，在开始投入生产前及时办理排污许可相关手续。同时，</w:t>
      </w:r>
      <w:r>
        <w:rPr>
          <w:rFonts w:hint="eastAsia" w:ascii="仿宋" w:hAnsi="仿宋" w:eastAsia="仿宋"/>
          <w:sz w:val="32"/>
          <w:szCs w:val="32"/>
          <w:lang w:val="en-GB"/>
        </w:rPr>
        <w:t>按</w:t>
      </w:r>
      <w:r>
        <w:rPr>
          <w:rFonts w:hint="eastAsia" w:ascii="仿宋" w:hAnsi="仿宋" w:eastAsia="仿宋"/>
          <w:sz w:val="32"/>
          <w:szCs w:val="32"/>
        </w:rPr>
        <w:t>《建设项目环境保护管理条例》</w:t>
      </w:r>
      <w:r>
        <w:rPr>
          <w:rFonts w:hint="eastAsia" w:ascii="仿宋" w:hAnsi="仿宋" w:eastAsia="仿宋"/>
          <w:sz w:val="32"/>
          <w:szCs w:val="32"/>
          <w:lang w:val="en-GB"/>
        </w:rPr>
        <w:t>的有关规定，及时办理项目竣工环保验收手续，</w:t>
      </w:r>
      <w:r>
        <w:rPr>
          <w:rFonts w:hint="eastAsia" w:ascii="仿宋" w:hAnsi="仿宋" w:eastAsia="仿宋"/>
          <w:bCs/>
          <w:sz w:val="32"/>
          <w:szCs w:val="32"/>
        </w:rPr>
        <w:t>益阳市生态环境局沅江分局</w:t>
      </w:r>
      <w:r>
        <w:rPr>
          <w:rFonts w:hint="eastAsia" w:ascii="仿宋" w:hAnsi="仿宋" w:eastAsia="仿宋"/>
          <w:sz w:val="32"/>
          <w:szCs w:val="32"/>
        </w:rPr>
        <w:t>负责项目的日常环境管理。</w:t>
      </w:r>
    </w:p>
    <w:p>
      <w:pPr>
        <w:spacing w:after="0" w:line="560" w:lineRule="exact"/>
        <w:ind w:firstLine="640" w:firstLineChars="200"/>
        <w:jc w:val="both"/>
        <w:rPr>
          <w:rFonts w:ascii="仿宋" w:hAnsi="仿宋" w:eastAsia="仿宋"/>
          <w:sz w:val="32"/>
          <w:szCs w:val="32"/>
          <w:lang w:val="en-GB"/>
        </w:rPr>
      </w:pPr>
      <w:r>
        <w:rPr>
          <w:rFonts w:hint="eastAsia" w:ascii="仿宋" w:hAnsi="仿宋" w:eastAsia="仿宋"/>
          <w:sz w:val="32"/>
          <w:szCs w:val="32"/>
          <w:lang w:eastAsia="zh-CN"/>
        </w:rPr>
        <w:t>四</w:t>
      </w:r>
      <w:r>
        <w:rPr>
          <w:rFonts w:hint="eastAsia" w:ascii="仿宋" w:hAnsi="仿宋" w:eastAsia="仿宋"/>
          <w:sz w:val="32"/>
          <w:szCs w:val="32"/>
        </w:rPr>
        <w:t>、你公司须</w:t>
      </w:r>
      <w:r>
        <w:rPr>
          <w:rFonts w:hint="eastAsia" w:ascii="仿宋" w:hAnsi="仿宋" w:eastAsia="仿宋"/>
          <w:sz w:val="32"/>
          <w:szCs w:val="32"/>
          <w:lang w:val="en-GB"/>
        </w:rPr>
        <w:t>在收到本批复后 15 个工作日内，将本批复及项目环评报告表送</w:t>
      </w:r>
      <w:r>
        <w:rPr>
          <w:rFonts w:hint="eastAsia" w:ascii="仿宋" w:hAnsi="仿宋" w:eastAsia="仿宋"/>
          <w:bCs/>
          <w:sz w:val="32"/>
          <w:szCs w:val="32"/>
        </w:rPr>
        <w:t>益阳市生态环境局沅江分局</w:t>
      </w:r>
      <w:r>
        <w:rPr>
          <w:rFonts w:hint="eastAsia" w:ascii="仿宋" w:hAnsi="仿宋" w:eastAsia="仿宋"/>
          <w:sz w:val="32"/>
          <w:szCs w:val="32"/>
          <w:lang w:val="en-GB"/>
        </w:rPr>
        <w:t>。</w:t>
      </w:r>
    </w:p>
    <w:p>
      <w:pPr>
        <w:spacing w:after="0" w:line="520" w:lineRule="exact"/>
        <w:ind w:left="180" w:firstLine="320" w:firstLineChars="100"/>
        <w:rPr>
          <w:rFonts w:ascii="仿宋" w:hAnsi="仿宋" w:eastAsia="仿宋"/>
          <w:sz w:val="32"/>
          <w:szCs w:val="32"/>
        </w:rPr>
      </w:pPr>
    </w:p>
    <w:p>
      <w:pPr>
        <w:spacing w:after="0" w:line="520" w:lineRule="exact"/>
        <w:ind w:left="180" w:firstLine="320" w:firstLineChars="100"/>
        <w:rPr>
          <w:rFonts w:ascii="仿宋" w:hAnsi="仿宋" w:eastAsia="仿宋"/>
          <w:sz w:val="32"/>
          <w:szCs w:val="32"/>
        </w:rPr>
      </w:pPr>
    </w:p>
    <w:p>
      <w:pPr>
        <w:spacing w:after="0" w:line="520" w:lineRule="exact"/>
        <w:ind w:firstLine="5760" w:firstLineChars="1800"/>
        <w:rPr>
          <w:rFonts w:ascii="仿宋" w:hAnsi="仿宋" w:eastAsia="仿宋"/>
          <w:sz w:val="32"/>
          <w:szCs w:val="32"/>
        </w:rPr>
      </w:pPr>
    </w:p>
    <w:p>
      <w:pPr>
        <w:spacing w:after="0" w:line="520" w:lineRule="exact"/>
        <w:ind w:firstLine="5440" w:firstLineChars="1700"/>
        <w:rPr>
          <w:rFonts w:ascii="仿宋" w:hAnsi="仿宋" w:eastAsia="仿宋"/>
          <w:sz w:val="32"/>
          <w:szCs w:val="32"/>
        </w:rPr>
      </w:pPr>
      <w:r>
        <w:rPr>
          <w:rFonts w:ascii="仿宋" w:hAnsi="仿宋" w:eastAsia="仿宋"/>
          <w:sz w:val="32"/>
          <w:szCs w:val="32"/>
        </w:rPr>
        <w:t>益阳市生态环境局</w:t>
      </w:r>
    </w:p>
    <w:p>
      <w:pPr>
        <w:spacing w:after="0" w:line="520" w:lineRule="exact"/>
        <w:ind w:firstLine="5440" w:firstLineChars="1700"/>
        <w:rPr>
          <w:rFonts w:ascii="仿宋" w:hAnsi="仿宋" w:eastAsia="仿宋"/>
          <w:sz w:val="32"/>
          <w:szCs w:val="32"/>
        </w:rPr>
      </w:pPr>
      <w:r>
        <w:rPr>
          <w:rFonts w:hint="eastAsia" w:ascii="仿宋" w:hAnsi="仿宋" w:eastAsia="仿宋"/>
          <w:sz w:val="32"/>
          <w:szCs w:val="32"/>
        </w:rPr>
        <w:t>2020年</w:t>
      </w:r>
      <w:r>
        <w:rPr>
          <w:rFonts w:hint="eastAsia" w:ascii="仿宋" w:hAnsi="仿宋" w:eastAsia="仿宋"/>
          <w:sz w:val="32"/>
          <w:szCs w:val="32"/>
          <w:lang w:val="en-US" w:eastAsia="zh-CN"/>
        </w:rPr>
        <w:t>12</w:t>
      </w:r>
      <w:r>
        <w:rPr>
          <w:rFonts w:hint="eastAsia" w:ascii="仿宋" w:hAnsi="仿宋" w:eastAsia="仿宋"/>
          <w:sz w:val="32"/>
          <w:szCs w:val="32"/>
        </w:rPr>
        <w:t>月</w:t>
      </w:r>
      <w:r>
        <w:rPr>
          <w:rFonts w:hint="eastAsia" w:ascii="仿宋" w:hAnsi="仿宋" w:eastAsia="仿宋"/>
          <w:sz w:val="32"/>
          <w:szCs w:val="32"/>
          <w:lang w:val="en-US" w:eastAsia="zh-CN"/>
        </w:rPr>
        <w:t>21</w:t>
      </w:r>
      <w:r>
        <w:rPr>
          <w:rFonts w:hint="eastAsia" w:ascii="仿宋" w:hAnsi="仿宋" w:eastAsia="仿宋"/>
          <w:sz w:val="32"/>
          <w:szCs w:val="32"/>
        </w:rPr>
        <w:t>日</w:t>
      </w: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00094"/>
    <w:rsid w:val="00010E6B"/>
    <w:rsid w:val="00015A18"/>
    <w:rsid w:val="000616FC"/>
    <w:rsid w:val="00091E16"/>
    <w:rsid w:val="000B4431"/>
    <w:rsid w:val="000E184A"/>
    <w:rsid w:val="00106E0D"/>
    <w:rsid w:val="00111FF8"/>
    <w:rsid w:val="0011272E"/>
    <w:rsid w:val="001150B7"/>
    <w:rsid w:val="00123857"/>
    <w:rsid w:val="001349FF"/>
    <w:rsid w:val="00136720"/>
    <w:rsid w:val="00165A65"/>
    <w:rsid w:val="001C229A"/>
    <w:rsid w:val="002046A9"/>
    <w:rsid w:val="00206F0D"/>
    <w:rsid w:val="00212EF9"/>
    <w:rsid w:val="002175CB"/>
    <w:rsid w:val="00230177"/>
    <w:rsid w:val="00254826"/>
    <w:rsid w:val="0026095C"/>
    <w:rsid w:val="00262CDD"/>
    <w:rsid w:val="00264606"/>
    <w:rsid w:val="002A1E2A"/>
    <w:rsid w:val="002B000B"/>
    <w:rsid w:val="002B31B3"/>
    <w:rsid w:val="002C3622"/>
    <w:rsid w:val="002D3B23"/>
    <w:rsid w:val="002E0D40"/>
    <w:rsid w:val="002F09B0"/>
    <w:rsid w:val="002F1F84"/>
    <w:rsid w:val="003012FA"/>
    <w:rsid w:val="00305F5D"/>
    <w:rsid w:val="0031364D"/>
    <w:rsid w:val="00322A46"/>
    <w:rsid w:val="00323B43"/>
    <w:rsid w:val="00361B62"/>
    <w:rsid w:val="003767D5"/>
    <w:rsid w:val="00386C5C"/>
    <w:rsid w:val="00393D2F"/>
    <w:rsid w:val="00395EFC"/>
    <w:rsid w:val="00396DFE"/>
    <w:rsid w:val="003A088A"/>
    <w:rsid w:val="003A2201"/>
    <w:rsid w:val="003B4B4A"/>
    <w:rsid w:val="003C6105"/>
    <w:rsid w:val="003D37D8"/>
    <w:rsid w:val="003D48C6"/>
    <w:rsid w:val="003F3EAC"/>
    <w:rsid w:val="00400264"/>
    <w:rsid w:val="0040781E"/>
    <w:rsid w:val="00426133"/>
    <w:rsid w:val="00433C82"/>
    <w:rsid w:val="004358AB"/>
    <w:rsid w:val="004670C9"/>
    <w:rsid w:val="00483788"/>
    <w:rsid w:val="0048719A"/>
    <w:rsid w:val="004A6BFF"/>
    <w:rsid w:val="004A76D7"/>
    <w:rsid w:val="004B025E"/>
    <w:rsid w:val="0056604D"/>
    <w:rsid w:val="00570F71"/>
    <w:rsid w:val="005B6A7D"/>
    <w:rsid w:val="005E71D3"/>
    <w:rsid w:val="006014D5"/>
    <w:rsid w:val="00605432"/>
    <w:rsid w:val="0060607B"/>
    <w:rsid w:val="00616F8A"/>
    <w:rsid w:val="0062495D"/>
    <w:rsid w:val="00646D11"/>
    <w:rsid w:val="0065059E"/>
    <w:rsid w:val="006514EF"/>
    <w:rsid w:val="00672EB6"/>
    <w:rsid w:val="00673B35"/>
    <w:rsid w:val="00675ACB"/>
    <w:rsid w:val="006809A0"/>
    <w:rsid w:val="00681A94"/>
    <w:rsid w:val="0068312D"/>
    <w:rsid w:val="006A08A8"/>
    <w:rsid w:val="006A16C2"/>
    <w:rsid w:val="006B315D"/>
    <w:rsid w:val="006C6DA0"/>
    <w:rsid w:val="006D5211"/>
    <w:rsid w:val="006E7E0C"/>
    <w:rsid w:val="006F5E1A"/>
    <w:rsid w:val="0070764C"/>
    <w:rsid w:val="00722A37"/>
    <w:rsid w:val="00737A8D"/>
    <w:rsid w:val="00742289"/>
    <w:rsid w:val="00772CEF"/>
    <w:rsid w:val="00781E8E"/>
    <w:rsid w:val="00797521"/>
    <w:rsid w:val="007E5DA2"/>
    <w:rsid w:val="007E74F6"/>
    <w:rsid w:val="008337D2"/>
    <w:rsid w:val="00873B79"/>
    <w:rsid w:val="00873DA0"/>
    <w:rsid w:val="00880094"/>
    <w:rsid w:val="00886CC0"/>
    <w:rsid w:val="008B19CD"/>
    <w:rsid w:val="008B7726"/>
    <w:rsid w:val="008C625F"/>
    <w:rsid w:val="00900658"/>
    <w:rsid w:val="00911CDE"/>
    <w:rsid w:val="009610E4"/>
    <w:rsid w:val="009726B4"/>
    <w:rsid w:val="00975053"/>
    <w:rsid w:val="00975AD3"/>
    <w:rsid w:val="00980568"/>
    <w:rsid w:val="009868B6"/>
    <w:rsid w:val="009B4B0C"/>
    <w:rsid w:val="009C0BB9"/>
    <w:rsid w:val="009C2D80"/>
    <w:rsid w:val="009E04C6"/>
    <w:rsid w:val="009E4F4A"/>
    <w:rsid w:val="009F6A23"/>
    <w:rsid w:val="00A176FE"/>
    <w:rsid w:val="00A45C71"/>
    <w:rsid w:val="00A519DC"/>
    <w:rsid w:val="00A56CD9"/>
    <w:rsid w:val="00A809C0"/>
    <w:rsid w:val="00A857A2"/>
    <w:rsid w:val="00AA11F7"/>
    <w:rsid w:val="00AA42F3"/>
    <w:rsid w:val="00AA4AE3"/>
    <w:rsid w:val="00AD0322"/>
    <w:rsid w:val="00AE1AA8"/>
    <w:rsid w:val="00AF3865"/>
    <w:rsid w:val="00AF67C7"/>
    <w:rsid w:val="00B07051"/>
    <w:rsid w:val="00B10613"/>
    <w:rsid w:val="00B61ACF"/>
    <w:rsid w:val="00B62BC9"/>
    <w:rsid w:val="00B63F9F"/>
    <w:rsid w:val="00B71781"/>
    <w:rsid w:val="00B86D98"/>
    <w:rsid w:val="00BC6DD9"/>
    <w:rsid w:val="00BD5BBC"/>
    <w:rsid w:val="00BF23AF"/>
    <w:rsid w:val="00C028BE"/>
    <w:rsid w:val="00C14BBB"/>
    <w:rsid w:val="00C33537"/>
    <w:rsid w:val="00C402AB"/>
    <w:rsid w:val="00C4439C"/>
    <w:rsid w:val="00C471D8"/>
    <w:rsid w:val="00C55C3A"/>
    <w:rsid w:val="00C6492E"/>
    <w:rsid w:val="00C77762"/>
    <w:rsid w:val="00C82197"/>
    <w:rsid w:val="00CA7716"/>
    <w:rsid w:val="00CC4E07"/>
    <w:rsid w:val="00CC6687"/>
    <w:rsid w:val="00CE713B"/>
    <w:rsid w:val="00CF3603"/>
    <w:rsid w:val="00D31D50"/>
    <w:rsid w:val="00D425F3"/>
    <w:rsid w:val="00D56EE7"/>
    <w:rsid w:val="00D81AEA"/>
    <w:rsid w:val="00D846B8"/>
    <w:rsid w:val="00D921B5"/>
    <w:rsid w:val="00D92837"/>
    <w:rsid w:val="00DB6781"/>
    <w:rsid w:val="00DD5EAB"/>
    <w:rsid w:val="00DE705D"/>
    <w:rsid w:val="00E06614"/>
    <w:rsid w:val="00E3353A"/>
    <w:rsid w:val="00E40806"/>
    <w:rsid w:val="00E42332"/>
    <w:rsid w:val="00E50619"/>
    <w:rsid w:val="00E63A55"/>
    <w:rsid w:val="00E906FF"/>
    <w:rsid w:val="00E93A45"/>
    <w:rsid w:val="00EA65BA"/>
    <w:rsid w:val="00ED08D7"/>
    <w:rsid w:val="00ED1FC4"/>
    <w:rsid w:val="00ED32DF"/>
    <w:rsid w:val="00EE5F38"/>
    <w:rsid w:val="00EE78C8"/>
    <w:rsid w:val="00F157F6"/>
    <w:rsid w:val="00F20289"/>
    <w:rsid w:val="00F24A08"/>
    <w:rsid w:val="00F42933"/>
    <w:rsid w:val="00F54272"/>
    <w:rsid w:val="00F55890"/>
    <w:rsid w:val="00F650D2"/>
    <w:rsid w:val="00F66642"/>
    <w:rsid w:val="00F67E09"/>
    <w:rsid w:val="00F72E10"/>
    <w:rsid w:val="00F8199B"/>
    <w:rsid w:val="00F83EA9"/>
    <w:rsid w:val="00FB4233"/>
    <w:rsid w:val="00FD0304"/>
    <w:rsid w:val="00FE41B4"/>
    <w:rsid w:val="11B32D6C"/>
    <w:rsid w:val="2134637F"/>
    <w:rsid w:val="2358325C"/>
    <w:rsid w:val="4C11205F"/>
    <w:rsid w:val="4D8E5B3F"/>
    <w:rsid w:val="54D02525"/>
    <w:rsid w:val="71AE0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pPr>
      <w:widowControl w:val="0"/>
      <w:adjustRightInd/>
      <w:snapToGrid/>
      <w:spacing w:after="120"/>
      <w:jc w:val="both"/>
    </w:pPr>
    <w:rPr>
      <w:rFonts w:ascii="Times New Roman" w:hAnsi="Times New Roman" w:eastAsia="宋体" w:cs="Times New Roman"/>
      <w:kern w:val="2"/>
      <w:sz w:val="21"/>
      <w:szCs w:val="24"/>
    </w:rPr>
  </w:style>
  <w:style w:type="paragraph" w:styleId="3">
    <w:name w:val="Body Text Indent"/>
    <w:basedOn w:val="1"/>
    <w:link w:val="11"/>
    <w:qFormat/>
    <w:uiPriority w:val="0"/>
    <w:pPr>
      <w:widowControl w:val="0"/>
      <w:adjustRightInd/>
      <w:snapToGrid/>
      <w:spacing w:after="120"/>
      <w:ind w:left="200" w:leftChars="200"/>
      <w:jc w:val="both"/>
    </w:pPr>
    <w:rPr>
      <w:rFonts w:ascii="Times New Roman" w:hAnsi="Times New Roman" w:eastAsia="仿宋_GB2312" w:cs="Times New Roman"/>
      <w:kern w:val="2"/>
      <w:sz w:val="24"/>
      <w:szCs w:val="24"/>
    </w:rPr>
  </w:style>
  <w:style w:type="paragraph" w:styleId="4">
    <w:name w:val="footer"/>
    <w:basedOn w:val="1"/>
    <w:link w:val="9"/>
    <w:semiHidden/>
    <w:unhideWhenUsed/>
    <w:qFormat/>
    <w:uiPriority w:val="99"/>
    <w:pPr>
      <w:tabs>
        <w:tab w:val="center" w:pos="4153"/>
        <w:tab w:val="right" w:pos="8306"/>
      </w:tabs>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jc w:val="center"/>
    </w:pPr>
    <w:rPr>
      <w:sz w:val="18"/>
      <w:szCs w:val="18"/>
    </w:rPr>
  </w:style>
  <w:style w:type="character" w:customStyle="1" w:styleId="8">
    <w:name w:val="页眉 Char"/>
    <w:basedOn w:val="7"/>
    <w:link w:val="5"/>
    <w:semiHidden/>
    <w:qFormat/>
    <w:uiPriority w:val="99"/>
    <w:rPr>
      <w:rFonts w:ascii="Tahoma" w:hAnsi="Tahoma"/>
      <w:sz w:val="18"/>
      <w:szCs w:val="18"/>
    </w:rPr>
  </w:style>
  <w:style w:type="character" w:customStyle="1" w:styleId="9">
    <w:name w:val="页脚 Char"/>
    <w:basedOn w:val="7"/>
    <w:link w:val="4"/>
    <w:semiHidden/>
    <w:qFormat/>
    <w:uiPriority w:val="99"/>
    <w:rPr>
      <w:rFonts w:ascii="Tahoma" w:hAnsi="Tahoma"/>
      <w:sz w:val="18"/>
      <w:szCs w:val="18"/>
    </w:rPr>
  </w:style>
  <w:style w:type="character" w:customStyle="1" w:styleId="10">
    <w:name w:val="正文文本 Char"/>
    <w:basedOn w:val="7"/>
    <w:link w:val="2"/>
    <w:qFormat/>
    <w:uiPriority w:val="0"/>
    <w:rPr>
      <w:rFonts w:ascii="Times New Roman" w:hAnsi="Times New Roman" w:eastAsia="宋体" w:cs="Times New Roman"/>
      <w:kern w:val="2"/>
      <w:sz w:val="21"/>
      <w:szCs w:val="24"/>
    </w:rPr>
  </w:style>
  <w:style w:type="character" w:customStyle="1" w:styleId="11">
    <w:name w:val="正文文本缩进 Char"/>
    <w:basedOn w:val="7"/>
    <w:link w:val="3"/>
    <w:qFormat/>
    <w:uiPriority w:val="0"/>
    <w:rPr>
      <w:rFonts w:ascii="Times New Roman" w:hAnsi="Times New Roman" w:eastAsia="仿宋_GB2312" w:cs="Times New Roman"/>
      <w:kern w:val="2"/>
      <w:sz w:val="24"/>
      <w:szCs w:val="2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374</Words>
  <Characters>2135</Characters>
  <Lines>17</Lines>
  <Paragraphs>5</Paragraphs>
  <TotalTime>11</TotalTime>
  <ScaleCrop>false</ScaleCrop>
  <LinksUpToDate>false</LinksUpToDate>
  <CharactersWithSpaces>2504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哎哟</cp:lastModifiedBy>
  <cp:lastPrinted>2020-12-21T08:10:08Z</cp:lastPrinted>
  <dcterms:modified xsi:type="dcterms:W3CDTF">2020-12-21T08:13:47Z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