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00" w:lineRule="exact"/>
        <w:jc w:val="center"/>
        <w:rPr>
          <w:rFonts w:ascii="宋体" w:hAnsi="宋体"/>
          <w:bCs/>
          <w:sz w:val="32"/>
          <w:szCs w:val="32"/>
        </w:rPr>
      </w:pPr>
    </w:p>
    <w:p>
      <w:pPr>
        <w:pStyle w:val="2"/>
        <w:spacing w:line="500" w:lineRule="exact"/>
        <w:jc w:val="center"/>
        <w:rPr>
          <w:rFonts w:ascii="仿宋_GB2312" w:eastAsia="仿宋_GB2312"/>
          <w:spacing w:val="-20"/>
        </w:rPr>
      </w:pPr>
    </w:p>
    <w:p>
      <w:pPr>
        <w:pStyle w:val="2"/>
        <w:spacing w:line="500" w:lineRule="exact"/>
        <w:jc w:val="center"/>
        <w:rPr>
          <w:rFonts w:ascii="仿宋_GB2312" w:eastAsia="仿宋_GB2312"/>
          <w:spacing w:val="-20"/>
        </w:rPr>
      </w:pPr>
    </w:p>
    <w:p>
      <w:pPr>
        <w:pStyle w:val="2"/>
        <w:spacing w:line="560" w:lineRule="exact"/>
        <w:jc w:val="center"/>
        <w:rPr>
          <w:rFonts w:ascii="宋体" w:hAnsi="宋体"/>
          <w:spacing w:val="-20"/>
        </w:rPr>
      </w:pPr>
      <w:r>
        <w:rPr>
          <w:rFonts w:hint="eastAsia" w:ascii="仿宋_GB2312" w:eastAsia="仿宋_GB2312"/>
          <w:spacing w:val="-20"/>
        </w:rPr>
        <w:t xml:space="preserve">                            </w:t>
      </w:r>
      <w:r>
        <w:rPr>
          <w:rFonts w:hint="eastAsia" w:ascii="宋体" w:hAnsi="宋体"/>
          <w:spacing w:val="-20"/>
        </w:rPr>
        <w:t xml:space="preserve">                        </w:t>
      </w:r>
    </w:p>
    <w:p>
      <w:pPr>
        <w:pStyle w:val="2"/>
        <w:spacing w:line="560" w:lineRule="exact"/>
        <w:jc w:val="right"/>
        <w:rPr>
          <w:rFonts w:ascii="仿宋" w:hAnsi="仿宋" w:eastAsia="仿宋"/>
          <w:kern w:val="0"/>
          <w:sz w:val="32"/>
          <w:szCs w:val="32"/>
        </w:rPr>
      </w:pPr>
      <w:r>
        <w:rPr>
          <w:rFonts w:hint="eastAsia" w:ascii="宋体" w:hAnsi="宋体"/>
          <w:spacing w:val="-20"/>
        </w:rPr>
        <w:t xml:space="preserve">  </w:t>
      </w:r>
      <w:r>
        <w:rPr>
          <w:rFonts w:hint="eastAsia" w:ascii="仿宋" w:hAnsi="仿宋" w:eastAsia="仿宋"/>
          <w:kern w:val="0"/>
          <w:sz w:val="32"/>
          <w:szCs w:val="32"/>
        </w:rPr>
        <w:t>益环审(表)〔2020〕154号</w:t>
      </w:r>
    </w:p>
    <w:p>
      <w:pPr>
        <w:tabs>
          <w:tab w:val="left" w:pos="1021"/>
        </w:tabs>
        <w:spacing w:after="0"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益阳市生态环境局</w:t>
      </w:r>
      <w:bookmarkStart w:id="0" w:name="_GoBack"/>
      <w:bookmarkEnd w:id="0"/>
    </w:p>
    <w:p>
      <w:pPr>
        <w:tabs>
          <w:tab w:val="left" w:pos="1021"/>
        </w:tabs>
        <w:spacing w:after="0"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关于桃江县住房和城乡建设局</w:t>
      </w:r>
    </w:p>
    <w:p>
      <w:pPr>
        <w:tabs>
          <w:tab w:val="left" w:pos="1021"/>
        </w:tabs>
        <w:spacing w:after="0"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桃江县大栗港镇污水处理及配套管网工程环境影响报告表的批复</w:t>
      </w:r>
    </w:p>
    <w:p>
      <w:pPr>
        <w:spacing w:after="0" w:line="540" w:lineRule="exact"/>
        <w:jc w:val="both"/>
        <w:rPr>
          <w:rFonts w:ascii="仿宋" w:hAnsi="仿宋" w:eastAsia="仿宋" w:cs="Times New Roman"/>
          <w:sz w:val="32"/>
          <w:szCs w:val="32"/>
        </w:rPr>
      </w:pPr>
    </w:p>
    <w:p>
      <w:pPr>
        <w:spacing w:after="0" w:line="540" w:lineRule="exact"/>
        <w:jc w:val="both"/>
        <w:rPr>
          <w:rFonts w:ascii="仿宋" w:hAnsi="仿宋" w:eastAsia="仿宋"/>
          <w:sz w:val="32"/>
          <w:szCs w:val="32"/>
        </w:rPr>
      </w:pPr>
      <w:r>
        <w:rPr>
          <w:rFonts w:hint="eastAsia" w:ascii="仿宋" w:hAnsi="仿宋" w:eastAsia="仿宋" w:cs="Times New Roman"/>
          <w:sz w:val="32"/>
          <w:szCs w:val="32"/>
        </w:rPr>
        <w:t>桃江县住房和城乡建设局</w:t>
      </w:r>
      <w:r>
        <w:rPr>
          <w:rFonts w:hint="eastAsia" w:ascii="仿宋" w:hAnsi="仿宋" w:eastAsia="仿宋"/>
          <w:sz w:val="32"/>
          <w:szCs w:val="32"/>
        </w:rPr>
        <w:t>：</w:t>
      </w:r>
    </w:p>
    <w:p>
      <w:pPr>
        <w:pStyle w:val="2"/>
        <w:spacing w:after="0" w:line="540" w:lineRule="exact"/>
        <w:ind w:firstLine="640" w:firstLineChars="200"/>
        <w:rPr>
          <w:rFonts w:ascii="仿宋" w:hAnsi="仿宋" w:eastAsia="仿宋"/>
          <w:sz w:val="32"/>
          <w:szCs w:val="32"/>
        </w:rPr>
      </w:pPr>
      <w:r>
        <w:rPr>
          <w:rFonts w:hint="eastAsia" w:ascii="仿宋" w:hAnsi="仿宋" w:eastAsia="仿宋"/>
          <w:sz w:val="32"/>
          <w:szCs w:val="32"/>
        </w:rPr>
        <w:t>你局呈报的《关于请求对&lt;桃江县住房和城乡建设局桃江县大栗港镇污水处理及配套管网工程环境影响报告表&gt;进行审批的报告</w:t>
      </w:r>
      <w:r>
        <w:rPr>
          <w:rFonts w:hint="eastAsia" w:ascii="仿宋" w:hAnsi="仿宋" w:eastAsia="仿宋"/>
          <w:bCs/>
          <w:sz w:val="32"/>
          <w:szCs w:val="32"/>
        </w:rPr>
        <w:t>》、</w:t>
      </w:r>
      <w:r>
        <w:rPr>
          <w:rFonts w:hint="eastAsia" w:ascii="仿宋" w:hAnsi="仿宋" w:eastAsia="仿宋"/>
          <w:sz w:val="32"/>
          <w:szCs w:val="32"/>
        </w:rPr>
        <w:t>益阳市生态环境局桃江分局</w:t>
      </w:r>
      <w:r>
        <w:rPr>
          <w:rFonts w:hint="eastAsia" w:ascii="仿宋" w:hAnsi="仿宋" w:eastAsia="仿宋"/>
          <w:bCs/>
          <w:sz w:val="32"/>
          <w:szCs w:val="32"/>
        </w:rPr>
        <w:t>的预审意见及相关材料</w:t>
      </w:r>
      <w:r>
        <w:rPr>
          <w:rFonts w:hint="eastAsia" w:ascii="仿宋" w:hAnsi="仿宋" w:eastAsia="仿宋"/>
          <w:sz w:val="32"/>
          <w:szCs w:val="32"/>
        </w:rPr>
        <w:t>收悉。经审查、研究，批复如下：</w:t>
      </w:r>
    </w:p>
    <w:p>
      <w:pPr>
        <w:spacing w:after="0" w:line="540" w:lineRule="exact"/>
        <w:ind w:firstLine="630" w:firstLineChars="196"/>
        <w:jc w:val="both"/>
        <w:rPr>
          <w:rFonts w:ascii="仿宋" w:hAnsi="仿宋" w:eastAsia="仿宋"/>
          <w:sz w:val="32"/>
          <w:szCs w:val="32"/>
        </w:rPr>
      </w:pPr>
      <w:r>
        <w:rPr>
          <w:rFonts w:hint="eastAsia" w:ascii="仿宋" w:hAnsi="仿宋" w:eastAsia="仿宋"/>
          <w:b/>
          <w:bCs/>
          <w:sz w:val="32"/>
          <w:szCs w:val="32"/>
        </w:rPr>
        <w:t>一</w:t>
      </w:r>
      <w:r>
        <w:rPr>
          <w:rFonts w:hint="eastAsia" w:ascii="仿宋" w:hAnsi="仿宋" w:eastAsia="仿宋"/>
          <w:bCs/>
          <w:sz w:val="32"/>
          <w:szCs w:val="32"/>
        </w:rPr>
        <w:t>、</w:t>
      </w:r>
      <w:r>
        <w:rPr>
          <w:rFonts w:hint="eastAsia" w:ascii="仿宋" w:hAnsi="仿宋" w:eastAsia="仿宋" w:cs="Times New Roman"/>
          <w:sz w:val="32"/>
          <w:szCs w:val="32"/>
        </w:rPr>
        <w:t>桃江县住房和城乡建设局拟</w:t>
      </w:r>
      <w:r>
        <w:rPr>
          <w:rFonts w:ascii="仿宋" w:hAnsi="仿宋" w:eastAsia="仿宋" w:cs="Times New Roman"/>
          <w:sz w:val="32"/>
          <w:szCs w:val="32"/>
        </w:rPr>
        <w:t>投资</w:t>
      </w:r>
      <w:r>
        <w:rPr>
          <w:rFonts w:hint="eastAsia" w:ascii="仿宋" w:hAnsi="仿宋" w:eastAsia="仿宋" w:cs="Times New Roman"/>
          <w:sz w:val="32"/>
          <w:szCs w:val="32"/>
        </w:rPr>
        <w:t>2096.85万元，在</w:t>
      </w:r>
      <w:r>
        <w:rPr>
          <w:rFonts w:hint="eastAsia" w:ascii="仿宋" w:hAnsi="仿宋" w:eastAsia="仿宋" w:cs="Times New Roman"/>
          <w:kern w:val="2"/>
          <w:sz w:val="32"/>
          <w:szCs w:val="32"/>
        </w:rPr>
        <w:t>桃江县大栗港镇建设</w:t>
      </w:r>
      <w:r>
        <w:rPr>
          <w:rFonts w:hint="eastAsia" w:ascii="仿宋" w:hAnsi="仿宋" w:eastAsia="仿宋"/>
          <w:sz w:val="32"/>
          <w:szCs w:val="32"/>
        </w:rPr>
        <w:t>桃江县大栗港镇污水处理及配套管网工程</w:t>
      </w:r>
      <w:r>
        <w:rPr>
          <w:rFonts w:hint="eastAsia" w:ascii="仿宋" w:hAnsi="仿宋" w:eastAsia="仿宋" w:cs="Times New Roman"/>
          <w:kern w:val="2"/>
          <w:sz w:val="32"/>
          <w:szCs w:val="32"/>
        </w:rPr>
        <w:t>，项目占地面积1390</w:t>
      </w:r>
      <w:r>
        <w:rPr>
          <w:rFonts w:hint="eastAsia" w:ascii="仿宋" w:hAnsi="仿宋" w:eastAsia="仿宋"/>
          <w:sz w:val="32"/>
          <w:szCs w:val="32"/>
        </w:rPr>
        <w:t xml:space="preserve"> m</w:t>
      </w:r>
      <w:r>
        <w:rPr>
          <w:rFonts w:hint="eastAsia" w:ascii="仿宋" w:hAnsi="仿宋" w:eastAsia="仿宋"/>
          <w:sz w:val="32"/>
          <w:szCs w:val="32"/>
          <w:vertAlign w:val="superscript"/>
        </w:rPr>
        <w:t>2</w:t>
      </w:r>
      <w:r>
        <w:rPr>
          <w:rFonts w:hint="eastAsia" w:ascii="仿宋" w:hAnsi="仿宋" w:eastAsia="仿宋" w:cs="Times New Roman"/>
          <w:kern w:val="2"/>
          <w:sz w:val="32"/>
          <w:szCs w:val="32"/>
        </w:rPr>
        <w:t>，</w:t>
      </w:r>
      <w:r>
        <w:rPr>
          <w:rFonts w:hint="eastAsia" w:ascii="仿宋" w:hAnsi="仿宋" w:eastAsia="仿宋" w:cs="Times New Roman"/>
          <w:sz w:val="32"/>
          <w:szCs w:val="32"/>
        </w:rPr>
        <w:t>设计</w:t>
      </w:r>
      <w:r>
        <w:rPr>
          <w:rFonts w:ascii="仿宋" w:hAnsi="仿宋" w:eastAsia="仿宋" w:cs="Times New Roman"/>
          <w:sz w:val="32"/>
          <w:szCs w:val="32"/>
        </w:rPr>
        <w:t>处理规模近期为</w:t>
      </w:r>
      <w:r>
        <w:rPr>
          <w:rFonts w:hint="eastAsia" w:ascii="仿宋" w:hAnsi="仿宋" w:eastAsia="仿宋" w:cs="Times New Roman"/>
          <w:sz w:val="32"/>
          <w:szCs w:val="32"/>
        </w:rPr>
        <w:t>200</w:t>
      </w:r>
      <w:r>
        <w:rPr>
          <w:rFonts w:ascii="仿宋" w:hAnsi="仿宋" w:eastAsia="仿宋" w:cs="Times New Roman"/>
          <w:sz w:val="32"/>
          <w:szCs w:val="32"/>
        </w:rPr>
        <w:t>0m</w:t>
      </w:r>
      <w:r>
        <w:rPr>
          <w:rFonts w:ascii="Times New Roman" w:hAnsi="Times New Roman" w:eastAsia="仿宋" w:cs="Times New Roman"/>
          <w:sz w:val="32"/>
          <w:szCs w:val="32"/>
        </w:rPr>
        <w:t>³</w:t>
      </w:r>
      <w:r>
        <w:rPr>
          <w:rFonts w:ascii="仿宋" w:hAnsi="仿宋" w:eastAsia="仿宋" w:cs="Times New Roman"/>
          <w:sz w:val="32"/>
          <w:szCs w:val="32"/>
        </w:rPr>
        <w:t>/d</w:t>
      </w:r>
      <w:r>
        <w:rPr>
          <w:rFonts w:hint="eastAsia" w:ascii="仿宋" w:hAnsi="仿宋" w:eastAsia="仿宋" w:cs="Times New Roman"/>
          <w:sz w:val="32"/>
          <w:szCs w:val="32"/>
        </w:rPr>
        <w:t>，采取“A</w:t>
      </w:r>
      <w:r>
        <w:rPr>
          <w:rFonts w:hint="eastAsia" w:ascii="仿宋" w:hAnsi="仿宋" w:eastAsia="仿宋" w:cs="Times New Roman"/>
          <w:sz w:val="32"/>
          <w:szCs w:val="32"/>
          <w:vertAlign w:val="superscript"/>
        </w:rPr>
        <w:t>2</w:t>
      </w:r>
      <w:r>
        <w:rPr>
          <w:rFonts w:hint="eastAsia" w:ascii="仿宋" w:hAnsi="仿宋" w:eastAsia="仿宋" w:cs="Times New Roman"/>
          <w:sz w:val="32"/>
          <w:szCs w:val="32"/>
        </w:rPr>
        <w:t>O+MBR +紫外消毒” 废水处理工艺，主要建设内容包括细格栅、沉砂池、调节池、污水处理系统装置、紫外消毒装置、在线监测装置、设备间等配套设施及配套</w:t>
      </w:r>
      <w:r>
        <w:rPr>
          <w:rFonts w:hint="eastAsia" w:ascii="仿宋" w:hAnsi="仿宋" w:eastAsia="仿宋"/>
          <w:sz w:val="32"/>
          <w:szCs w:val="32"/>
        </w:rPr>
        <w:t>污水收集管网约5920米</w:t>
      </w:r>
      <w:r>
        <w:rPr>
          <w:rFonts w:hint="eastAsia" w:ascii="仿宋" w:hAnsi="仿宋" w:eastAsia="仿宋" w:cs="Times New Roman"/>
          <w:sz w:val="32"/>
          <w:szCs w:val="32"/>
        </w:rPr>
        <w:t>。服务范围为大栗港镇镇区1.52km</w:t>
      </w:r>
      <w:r>
        <w:rPr>
          <w:rFonts w:hint="eastAsia" w:ascii="仿宋" w:hAnsi="仿宋" w:eastAsia="仿宋" w:cs="Times New Roman"/>
          <w:sz w:val="32"/>
          <w:szCs w:val="32"/>
          <w:vertAlign w:val="superscript"/>
        </w:rPr>
        <w:t>2</w:t>
      </w:r>
      <w:r>
        <w:rPr>
          <w:rFonts w:hint="eastAsia" w:ascii="仿宋" w:hAnsi="仿宋" w:eastAsia="仿宋" w:cs="Times New Roman"/>
          <w:sz w:val="32"/>
          <w:szCs w:val="32"/>
        </w:rPr>
        <w:t>区域。</w:t>
      </w:r>
    </w:p>
    <w:p>
      <w:pPr>
        <w:spacing w:after="0" w:line="540" w:lineRule="exact"/>
        <w:ind w:firstLine="627" w:firstLineChars="196"/>
        <w:jc w:val="both"/>
        <w:rPr>
          <w:rFonts w:ascii="仿宋" w:hAnsi="仿宋" w:eastAsia="仿宋"/>
          <w:sz w:val="32"/>
          <w:szCs w:val="32"/>
        </w:rPr>
      </w:pPr>
      <w:r>
        <w:rPr>
          <w:rFonts w:hint="eastAsia" w:ascii="仿宋" w:hAnsi="仿宋" w:eastAsia="仿宋"/>
          <w:bCs/>
          <w:sz w:val="32"/>
          <w:szCs w:val="32"/>
        </w:rPr>
        <w:t>项目</w:t>
      </w:r>
      <w:r>
        <w:rPr>
          <w:rFonts w:hint="eastAsia" w:ascii="仿宋" w:hAnsi="仿宋" w:eastAsia="仿宋"/>
          <w:sz w:val="32"/>
          <w:szCs w:val="32"/>
        </w:rPr>
        <w:t>符合国家产业政策，选址基本合理。根据湖南景玺环保科技有限公司编制的环评报告表的分析结论和益阳市生态环境局桃江分局的预审意见，在建设单位切实落实报告表提出的各项污染防治和风险防范措施，确保污染物达标排放的前提下，从环境保护的角度分析，我局原则同意桃江县住房和城乡建设局桃江县大栗港镇污水处理及配套管网工程的选址并建设。</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sz w:val="32"/>
          <w:szCs w:val="32"/>
        </w:rPr>
        <w:t>二、建设和运营单位</w:t>
      </w:r>
      <w:r>
        <w:rPr>
          <w:rFonts w:hint="eastAsia" w:ascii="仿宋" w:hAnsi="仿宋" w:eastAsia="仿宋" w:cs="Times New Roman"/>
          <w:sz w:val="32"/>
          <w:szCs w:val="32"/>
        </w:rPr>
        <w:t>在工程设计、建设和生产运</w:t>
      </w:r>
      <w:r>
        <w:rPr>
          <w:rFonts w:ascii="仿宋" w:hAnsi="仿宋" w:eastAsia="仿宋" w:cs="Times New Roman"/>
          <w:sz w:val="32"/>
          <w:szCs w:val="32"/>
        </w:rPr>
        <w:t>营管理中，必须切实落实环评提出的各项污染防治和风险防范措施要求，着重做好以下工作：</w:t>
      </w:r>
    </w:p>
    <w:p>
      <w:pPr>
        <w:spacing w:after="0" w:line="540" w:lineRule="exact"/>
        <w:ind w:firstLine="640" w:firstLineChars="200"/>
        <w:jc w:val="both"/>
        <w:rPr>
          <w:rFonts w:ascii="仿宋" w:hAnsi="仿宋" w:eastAsia="仿宋"/>
          <w:sz w:val="32"/>
          <w:szCs w:val="32"/>
        </w:rPr>
      </w:pPr>
      <w:r>
        <w:rPr>
          <w:rFonts w:ascii="仿宋" w:hAnsi="仿宋" w:eastAsia="仿宋" w:cs="Times New Roman"/>
          <w:color w:val="000000" w:themeColor="text1"/>
          <w:sz w:val="32"/>
          <w:szCs w:val="32"/>
        </w:rPr>
        <w:t>（一）</w:t>
      </w:r>
      <w:r>
        <w:rPr>
          <w:rFonts w:ascii="仿宋" w:hAnsi="仿宋" w:eastAsia="仿宋" w:cs="Times New Roman"/>
          <w:sz w:val="32"/>
          <w:szCs w:val="32"/>
        </w:rPr>
        <w:t>严格履行建设和运营单位的环保主体责任，加强环境管理。建立环保规章制度和岗位责任制，配备专职环保管理人员，定期对设施设备进行检查和维护，确保设施稳定正常运行和污染物稳定达标排放。制定环境风险事故应急预案，落实事故应急防范措施，切实防范各类事故环境风险。</w:t>
      </w:r>
    </w:p>
    <w:p>
      <w:pPr>
        <w:spacing w:after="0" w:line="540" w:lineRule="exact"/>
        <w:ind w:firstLine="630"/>
        <w:jc w:val="both"/>
        <w:rPr>
          <w:rFonts w:ascii="仿宋" w:hAnsi="仿宋" w:eastAsia="仿宋"/>
          <w:sz w:val="32"/>
          <w:szCs w:val="32"/>
        </w:rPr>
      </w:pPr>
      <w:r>
        <w:rPr>
          <w:rFonts w:hint="eastAsia" w:ascii="仿宋" w:hAnsi="仿宋" w:eastAsia="仿宋"/>
          <w:sz w:val="32"/>
          <w:szCs w:val="32"/>
        </w:rPr>
        <w:t>（二）加强施工期的环境管理。对施工场地采取围挡、洒水降尘等措施，采用密闭车辆运输渣土物料，减轻施工及运输扬尘污染影响；妥善处置建筑弃渣、施工垃圾和弃土；</w:t>
      </w:r>
      <w:r>
        <w:rPr>
          <w:rFonts w:hint="eastAsia" w:ascii="仿宋" w:hAnsi="仿宋" w:eastAsia="仿宋"/>
          <w:spacing w:val="-6"/>
          <w:sz w:val="32"/>
          <w:szCs w:val="32"/>
        </w:rPr>
        <w:t>管网的铺设应及时恢复植被或硬化；</w:t>
      </w:r>
      <w:r>
        <w:rPr>
          <w:rFonts w:hint="eastAsia" w:ascii="仿宋" w:hAnsi="仿宋" w:eastAsia="仿宋"/>
          <w:sz w:val="32"/>
          <w:szCs w:val="32"/>
        </w:rPr>
        <w:t>选用低噪声施工设备，合理安排工期，控制夜间作业时段，防止施工噪声扰民；严格落实水土保持方案的有关措施，防止水土流失。</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sz w:val="32"/>
          <w:szCs w:val="32"/>
        </w:rPr>
        <w:t>（三）按“雨污分流”的原则建设截排污管网，截排污管</w:t>
      </w:r>
      <w:r>
        <w:rPr>
          <w:rFonts w:hint="eastAsia" w:ascii="仿宋" w:hAnsi="仿宋" w:eastAsia="仿宋" w:cs="Times New Roman"/>
          <w:sz w:val="32"/>
          <w:szCs w:val="32"/>
        </w:rPr>
        <w:t>网必须与污水处理厂主体工程同步设计、同步建设、同步投运，确保污水处理厂按进度建成投运。</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四）进一步完善和优化污水处理工艺，根据服务范围进水水质特点，加强污水处理站的进水水质调节，满足后续水处理的水质水量要求；废水排放执行《城镇污水处理厂污染物排放标准》（GB18918-2002）及其修改单中的一级A标准。</w:t>
      </w:r>
    </w:p>
    <w:p>
      <w:pPr>
        <w:spacing w:after="0" w:line="540" w:lineRule="exact"/>
        <w:ind w:firstLine="640" w:firstLineChars="200"/>
        <w:jc w:val="both"/>
        <w:rPr>
          <w:rFonts w:ascii="仿宋" w:hAnsi="仿宋" w:eastAsia="仿宋" w:cs="Times New Roman"/>
          <w:color w:val="FF0000"/>
          <w:sz w:val="32"/>
          <w:szCs w:val="32"/>
        </w:rPr>
      </w:pPr>
      <w:r>
        <w:rPr>
          <w:rFonts w:hint="eastAsia" w:ascii="仿宋" w:hAnsi="仿宋" w:eastAsia="仿宋" w:cs="Times New Roman"/>
          <w:sz w:val="32"/>
          <w:szCs w:val="32"/>
        </w:rPr>
        <w:t>（五）落实固体废弃物污染防治措施。废紫外线灯管须定期交有资质的单位安全处置；处理污水产生的污</w:t>
      </w:r>
      <w:r>
        <w:rPr>
          <w:rFonts w:hint="eastAsia" w:ascii="仿宋" w:hAnsi="仿宋" w:eastAsia="仿宋"/>
          <w:sz w:val="32"/>
          <w:szCs w:val="32"/>
        </w:rPr>
        <w:t>泥、格栅渣、沉砂等一般固体废物需按照</w:t>
      </w:r>
      <w:r>
        <w:rPr>
          <w:rFonts w:hint="eastAsia" w:ascii="仿宋" w:hAnsi="仿宋" w:eastAsia="仿宋" w:cs="Times New Roman"/>
          <w:kern w:val="2"/>
          <w:sz w:val="32"/>
          <w:szCs w:val="32"/>
        </w:rPr>
        <w:t>《一般工业固体废物贮存、处置场污染控制标准》（GB 18599-2001）及其修改单要求，</w:t>
      </w:r>
      <w:r>
        <w:rPr>
          <w:rFonts w:hint="eastAsia" w:ascii="仿宋" w:hAnsi="仿宋" w:eastAsia="仿宋"/>
          <w:sz w:val="32"/>
          <w:szCs w:val="32"/>
        </w:rPr>
        <w:t>及时妥善处理，</w:t>
      </w:r>
      <w:r>
        <w:rPr>
          <w:rFonts w:hint="eastAsia" w:ascii="仿宋" w:hAnsi="仿宋" w:eastAsia="仿宋" w:cs="Times New Roman"/>
          <w:kern w:val="2"/>
          <w:sz w:val="32"/>
          <w:szCs w:val="32"/>
        </w:rPr>
        <w:t>防止二次污染</w:t>
      </w:r>
      <w:r>
        <w:rPr>
          <w:rFonts w:hint="eastAsia" w:ascii="仿宋" w:hAnsi="仿宋" w:eastAsia="仿宋"/>
          <w:sz w:val="32"/>
          <w:szCs w:val="32"/>
        </w:rPr>
        <w:t>。</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（六）合理优化平面布局，设置绿化隔离带，防止恶臭及噪声对周围环境的影响。</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（七）严格按照《排污许可证申请与核发技术规范-水处理（试行）》（HJ978-2018）的要求执行环境监测计划；按要求安装在线监测装置，并加强日常维护，确保在线数据与生态环境部门联网。</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（八）污染物排放总量控制指标为： COD≤36.5t/a，NH</w:t>
      </w:r>
      <w:r>
        <w:rPr>
          <w:rFonts w:hint="eastAsia" w:ascii="仿宋" w:hAnsi="仿宋" w:eastAsia="仿宋" w:cs="Times New Roman"/>
          <w:sz w:val="32"/>
          <w:szCs w:val="32"/>
          <w:vertAlign w:val="subscript"/>
        </w:rPr>
        <w:t>3</w:t>
      </w:r>
      <w:r>
        <w:rPr>
          <w:rFonts w:hint="eastAsia" w:ascii="仿宋" w:hAnsi="仿宋" w:eastAsia="仿宋" w:cs="Times New Roman"/>
          <w:sz w:val="32"/>
          <w:szCs w:val="32"/>
        </w:rPr>
        <w:t>-N≤3.65t/a。总量控制指标纳入</w:t>
      </w:r>
      <w:r>
        <w:rPr>
          <w:rFonts w:hint="eastAsia" w:ascii="仿宋" w:hAnsi="仿宋" w:eastAsia="仿宋"/>
          <w:sz w:val="32"/>
          <w:szCs w:val="32"/>
        </w:rPr>
        <w:t>益阳市生态环境局桃江分局</w:t>
      </w:r>
      <w:r>
        <w:rPr>
          <w:rFonts w:hint="eastAsia" w:ascii="仿宋" w:hAnsi="仿宋" w:eastAsia="仿宋" w:cs="Times New Roman"/>
          <w:sz w:val="32"/>
          <w:szCs w:val="32"/>
        </w:rPr>
        <w:t>的总量管理。</w:t>
      </w:r>
    </w:p>
    <w:p>
      <w:pPr>
        <w:spacing w:after="0" w:line="540" w:lineRule="exact"/>
        <w:ind w:firstLine="640" w:firstLineChars="200"/>
        <w:jc w:val="both"/>
        <w:rPr>
          <w:rFonts w:ascii="仿宋" w:hAnsi="仿宋" w:eastAsia="仿宋"/>
          <w:sz w:val="32"/>
          <w:szCs w:val="32"/>
        </w:rPr>
      </w:pPr>
      <w:r>
        <w:rPr>
          <w:rFonts w:hint="eastAsia" w:ascii="仿宋" w:hAnsi="仿宋" w:eastAsia="仿宋"/>
          <w:sz w:val="32"/>
          <w:szCs w:val="32"/>
          <w:lang w:val="en-GB"/>
        </w:rPr>
        <w:t>三、</w:t>
      </w:r>
      <w:r>
        <w:rPr>
          <w:rFonts w:hint="eastAsia" w:ascii="仿宋" w:hAnsi="仿宋" w:eastAsia="仿宋"/>
          <w:spacing w:val="8"/>
          <w:sz w:val="32"/>
          <w:szCs w:val="32"/>
          <w:lang w:val="en-GB"/>
        </w:rPr>
        <w:t>项目投入运营前，</w:t>
      </w:r>
      <w:r>
        <w:rPr>
          <w:rFonts w:hint="eastAsia" w:ascii="仿宋" w:hAnsi="仿宋" w:eastAsia="仿宋"/>
          <w:sz w:val="32"/>
          <w:szCs w:val="32"/>
        </w:rPr>
        <w:t>须按照《固定污染源排污许可分类管理名录》和《排污许可管理办法（试行）》（环保部令第48号）的要求及时办理排污许可相关手续。同时，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《建设项目竣工环境保护验收暂行办法》</w:t>
      </w:r>
      <w:r>
        <w:rPr>
          <w:rFonts w:hint="eastAsia" w:ascii="仿宋" w:hAnsi="仿宋" w:eastAsia="仿宋"/>
          <w:sz w:val="32"/>
          <w:szCs w:val="32"/>
          <w:lang w:val="en-GB"/>
        </w:rPr>
        <w:t>的有关规定，及时办理项目竣工环保验收手续，</w:t>
      </w:r>
      <w:r>
        <w:rPr>
          <w:rFonts w:hint="eastAsia" w:ascii="仿宋" w:hAnsi="仿宋" w:eastAsia="仿宋"/>
          <w:bCs/>
          <w:sz w:val="32"/>
          <w:szCs w:val="32"/>
        </w:rPr>
        <w:t>益阳市生态环境局桃江分局</w:t>
      </w:r>
      <w:r>
        <w:rPr>
          <w:rFonts w:hint="eastAsia" w:ascii="仿宋" w:hAnsi="仿宋" w:eastAsia="仿宋"/>
          <w:sz w:val="32"/>
          <w:szCs w:val="32"/>
        </w:rPr>
        <w:t>负责项目建设期间的“三同时”现场监督检查和日常环境管理。</w:t>
      </w:r>
    </w:p>
    <w:p>
      <w:pPr>
        <w:spacing w:after="0" w:line="540" w:lineRule="exact"/>
        <w:ind w:firstLine="640" w:firstLineChars="200"/>
        <w:jc w:val="both"/>
        <w:rPr>
          <w:rFonts w:ascii="仿宋" w:hAnsi="仿宋" w:eastAsia="仿宋"/>
          <w:sz w:val="32"/>
          <w:szCs w:val="32"/>
          <w:lang w:val="en-GB"/>
        </w:rPr>
      </w:pPr>
      <w:r>
        <w:rPr>
          <w:rFonts w:hint="eastAsia" w:ascii="仿宋" w:hAnsi="仿宋" w:eastAsia="仿宋"/>
          <w:sz w:val="32"/>
          <w:szCs w:val="32"/>
        </w:rPr>
        <w:t>四、</w:t>
      </w:r>
      <w:r>
        <w:rPr>
          <w:rFonts w:hint="eastAsia" w:ascii="仿宋" w:hAnsi="仿宋" w:eastAsia="仿宋"/>
          <w:sz w:val="32"/>
          <w:szCs w:val="32"/>
          <w:lang w:val="en-GB"/>
        </w:rPr>
        <w:t>你公司须在收到本批复后 15 个工作日内，将本批复及项目环评报告书送</w:t>
      </w:r>
      <w:r>
        <w:rPr>
          <w:rFonts w:hint="eastAsia" w:ascii="仿宋" w:hAnsi="仿宋" w:eastAsia="仿宋"/>
          <w:bCs/>
          <w:sz w:val="32"/>
          <w:szCs w:val="32"/>
        </w:rPr>
        <w:t>益阳市生态环境局桃江分局</w:t>
      </w:r>
      <w:r>
        <w:rPr>
          <w:rFonts w:hint="eastAsia" w:ascii="仿宋" w:hAnsi="仿宋" w:eastAsia="仿宋"/>
          <w:sz w:val="32"/>
          <w:szCs w:val="32"/>
          <w:lang w:val="en-GB"/>
        </w:rPr>
        <w:t>。</w:t>
      </w:r>
    </w:p>
    <w:p>
      <w:pPr>
        <w:spacing w:after="0" w:line="540" w:lineRule="exact"/>
        <w:ind w:left="180" w:firstLine="320" w:firstLineChars="100"/>
        <w:jc w:val="both"/>
        <w:rPr>
          <w:rFonts w:ascii="仿宋" w:hAnsi="仿宋" w:eastAsia="仿宋"/>
          <w:sz w:val="32"/>
          <w:szCs w:val="32"/>
        </w:rPr>
      </w:pPr>
      <w:r>
        <w:rPr>
          <w:rFonts w:hint="eastAsia" w:ascii="仿宋" w:hAnsi="仿宋" w:eastAsia="仿宋"/>
          <w:sz w:val="32"/>
          <w:szCs w:val="32"/>
        </w:rPr>
        <w:t xml:space="preserve">                              </w:t>
      </w:r>
    </w:p>
    <w:p>
      <w:pPr>
        <w:spacing w:after="0" w:line="540" w:lineRule="exact"/>
        <w:ind w:left="180" w:firstLine="320" w:firstLineChars="100"/>
        <w:jc w:val="both"/>
        <w:rPr>
          <w:rFonts w:ascii="仿宋" w:hAnsi="仿宋" w:eastAsia="仿宋"/>
          <w:sz w:val="32"/>
          <w:szCs w:val="32"/>
        </w:rPr>
      </w:pPr>
    </w:p>
    <w:p>
      <w:pPr>
        <w:spacing w:after="0" w:line="540" w:lineRule="exact"/>
        <w:ind w:left="180" w:firstLine="320" w:firstLineChars="100"/>
        <w:jc w:val="both"/>
        <w:rPr>
          <w:rFonts w:ascii="仿宋" w:hAnsi="仿宋" w:eastAsia="仿宋"/>
          <w:sz w:val="32"/>
          <w:szCs w:val="32"/>
        </w:rPr>
      </w:pPr>
    </w:p>
    <w:p>
      <w:pPr>
        <w:spacing w:after="0" w:line="540" w:lineRule="exact"/>
        <w:ind w:left="180" w:firstLine="320" w:firstLineChars="100"/>
        <w:jc w:val="both"/>
        <w:rPr>
          <w:rFonts w:ascii="仿宋" w:hAnsi="仿宋" w:eastAsia="仿宋"/>
          <w:sz w:val="32"/>
          <w:szCs w:val="32"/>
        </w:rPr>
      </w:pPr>
    </w:p>
    <w:p>
      <w:pPr>
        <w:spacing w:after="0" w:line="540" w:lineRule="exact"/>
        <w:ind w:left="180" w:leftChars="82" w:firstLine="4800" w:firstLineChars="1500"/>
        <w:jc w:val="both"/>
        <w:rPr>
          <w:rFonts w:ascii="仿宋" w:hAnsi="仿宋" w:eastAsia="仿宋"/>
          <w:sz w:val="32"/>
          <w:szCs w:val="32"/>
        </w:rPr>
      </w:pPr>
      <w:r>
        <w:rPr>
          <w:rFonts w:hint="eastAsia" w:ascii="仿宋" w:hAnsi="仿宋" w:eastAsia="仿宋"/>
          <w:sz w:val="32"/>
          <w:szCs w:val="32"/>
        </w:rPr>
        <w:t xml:space="preserve"> 益阳市生态环境局</w:t>
      </w:r>
    </w:p>
    <w:p>
      <w:pPr>
        <w:spacing w:after="0" w:line="540" w:lineRule="exact"/>
        <w:ind w:firstLine="5120" w:firstLineChars="1600"/>
        <w:jc w:val="both"/>
        <w:rPr>
          <w:rFonts w:ascii="仿宋" w:hAnsi="仿宋" w:eastAsia="仿宋"/>
          <w:sz w:val="32"/>
          <w:szCs w:val="32"/>
        </w:rPr>
      </w:pPr>
      <w:r>
        <w:rPr>
          <w:rFonts w:hint="eastAsia" w:ascii="仿宋" w:hAnsi="仿宋" w:eastAsia="仿宋"/>
          <w:sz w:val="32"/>
          <w:szCs w:val="32"/>
        </w:rPr>
        <w:t>2020年12月2日</w:t>
      </w:r>
    </w:p>
    <w:p>
      <w:pPr>
        <w:spacing w:line="520" w:lineRule="exact"/>
        <w:ind w:firstLine="440" w:firstLineChars="200"/>
        <w:jc w:val="both"/>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5808"/>
    <w:rsid w:val="0004491A"/>
    <w:rsid w:val="00051A9B"/>
    <w:rsid w:val="00082806"/>
    <w:rsid w:val="000F47DE"/>
    <w:rsid w:val="00114E13"/>
    <w:rsid w:val="001210EC"/>
    <w:rsid w:val="001312F4"/>
    <w:rsid w:val="001401C1"/>
    <w:rsid w:val="00175ABF"/>
    <w:rsid w:val="0019123D"/>
    <w:rsid w:val="001B5D86"/>
    <w:rsid w:val="001E0B5B"/>
    <w:rsid w:val="001E25EC"/>
    <w:rsid w:val="001F05F7"/>
    <w:rsid w:val="00234955"/>
    <w:rsid w:val="00286892"/>
    <w:rsid w:val="0029413B"/>
    <w:rsid w:val="00295AD6"/>
    <w:rsid w:val="002B16E8"/>
    <w:rsid w:val="002B3D09"/>
    <w:rsid w:val="002D3D22"/>
    <w:rsid w:val="002F1713"/>
    <w:rsid w:val="003013B5"/>
    <w:rsid w:val="00301551"/>
    <w:rsid w:val="00323B43"/>
    <w:rsid w:val="00360380"/>
    <w:rsid w:val="00362D6F"/>
    <w:rsid w:val="003719EF"/>
    <w:rsid w:val="00391E49"/>
    <w:rsid w:val="003D37D8"/>
    <w:rsid w:val="00426133"/>
    <w:rsid w:val="004358AB"/>
    <w:rsid w:val="004573B0"/>
    <w:rsid w:val="00466883"/>
    <w:rsid w:val="00493611"/>
    <w:rsid w:val="00501688"/>
    <w:rsid w:val="0052783F"/>
    <w:rsid w:val="0053363E"/>
    <w:rsid w:val="005474CF"/>
    <w:rsid w:val="0054765F"/>
    <w:rsid w:val="00557456"/>
    <w:rsid w:val="0059240F"/>
    <w:rsid w:val="005A5E4A"/>
    <w:rsid w:val="005D139E"/>
    <w:rsid w:val="006511D6"/>
    <w:rsid w:val="00711BF0"/>
    <w:rsid w:val="00720F0F"/>
    <w:rsid w:val="00755B24"/>
    <w:rsid w:val="00772D8B"/>
    <w:rsid w:val="007765DF"/>
    <w:rsid w:val="007C5ECB"/>
    <w:rsid w:val="00836B2A"/>
    <w:rsid w:val="00841810"/>
    <w:rsid w:val="00885091"/>
    <w:rsid w:val="008B7726"/>
    <w:rsid w:val="00901A0A"/>
    <w:rsid w:val="009034F4"/>
    <w:rsid w:val="009402E3"/>
    <w:rsid w:val="009438FE"/>
    <w:rsid w:val="0095767A"/>
    <w:rsid w:val="0096622D"/>
    <w:rsid w:val="00970259"/>
    <w:rsid w:val="00984704"/>
    <w:rsid w:val="00993335"/>
    <w:rsid w:val="0099502A"/>
    <w:rsid w:val="00A06492"/>
    <w:rsid w:val="00A11EE0"/>
    <w:rsid w:val="00A167E8"/>
    <w:rsid w:val="00A21549"/>
    <w:rsid w:val="00A27440"/>
    <w:rsid w:val="00AE5C8A"/>
    <w:rsid w:val="00AF20DC"/>
    <w:rsid w:val="00B46C08"/>
    <w:rsid w:val="00C1495C"/>
    <w:rsid w:val="00C25234"/>
    <w:rsid w:val="00C83FD1"/>
    <w:rsid w:val="00CB6D3D"/>
    <w:rsid w:val="00CF48DA"/>
    <w:rsid w:val="00D23506"/>
    <w:rsid w:val="00D31D50"/>
    <w:rsid w:val="00D94A40"/>
    <w:rsid w:val="00DD257A"/>
    <w:rsid w:val="00DE63EC"/>
    <w:rsid w:val="00E028BD"/>
    <w:rsid w:val="00E112D7"/>
    <w:rsid w:val="00E554A8"/>
    <w:rsid w:val="00E61D2B"/>
    <w:rsid w:val="00E76B0A"/>
    <w:rsid w:val="00E91EB3"/>
    <w:rsid w:val="00EA2330"/>
    <w:rsid w:val="00EB1E7A"/>
    <w:rsid w:val="00EB35A0"/>
    <w:rsid w:val="00EC30DA"/>
    <w:rsid w:val="00EE584D"/>
    <w:rsid w:val="00F03280"/>
    <w:rsid w:val="00F1543B"/>
    <w:rsid w:val="00FD3924"/>
    <w:rsid w:val="00FE631E"/>
    <w:rsid w:val="00FF526B"/>
    <w:rsid w:val="1EC33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unhideWhenUsed/>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customStyle="1" w:styleId="7">
    <w:name w:val="正文文本 Char"/>
    <w:basedOn w:val="6"/>
    <w:link w:val="2"/>
    <w:qFormat/>
    <w:uiPriority w:val="0"/>
    <w:rPr>
      <w:rFonts w:ascii="Times New Roman" w:hAnsi="Times New Roman" w:eastAsia="宋体" w:cs="Times New Roman"/>
      <w:kern w:val="2"/>
      <w:sz w:val="21"/>
      <w:szCs w:val="24"/>
    </w:rPr>
  </w:style>
  <w:style w:type="character" w:customStyle="1" w:styleId="8">
    <w:name w:val="页眉 Char"/>
    <w:basedOn w:val="6"/>
    <w:link w:val="4"/>
    <w:semiHidden/>
    <w:qFormat/>
    <w:uiPriority w:val="99"/>
    <w:rPr>
      <w:rFonts w:ascii="Tahoma" w:hAnsi="Tahoma"/>
      <w:sz w:val="18"/>
      <w:szCs w:val="18"/>
    </w:rPr>
  </w:style>
  <w:style w:type="character" w:customStyle="1" w:styleId="9">
    <w:name w:val="页脚 Char"/>
    <w:basedOn w:val="6"/>
    <w:link w:val="3"/>
    <w:semiHidden/>
    <w:qFormat/>
    <w:uiPriority w:val="99"/>
    <w:rPr>
      <w:rFonts w:ascii="Tahoma" w:hAnsi="Tahoma"/>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254</Words>
  <Characters>1453</Characters>
  <Lines>12</Lines>
  <Paragraphs>3</Paragraphs>
  <TotalTime>4875</TotalTime>
  <ScaleCrop>false</ScaleCrop>
  <LinksUpToDate>false</LinksUpToDate>
  <CharactersWithSpaces>1704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cp:lastPrinted>2020-12-03T04:39:09Z</cp:lastPrinted>
  <dcterms:modified xsi:type="dcterms:W3CDTF">2020-12-03T04:41:35Z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