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985"/>
        </w:tabs>
        <w:spacing w:line="500" w:lineRule="exact"/>
        <w:jc w:val="center"/>
        <w:rPr>
          <w:rFonts w:ascii="宋体" w:hAnsi="宋体"/>
          <w:bCs/>
          <w:sz w:val="32"/>
          <w:szCs w:val="32"/>
        </w:rPr>
      </w:pPr>
    </w:p>
    <w:p>
      <w:pPr>
        <w:pStyle w:val="2"/>
        <w:spacing w:line="500" w:lineRule="exact"/>
        <w:jc w:val="center"/>
        <w:rPr>
          <w:rFonts w:ascii="仿宋_GB2312" w:eastAsia="仿宋_GB2312"/>
          <w:spacing w:val="-20"/>
        </w:rPr>
      </w:pPr>
    </w:p>
    <w:p>
      <w:pPr>
        <w:pStyle w:val="2"/>
        <w:spacing w:line="500" w:lineRule="exact"/>
        <w:jc w:val="center"/>
        <w:rPr>
          <w:rFonts w:ascii="仿宋_GB2312" w:eastAsia="仿宋_GB2312"/>
          <w:spacing w:val="-20"/>
        </w:rPr>
      </w:pPr>
    </w:p>
    <w:p>
      <w:pPr>
        <w:spacing w:after="0" w:line="540" w:lineRule="exact"/>
        <w:jc w:val="right"/>
        <w:rPr>
          <w:rFonts w:ascii="仿宋" w:hAnsi="仿宋" w:eastAsia="仿宋" w:cs="Times New Roman"/>
          <w:kern w:val="2"/>
          <w:sz w:val="32"/>
          <w:szCs w:val="32"/>
        </w:rPr>
      </w:pPr>
      <w:bookmarkStart w:id="0" w:name="_GoBack"/>
      <w:r>
        <w:rPr>
          <w:rFonts w:hint="eastAsia" w:ascii="仿宋" w:hAnsi="仿宋" w:eastAsia="仿宋" w:cs="Times New Roman"/>
          <w:kern w:val="2"/>
          <w:sz w:val="32"/>
          <w:szCs w:val="32"/>
        </w:rPr>
        <w:t>益环审(表)〔2020〕</w:t>
      </w:r>
      <w:r>
        <w:rPr>
          <w:rFonts w:hint="eastAsia" w:ascii="仿宋" w:hAnsi="仿宋" w:eastAsia="仿宋" w:cs="Times New Roman"/>
          <w:kern w:val="2"/>
          <w:sz w:val="32"/>
          <w:szCs w:val="32"/>
          <w:lang w:val="en-US" w:eastAsia="zh-CN"/>
        </w:rPr>
        <w:t>144</w:t>
      </w:r>
      <w:r>
        <w:rPr>
          <w:rFonts w:hint="eastAsia" w:ascii="仿宋" w:hAnsi="仿宋" w:eastAsia="仿宋" w:cs="Times New Roman"/>
          <w:kern w:val="2"/>
          <w:sz w:val="32"/>
          <w:szCs w:val="32"/>
        </w:rPr>
        <w:t>号</w:t>
      </w:r>
      <w:bookmarkEnd w:id="0"/>
    </w:p>
    <w:p>
      <w:pPr>
        <w:tabs>
          <w:tab w:val="left" w:pos="1021"/>
        </w:tabs>
        <w:spacing w:after="0" w:line="640" w:lineRule="exact"/>
        <w:jc w:val="center"/>
        <w:rPr>
          <w:rFonts w:ascii="方正小标宋简体" w:eastAsia="方正小标宋简体" w:hAnsiTheme="majorEastAsia" w:cstheme="majorEastAsia"/>
          <w:sz w:val="44"/>
          <w:szCs w:val="44"/>
        </w:rPr>
      </w:pPr>
      <w:r>
        <w:rPr>
          <w:rFonts w:hint="eastAsia" w:ascii="方正小标宋简体" w:eastAsia="方正小标宋简体" w:hAnsiTheme="majorEastAsia" w:cstheme="majorEastAsia"/>
          <w:sz w:val="44"/>
          <w:szCs w:val="44"/>
        </w:rPr>
        <w:t>益阳市生态环境局</w:t>
      </w:r>
    </w:p>
    <w:p>
      <w:pPr>
        <w:tabs>
          <w:tab w:val="left" w:pos="1021"/>
        </w:tabs>
        <w:spacing w:after="0" w:line="640" w:lineRule="exact"/>
        <w:jc w:val="center"/>
        <w:rPr>
          <w:rFonts w:ascii="方正小标宋简体" w:eastAsia="方正小标宋简体" w:hAnsiTheme="majorEastAsia" w:cstheme="majorEastAsia"/>
          <w:sz w:val="44"/>
          <w:szCs w:val="44"/>
        </w:rPr>
      </w:pPr>
      <w:r>
        <w:rPr>
          <w:rFonts w:hint="eastAsia" w:ascii="方正小标宋简体" w:eastAsia="方正小标宋简体" w:hAnsiTheme="majorEastAsia" w:cstheme="majorEastAsia"/>
          <w:sz w:val="44"/>
          <w:szCs w:val="44"/>
        </w:rPr>
        <w:t>关于益阳市资阳区晶盛新能源有限公司</w:t>
      </w:r>
    </w:p>
    <w:p>
      <w:pPr>
        <w:tabs>
          <w:tab w:val="left" w:pos="1021"/>
        </w:tabs>
        <w:spacing w:after="0" w:line="640" w:lineRule="exact"/>
        <w:jc w:val="center"/>
        <w:rPr>
          <w:rFonts w:hint="eastAsia" w:ascii="方正小标宋简体" w:eastAsia="方正小标宋简体" w:hAnsiTheme="majorEastAsia" w:cstheme="majorEastAsia"/>
          <w:sz w:val="44"/>
          <w:szCs w:val="44"/>
        </w:rPr>
      </w:pPr>
      <w:r>
        <w:rPr>
          <w:rFonts w:hint="eastAsia" w:ascii="方正小标宋简体" w:eastAsia="方正小标宋简体" w:hAnsiTheme="majorEastAsia" w:cstheme="majorEastAsia"/>
          <w:sz w:val="44"/>
          <w:szCs w:val="44"/>
        </w:rPr>
        <w:t>益阳资阳先锋湖平价上网50MWp</w:t>
      </w:r>
    </w:p>
    <w:p>
      <w:pPr>
        <w:tabs>
          <w:tab w:val="left" w:pos="1021"/>
        </w:tabs>
        <w:spacing w:after="0" w:line="640" w:lineRule="exact"/>
        <w:jc w:val="center"/>
        <w:rPr>
          <w:rFonts w:ascii="方正小标宋简体" w:eastAsia="方正小标宋简体" w:hAnsiTheme="majorEastAsia" w:cstheme="majorEastAsia"/>
          <w:sz w:val="44"/>
          <w:szCs w:val="44"/>
        </w:rPr>
      </w:pPr>
      <w:r>
        <w:rPr>
          <w:rFonts w:hint="eastAsia" w:ascii="方正小标宋简体" w:eastAsia="方正小标宋简体" w:hAnsiTheme="majorEastAsia" w:cstheme="majorEastAsia"/>
          <w:sz w:val="44"/>
          <w:szCs w:val="44"/>
        </w:rPr>
        <w:t>渔光互补光伏项目环境影响报告表的</w:t>
      </w:r>
    </w:p>
    <w:p>
      <w:pPr>
        <w:tabs>
          <w:tab w:val="left" w:pos="1021"/>
        </w:tabs>
        <w:spacing w:after="0" w:line="640" w:lineRule="exact"/>
        <w:jc w:val="center"/>
        <w:rPr>
          <w:rFonts w:ascii="方正小标宋简体" w:eastAsia="方正小标宋简体" w:hAnsiTheme="majorEastAsia" w:cstheme="majorEastAsia"/>
          <w:sz w:val="44"/>
          <w:szCs w:val="44"/>
        </w:rPr>
      </w:pPr>
      <w:r>
        <w:rPr>
          <w:rFonts w:hint="eastAsia" w:ascii="方正小标宋简体" w:eastAsia="方正小标宋简体" w:hAnsiTheme="majorEastAsia" w:cstheme="majorEastAsia"/>
          <w:sz w:val="44"/>
          <w:szCs w:val="44"/>
        </w:rPr>
        <w:t>批复</w:t>
      </w:r>
    </w:p>
    <w:p>
      <w:pPr>
        <w:spacing w:after="0" w:line="560" w:lineRule="exact"/>
        <w:jc w:val="both"/>
        <w:rPr>
          <w:rFonts w:ascii="仿宋" w:hAnsi="仿宋" w:eastAsia="仿宋" w:cs="Times New Roman"/>
          <w:kern w:val="2"/>
          <w:sz w:val="32"/>
          <w:szCs w:val="32"/>
        </w:rPr>
      </w:pPr>
    </w:p>
    <w:p>
      <w:pPr>
        <w:spacing w:after="0" w:line="560" w:lineRule="exact"/>
        <w:jc w:val="both"/>
        <w:rPr>
          <w:rFonts w:ascii="仿宋" w:hAnsi="仿宋" w:eastAsia="仿宋"/>
          <w:sz w:val="32"/>
          <w:szCs w:val="32"/>
        </w:rPr>
      </w:pPr>
      <w:r>
        <w:rPr>
          <w:rFonts w:hint="eastAsia" w:ascii="仿宋" w:hAnsi="仿宋" w:eastAsia="仿宋" w:cs="Times New Roman"/>
          <w:kern w:val="2"/>
          <w:sz w:val="32"/>
          <w:szCs w:val="32"/>
        </w:rPr>
        <w:t>益阳市资阳区晶盛新能源有限公司：</w:t>
      </w:r>
    </w:p>
    <w:p>
      <w:pPr>
        <w:spacing w:after="0" w:line="560" w:lineRule="exact"/>
        <w:ind w:firstLine="640" w:firstLineChars="200"/>
        <w:jc w:val="both"/>
        <w:rPr>
          <w:rFonts w:ascii="仿宋" w:hAnsi="仿宋" w:eastAsia="仿宋" w:cs="Times New Roman"/>
          <w:kern w:val="2"/>
          <w:sz w:val="32"/>
          <w:szCs w:val="32"/>
        </w:rPr>
      </w:pPr>
      <w:r>
        <w:rPr>
          <w:rFonts w:hint="eastAsia" w:ascii="仿宋" w:hAnsi="仿宋" w:eastAsia="仿宋"/>
          <w:sz w:val="32"/>
          <w:szCs w:val="32"/>
        </w:rPr>
        <w:t>你公司呈报的《关于申请批复&lt;</w:t>
      </w:r>
      <w:r>
        <w:rPr>
          <w:rFonts w:hint="eastAsia" w:ascii="仿宋" w:hAnsi="仿宋" w:eastAsia="仿宋" w:cs="Times New Roman"/>
          <w:kern w:val="2"/>
          <w:sz w:val="32"/>
          <w:szCs w:val="32"/>
        </w:rPr>
        <w:t>益阳市资阳区晶盛新能源有限公司</w:t>
      </w:r>
      <w:r>
        <w:rPr>
          <w:rFonts w:hint="eastAsia" w:ascii="仿宋" w:hAnsi="仿宋" w:eastAsia="仿宋" w:cs="Times New Roman"/>
          <w:sz w:val="32"/>
          <w:szCs w:val="32"/>
        </w:rPr>
        <w:t>益阳资阳先锋湖平价上网50MWp渔光互补光伏项目</w:t>
      </w:r>
      <w:r>
        <w:rPr>
          <w:rFonts w:hint="eastAsia" w:ascii="仿宋" w:hAnsi="仿宋" w:eastAsia="仿宋" w:cs="Times New Roman"/>
          <w:kern w:val="2"/>
          <w:sz w:val="32"/>
          <w:szCs w:val="32"/>
        </w:rPr>
        <w:t>环境影响报告表&gt;的报告》、益阳市生态环境局资阳分局的预审意见及相关材料收悉。经审查、研究，批复如下：</w:t>
      </w:r>
    </w:p>
    <w:p>
      <w:pPr>
        <w:spacing w:after="0" w:line="560" w:lineRule="exact"/>
        <w:ind w:firstLine="640" w:firstLineChars="200"/>
        <w:jc w:val="both"/>
        <w:rPr>
          <w:rFonts w:ascii="仿宋" w:hAnsi="仿宋" w:eastAsia="仿宋" w:cs="Times New Roman"/>
          <w:kern w:val="2"/>
          <w:sz w:val="32"/>
          <w:szCs w:val="32"/>
        </w:rPr>
      </w:pPr>
      <w:r>
        <w:rPr>
          <w:rFonts w:hint="eastAsia" w:ascii="仿宋" w:hAnsi="仿宋" w:eastAsia="仿宋" w:cs="Times New Roman"/>
          <w:kern w:val="2"/>
          <w:sz w:val="32"/>
          <w:szCs w:val="32"/>
        </w:rPr>
        <w:t>一、益阳市资阳区晶盛新能源有限公司拟投资</w:t>
      </w:r>
      <w:r>
        <w:rPr>
          <w:rFonts w:ascii="仿宋" w:hAnsi="仿宋" w:eastAsia="仿宋" w:cs="Times New Roman"/>
          <w:kern w:val="2"/>
          <w:sz w:val="32"/>
          <w:szCs w:val="32"/>
        </w:rPr>
        <w:t>18136.18</w:t>
      </w:r>
      <w:r>
        <w:rPr>
          <w:rFonts w:hint="eastAsia" w:ascii="仿宋" w:hAnsi="仿宋" w:eastAsia="仿宋" w:cs="Times New Roman"/>
          <w:kern w:val="2"/>
          <w:sz w:val="32"/>
          <w:szCs w:val="32"/>
        </w:rPr>
        <w:t>万元，在</w:t>
      </w:r>
      <w:r>
        <w:rPr>
          <w:rFonts w:ascii="仿宋" w:hAnsi="仿宋" w:eastAsia="仿宋" w:cs="Times New Roman"/>
          <w:kern w:val="2"/>
          <w:sz w:val="32"/>
          <w:szCs w:val="32"/>
        </w:rPr>
        <w:t>益阳市</w:t>
      </w:r>
      <w:r>
        <w:rPr>
          <w:rFonts w:hint="eastAsia" w:ascii="仿宋" w:hAnsi="仿宋" w:eastAsia="仿宋" w:cs="Times New Roman"/>
          <w:kern w:val="2"/>
          <w:sz w:val="32"/>
          <w:szCs w:val="32"/>
        </w:rPr>
        <w:t>资</w:t>
      </w:r>
      <w:r>
        <w:rPr>
          <w:rFonts w:ascii="仿宋" w:hAnsi="仿宋" w:eastAsia="仿宋" w:cs="Times New Roman"/>
          <w:kern w:val="2"/>
          <w:sz w:val="32"/>
          <w:szCs w:val="32"/>
        </w:rPr>
        <w:t>阳区</w:t>
      </w:r>
      <w:r>
        <w:rPr>
          <w:rFonts w:hint="eastAsia" w:ascii="仿宋" w:hAnsi="仿宋" w:eastAsia="仿宋" w:cs="Times New Roman"/>
          <w:kern w:val="2"/>
          <w:sz w:val="32"/>
          <w:szCs w:val="32"/>
        </w:rPr>
        <w:t>长春</w:t>
      </w:r>
      <w:r>
        <w:rPr>
          <w:rFonts w:ascii="仿宋" w:hAnsi="仿宋" w:eastAsia="仿宋" w:cs="Times New Roman"/>
          <w:kern w:val="2"/>
          <w:sz w:val="32"/>
          <w:szCs w:val="32"/>
        </w:rPr>
        <w:t>镇租用</w:t>
      </w:r>
      <w:r>
        <w:rPr>
          <w:rFonts w:hint="eastAsia" w:ascii="仿宋" w:hAnsi="仿宋" w:eastAsia="仿宋" w:cs="Times New Roman"/>
          <w:kern w:val="2"/>
          <w:sz w:val="32"/>
          <w:szCs w:val="32"/>
        </w:rPr>
        <w:t>先锋</w:t>
      </w:r>
      <w:r>
        <w:rPr>
          <w:rFonts w:ascii="仿宋" w:hAnsi="仿宋" w:eastAsia="仿宋" w:cs="Times New Roman"/>
          <w:kern w:val="2"/>
          <w:sz w:val="32"/>
          <w:szCs w:val="32"/>
        </w:rPr>
        <w:t>湖</w:t>
      </w:r>
      <w:r>
        <w:rPr>
          <w:rFonts w:hint="eastAsia" w:ascii="仿宋" w:hAnsi="仿宋" w:eastAsia="仿宋" w:cs="Times New Roman"/>
          <w:kern w:val="2"/>
          <w:sz w:val="32"/>
          <w:szCs w:val="32"/>
        </w:rPr>
        <w:t>水面</w:t>
      </w:r>
      <w:r>
        <w:rPr>
          <w:rFonts w:ascii="仿宋" w:hAnsi="仿宋" w:eastAsia="仿宋" w:cs="Times New Roman"/>
          <w:kern w:val="2"/>
          <w:sz w:val="32"/>
          <w:szCs w:val="32"/>
        </w:rPr>
        <w:t>，</w:t>
      </w:r>
      <w:r>
        <w:rPr>
          <w:rFonts w:hint="eastAsia" w:ascii="仿宋" w:hAnsi="仿宋" w:eastAsia="仿宋" w:cs="Times New Roman"/>
          <w:kern w:val="2"/>
          <w:sz w:val="32"/>
          <w:szCs w:val="32"/>
        </w:rPr>
        <w:t xml:space="preserve">                                                                                                                                                          </w:t>
      </w:r>
      <w:r>
        <w:rPr>
          <w:rFonts w:ascii="仿宋" w:hAnsi="仿宋" w:eastAsia="仿宋" w:cs="Times New Roman"/>
          <w:kern w:val="2"/>
          <w:sz w:val="32"/>
          <w:szCs w:val="32"/>
        </w:rPr>
        <w:t>采用</w:t>
      </w:r>
      <w:r>
        <w:rPr>
          <w:rFonts w:hint="eastAsia" w:ascii="仿宋" w:hAnsi="仿宋" w:eastAsia="仿宋" w:cs="Times New Roman"/>
          <w:kern w:val="2"/>
          <w:sz w:val="32"/>
          <w:szCs w:val="32"/>
        </w:rPr>
        <w:t>固定倾角安装方式</w:t>
      </w:r>
      <w:r>
        <w:rPr>
          <w:rFonts w:ascii="仿宋" w:hAnsi="仿宋" w:eastAsia="仿宋" w:cs="Times New Roman"/>
          <w:kern w:val="2"/>
          <w:sz w:val="32"/>
          <w:szCs w:val="32"/>
        </w:rPr>
        <w:t>，</w:t>
      </w:r>
      <w:r>
        <w:rPr>
          <w:rFonts w:hint="eastAsia" w:ascii="仿宋" w:hAnsi="仿宋" w:eastAsia="仿宋" w:cs="Times New Roman"/>
          <w:kern w:val="2"/>
          <w:sz w:val="32"/>
          <w:szCs w:val="32"/>
        </w:rPr>
        <w:t>建设</w:t>
      </w:r>
      <w:r>
        <w:rPr>
          <w:rFonts w:hint="eastAsia" w:ascii="仿宋" w:hAnsi="仿宋" w:eastAsia="仿宋" w:cs="Times New Roman"/>
          <w:sz w:val="32"/>
          <w:szCs w:val="32"/>
        </w:rPr>
        <w:t>益阳资阳先锋湖平价上网50MWp渔光互补光伏项目</w:t>
      </w:r>
      <w:r>
        <w:rPr>
          <w:rFonts w:hint="eastAsia" w:ascii="仿宋" w:hAnsi="仿宋" w:eastAsia="仿宋" w:cs="Times New Roman"/>
          <w:kern w:val="2"/>
          <w:sz w:val="32"/>
          <w:szCs w:val="32"/>
        </w:rPr>
        <w:t>。项目占地</w:t>
      </w:r>
      <w:r>
        <w:rPr>
          <w:rFonts w:ascii="仿宋" w:hAnsi="仿宋" w:eastAsia="仿宋" w:cs="Times New Roman"/>
          <w:kern w:val="2"/>
          <w:sz w:val="32"/>
          <w:szCs w:val="32"/>
        </w:rPr>
        <w:t>53.67</w:t>
      </w:r>
      <w:r>
        <w:rPr>
          <w:rFonts w:hint="eastAsia" w:ascii="仿宋" w:hAnsi="仿宋" w:eastAsia="仿宋" w:cs="Times New Roman"/>
          <w:kern w:val="2"/>
          <w:sz w:val="32"/>
          <w:szCs w:val="32"/>
        </w:rPr>
        <w:t>万m</w:t>
      </w:r>
      <w:r>
        <w:rPr>
          <w:rFonts w:hint="eastAsia" w:ascii="仿宋" w:hAnsi="仿宋" w:eastAsia="仿宋" w:cs="Times New Roman"/>
          <w:kern w:val="2"/>
          <w:sz w:val="32"/>
          <w:szCs w:val="32"/>
          <w:vertAlign w:val="superscript"/>
        </w:rPr>
        <w:t>2</w:t>
      </w:r>
      <w:r>
        <w:rPr>
          <w:rFonts w:ascii="仿宋" w:hAnsi="仿宋" w:eastAsia="仿宋" w:cs="Times New Roman"/>
          <w:kern w:val="2"/>
          <w:sz w:val="32"/>
          <w:szCs w:val="32"/>
        </w:rPr>
        <w:t>（其中水域面积53.28</w:t>
      </w:r>
      <w:r>
        <w:rPr>
          <w:rFonts w:hint="eastAsia" w:ascii="仿宋" w:hAnsi="仿宋" w:eastAsia="仿宋" w:cs="Times New Roman"/>
          <w:kern w:val="2"/>
          <w:sz w:val="32"/>
          <w:szCs w:val="32"/>
        </w:rPr>
        <w:t>万m</w:t>
      </w:r>
      <w:r>
        <w:rPr>
          <w:rFonts w:hint="eastAsia" w:ascii="仿宋" w:hAnsi="仿宋" w:eastAsia="仿宋" w:cs="Times New Roman"/>
          <w:kern w:val="2"/>
          <w:sz w:val="32"/>
          <w:szCs w:val="32"/>
          <w:vertAlign w:val="superscript"/>
        </w:rPr>
        <w:t>2</w:t>
      </w:r>
      <w:r>
        <w:rPr>
          <w:rFonts w:ascii="仿宋" w:hAnsi="仿宋" w:eastAsia="仿宋" w:cs="Times New Roman"/>
          <w:kern w:val="2"/>
          <w:sz w:val="32"/>
          <w:szCs w:val="32"/>
        </w:rPr>
        <w:t>）</w:t>
      </w:r>
      <w:r>
        <w:rPr>
          <w:rFonts w:hint="eastAsia" w:ascii="仿宋" w:hAnsi="仿宋" w:eastAsia="仿宋" w:cs="Times New Roman"/>
          <w:kern w:val="2"/>
          <w:sz w:val="32"/>
          <w:szCs w:val="32"/>
        </w:rPr>
        <w:t>，主要建设内容包括在湖面安装13个3.85MW方阵，每个方阵由318串太阳电池组串单元并联而成，每个光伏组串由24块505Wp晶硅电池组件串联组成，配套建设1座110kV升压站及线路接入系统。</w:t>
      </w:r>
      <w:r>
        <w:rPr>
          <w:rFonts w:ascii="仿宋" w:hAnsi="仿宋" w:eastAsia="仿宋" w:cs="Times New Roman"/>
          <w:kern w:val="2"/>
          <w:sz w:val="32"/>
          <w:szCs w:val="32"/>
        </w:rPr>
        <w:t>光伏发电系统</w:t>
      </w:r>
      <w:r>
        <w:rPr>
          <w:rFonts w:hint="eastAsia" w:ascii="仿宋" w:hAnsi="仿宋" w:eastAsia="仿宋" w:cs="Times New Roman"/>
          <w:kern w:val="2"/>
          <w:sz w:val="32"/>
          <w:szCs w:val="32"/>
        </w:rPr>
        <w:t>主要</w:t>
      </w:r>
      <w:r>
        <w:rPr>
          <w:rFonts w:ascii="仿宋" w:hAnsi="仿宋" w:eastAsia="仿宋" w:cs="Times New Roman"/>
          <w:kern w:val="2"/>
          <w:sz w:val="32"/>
          <w:szCs w:val="32"/>
        </w:rPr>
        <w:t>包括光伏电池组件、组件支架、支架驱动及控制系统、支架基础、汇流箱、升压变电设备及基础、集电线路、升压站设备及基础和场内道路等</w:t>
      </w:r>
      <w:r>
        <w:rPr>
          <w:rFonts w:hint="eastAsia" w:ascii="仿宋" w:hAnsi="仿宋" w:eastAsia="仿宋" w:cs="Times New Roman"/>
          <w:kern w:val="2"/>
          <w:sz w:val="32"/>
          <w:szCs w:val="32"/>
        </w:rPr>
        <w:t>，项目总装机容量50MWp。</w:t>
      </w:r>
    </w:p>
    <w:p>
      <w:pPr>
        <w:spacing w:after="0" w:line="560" w:lineRule="exact"/>
        <w:ind w:firstLine="640" w:firstLineChars="200"/>
        <w:jc w:val="both"/>
        <w:rPr>
          <w:rFonts w:ascii="仿宋" w:hAnsi="仿宋" w:eastAsia="仿宋" w:cs="Times New Roman"/>
          <w:kern w:val="2"/>
          <w:sz w:val="32"/>
          <w:szCs w:val="32"/>
        </w:rPr>
      </w:pPr>
      <w:r>
        <w:rPr>
          <w:rFonts w:hint="eastAsia" w:ascii="仿宋" w:hAnsi="仿宋" w:eastAsia="仿宋" w:cs="Times New Roman"/>
          <w:kern w:val="2"/>
          <w:sz w:val="32"/>
          <w:szCs w:val="32"/>
        </w:rPr>
        <w:t>项目符合国家产业政策，并取得益阳市资阳区人民政府“关于推进先锋湖渔光互补光伏发电项目建设专题会议纪要”（益资府阅〔2020〕16号）支持项目建设。根据湖南宝宜工程技术有限公司编制的环评报告表的分析结论和益阳市生态环境局资阳分局的预审意见，在建设单位认真落实报告表和本批复提出的各项生态环境保护措施，确保各项污染物稳定达标排放和湖水水质达标的前提下，我局原则同意益阳市资阳区晶盛新能源有限公司</w:t>
      </w:r>
      <w:r>
        <w:rPr>
          <w:rFonts w:hint="eastAsia" w:ascii="仿宋" w:hAnsi="仿宋" w:eastAsia="仿宋" w:cs="Times New Roman"/>
          <w:sz w:val="32"/>
          <w:szCs w:val="32"/>
        </w:rPr>
        <w:t>益阳资阳先锋湖平价上网50MWp渔光互补光伏项目</w:t>
      </w:r>
      <w:r>
        <w:rPr>
          <w:rFonts w:hint="eastAsia" w:ascii="仿宋" w:hAnsi="仿宋" w:eastAsia="仿宋" w:cs="Times New Roman"/>
          <w:kern w:val="2"/>
          <w:sz w:val="32"/>
          <w:szCs w:val="32"/>
        </w:rPr>
        <w:t>的选址并建设。</w:t>
      </w:r>
    </w:p>
    <w:p>
      <w:pPr>
        <w:spacing w:after="0" w:line="560" w:lineRule="exact"/>
        <w:ind w:firstLine="640" w:firstLineChars="200"/>
        <w:jc w:val="both"/>
        <w:rPr>
          <w:rFonts w:ascii="仿宋" w:hAnsi="仿宋" w:eastAsia="仿宋" w:cs="Times New Roman"/>
          <w:kern w:val="2"/>
          <w:sz w:val="32"/>
          <w:szCs w:val="32"/>
        </w:rPr>
      </w:pPr>
      <w:r>
        <w:rPr>
          <w:rFonts w:hint="eastAsia" w:ascii="仿宋" w:hAnsi="仿宋" w:eastAsia="仿宋" w:cs="Times New Roman"/>
          <w:kern w:val="2"/>
          <w:sz w:val="32"/>
          <w:szCs w:val="32"/>
        </w:rPr>
        <w:t>二、你公司在工程设计、建设和运营管理中，必须切实落实环评提出的各项污染防治和风险防范措施要求，着重做好以下工作：</w:t>
      </w:r>
    </w:p>
    <w:p>
      <w:pPr>
        <w:spacing w:after="0" w:line="560" w:lineRule="exact"/>
        <w:ind w:firstLine="480" w:firstLineChars="150"/>
        <w:jc w:val="both"/>
        <w:rPr>
          <w:rFonts w:ascii="仿宋" w:hAnsi="仿宋" w:eastAsia="仿宋" w:cs="Times New Roman"/>
          <w:kern w:val="2"/>
          <w:sz w:val="32"/>
          <w:szCs w:val="32"/>
        </w:rPr>
      </w:pPr>
      <w:r>
        <w:rPr>
          <w:rFonts w:hint="eastAsia" w:ascii="仿宋" w:hAnsi="仿宋" w:eastAsia="仿宋" w:cs="Times New Roman"/>
          <w:kern w:val="2"/>
          <w:sz w:val="32"/>
          <w:szCs w:val="32"/>
        </w:rPr>
        <w:t>（一）严格履行建设单位的环保主体责任，加强环境管理。建立环保规章制度和岗位责任制，配备专职或兼职环保管理人员，制定环境风险事故应急预案，落实事故应急防范措施，切实防范各类事故环境风险。</w:t>
      </w:r>
    </w:p>
    <w:p>
      <w:pPr>
        <w:spacing w:after="0" w:line="560" w:lineRule="exact"/>
        <w:ind w:firstLine="480" w:firstLineChars="150"/>
        <w:jc w:val="both"/>
        <w:rPr>
          <w:rFonts w:ascii="仿宋" w:hAnsi="仿宋" w:eastAsia="仿宋" w:cs="Times New Roman"/>
          <w:kern w:val="2"/>
          <w:sz w:val="32"/>
          <w:szCs w:val="32"/>
        </w:rPr>
      </w:pPr>
      <w:r>
        <w:rPr>
          <w:rFonts w:hint="eastAsia" w:ascii="仿宋" w:hAnsi="仿宋" w:eastAsia="仿宋" w:cs="Times New Roman"/>
          <w:kern w:val="2"/>
          <w:sz w:val="32"/>
          <w:szCs w:val="32"/>
        </w:rPr>
        <w:t>（二）进一步对项目建设规模和设计安装方案进行论证，保障</w:t>
      </w:r>
      <w:r>
        <w:rPr>
          <w:rFonts w:ascii="仿宋" w:hAnsi="仿宋" w:eastAsia="仿宋" w:cs="Times New Roman"/>
          <w:kern w:val="2"/>
          <w:sz w:val="32"/>
          <w:szCs w:val="32"/>
        </w:rPr>
        <w:t>光伏方阵之间留有足够的光照空间</w:t>
      </w:r>
      <w:r>
        <w:rPr>
          <w:rFonts w:hint="eastAsia" w:ascii="仿宋" w:hAnsi="仿宋" w:eastAsia="仿宋" w:cs="Times New Roman"/>
          <w:kern w:val="2"/>
          <w:sz w:val="32"/>
          <w:szCs w:val="32"/>
        </w:rPr>
        <w:t>，确保先锋湖水生生态安全。</w:t>
      </w:r>
    </w:p>
    <w:p>
      <w:pPr>
        <w:spacing w:after="0" w:line="560" w:lineRule="exact"/>
        <w:ind w:firstLine="480" w:firstLineChars="150"/>
        <w:jc w:val="both"/>
        <w:rPr>
          <w:rFonts w:ascii="仿宋" w:hAnsi="仿宋" w:eastAsia="仿宋" w:cs="Times New Roman"/>
          <w:kern w:val="2"/>
          <w:sz w:val="32"/>
          <w:szCs w:val="32"/>
        </w:rPr>
      </w:pPr>
      <w:r>
        <w:rPr>
          <w:rFonts w:hint="eastAsia" w:ascii="仿宋" w:hAnsi="仿宋" w:eastAsia="仿宋" w:cs="Times New Roman"/>
          <w:kern w:val="2"/>
          <w:sz w:val="32"/>
          <w:szCs w:val="32"/>
        </w:rPr>
        <w:t>（三）结合先锋湖水体保护、修复和当地农村环境综合整治，做好施工期的各项环境保护工作。</w:t>
      </w:r>
      <w:r>
        <w:rPr>
          <w:rFonts w:ascii="仿宋" w:hAnsi="仿宋" w:eastAsia="仿宋" w:cs="Times New Roman"/>
          <w:kern w:val="2"/>
          <w:sz w:val="32"/>
          <w:szCs w:val="32"/>
        </w:rPr>
        <w:t>施工过程中产生的扬尘、废气、废水、噪声、建筑垃圾及其固体废弃物</w:t>
      </w:r>
      <w:r>
        <w:rPr>
          <w:rFonts w:hint="eastAsia" w:ascii="仿宋" w:hAnsi="仿宋" w:eastAsia="仿宋" w:cs="Times New Roman"/>
          <w:kern w:val="2"/>
          <w:sz w:val="32"/>
          <w:szCs w:val="32"/>
        </w:rPr>
        <w:t>须严格按照环评报告提出的污染防治措施要求认真执行，减少项目建设对周边居民的环境影响，切实改善生态环境质量。</w:t>
      </w:r>
    </w:p>
    <w:p>
      <w:pPr>
        <w:spacing w:after="0" w:line="560" w:lineRule="exact"/>
        <w:ind w:firstLine="480" w:firstLineChars="150"/>
        <w:jc w:val="both"/>
        <w:rPr>
          <w:rFonts w:ascii="仿宋" w:hAnsi="仿宋" w:eastAsia="仿宋" w:cs="Times New Roman"/>
          <w:kern w:val="2"/>
          <w:sz w:val="32"/>
          <w:szCs w:val="32"/>
        </w:rPr>
      </w:pPr>
      <w:r>
        <w:rPr>
          <w:rFonts w:hint="eastAsia" w:ascii="仿宋" w:hAnsi="仿宋" w:eastAsia="仿宋" w:cs="Times New Roman"/>
          <w:kern w:val="2"/>
          <w:sz w:val="32"/>
          <w:szCs w:val="32"/>
        </w:rPr>
        <w:t>（四）做好项目营运期的生态环境保护工作。光伏组件表面清洗不得使用影响湖水水质的清洗剂等；</w:t>
      </w:r>
      <w:r>
        <w:rPr>
          <w:rFonts w:ascii="仿宋" w:hAnsi="仿宋" w:eastAsia="仿宋" w:cs="Times New Roman"/>
          <w:kern w:val="2"/>
          <w:sz w:val="32"/>
          <w:szCs w:val="32"/>
        </w:rPr>
        <w:t>员</w:t>
      </w:r>
      <w:r>
        <w:rPr>
          <w:rFonts w:hint="eastAsia" w:ascii="仿宋" w:hAnsi="仿宋" w:eastAsia="仿宋" w:cs="Times New Roman"/>
          <w:kern w:val="2"/>
          <w:sz w:val="32"/>
          <w:szCs w:val="32"/>
        </w:rPr>
        <w:t>工</w:t>
      </w:r>
      <w:r>
        <w:rPr>
          <w:rFonts w:ascii="仿宋" w:hAnsi="仿宋" w:eastAsia="仿宋" w:cs="Times New Roman"/>
          <w:kern w:val="2"/>
          <w:sz w:val="32"/>
          <w:szCs w:val="32"/>
        </w:rPr>
        <w:t>生活污水经升压站污水一体化设施处理后用于周边</w:t>
      </w:r>
      <w:r>
        <w:rPr>
          <w:rFonts w:hint="eastAsia" w:ascii="仿宋" w:hAnsi="仿宋" w:eastAsia="仿宋" w:cs="Times New Roman"/>
          <w:kern w:val="2"/>
          <w:sz w:val="32"/>
          <w:szCs w:val="32"/>
        </w:rPr>
        <w:t>农田</w:t>
      </w:r>
      <w:r>
        <w:rPr>
          <w:rFonts w:ascii="仿宋" w:hAnsi="仿宋" w:eastAsia="仿宋" w:cs="Times New Roman"/>
          <w:kern w:val="2"/>
          <w:sz w:val="32"/>
          <w:szCs w:val="32"/>
        </w:rPr>
        <w:t>施肥，综合利用不外排</w:t>
      </w:r>
      <w:r>
        <w:rPr>
          <w:rFonts w:hint="eastAsia" w:ascii="仿宋" w:hAnsi="仿宋" w:eastAsia="仿宋" w:cs="Times New Roman"/>
          <w:kern w:val="2"/>
          <w:sz w:val="32"/>
          <w:szCs w:val="32"/>
        </w:rPr>
        <w:t>；废太阳能电池组件，退役蓄电池、变压器发生事故时泄漏的废变压器油等须严格按照</w:t>
      </w:r>
      <w:r>
        <w:rPr>
          <w:rFonts w:ascii="仿宋" w:hAnsi="仿宋" w:eastAsia="仿宋" w:cs="Times New Roman"/>
          <w:kern w:val="2"/>
          <w:sz w:val="32"/>
          <w:szCs w:val="32"/>
        </w:rPr>
        <w:t>《危险废物贮存污染控制标准》（GB18597-2001）及其修改单的要求进行临时贮存，</w:t>
      </w:r>
      <w:r>
        <w:rPr>
          <w:rFonts w:hint="eastAsia" w:ascii="仿宋" w:hAnsi="仿宋" w:eastAsia="仿宋" w:cs="Times New Roman"/>
          <w:kern w:val="2"/>
          <w:sz w:val="32"/>
          <w:szCs w:val="32"/>
        </w:rPr>
        <w:t>交有资质的单位进行处置，生活垃圾交由当地环卫部门处置；升压站变压器噪声采取措施确保厂界噪声达到《工业企业厂界环境噪声排放标准》（GB12348-2008）2类标准要求。</w:t>
      </w:r>
    </w:p>
    <w:p>
      <w:pPr>
        <w:spacing w:after="0" w:line="560" w:lineRule="exact"/>
        <w:ind w:firstLine="480" w:firstLineChars="150"/>
        <w:jc w:val="both"/>
        <w:rPr>
          <w:rFonts w:ascii="仿宋" w:hAnsi="仿宋" w:eastAsia="仿宋" w:cs="Times New Roman"/>
          <w:kern w:val="2"/>
          <w:sz w:val="32"/>
          <w:szCs w:val="32"/>
        </w:rPr>
      </w:pPr>
      <w:r>
        <w:rPr>
          <w:rFonts w:hint="eastAsia" w:ascii="仿宋" w:hAnsi="仿宋" w:eastAsia="仿宋" w:cs="Times New Roman"/>
          <w:kern w:val="2"/>
          <w:sz w:val="32"/>
          <w:szCs w:val="32"/>
        </w:rPr>
        <w:t>（五）本项目涉及电磁辐射环境影响必须另行环评和报批。</w:t>
      </w:r>
    </w:p>
    <w:p>
      <w:pPr>
        <w:spacing w:after="0" w:line="560" w:lineRule="exact"/>
        <w:ind w:firstLine="480" w:firstLineChars="150"/>
        <w:jc w:val="both"/>
        <w:rPr>
          <w:rFonts w:ascii="仿宋" w:hAnsi="仿宋" w:eastAsia="仿宋" w:cs="Times New Roman"/>
          <w:kern w:val="2"/>
          <w:sz w:val="32"/>
          <w:szCs w:val="32"/>
        </w:rPr>
      </w:pPr>
      <w:r>
        <w:rPr>
          <w:rFonts w:hint="eastAsia" w:ascii="仿宋" w:hAnsi="仿宋" w:eastAsia="仿宋" w:cs="Times New Roman"/>
          <w:kern w:val="2"/>
          <w:sz w:val="32"/>
          <w:szCs w:val="32"/>
        </w:rPr>
        <w:t>（六）项目服务期满后，公司</w:t>
      </w:r>
      <w:r>
        <w:rPr>
          <w:rFonts w:ascii="仿宋" w:hAnsi="仿宋" w:eastAsia="仿宋" w:cs="Times New Roman"/>
          <w:kern w:val="2"/>
          <w:sz w:val="32"/>
          <w:szCs w:val="32"/>
        </w:rPr>
        <w:t>需对电池组件及支架、变压器等全部进行拆除，恢复原貌。</w:t>
      </w:r>
    </w:p>
    <w:p>
      <w:pPr>
        <w:spacing w:after="0" w:line="560" w:lineRule="exact"/>
        <w:ind w:firstLine="480" w:firstLineChars="150"/>
        <w:jc w:val="both"/>
        <w:rPr>
          <w:rFonts w:hint="eastAsia" w:ascii="仿宋" w:hAnsi="仿宋" w:eastAsia="仿宋" w:cs="Times New Roman"/>
          <w:kern w:val="2"/>
          <w:sz w:val="32"/>
          <w:szCs w:val="32"/>
        </w:rPr>
      </w:pPr>
      <w:r>
        <w:rPr>
          <w:rFonts w:hint="eastAsia" w:ascii="仿宋" w:hAnsi="仿宋" w:eastAsia="仿宋" w:cs="Times New Roman"/>
          <w:kern w:val="2"/>
          <w:sz w:val="32"/>
          <w:szCs w:val="32"/>
        </w:rPr>
        <w:t>（七）你单位在未取得全部审批手续之前，不得实质性动工建设。</w:t>
      </w:r>
    </w:p>
    <w:p>
      <w:pPr>
        <w:spacing w:after="0" w:line="560" w:lineRule="exact"/>
        <w:ind w:firstLine="640" w:firstLineChars="200"/>
        <w:jc w:val="both"/>
        <w:rPr>
          <w:rFonts w:ascii="仿宋" w:hAnsi="仿宋" w:eastAsia="仿宋" w:cs="Times New Roman"/>
          <w:kern w:val="2"/>
          <w:sz w:val="32"/>
          <w:szCs w:val="32"/>
        </w:rPr>
      </w:pPr>
      <w:r>
        <w:rPr>
          <w:rFonts w:hint="eastAsia" w:ascii="仿宋" w:hAnsi="仿宋" w:eastAsia="仿宋" w:cs="Times New Roman"/>
          <w:kern w:val="2"/>
          <w:sz w:val="32"/>
          <w:szCs w:val="32"/>
        </w:rPr>
        <w:t>三、项目建成后，按《建设项目环境保护管理条例》的有关规定，及时办理项目竣工环保验收手续，益阳市生态环境局资阳分局负责项目建设期间的“三同时”现场监督检查和日常环境管理。</w:t>
      </w:r>
    </w:p>
    <w:p>
      <w:pPr>
        <w:spacing w:after="0" w:line="560" w:lineRule="exact"/>
        <w:ind w:firstLine="640" w:firstLineChars="200"/>
        <w:jc w:val="both"/>
        <w:rPr>
          <w:rFonts w:ascii="仿宋" w:hAnsi="仿宋" w:eastAsia="仿宋" w:cs="Times New Roman"/>
          <w:kern w:val="2"/>
          <w:sz w:val="32"/>
          <w:szCs w:val="32"/>
        </w:rPr>
      </w:pPr>
      <w:r>
        <w:rPr>
          <w:rFonts w:hint="eastAsia" w:ascii="仿宋" w:hAnsi="仿宋" w:eastAsia="仿宋" w:cs="Times New Roman"/>
          <w:kern w:val="2"/>
          <w:sz w:val="32"/>
          <w:szCs w:val="32"/>
        </w:rPr>
        <w:t xml:space="preserve">四、你公司须在收到本批复后 15 个工作日内，将本批复及项目环评报告表送益阳市生态环境局资阳分局。 </w:t>
      </w:r>
    </w:p>
    <w:p>
      <w:pPr>
        <w:spacing w:after="0" w:line="560" w:lineRule="exact"/>
        <w:ind w:firstLine="5280" w:firstLineChars="1650"/>
        <w:jc w:val="both"/>
        <w:rPr>
          <w:rFonts w:hint="eastAsia" w:ascii="仿宋" w:hAnsi="仿宋" w:eastAsia="仿宋" w:cs="Times New Roman"/>
          <w:kern w:val="2"/>
          <w:sz w:val="32"/>
          <w:szCs w:val="32"/>
        </w:rPr>
      </w:pPr>
    </w:p>
    <w:p>
      <w:pPr>
        <w:spacing w:after="0" w:line="560" w:lineRule="exact"/>
        <w:ind w:firstLine="5280" w:firstLineChars="1650"/>
        <w:jc w:val="both"/>
        <w:rPr>
          <w:rFonts w:hint="eastAsia" w:ascii="仿宋" w:hAnsi="仿宋" w:eastAsia="仿宋" w:cs="Times New Roman"/>
          <w:kern w:val="2"/>
          <w:sz w:val="32"/>
          <w:szCs w:val="32"/>
        </w:rPr>
      </w:pPr>
    </w:p>
    <w:p>
      <w:pPr>
        <w:spacing w:after="0" w:line="560" w:lineRule="exact"/>
        <w:ind w:firstLine="5280" w:firstLineChars="1650"/>
        <w:jc w:val="both"/>
        <w:rPr>
          <w:rFonts w:hint="eastAsia" w:ascii="仿宋" w:hAnsi="仿宋" w:eastAsia="仿宋" w:cs="Times New Roman"/>
          <w:kern w:val="2"/>
          <w:sz w:val="32"/>
          <w:szCs w:val="32"/>
        </w:rPr>
      </w:pPr>
    </w:p>
    <w:p>
      <w:pPr>
        <w:spacing w:after="0" w:line="560" w:lineRule="exact"/>
        <w:ind w:firstLine="5280" w:firstLineChars="1650"/>
        <w:jc w:val="both"/>
        <w:rPr>
          <w:rFonts w:ascii="仿宋" w:hAnsi="仿宋" w:eastAsia="仿宋" w:cs="Times New Roman"/>
          <w:kern w:val="2"/>
          <w:sz w:val="32"/>
          <w:szCs w:val="32"/>
        </w:rPr>
      </w:pPr>
      <w:r>
        <w:rPr>
          <w:rFonts w:hint="eastAsia" w:ascii="仿宋" w:hAnsi="仿宋" w:eastAsia="仿宋" w:cs="Times New Roman"/>
          <w:kern w:val="2"/>
          <w:sz w:val="32"/>
          <w:szCs w:val="32"/>
        </w:rPr>
        <w:t>益阳市生态环境局</w:t>
      </w:r>
    </w:p>
    <w:p>
      <w:pPr>
        <w:spacing w:after="0" w:line="560" w:lineRule="exact"/>
        <w:ind w:firstLine="5280" w:firstLineChars="1650"/>
        <w:jc w:val="both"/>
        <w:rPr>
          <w:rFonts w:ascii="仿宋" w:hAnsi="仿宋" w:eastAsia="仿宋" w:cs="Times New Roman"/>
          <w:kern w:val="2"/>
          <w:sz w:val="32"/>
          <w:szCs w:val="32"/>
        </w:rPr>
      </w:pPr>
      <w:r>
        <w:rPr>
          <w:rFonts w:hint="eastAsia" w:ascii="仿宋" w:hAnsi="仿宋" w:eastAsia="仿宋" w:cs="Times New Roman"/>
          <w:kern w:val="2"/>
          <w:sz w:val="32"/>
          <w:szCs w:val="32"/>
        </w:rPr>
        <w:t>2020年</w:t>
      </w:r>
      <w:r>
        <w:rPr>
          <w:rFonts w:hint="eastAsia" w:ascii="仿宋" w:hAnsi="仿宋" w:eastAsia="仿宋" w:cs="Times New Roman"/>
          <w:kern w:val="2"/>
          <w:sz w:val="32"/>
          <w:szCs w:val="32"/>
          <w:lang w:val="en-US" w:eastAsia="zh-CN"/>
        </w:rPr>
        <w:t>11</w:t>
      </w:r>
      <w:r>
        <w:rPr>
          <w:rFonts w:hint="eastAsia" w:ascii="仿宋" w:hAnsi="仿宋" w:eastAsia="仿宋" w:cs="Times New Roman"/>
          <w:kern w:val="2"/>
          <w:sz w:val="32"/>
          <w:szCs w:val="32"/>
        </w:rPr>
        <w:t>月</w:t>
      </w:r>
      <w:r>
        <w:rPr>
          <w:rFonts w:hint="eastAsia" w:ascii="仿宋" w:hAnsi="仿宋" w:eastAsia="仿宋" w:cs="Times New Roman"/>
          <w:kern w:val="2"/>
          <w:sz w:val="32"/>
          <w:szCs w:val="32"/>
          <w:lang w:val="en-US" w:eastAsia="zh-CN"/>
        </w:rPr>
        <w:t>27</w:t>
      </w:r>
      <w:r>
        <w:rPr>
          <w:rFonts w:hint="eastAsia" w:ascii="仿宋" w:hAnsi="仿宋" w:eastAsia="仿宋" w:cs="Times New Roman"/>
          <w:kern w:val="2"/>
          <w:sz w:val="32"/>
          <w:szCs w:val="32"/>
        </w:rPr>
        <w:t>日</w:t>
      </w:r>
    </w:p>
    <w:sectPr>
      <w:pgSz w:w="11906" w:h="16838"/>
      <w:pgMar w:top="1440" w:right="1800" w:bottom="1440" w:left="1800" w:header="708" w:footer="708"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D31D50"/>
    <w:rsid w:val="00014A9D"/>
    <w:rsid w:val="000831CE"/>
    <w:rsid w:val="000903DA"/>
    <w:rsid w:val="0009683E"/>
    <w:rsid w:val="000B5BF0"/>
    <w:rsid w:val="000C63D8"/>
    <w:rsid w:val="001219A4"/>
    <w:rsid w:val="0014477D"/>
    <w:rsid w:val="001778CB"/>
    <w:rsid w:val="002036AF"/>
    <w:rsid w:val="002376C9"/>
    <w:rsid w:val="00251D78"/>
    <w:rsid w:val="00277DE9"/>
    <w:rsid w:val="002D651C"/>
    <w:rsid w:val="002E6A35"/>
    <w:rsid w:val="00323B43"/>
    <w:rsid w:val="00350900"/>
    <w:rsid w:val="003D37D8"/>
    <w:rsid w:val="003E6262"/>
    <w:rsid w:val="00426133"/>
    <w:rsid w:val="004358AB"/>
    <w:rsid w:val="00464211"/>
    <w:rsid w:val="0047410B"/>
    <w:rsid w:val="00491CB0"/>
    <w:rsid w:val="004B42B4"/>
    <w:rsid w:val="004C0E42"/>
    <w:rsid w:val="004C7740"/>
    <w:rsid w:val="00513AE1"/>
    <w:rsid w:val="005319FB"/>
    <w:rsid w:val="00561048"/>
    <w:rsid w:val="006E31F7"/>
    <w:rsid w:val="0071168E"/>
    <w:rsid w:val="007279FD"/>
    <w:rsid w:val="00780749"/>
    <w:rsid w:val="0078791E"/>
    <w:rsid w:val="007975BD"/>
    <w:rsid w:val="00815A60"/>
    <w:rsid w:val="00842136"/>
    <w:rsid w:val="0084431C"/>
    <w:rsid w:val="008451E5"/>
    <w:rsid w:val="00865509"/>
    <w:rsid w:val="008A3A55"/>
    <w:rsid w:val="008B7726"/>
    <w:rsid w:val="008F0604"/>
    <w:rsid w:val="008F1E82"/>
    <w:rsid w:val="00957F67"/>
    <w:rsid w:val="009839F6"/>
    <w:rsid w:val="009E291C"/>
    <w:rsid w:val="009F04F0"/>
    <w:rsid w:val="00A034D1"/>
    <w:rsid w:val="00A216EE"/>
    <w:rsid w:val="00A30DEB"/>
    <w:rsid w:val="00A62C91"/>
    <w:rsid w:val="00AA1704"/>
    <w:rsid w:val="00AF14E0"/>
    <w:rsid w:val="00B20946"/>
    <w:rsid w:val="00B474D2"/>
    <w:rsid w:val="00B900C4"/>
    <w:rsid w:val="00BD7584"/>
    <w:rsid w:val="00BF7816"/>
    <w:rsid w:val="00C03337"/>
    <w:rsid w:val="00C157A7"/>
    <w:rsid w:val="00C5782F"/>
    <w:rsid w:val="00C91B76"/>
    <w:rsid w:val="00C95F7B"/>
    <w:rsid w:val="00CD609A"/>
    <w:rsid w:val="00D31119"/>
    <w:rsid w:val="00D31D50"/>
    <w:rsid w:val="00DA3E63"/>
    <w:rsid w:val="00E23102"/>
    <w:rsid w:val="00E30C33"/>
    <w:rsid w:val="00E34CFC"/>
    <w:rsid w:val="00EE697D"/>
    <w:rsid w:val="00F0513B"/>
    <w:rsid w:val="00F07554"/>
    <w:rsid w:val="00F23E55"/>
    <w:rsid w:val="00F352CA"/>
    <w:rsid w:val="00F4326A"/>
    <w:rsid w:val="00FC08F1"/>
    <w:rsid w:val="00FC6B53"/>
    <w:rsid w:val="036D52C7"/>
    <w:rsid w:val="091E5841"/>
    <w:rsid w:val="11225A49"/>
    <w:rsid w:val="15F859D6"/>
    <w:rsid w:val="171C17D2"/>
    <w:rsid w:val="1F1B381B"/>
    <w:rsid w:val="29C46012"/>
    <w:rsid w:val="2A2F7418"/>
    <w:rsid w:val="36333DB4"/>
    <w:rsid w:val="3C0E10D7"/>
    <w:rsid w:val="3D012EBC"/>
    <w:rsid w:val="3DAA48C5"/>
    <w:rsid w:val="3E891117"/>
    <w:rsid w:val="40A144C5"/>
    <w:rsid w:val="46582A8D"/>
    <w:rsid w:val="533F6AEB"/>
    <w:rsid w:val="54F031C7"/>
    <w:rsid w:val="5B466E86"/>
    <w:rsid w:val="634F54F8"/>
    <w:rsid w:val="66CA7644"/>
    <w:rsid w:val="6D156535"/>
    <w:rsid w:val="7FDE661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2"/>
    <w:qFormat/>
    <w:uiPriority w:val="0"/>
    <w:pPr>
      <w:widowControl w:val="0"/>
      <w:adjustRightInd/>
      <w:snapToGrid/>
      <w:spacing w:after="120"/>
      <w:jc w:val="both"/>
    </w:pPr>
    <w:rPr>
      <w:rFonts w:ascii="Times New Roman" w:hAnsi="Times New Roman" w:eastAsia="宋体" w:cs="Times New Roman"/>
      <w:kern w:val="2"/>
      <w:sz w:val="21"/>
      <w:szCs w:val="24"/>
    </w:rPr>
  </w:style>
  <w:style w:type="paragraph" w:styleId="3">
    <w:name w:val="Date"/>
    <w:basedOn w:val="1"/>
    <w:next w:val="1"/>
    <w:link w:val="15"/>
    <w:semiHidden/>
    <w:unhideWhenUsed/>
    <w:qFormat/>
    <w:uiPriority w:val="99"/>
    <w:pPr>
      <w:ind w:left="100" w:leftChars="2500"/>
    </w:pPr>
  </w:style>
  <w:style w:type="paragraph" w:styleId="4">
    <w:name w:val="Balloon Text"/>
    <w:basedOn w:val="1"/>
    <w:link w:val="16"/>
    <w:semiHidden/>
    <w:unhideWhenUsed/>
    <w:qFormat/>
    <w:uiPriority w:val="99"/>
    <w:pPr>
      <w:spacing w:after="0"/>
    </w:pPr>
    <w:rPr>
      <w:sz w:val="18"/>
      <w:szCs w:val="18"/>
    </w:rPr>
  </w:style>
  <w:style w:type="paragraph" w:styleId="5">
    <w:name w:val="footer"/>
    <w:basedOn w:val="1"/>
    <w:link w:val="11"/>
    <w:unhideWhenUsed/>
    <w:qFormat/>
    <w:uiPriority w:val="99"/>
    <w:pPr>
      <w:tabs>
        <w:tab w:val="center" w:pos="4153"/>
        <w:tab w:val="right" w:pos="8306"/>
      </w:tabs>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jc w:val="center"/>
    </w:pPr>
    <w:rPr>
      <w:sz w:val="18"/>
      <w:szCs w:val="18"/>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6"/>
    <w:qFormat/>
    <w:uiPriority w:val="99"/>
    <w:rPr>
      <w:rFonts w:ascii="Tahoma" w:hAnsi="Tahoma"/>
      <w:sz w:val="18"/>
      <w:szCs w:val="18"/>
    </w:rPr>
  </w:style>
  <w:style w:type="character" w:customStyle="1" w:styleId="11">
    <w:name w:val="页脚 Char"/>
    <w:basedOn w:val="9"/>
    <w:link w:val="5"/>
    <w:qFormat/>
    <w:uiPriority w:val="99"/>
    <w:rPr>
      <w:rFonts w:ascii="Tahoma" w:hAnsi="Tahoma"/>
      <w:sz w:val="18"/>
      <w:szCs w:val="18"/>
    </w:rPr>
  </w:style>
  <w:style w:type="character" w:customStyle="1" w:styleId="12">
    <w:name w:val="正文文本 Char"/>
    <w:basedOn w:val="9"/>
    <w:link w:val="2"/>
    <w:qFormat/>
    <w:uiPriority w:val="0"/>
    <w:rPr>
      <w:rFonts w:ascii="Times New Roman" w:hAnsi="Times New Roman" w:eastAsia="宋体" w:cs="Times New Roman"/>
      <w:kern w:val="2"/>
      <w:sz w:val="21"/>
      <w:szCs w:val="24"/>
    </w:rPr>
  </w:style>
  <w:style w:type="paragraph" w:customStyle="1" w:styleId="13">
    <w:name w:val="正文 Char Char"/>
    <w:qFormat/>
    <w:uiPriority w:val="0"/>
    <w:pPr>
      <w:adjustRightInd w:val="0"/>
      <w:snapToGrid w:val="0"/>
      <w:spacing w:line="360" w:lineRule="auto"/>
      <w:ind w:firstLine="200" w:firstLineChars="200"/>
    </w:pPr>
    <w:rPr>
      <w:rFonts w:ascii="宋体" w:hAnsi="宋体" w:eastAsia="宋体" w:cs="Times New Roman"/>
      <w:sz w:val="24"/>
      <w:lang w:val="en-US" w:eastAsia="zh-CN" w:bidi="ar-SA"/>
    </w:rPr>
  </w:style>
  <w:style w:type="paragraph" w:customStyle="1" w:styleId="14">
    <w:name w:val="报告文本"/>
    <w:qFormat/>
    <w:uiPriority w:val="0"/>
    <w:pPr>
      <w:widowControl w:val="0"/>
      <w:spacing w:line="360" w:lineRule="auto"/>
      <w:ind w:firstLine="480" w:firstLineChars="200"/>
      <w:jc w:val="both"/>
    </w:pPr>
    <w:rPr>
      <w:rFonts w:ascii="Times New Roman" w:hAnsi="Times New Roman" w:eastAsiaTheme="minorEastAsia" w:cstheme="minorBidi"/>
      <w:kern w:val="2"/>
      <w:sz w:val="24"/>
      <w:szCs w:val="22"/>
      <w:lang w:val="en-US" w:eastAsia="zh-CN" w:bidi="ar-SA"/>
    </w:rPr>
  </w:style>
  <w:style w:type="character" w:customStyle="1" w:styleId="15">
    <w:name w:val="日期 Char"/>
    <w:basedOn w:val="9"/>
    <w:link w:val="3"/>
    <w:semiHidden/>
    <w:qFormat/>
    <w:uiPriority w:val="99"/>
    <w:rPr>
      <w:rFonts w:ascii="Tahoma" w:hAnsi="Tahoma"/>
      <w:sz w:val="22"/>
      <w:szCs w:val="22"/>
    </w:rPr>
  </w:style>
  <w:style w:type="character" w:customStyle="1" w:styleId="16">
    <w:name w:val="批注框文本 Char"/>
    <w:basedOn w:val="9"/>
    <w:link w:val="4"/>
    <w:semiHidden/>
    <w:uiPriority w:val="99"/>
    <w:rPr>
      <w:rFonts w:ascii="Tahoma" w:hAnsi="Tahoma"/>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256</Words>
  <Characters>1461</Characters>
  <Lines>12</Lines>
  <Paragraphs>3</Paragraphs>
  <TotalTime>11</TotalTime>
  <ScaleCrop>false</ScaleCrop>
  <LinksUpToDate>false</LinksUpToDate>
  <CharactersWithSpaces>1714</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2020-11-23T04:38:00Z</dcterms:created>
  <dc:creator>Administrator</dc:creator>
  <cp:lastModifiedBy>哎哟</cp:lastModifiedBy>
  <cp:lastPrinted>2020-11-27T06:20:00Z</cp:lastPrinted>
  <dcterms:modified xsi:type="dcterms:W3CDTF">2020-11-27T07:13:35Z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