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jc w:val="right"/>
        <w:rPr>
          <w:rFonts w:hint="eastAsia" w:ascii="宋体" w:hAnsi="宋体"/>
          <w:spacing w:val="-20"/>
          <w:sz w:val="32"/>
          <w:szCs w:val="32"/>
        </w:rPr>
      </w:pPr>
    </w:p>
    <w:p>
      <w:pPr>
        <w:pStyle w:val="2"/>
        <w:spacing w:line="560" w:lineRule="exact"/>
        <w:jc w:val="right"/>
        <w:rPr>
          <w:rFonts w:hint="eastAsia" w:ascii="宋体" w:hAnsi="宋体"/>
          <w:spacing w:val="-20"/>
          <w:sz w:val="32"/>
          <w:szCs w:val="32"/>
        </w:rPr>
      </w:pPr>
    </w:p>
    <w:p>
      <w:pPr>
        <w:pStyle w:val="2"/>
        <w:spacing w:line="560" w:lineRule="exact"/>
        <w:jc w:val="both"/>
        <w:rPr>
          <w:rFonts w:hint="eastAsia" w:ascii="宋体" w:hAnsi="宋体"/>
          <w:spacing w:val="-20"/>
          <w:sz w:val="32"/>
          <w:szCs w:val="32"/>
        </w:rPr>
      </w:pPr>
      <w:bookmarkStart w:id="0" w:name="_GoBack"/>
      <w:bookmarkEnd w:id="0"/>
    </w:p>
    <w:p>
      <w:pPr>
        <w:pStyle w:val="2"/>
        <w:spacing w:line="560" w:lineRule="exact"/>
        <w:jc w:val="right"/>
        <w:rPr>
          <w:rFonts w:ascii="宋体" w:hAnsi="宋体"/>
          <w:spacing w:val="-20"/>
          <w:sz w:val="32"/>
          <w:szCs w:val="32"/>
        </w:rPr>
      </w:pPr>
      <w:r>
        <w:rPr>
          <w:rFonts w:hint="eastAsia" w:ascii="宋体" w:hAnsi="宋体"/>
          <w:spacing w:val="-20"/>
          <w:sz w:val="32"/>
          <w:szCs w:val="32"/>
        </w:rPr>
        <w:t>益环审(表)</w:t>
      </w:r>
      <w:r>
        <w:rPr>
          <w:rFonts w:hint="eastAsia" w:asciiTheme="minorEastAsia" w:hAnsiTheme="minorEastAsia" w:eastAsiaTheme="minorEastAsia"/>
          <w:spacing w:val="-20"/>
          <w:sz w:val="32"/>
          <w:szCs w:val="32"/>
        </w:rPr>
        <w:t>〔2020〕</w:t>
      </w:r>
      <w:r>
        <w:rPr>
          <w:rFonts w:hint="eastAsia" w:asciiTheme="minorEastAsia" w:hAnsiTheme="minorEastAsia" w:eastAsiaTheme="minorEastAsia"/>
          <w:spacing w:val="-20"/>
          <w:sz w:val="32"/>
          <w:szCs w:val="32"/>
          <w:lang w:val="en-US" w:eastAsia="zh-CN"/>
        </w:rPr>
        <w:t>137</w:t>
      </w:r>
      <w:r>
        <w:rPr>
          <w:rFonts w:hint="eastAsia" w:ascii="宋体" w:hAnsi="宋体"/>
          <w:spacing w:val="-20"/>
          <w:sz w:val="32"/>
          <w:szCs w:val="32"/>
        </w:rPr>
        <w:t>号</w:t>
      </w:r>
    </w:p>
    <w:p>
      <w:pPr>
        <w:tabs>
          <w:tab w:val="left" w:pos="1021"/>
        </w:tabs>
        <w:spacing w:line="50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益阳市生态环境局</w:t>
      </w:r>
    </w:p>
    <w:p>
      <w:pPr>
        <w:tabs>
          <w:tab w:val="left" w:pos="1021"/>
        </w:tabs>
        <w:spacing w:line="500" w:lineRule="exact"/>
        <w:jc w:val="center"/>
        <w:rPr>
          <w:rFonts w:ascii="方正小标宋简体" w:eastAsia="方正小标宋简体" w:cs="Times New Roman" w:hAnsiTheme="majorEastAsia"/>
          <w:kern w:val="2"/>
          <w:sz w:val="44"/>
          <w:szCs w:val="44"/>
        </w:rPr>
      </w:pPr>
      <w:r>
        <w:rPr>
          <w:rFonts w:hint="eastAsia" w:ascii="方正小标宋简体" w:eastAsia="方正小标宋简体" w:hAnsiTheme="majorEastAsia"/>
          <w:sz w:val="44"/>
          <w:szCs w:val="44"/>
        </w:rPr>
        <w:t>关于</w:t>
      </w:r>
      <w:r>
        <w:rPr>
          <w:rFonts w:hint="eastAsia" w:ascii="方正小标宋简体" w:eastAsia="方正小标宋简体" w:cs="Times New Roman" w:hAnsiTheme="majorEastAsia"/>
          <w:kern w:val="2"/>
          <w:sz w:val="44"/>
          <w:szCs w:val="44"/>
        </w:rPr>
        <w:t>湖南金康电路板有限公司</w:t>
      </w:r>
    </w:p>
    <w:p>
      <w:pPr>
        <w:tabs>
          <w:tab w:val="left" w:pos="1021"/>
        </w:tabs>
        <w:spacing w:line="500" w:lineRule="exact"/>
        <w:jc w:val="center"/>
        <w:rPr>
          <w:rFonts w:ascii="方正小标宋简体" w:eastAsia="方正小标宋简体" w:cs="Times New Roman" w:hAnsiTheme="majorEastAsia"/>
          <w:kern w:val="2"/>
          <w:sz w:val="44"/>
          <w:szCs w:val="44"/>
        </w:rPr>
      </w:pPr>
      <w:r>
        <w:rPr>
          <w:rFonts w:hint="eastAsia" w:ascii="方正小标宋简体" w:eastAsia="方正小标宋简体" w:cs="Times New Roman" w:hAnsiTheme="majorEastAsia"/>
          <w:kern w:val="2"/>
          <w:sz w:val="44"/>
          <w:szCs w:val="44"/>
        </w:rPr>
        <w:t>5G配套项目一期工程建设项目</w:t>
      </w:r>
    </w:p>
    <w:p>
      <w:pPr>
        <w:tabs>
          <w:tab w:val="left" w:pos="1021"/>
        </w:tabs>
        <w:spacing w:line="500" w:lineRule="exact"/>
        <w:jc w:val="center"/>
        <w:rPr>
          <w:rFonts w:ascii="方正小标宋简体" w:eastAsia="方正小标宋简体" w:cs="Times New Roman" w:hAnsiTheme="majorEastAsia"/>
          <w:kern w:val="2"/>
          <w:sz w:val="44"/>
          <w:szCs w:val="44"/>
        </w:rPr>
      </w:pPr>
      <w:r>
        <w:rPr>
          <w:rFonts w:hint="eastAsia" w:ascii="方正小标宋简体" w:eastAsia="方正小标宋简体" w:hAnsiTheme="majorEastAsia"/>
          <w:sz w:val="44"/>
          <w:szCs w:val="44"/>
        </w:rPr>
        <w:t>环境影响报告表的批复</w:t>
      </w:r>
    </w:p>
    <w:p>
      <w:pPr>
        <w:spacing w:after="0" w:line="540" w:lineRule="exact"/>
        <w:jc w:val="both"/>
        <w:rPr>
          <w:rFonts w:ascii="仿宋" w:hAnsi="仿宋" w:eastAsia="仿宋" w:cs="Times New Roman"/>
          <w:kern w:val="2"/>
          <w:sz w:val="32"/>
          <w:szCs w:val="32"/>
        </w:rPr>
      </w:pPr>
      <w:r>
        <w:rPr>
          <w:rFonts w:hint="eastAsia" w:ascii="仿宋" w:hAnsi="仿宋" w:eastAsia="仿宋" w:cs="Times New Roman"/>
          <w:kern w:val="2"/>
          <w:sz w:val="32"/>
          <w:szCs w:val="32"/>
        </w:rPr>
        <w:t>湖南金康电路板有限公司：</w:t>
      </w:r>
    </w:p>
    <w:p>
      <w:pPr>
        <w:pStyle w:val="2"/>
        <w:spacing w:after="0" w:line="540" w:lineRule="exact"/>
        <w:ind w:firstLine="640" w:firstLineChars="200"/>
        <w:rPr>
          <w:rFonts w:ascii="仿宋" w:hAnsi="仿宋" w:eastAsia="仿宋"/>
          <w:sz w:val="32"/>
          <w:szCs w:val="32"/>
        </w:rPr>
      </w:pPr>
      <w:r>
        <w:rPr>
          <w:rFonts w:hint="eastAsia" w:ascii="仿宋" w:hAnsi="仿宋" w:eastAsia="仿宋"/>
          <w:sz w:val="32"/>
          <w:szCs w:val="32"/>
        </w:rPr>
        <w:t>你公司呈报的《关于请求对&lt;湖南金康电路板有限公司5G配套项目一期工程建设项目环境影响报告表&gt;进行审批的报告</w:t>
      </w:r>
      <w:r>
        <w:rPr>
          <w:rFonts w:hint="eastAsia" w:ascii="仿宋" w:hAnsi="仿宋" w:eastAsia="仿宋"/>
          <w:bCs/>
          <w:sz w:val="32"/>
          <w:szCs w:val="32"/>
        </w:rPr>
        <w:t>》、</w:t>
      </w:r>
      <w:r>
        <w:rPr>
          <w:rFonts w:hint="eastAsia" w:ascii="仿宋" w:hAnsi="仿宋" w:eastAsia="仿宋"/>
          <w:sz w:val="32"/>
          <w:szCs w:val="32"/>
        </w:rPr>
        <w:t>益阳市生态环境局资阳分局</w:t>
      </w:r>
      <w:r>
        <w:rPr>
          <w:rFonts w:hint="eastAsia" w:ascii="仿宋" w:hAnsi="仿宋" w:eastAsia="仿宋"/>
          <w:bCs/>
          <w:sz w:val="32"/>
          <w:szCs w:val="32"/>
        </w:rPr>
        <w:t>的预审意见及相关材料</w:t>
      </w:r>
      <w:r>
        <w:rPr>
          <w:rFonts w:hint="eastAsia" w:ascii="仿宋" w:hAnsi="仿宋" w:eastAsia="仿宋"/>
          <w:sz w:val="32"/>
          <w:szCs w:val="32"/>
        </w:rPr>
        <w:t>收悉。经审查、研究，批复如下：</w:t>
      </w:r>
    </w:p>
    <w:p>
      <w:pPr>
        <w:spacing w:after="0" w:line="540" w:lineRule="exact"/>
        <w:ind w:firstLine="640"/>
        <w:jc w:val="both"/>
        <w:rPr>
          <w:rFonts w:ascii="仿宋" w:hAnsi="仿宋" w:eastAsia="仿宋"/>
          <w:sz w:val="32"/>
          <w:szCs w:val="32"/>
        </w:rPr>
      </w:pPr>
      <w:r>
        <w:rPr>
          <w:rFonts w:hint="eastAsia" w:ascii="仿宋" w:hAnsi="仿宋" w:eastAsia="仿宋" w:cs="Times New Roman"/>
          <w:bCs/>
          <w:kern w:val="2"/>
          <w:sz w:val="32"/>
          <w:szCs w:val="32"/>
        </w:rPr>
        <w:t>一、</w:t>
      </w:r>
      <w:r>
        <w:rPr>
          <w:rFonts w:hint="eastAsia" w:ascii="仿宋" w:hAnsi="仿宋" w:eastAsia="仿宋"/>
          <w:sz w:val="32"/>
          <w:szCs w:val="32"/>
        </w:rPr>
        <w:t>湖南金康电路板有限公司拟投资50000万元，在</w:t>
      </w:r>
      <w:r>
        <w:rPr>
          <w:rFonts w:hint="eastAsia" w:ascii="仿宋" w:hAnsi="仿宋" w:eastAsia="仿宋" w:cs="Times New Roman"/>
          <w:kern w:val="2"/>
          <w:sz w:val="32"/>
          <w:szCs w:val="32"/>
        </w:rPr>
        <w:t>益阳市资阳区长春经济开发区白马山中路3号，征地82.64亩，建设年产HDI120万m</w:t>
      </w:r>
      <w:r>
        <w:rPr>
          <w:rFonts w:hint="eastAsia" w:ascii="仿宋" w:hAnsi="仿宋" w:eastAsia="仿宋" w:cs="Times New Roman"/>
          <w:kern w:val="2"/>
          <w:sz w:val="32"/>
          <w:szCs w:val="32"/>
          <w:vertAlign w:val="superscript"/>
        </w:rPr>
        <w:t>2</w:t>
      </w:r>
      <w:r>
        <w:rPr>
          <w:rFonts w:hint="eastAsia" w:ascii="仿宋" w:hAnsi="仿宋" w:eastAsia="仿宋" w:cs="Times New Roman"/>
          <w:kern w:val="2"/>
          <w:sz w:val="32"/>
          <w:szCs w:val="32"/>
        </w:rPr>
        <w:t>、SMT40万m</w:t>
      </w:r>
      <w:r>
        <w:rPr>
          <w:rFonts w:hint="eastAsia" w:ascii="仿宋" w:hAnsi="仿宋" w:eastAsia="仿宋" w:cs="Times New Roman"/>
          <w:kern w:val="2"/>
          <w:sz w:val="32"/>
          <w:szCs w:val="32"/>
          <w:vertAlign w:val="superscript"/>
        </w:rPr>
        <w:t>2</w:t>
      </w:r>
      <w:r>
        <w:rPr>
          <w:rFonts w:hint="eastAsia" w:ascii="仿宋" w:hAnsi="仿宋" w:eastAsia="仿宋" w:cs="Times New Roman"/>
          <w:kern w:val="2"/>
          <w:sz w:val="32"/>
          <w:szCs w:val="32"/>
        </w:rPr>
        <w:t>5G配套项目一期工程。主要建设内容包括1栋3层生产主厂房，占地面积18144 m</w:t>
      </w:r>
      <w:r>
        <w:rPr>
          <w:rFonts w:hint="eastAsia" w:ascii="仿宋" w:hAnsi="仿宋" w:eastAsia="仿宋" w:cs="Times New Roman"/>
          <w:kern w:val="2"/>
          <w:sz w:val="32"/>
          <w:szCs w:val="32"/>
          <w:vertAlign w:val="superscript"/>
        </w:rPr>
        <w:t>2</w:t>
      </w:r>
      <w:r>
        <w:rPr>
          <w:rFonts w:hint="eastAsia" w:ascii="仿宋" w:hAnsi="仿宋" w:eastAsia="仿宋" w:cs="Times New Roman"/>
          <w:kern w:val="2"/>
          <w:sz w:val="32"/>
          <w:szCs w:val="32"/>
        </w:rPr>
        <w:t>，布置FPC板生产车间、HDI生产车间、软硬结合板生产车间和SMT生产车间；2栋倒班楼，布置员工食堂、宿舍和活动中心；</w:t>
      </w:r>
      <w:r>
        <w:rPr>
          <w:rFonts w:hint="eastAsia" w:ascii="仿宋" w:hAnsi="仿宋" w:eastAsia="仿宋"/>
          <w:sz w:val="32"/>
          <w:szCs w:val="32"/>
        </w:rPr>
        <w:t>配套储运系统、纯水制备系统、循环水系统、冷却系统、压缩空气系统、空调净化系统、供热系统、给</w:t>
      </w:r>
      <w:r>
        <w:rPr>
          <w:rFonts w:hint="eastAsia" w:ascii="仿宋" w:hAnsi="仿宋" w:eastAsia="仿宋" w:cs="Times New Roman"/>
          <w:kern w:val="2"/>
          <w:sz w:val="32"/>
          <w:szCs w:val="32"/>
        </w:rPr>
        <w:t>排水及供配电和环保工程等相关公用辅助工程。</w:t>
      </w:r>
    </w:p>
    <w:p>
      <w:pPr>
        <w:spacing w:after="0" w:line="54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项目符合国家产业政策，符合长春经济开发区发展规划和用地规划要求。根据湖南九畴环境科技有限公司编制的环评报告表分析结论和</w:t>
      </w:r>
      <w:r>
        <w:rPr>
          <w:rFonts w:hint="eastAsia" w:ascii="仿宋" w:hAnsi="仿宋" w:eastAsia="仿宋"/>
          <w:sz w:val="32"/>
          <w:szCs w:val="32"/>
        </w:rPr>
        <w:t>益阳市生态环境局资阳分局</w:t>
      </w:r>
      <w:r>
        <w:rPr>
          <w:rFonts w:hint="eastAsia" w:ascii="仿宋" w:hAnsi="仿宋" w:eastAsia="仿宋" w:cs="Times New Roman"/>
          <w:kern w:val="2"/>
          <w:sz w:val="32"/>
          <w:szCs w:val="32"/>
        </w:rPr>
        <w:t>的预审意见，在建设单位认真落实报告表和本批复提出的各项污染防治措施，确保各项污染物稳定达标排放的前提下，我局原则同意</w:t>
      </w:r>
      <w:r>
        <w:rPr>
          <w:rFonts w:hint="eastAsia" w:ascii="仿宋" w:hAnsi="仿宋" w:eastAsia="仿宋"/>
          <w:sz w:val="32"/>
          <w:szCs w:val="32"/>
        </w:rPr>
        <w:t>湖南金康电路板有限公司5G配套项目一期工程建设项目</w:t>
      </w:r>
      <w:r>
        <w:rPr>
          <w:rFonts w:hint="eastAsia" w:ascii="仿宋" w:hAnsi="仿宋" w:eastAsia="仿宋"/>
          <w:kern w:val="2"/>
          <w:sz w:val="32"/>
          <w:szCs w:val="32"/>
        </w:rPr>
        <w:t>的选址并建设</w:t>
      </w:r>
      <w:r>
        <w:rPr>
          <w:rFonts w:hint="eastAsia" w:ascii="仿宋" w:hAnsi="仿宋" w:eastAsia="仿宋" w:cs="Times New Roman"/>
          <w:kern w:val="2"/>
          <w:sz w:val="32"/>
          <w:szCs w:val="32"/>
        </w:rPr>
        <w:t>。</w:t>
      </w:r>
    </w:p>
    <w:p>
      <w:pPr>
        <w:spacing w:after="0" w:line="560" w:lineRule="exact"/>
        <w:ind w:firstLine="629"/>
        <w:jc w:val="both"/>
        <w:rPr>
          <w:rFonts w:ascii="仿宋" w:hAnsi="仿宋" w:eastAsia="仿宋" w:cs="Times New Roman"/>
          <w:kern w:val="2"/>
          <w:sz w:val="32"/>
          <w:szCs w:val="32"/>
        </w:rPr>
      </w:pPr>
      <w:r>
        <w:rPr>
          <w:rFonts w:hint="eastAsia" w:ascii="仿宋" w:hAnsi="仿宋" w:eastAsia="仿宋" w:cs="Times New Roman"/>
          <w:kern w:val="2"/>
          <w:sz w:val="32"/>
          <w:szCs w:val="32"/>
        </w:rPr>
        <w:t>二、你公司在</w:t>
      </w:r>
      <w:r>
        <w:rPr>
          <w:rFonts w:hint="eastAsia" w:ascii="仿宋" w:hAnsi="仿宋" w:eastAsia="仿宋"/>
          <w:sz w:val="32"/>
          <w:szCs w:val="32"/>
        </w:rPr>
        <w:t>工程设计、建设和运营管理中</w:t>
      </w:r>
      <w:r>
        <w:rPr>
          <w:rFonts w:hint="eastAsia" w:ascii="仿宋" w:hAnsi="仿宋" w:eastAsia="仿宋" w:cs="Times New Roman"/>
          <w:kern w:val="2"/>
          <w:sz w:val="32"/>
          <w:szCs w:val="32"/>
        </w:rPr>
        <w:t>，必须切实落实环评提出的各项污染防治和风险防范措施要求，着重做好以下工作：</w:t>
      </w:r>
    </w:p>
    <w:p>
      <w:pPr>
        <w:spacing w:after="0" w:line="540" w:lineRule="exact"/>
        <w:ind w:firstLine="627" w:firstLineChars="196"/>
        <w:jc w:val="both"/>
        <w:rPr>
          <w:rFonts w:ascii="仿宋" w:hAnsi="仿宋" w:eastAsia="仿宋"/>
          <w:sz w:val="32"/>
          <w:szCs w:val="32"/>
        </w:rPr>
      </w:pPr>
      <w:r>
        <w:rPr>
          <w:rFonts w:hint="eastAsia" w:ascii="仿宋" w:hAnsi="仿宋" w:eastAsia="仿宋" w:cs="Times New Roman"/>
          <w:kern w:val="2"/>
          <w:sz w:val="32"/>
          <w:szCs w:val="32"/>
        </w:rPr>
        <w:t>（一）</w:t>
      </w:r>
      <w:r>
        <w:rPr>
          <w:rFonts w:hint="eastAsia" w:ascii="仿宋" w:hAnsi="仿宋" w:eastAsia="仿宋"/>
          <w:sz w:val="32"/>
          <w:szCs w:val="32"/>
        </w:rPr>
        <w:t>严格履行建设单位的环保主体责任，加强环境管理。建立环保规章制度和岗位责任制，配备专职环保管理人员，确保环保设施稳定正常运行和污染物的稳定达标排放；严格执行清洁生产，落实各环节生产管理要求，减少跑冒滴漏，做好分区防腐、防渗工作，防止地表水、地下水和土壤环境污染，减轻末端污染治理负荷；落实环境监测计划，严格按要求安装在线监测设施设备，强化运行管理，确保联网运行；落实《危险化学品安全管理条例》要求，强化对各类危险化学品输送、使用、储存等各个环节的管理；制定环境风险事故应急预案，落实事故应急防范措施，严防风险事故发生。</w:t>
      </w:r>
    </w:p>
    <w:p>
      <w:pPr>
        <w:spacing w:after="0" w:line="560" w:lineRule="exact"/>
        <w:ind w:firstLine="629"/>
        <w:jc w:val="both"/>
        <w:rPr>
          <w:rFonts w:ascii="仿宋" w:hAnsi="仿宋" w:eastAsia="仿宋" w:cs="Times New Roman"/>
          <w:kern w:val="2"/>
          <w:sz w:val="32"/>
          <w:szCs w:val="32"/>
        </w:rPr>
      </w:pPr>
      <w:r>
        <w:rPr>
          <w:rFonts w:hint="eastAsia" w:ascii="仿宋" w:hAnsi="仿宋" w:eastAsia="仿宋" w:cs="Times New Roman"/>
          <w:kern w:val="2"/>
          <w:sz w:val="32"/>
          <w:szCs w:val="32"/>
        </w:rPr>
        <w:t>（二）落实废水污染防治措施。项目排水须严格按照“雨污分流、清污分流、污污分流”的原则，建设分类废水收集处理系统，并优化废水处理工艺设计，建设规范化废水排放口；厂区生产废水综合处理设施总规模8000m</w:t>
      </w:r>
      <w:r>
        <w:rPr>
          <w:rFonts w:hint="eastAsia" w:ascii="仿宋" w:hAnsi="仿宋" w:eastAsia="仿宋" w:cs="Times New Roman"/>
          <w:kern w:val="2"/>
          <w:sz w:val="32"/>
          <w:szCs w:val="32"/>
          <w:vertAlign w:val="superscript"/>
        </w:rPr>
        <w:t>3</w:t>
      </w:r>
      <w:r>
        <w:rPr>
          <w:rFonts w:hint="eastAsia" w:ascii="仿宋" w:hAnsi="仿宋" w:eastAsia="仿宋" w:cs="Times New Roman"/>
          <w:kern w:val="2"/>
          <w:sz w:val="32"/>
          <w:szCs w:val="32"/>
        </w:rPr>
        <w:t>/d（其中2套3000m</w:t>
      </w:r>
      <w:r>
        <w:rPr>
          <w:rFonts w:hint="eastAsia" w:ascii="仿宋" w:hAnsi="仿宋" w:eastAsia="仿宋" w:cs="Times New Roman"/>
          <w:kern w:val="2"/>
          <w:sz w:val="32"/>
          <w:szCs w:val="32"/>
          <w:vertAlign w:val="superscript"/>
        </w:rPr>
        <w:t>3</w:t>
      </w:r>
      <w:r>
        <w:rPr>
          <w:rFonts w:hint="eastAsia" w:ascii="仿宋" w:hAnsi="仿宋" w:eastAsia="仿宋" w:cs="Times New Roman"/>
          <w:kern w:val="2"/>
          <w:sz w:val="32"/>
          <w:szCs w:val="32"/>
        </w:rPr>
        <w:t>/d、1套2000m</w:t>
      </w:r>
      <w:r>
        <w:rPr>
          <w:rFonts w:hint="eastAsia" w:ascii="仿宋" w:hAnsi="仿宋" w:eastAsia="仿宋" w:cs="Times New Roman"/>
          <w:kern w:val="2"/>
          <w:sz w:val="32"/>
          <w:szCs w:val="32"/>
          <w:vertAlign w:val="superscript"/>
        </w:rPr>
        <w:t>3</w:t>
      </w:r>
      <w:r>
        <w:rPr>
          <w:rFonts w:hint="eastAsia" w:ascii="仿宋" w:hAnsi="仿宋" w:eastAsia="仿宋" w:cs="Times New Roman"/>
          <w:kern w:val="2"/>
          <w:sz w:val="32"/>
          <w:szCs w:val="32"/>
        </w:rPr>
        <w:t>/d）；项目生产过程中产生的含镍、含银废水须分别采取“破络+芬顿氧化+磷酸铵镁法”、“化学沉淀法”工艺进行处理，在车间或生产设施废水排放口达到《电镀污染物排放标准》（GB21900-2008）表2中标准后，再排入厂内有机废水综合收集池进入综合废水处理系统处理；含氰废水、废气处理系统废水、络合废水、酸性废水、有机废水、钢片补强板制备清洗废水及一般清洗废水等分别经预处理系统处理后，再与综合废水、厂区初期雨水混合调匀后经综合废水处理系统二次处理，达到《污水综合排放标准》（GB8978-1996）中表1、表4三级标准后排入园区专管进新材料产业园污水处理厂深度处理；生活污水经隔油池、化粪池处理后排入园区污水管网进城北污水处理厂深度处理；提高清洁生产水平，减少单位产品废水排放量，对刷磨废水和部分工序的清洗废水处理后循环利用。</w:t>
      </w:r>
    </w:p>
    <w:p>
      <w:pPr>
        <w:spacing w:after="0" w:line="560" w:lineRule="exact"/>
        <w:ind w:firstLine="629"/>
        <w:jc w:val="both"/>
        <w:rPr>
          <w:rFonts w:ascii="仿宋" w:hAnsi="仿宋" w:eastAsia="仿宋" w:cs="Times New Roman"/>
          <w:kern w:val="2"/>
          <w:sz w:val="32"/>
          <w:szCs w:val="32"/>
        </w:rPr>
      </w:pPr>
      <w:r>
        <w:rPr>
          <w:rFonts w:hint="eastAsia" w:ascii="仿宋" w:hAnsi="仿宋" w:eastAsia="仿宋" w:cs="Times New Roman"/>
          <w:kern w:val="2"/>
          <w:sz w:val="32"/>
          <w:szCs w:val="32"/>
        </w:rPr>
        <w:t>（三）落实废气污染防治措施。本项目含尘废气采取布袋除尘器处理后，达到《大气污染物综合排放标准》（GB16297-1996）表2中二级标准，通过2根23米高排气筒排放；含氰废气经破氰装置预处理后和酸性废气一起采取“水喷淋+二级碱液喷淋”措施处理，达到《电镀污染物排放标准》（GB21900-2008）表5中新建企业大气污染物排放限值要求，通过6根25米高排气筒排放；含氨废气采取“水喷淋+酸液喷淋”措施处理，达到</w:t>
      </w:r>
      <w:r>
        <w:rPr>
          <w:rFonts w:hint="eastAsia" w:ascii="仿宋" w:hAnsi="仿宋" w:eastAsia="仿宋"/>
          <w:kern w:val="2"/>
          <w:sz w:val="32"/>
          <w:szCs w:val="32"/>
        </w:rPr>
        <w:t>《恶臭污染物排放标准》（GB14554-93）中二级标准要求，通过1根23米高排气筒排放；有机废气采取“水喷淋+活性炭吸附”措施处理，达到</w:t>
      </w:r>
      <w:r>
        <w:rPr>
          <w:rFonts w:hint="eastAsia" w:ascii="仿宋" w:hAnsi="仿宋" w:eastAsia="仿宋" w:cs="Times New Roman"/>
          <w:kern w:val="2"/>
          <w:sz w:val="32"/>
          <w:szCs w:val="32"/>
        </w:rPr>
        <w:t>《工业企业挥发性有机物排放控制标准》（DB12</w:t>
      </w:r>
      <w:r>
        <w:rPr>
          <w:rFonts w:ascii="Arial" w:hAnsi="Arial" w:eastAsia="仿宋" w:cs="Arial"/>
          <w:kern w:val="2"/>
          <w:sz w:val="32"/>
          <w:szCs w:val="32"/>
        </w:rPr>
        <w:t>/</w:t>
      </w:r>
      <w:r>
        <w:rPr>
          <w:rFonts w:hint="eastAsia" w:ascii="仿宋" w:hAnsi="仿宋" w:eastAsia="仿宋" w:cs="Times New Roman"/>
          <w:kern w:val="2"/>
          <w:sz w:val="32"/>
          <w:szCs w:val="32"/>
        </w:rPr>
        <w:t>524-2014）中表2新建企业排气筒污染物排放限值要求，通过5根23米高排气筒排放；导热油炉废气须达到《锅炉大气污染物排放标准》（GB13271-2014）特别排放限值要求，通过2根23米高排气筒排放；项目须严格按照《挥发性有机物无组织排放控制要求》（GB37822-2019）的要求，加强对各生产环节和原辅材料储存的环境管理，有效减少废气的无组织排放。</w:t>
      </w:r>
    </w:p>
    <w:p>
      <w:pPr>
        <w:spacing w:after="0" w:line="560" w:lineRule="exact"/>
        <w:ind w:left="110" w:leftChars="50" w:firstLine="640" w:firstLineChars="200"/>
        <w:jc w:val="both"/>
        <w:rPr>
          <w:rFonts w:ascii="仿宋" w:hAnsi="仿宋" w:eastAsia="仿宋"/>
          <w:sz w:val="32"/>
          <w:szCs w:val="32"/>
        </w:rPr>
      </w:pPr>
      <w:r>
        <w:rPr>
          <w:rFonts w:hint="eastAsia" w:ascii="仿宋" w:hAnsi="仿宋" w:eastAsia="仿宋" w:cs="Times New Roman"/>
          <w:kern w:val="2"/>
          <w:sz w:val="32"/>
          <w:szCs w:val="32"/>
        </w:rPr>
        <w:t>（四）落实固体废物处置措施。严格按照“无害化、减量化、资源化”的原则做好固体废物的综合利用和安全处置工作；严格按规范要求分别设置危废暂存库和一般固废暂存场所，其建设、运行和管理应相应分别满足《危险废物贮存污染控制标准》(GB18597－2001)及其修改单要求、《一般工业固体废物贮存、处置场污染控制标准》（GB 18599-2001）及其修改单要求，防止二次污染；项目生产产生的废线路板、废网纱、废胶片、废活性炭等危险废物须</w:t>
      </w:r>
      <w:r>
        <w:rPr>
          <w:rFonts w:hint="eastAsia" w:ascii="仿宋" w:hAnsi="仿宋" w:eastAsia="仿宋"/>
          <w:sz w:val="32"/>
          <w:szCs w:val="32"/>
        </w:rPr>
        <w:t>委托有相应危废处置资质的单位安全处置；废牛皮纸、铜箔边角料等一般固废收集后外售资源化利用；生活垃圾及时交给当地环卫部门处理。</w:t>
      </w:r>
    </w:p>
    <w:p>
      <w:pPr>
        <w:spacing w:after="0" w:line="560" w:lineRule="exact"/>
        <w:ind w:left="110" w:leftChars="50" w:firstLine="640" w:firstLineChars="200"/>
        <w:jc w:val="both"/>
        <w:rPr>
          <w:rFonts w:ascii="仿宋" w:hAnsi="仿宋" w:eastAsia="仿宋"/>
          <w:sz w:val="32"/>
          <w:szCs w:val="32"/>
        </w:rPr>
      </w:pPr>
      <w:r>
        <w:rPr>
          <w:rFonts w:hint="eastAsia" w:ascii="仿宋" w:hAnsi="仿宋" w:eastAsia="仿宋"/>
          <w:sz w:val="32"/>
          <w:szCs w:val="32"/>
        </w:rPr>
        <w:t>（五）</w:t>
      </w:r>
      <w:r>
        <w:rPr>
          <w:rFonts w:hint="eastAsia" w:ascii="仿宋" w:hAnsi="仿宋" w:eastAsia="仿宋" w:cs="Times New Roman"/>
          <w:kern w:val="2"/>
          <w:sz w:val="32"/>
          <w:szCs w:val="32"/>
        </w:rPr>
        <w:t>落实</w:t>
      </w:r>
      <w:r>
        <w:rPr>
          <w:rFonts w:hint="eastAsia" w:ascii="仿宋" w:hAnsi="仿宋" w:eastAsia="仿宋"/>
          <w:sz w:val="32"/>
          <w:szCs w:val="32"/>
        </w:rPr>
        <w:t>噪声污染防治</w:t>
      </w:r>
      <w:r>
        <w:rPr>
          <w:rFonts w:hint="eastAsia" w:ascii="仿宋" w:hAnsi="仿宋" w:eastAsia="仿宋" w:cs="Times New Roman"/>
          <w:kern w:val="2"/>
          <w:sz w:val="32"/>
          <w:szCs w:val="32"/>
        </w:rPr>
        <w:t>措施</w:t>
      </w:r>
      <w:r>
        <w:rPr>
          <w:rFonts w:hint="eastAsia" w:ascii="仿宋" w:hAnsi="仿宋" w:eastAsia="仿宋"/>
          <w:sz w:val="32"/>
          <w:szCs w:val="32"/>
        </w:rPr>
        <w:t>。合理优化总平面布局，优化设备的选型，对高噪声设备采取减震、消声、隔声等措施降低噪声，确保厂界噪声满足《声环境质量标准》（GB3096-2008）3类标准要求。</w:t>
      </w:r>
    </w:p>
    <w:p>
      <w:pPr>
        <w:spacing w:after="0" w:line="560" w:lineRule="exact"/>
        <w:ind w:firstLine="800" w:firstLineChars="250"/>
        <w:jc w:val="both"/>
        <w:rPr>
          <w:rFonts w:ascii="仿宋" w:hAnsi="仿宋" w:eastAsia="仿宋"/>
          <w:sz w:val="32"/>
          <w:szCs w:val="32"/>
        </w:rPr>
      </w:pPr>
      <w:r>
        <w:rPr>
          <w:rFonts w:hint="eastAsia" w:ascii="仿宋" w:hAnsi="仿宋" w:eastAsia="仿宋"/>
          <w:sz w:val="32"/>
          <w:szCs w:val="32"/>
        </w:rPr>
        <w:t xml:space="preserve"> (六)本项目污染物总量控制指标为：化学需氧量（COD）≤</w:t>
      </w:r>
      <w:r>
        <w:rPr>
          <w:rFonts w:hint="eastAsia" w:ascii="仿宋" w:hAnsi="仿宋" w:eastAsia="仿宋"/>
          <w:sz w:val="32"/>
          <w:szCs w:val="32"/>
          <w:lang w:val="de-DE"/>
        </w:rPr>
        <w:t>60</w:t>
      </w:r>
      <w:r>
        <w:rPr>
          <w:rFonts w:hint="eastAsia" w:ascii="仿宋" w:hAnsi="仿宋" w:eastAsia="仿宋"/>
          <w:sz w:val="32"/>
          <w:szCs w:val="32"/>
        </w:rPr>
        <w:t>t/a 、氨氮（NH</w:t>
      </w:r>
      <w:r>
        <w:rPr>
          <w:rFonts w:hint="eastAsia" w:ascii="仿宋" w:hAnsi="仿宋" w:eastAsia="仿宋"/>
          <w:sz w:val="32"/>
          <w:szCs w:val="32"/>
          <w:vertAlign w:val="subscript"/>
        </w:rPr>
        <w:t>3</w:t>
      </w:r>
      <w:r>
        <w:rPr>
          <w:rFonts w:hint="eastAsia" w:ascii="仿宋" w:hAnsi="仿宋" w:eastAsia="仿宋"/>
          <w:sz w:val="32"/>
          <w:szCs w:val="32"/>
        </w:rPr>
        <w:t>-N）≤</w:t>
      </w:r>
      <w:r>
        <w:rPr>
          <w:rFonts w:hint="eastAsia" w:ascii="仿宋" w:hAnsi="仿宋" w:eastAsia="仿宋"/>
          <w:sz w:val="32"/>
          <w:szCs w:val="32"/>
          <w:lang w:val="de-DE"/>
        </w:rPr>
        <w:t>6.13t</w:t>
      </w:r>
      <w:r>
        <w:rPr>
          <w:rFonts w:hint="eastAsia" w:ascii="仿宋" w:hAnsi="仿宋" w:eastAsia="仿宋"/>
          <w:sz w:val="32"/>
          <w:szCs w:val="32"/>
        </w:rPr>
        <w:t>/a 、总镍（Ni）≤</w:t>
      </w:r>
      <w:r>
        <w:rPr>
          <w:rFonts w:hint="eastAsia" w:ascii="仿宋" w:hAnsi="仿宋" w:eastAsia="仿宋"/>
          <w:sz w:val="32"/>
          <w:szCs w:val="32"/>
          <w:lang w:val="de-DE"/>
        </w:rPr>
        <w:t>0.06t</w:t>
      </w:r>
      <w:r>
        <w:rPr>
          <w:rFonts w:hint="eastAsia" w:ascii="仿宋" w:hAnsi="仿宋" w:eastAsia="仿宋"/>
          <w:sz w:val="32"/>
          <w:szCs w:val="32"/>
        </w:rPr>
        <w:t>/a 、总铬（Cr）≤</w:t>
      </w:r>
      <w:r>
        <w:rPr>
          <w:rFonts w:hint="eastAsia" w:ascii="仿宋" w:hAnsi="仿宋" w:eastAsia="仿宋"/>
          <w:sz w:val="32"/>
          <w:szCs w:val="32"/>
          <w:lang w:val="de-DE"/>
        </w:rPr>
        <w:t>0.00258</w:t>
      </w:r>
      <w:r>
        <w:rPr>
          <w:rFonts w:hint="eastAsia" w:ascii="仿宋" w:hAnsi="仿宋" w:eastAsia="仿宋"/>
          <w:sz w:val="32"/>
          <w:szCs w:val="32"/>
        </w:rPr>
        <w:t>t/a、总铜（Cu）≤</w:t>
      </w:r>
      <w:r>
        <w:rPr>
          <w:rFonts w:hint="eastAsia" w:ascii="仿宋" w:hAnsi="仿宋" w:eastAsia="仿宋"/>
          <w:sz w:val="32"/>
          <w:szCs w:val="32"/>
          <w:lang w:val="de-DE"/>
        </w:rPr>
        <w:t>0.48</w:t>
      </w:r>
      <w:r>
        <w:rPr>
          <w:rFonts w:hint="eastAsia" w:ascii="仿宋" w:hAnsi="仿宋" w:eastAsia="仿宋"/>
          <w:sz w:val="32"/>
          <w:szCs w:val="32"/>
        </w:rPr>
        <w:t>t/a、二氧化硫（SO</w:t>
      </w:r>
      <w:r>
        <w:rPr>
          <w:rFonts w:hint="eastAsia" w:ascii="仿宋" w:hAnsi="仿宋" w:eastAsia="仿宋"/>
          <w:sz w:val="32"/>
          <w:szCs w:val="32"/>
          <w:vertAlign w:val="subscript"/>
        </w:rPr>
        <w:t>2</w:t>
      </w:r>
      <w:r>
        <w:rPr>
          <w:rFonts w:hint="eastAsia" w:ascii="仿宋" w:hAnsi="仿宋" w:eastAsia="仿宋"/>
          <w:sz w:val="32"/>
          <w:szCs w:val="32"/>
        </w:rPr>
        <w:t>）≤</w:t>
      </w:r>
      <w:r>
        <w:rPr>
          <w:rFonts w:hint="eastAsia" w:ascii="仿宋" w:hAnsi="仿宋" w:eastAsia="仿宋"/>
          <w:sz w:val="32"/>
          <w:szCs w:val="32"/>
          <w:lang w:val="de-DE"/>
        </w:rPr>
        <w:t>0.407</w:t>
      </w:r>
      <w:r>
        <w:rPr>
          <w:rFonts w:hint="eastAsia" w:ascii="仿宋" w:hAnsi="仿宋" w:eastAsia="仿宋"/>
          <w:sz w:val="32"/>
          <w:szCs w:val="32"/>
        </w:rPr>
        <w:t>t/a、氮氧化物（NO</w:t>
      </w:r>
      <w:r>
        <w:rPr>
          <w:rFonts w:hint="eastAsia" w:ascii="仿宋" w:hAnsi="仿宋" w:eastAsia="仿宋"/>
          <w:sz w:val="32"/>
          <w:szCs w:val="32"/>
          <w:vertAlign w:val="subscript"/>
        </w:rPr>
        <w:t>X</w:t>
      </w:r>
      <w:r>
        <w:rPr>
          <w:rFonts w:hint="eastAsia" w:ascii="仿宋" w:hAnsi="仿宋" w:eastAsia="仿宋"/>
          <w:sz w:val="32"/>
          <w:szCs w:val="32"/>
        </w:rPr>
        <w:t>）≤</w:t>
      </w:r>
      <w:r>
        <w:rPr>
          <w:rFonts w:hint="eastAsia" w:ascii="仿宋" w:hAnsi="仿宋" w:eastAsia="仿宋"/>
          <w:sz w:val="32"/>
          <w:szCs w:val="32"/>
          <w:lang w:val="de-DE"/>
        </w:rPr>
        <w:t>7.256</w:t>
      </w:r>
      <w:r>
        <w:rPr>
          <w:rFonts w:hint="eastAsia" w:ascii="仿宋" w:hAnsi="仿宋" w:eastAsia="仿宋"/>
          <w:sz w:val="32"/>
          <w:szCs w:val="32"/>
        </w:rPr>
        <w:t>t/a、挥发性有机物（VOCs）≤</w:t>
      </w:r>
      <w:r>
        <w:rPr>
          <w:rFonts w:hint="eastAsia" w:ascii="仿宋" w:hAnsi="仿宋" w:eastAsia="仿宋"/>
          <w:sz w:val="32"/>
          <w:szCs w:val="32"/>
          <w:lang w:val="de-DE"/>
        </w:rPr>
        <w:t>0.9</w:t>
      </w:r>
      <w:r>
        <w:rPr>
          <w:rFonts w:hint="eastAsia" w:ascii="仿宋" w:hAnsi="仿宋" w:eastAsia="仿宋"/>
          <w:sz w:val="32"/>
          <w:szCs w:val="32"/>
        </w:rPr>
        <w:t>t/a，总量指标纳入资阳区总量控制管理。</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lang w:val="en-GB"/>
        </w:rPr>
        <w:t>三、</w:t>
      </w:r>
      <w:r>
        <w:rPr>
          <w:rFonts w:hint="eastAsia" w:ascii="仿宋" w:hAnsi="仿宋" w:eastAsia="仿宋"/>
          <w:spacing w:val="8"/>
          <w:sz w:val="32"/>
          <w:szCs w:val="32"/>
          <w:lang w:val="en-GB"/>
        </w:rPr>
        <w:t>项目批复后，</w:t>
      </w:r>
      <w:r>
        <w:rPr>
          <w:rFonts w:hint="eastAsia" w:ascii="仿宋" w:hAnsi="仿宋" w:eastAsia="仿宋"/>
          <w:sz w:val="32"/>
          <w:szCs w:val="32"/>
        </w:rPr>
        <w:t>须按照《固定污染源排污许可分类管理名录》(2019年版) 和《排污许可管理办法（试行）》（环保部令第48号）的要求，在项目建成投产前，办理排污许可相关手续。同时，</w:t>
      </w:r>
      <w:r>
        <w:rPr>
          <w:rFonts w:hint="eastAsia" w:ascii="仿宋" w:hAnsi="仿宋" w:eastAsia="仿宋"/>
          <w:sz w:val="32"/>
          <w:szCs w:val="32"/>
          <w:lang w:val="en-GB"/>
        </w:rPr>
        <w:t>按</w:t>
      </w:r>
      <w:r>
        <w:rPr>
          <w:rFonts w:hint="eastAsia" w:ascii="仿宋" w:hAnsi="仿宋" w:eastAsia="仿宋"/>
          <w:sz w:val="32"/>
          <w:szCs w:val="32"/>
        </w:rPr>
        <w:t>《建设项目竣工环境保护验收暂行办法》</w:t>
      </w:r>
      <w:r>
        <w:rPr>
          <w:rFonts w:hint="eastAsia" w:ascii="仿宋" w:hAnsi="仿宋" w:eastAsia="仿宋"/>
          <w:sz w:val="32"/>
          <w:szCs w:val="32"/>
          <w:lang w:val="en-GB"/>
        </w:rPr>
        <w:t>的有关规定，及时办理</w:t>
      </w:r>
      <w:r>
        <w:rPr>
          <w:rFonts w:hint="eastAsia" w:ascii="仿宋" w:hAnsi="仿宋" w:eastAsia="仿宋"/>
          <w:sz w:val="32"/>
          <w:szCs w:val="32"/>
        </w:rPr>
        <w:t>项目</w:t>
      </w:r>
      <w:r>
        <w:rPr>
          <w:rFonts w:hint="eastAsia" w:ascii="仿宋" w:hAnsi="仿宋" w:eastAsia="仿宋"/>
          <w:sz w:val="32"/>
          <w:szCs w:val="32"/>
          <w:lang w:val="en-GB"/>
        </w:rPr>
        <w:t>竣工环保验收手续，</w:t>
      </w:r>
      <w:r>
        <w:rPr>
          <w:rFonts w:hint="eastAsia" w:ascii="仿宋" w:hAnsi="仿宋" w:eastAsia="仿宋"/>
          <w:bCs/>
          <w:sz w:val="32"/>
          <w:szCs w:val="32"/>
        </w:rPr>
        <w:t>益阳市生态环境局资阳分局</w:t>
      </w:r>
      <w:r>
        <w:rPr>
          <w:rFonts w:hint="eastAsia" w:ascii="仿宋" w:hAnsi="仿宋" w:eastAsia="仿宋"/>
          <w:sz w:val="32"/>
          <w:szCs w:val="32"/>
        </w:rPr>
        <w:t>负责项目建设期间的“三同时”现场监督检查和日常环境管理。</w:t>
      </w:r>
    </w:p>
    <w:p>
      <w:pPr>
        <w:spacing w:after="0" w:line="560" w:lineRule="exact"/>
        <w:ind w:firstLine="640" w:firstLineChars="200"/>
        <w:jc w:val="both"/>
        <w:rPr>
          <w:rFonts w:ascii="仿宋" w:hAnsi="仿宋" w:eastAsia="仿宋"/>
          <w:sz w:val="32"/>
          <w:szCs w:val="32"/>
          <w:lang w:val="en-GB"/>
        </w:rPr>
      </w:pPr>
      <w:r>
        <w:rPr>
          <w:rFonts w:hint="eastAsia" w:ascii="仿宋" w:hAnsi="仿宋" w:eastAsia="仿宋"/>
          <w:sz w:val="32"/>
          <w:szCs w:val="32"/>
        </w:rPr>
        <w:t>四、</w:t>
      </w:r>
      <w:r>
        <w:rPr>
          <w:rFonts w:hint="eastAsia" w:ascii="仿宋" w:hAnsi="仿宋" w:eastAsia="仿宋"/>
          <w:sz w:val="32"/>
          <w:szCs w:val="32"/>
          <w:lang w:val="en-GB"/>
        </w:rPr>
        <w:t>你公司须在收到本批复后 15 个工作日内，将本批复及项目环评报告表送</w:t>
      </w:r>
      <w:r>
        <w:rPr>
          <w:rFonts w:hint="eastAsia" w:ascii="仿宋" w:hAnsi="仿宋" w:eastAsia="仿宋"/>
          <w:bCs/>
          <w:sz w:val="32"/>
          <w:szCs w:val="32"/>
        </w:rPr>
        <w:t>益阳市生态环境局资阳分局</w:t>
      </w:r>
      <w:r>
        <w:rPr>
          <w:rFonts w:hint="eastAsia" w:ascii="仿宋" w:hAnsi="仿宋" w:eastAsia="仿宋"/>
          <w:sz w:val="32"/>
          <w:szCs w:val="32"/>
          <w:lang w:val="en-GB"/>
        </w:rPr>
        <w:t>。</w:t>
      </w:r>
    </w:p>
    <w:p>
      <w:pPr>
        <w:spacing w:after="0" w:line="540" w:lineRule="exact"/>
        <w:ind w:firstLine="5440" w:firstLineChars="1700"/>
        <w:jc w:val="both"/>
        <w:rPr>
          <w:rFonts w:ascii="仿宋" w:hAnsi="仿宋" w:eastAsia="仿宋"/>
          <w:sz w:val="32"/>
          <w:szCs w:val="32"/>
        </w:rPr>
      </w:pPr>
    </w:p>
    <w:p>
      <w:pPr>
        <w:spacing w:after="0" w:line="540" w:lineRule="exact"/>
        <w:ind w:firstLine="5440" w:firstLineChars="1700"/>
        <w:jc w:val="both"/>
        <w:rPr>
          <w:rFonts w:ascii="仿宋" w:hAnsi="仿宋" w:eastAsia="仿宋"/>
          <w:sz w:val="32"/>
          <w:szCs w:val="32"/>
        </w:rPr>
      </w:pPr>
    </w:p>
    <w:p>
      <w:pPr>
        <w:spacing w:after="0" w:line="540" w:lineRule="exact"/>
        <w:ind w:firstLine="5440" w:firstLineChars="1700"/>
        <w:jc w:val="both"/>
        <w:rPr>
          <w:rFonts w:ascii="仿宋" w:hAnsi="仿宋" w:eastAsia="仿宋"/>
          <w:sz w:val="32"/>
          <w:szCs w:val="32"/>
        </w:rPr>
      </w:pPr>
    </w:p>
    <w:p>
      <w:pPr>
        <w:spacing w:after="0" w:line="540" w:lineRule="exact"/>
        <w:ind w:firstLine="5440" w:firstLineChars="1700"/>
        <w:jc w:val="both"/>
        <w:rPr>
          <w:rFonts w:ascii="仿宋" w:hAnsi="仿宋" w:eastAsia="仿宋"/>
          <w:sz w:val="32"/>
          <w:szCs w:val="32"/>
        </w:rPr>
      </w:pPr>
    </w:p>
    <w:p>
      <w:pPr>
        <w:spacing w:after="0" w:line="540" w:lineRule="exact"/>
        <w:ind w:firstLine="5440" w:firstLineChars="1700"/>
        <w:jc w:val="both"/>
        <w:rPr>
          <w:rFonts w:ascii="仿宋" w:hAnsi="仿宋" w:eastAsia="仿宋"/>
          <w:sz w:val="32"/>
          <w:szCs w:val="32"/>
        </w:rPr>
      </w:pPr>
      <w:r>
        <w:rPr>
          <w:rFonts w:hint="eastAsia" w:ascii="仿宋" w:hAnsi="仿宋" w:eastAsia="仿宋"/>
          <w:sz w:val="32"/>
          <w:szCs w:val="32"/>
        </w:rPr>
        <w:t>益阳市生态环境局</w:t>
      </w:r>
    </w:p>
    <w:p>
      <w:pPr>
        <w:spacing w:after="0" w:line="540" w:lineRule="exact"/>
        <w:ind w:firstLine="5440" w:firstLineChars="1700"/>
        <w:jc w:val="both"/>
        <w:rPr>
          <w:rFonts w:ascii="仿宋" w:hAnsi="仿宋" w:eastAsia="仿宋"/>
          <w:sz w:val="32"/>
          <w:szCs w:val="32"/>
        </w:rPr>
      </w:pPr>
      <w:r>
        <w:rPr>
          <w:rFonts w:hint="eastAsia" w:ascii="仿宋" w:hAnsi="仿宋" w:eastAsia="仿宋"/>
          <w:sz w:val="32"/>
          <w:szCs w:val="32"/>
        </w:rPr>
        <w:t>2020年</w:t>
      </w:r>
      <w:r>
        <w:rPr>
          <w:rFonts w:hint="eastAsia" w:ascii="仿宋" w:hAnsi="仿宋" w:eastAsia="仿宋"/>
          <w:sz w:val="32"/>
          <w:szCs w:val="32"/>
          <w:lang w:val="en-US" w:eastAsia="zh-CN"/>
        </w:rPr>
        <w:t>11</w:t>
      </w:r>
      <w:r>
        <w:rPr>
          <w:rFonts w:hint="eastAsia" w:ascii="仿宋" w:hAnsi="仿宋" w:eastAsia="仿宋"/>
          <w:sz w:val="32"/>
          <w:szCs w:val="32"/>
        </w:rPr>
        <w:t>月</w:t>
      </w:r>
      <w:r>
        <w:rPr>
          <w:rFonts w:hint="eastAsia" w:ascii="仿宋" w:hAnsi="仿宋" w:eastAsia="仿宋"/>
          <w:sz w:val="32"/>
          <w:szCs w:val="32"/>
          <w:lang w:val="en-US" w:eastAsia="zh-CN"/>
        </w:rPr>
        <w:t>16</w:t>
      </w:r>
      <w:r>
        <w:rPr>
          <w:rFonts w:hint="eastAsia" w:ascii="仿宋" w:hAnsi="仿宋" w:eastAsia="仿宋"/>
          <w:sz w:val="32"/>
          <w:szCs w:val="32"/>
        </w:rPr>
        <w:t>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062B2"/>
    <w:rsid w:val="00017C38"/>
    <w:rsid w:val="000579A8"/>
    <w:rsid w:val="0006561D"/>
    <w:rsid w:val="000C0105"/>
    <w:rsid w:val="000C4E03"/>
    <w:rsid w:val="000F1319"/>
    <w:rsid w:val="00130452"/>
    <w:rsid w:val="00147B78"/>
    <w:rsid w:val="00164D17"/>
    <w:rsid w:val="00167FA5"/>
    <w:rsid w:val="001725BE"/>
    <w:rsid w:val="00173455"/>
    <w:rsid w:val="00175E9A"/>
    <w:rsid w:val="0018629F"/>
    <w:rsid w:val="001B5A7A"/>
    <w:rsid w:val="00205AB8"/>
    <w:rsid w:val="002122E5"/>
    <w:rsid w:val="00227334"/>
    <w:rsid w:val="00272C0C"/>
    <w:rsid w:val="002E62CA"/>
    <w:rsid w:val="003059D5"/>
    <w:rsid w:val="00323B43"/>
    <w:rsid w:val="003266BC"/>
    <w:rsid w:val="003D37D8"/>
    <w:rsid w:val="00426133"/>
    <w:rsid w:val="004358AB"/>
    <w:rsid w:val="004364B9"/>
    <w:rsid w:val="00443FD6"/>
    <w:rsid w:val="0045395A"/>
    <w:rsid w:val="00454631"/>
    <w:rsid w:val="004854D5"/>
    <w:rsid w:val="004867A8"/>
    <w:rsid w:val="004B25D9"/>
    <w:rsid w:val="004D4E2F"/>
    <w:rsid w:val="004F6DFB"/>
    <w:rsid w:val="00505CBA"/>
    <w:rsid w:val="00530FD0"/>
    <w:rsid w:val="00536E3E"/>
    <w:rsid w:val="005869A5"/>
    <w:rsid w:val="005B1278"/>
    <w:rsid w:val="005B559C"/>
    <w:rsid w:val="005B7202"/>
    <w:rsid w:val="00621AA3"/>
    <w:rsid w:val="0062469A"/>
    <w:rsid w:val="0063314E"/>
    <w:rsid w:val="00644B31"/>
    <w:rsid w:val="006545B7"/>
    <w:rsid w:val="00665572"/>
    <w:rsid w:val="006674F4"/>
    <w:rsid w:val="006910D8"/>
    <w:rsid w:val="00696850"/>
    <w:rsid w:val="006E03B7"/>
    <w:rsid w:val="006F04E4"/>
    <w:rsid w:val="007101A1"/>
    <w:rsid w:val="00731977"/>
    <w:rsid w:val="007961AF"/>
    <w:rsid w:val="007D7EF1"/>
    <w:rsid w:val="007F44A2"/>
    <w:rsid w:val="00811DDA"/>
    <w:rsid w:val="008213E8"/>
    <w:rsid w:val="00847EAF"/>
    <w:rsid w:val="00881946"/>
    <w:rsid w:val="00887F8C"/>
    <w:rsid w:val="008A5F44"/>
    <w:rsid w:val="008B7726"/>
    <w:rsid w:val="008E67AC"/>
    <w:rsid w:val="00910117"/>
    <w:rsid w:val="00913837"/>
    <w:rsid w:val="00940080"/>
    <w:rsid w:val="0098021F"/>
    <w:rsid w:val="00980C91"/>
    <w:rsid w:val="00992267"/>
    <w:rsid w:val="009A482F"/>
    <w:rsid w:val="00A119E7"/>
    <w:rsid w:val="00A641FD"/>
    <w:rsid w:val="00A8763D"/>
    <w:rsid w:val="00AA1F0D"/>
    <w:rsid w:val="00AC0B0B"/>
    <w:rsid w:val="00AD0EAE"/>
    <w:rsid w:val="00AD72C9"/>
    <w:rsid w:val="00AD746A"/>
    <w:rsid w:val="00AE1FFF"/>
    <w:rsid w:val="00AF0942"/>
    <w:rsid w:val="00B30BB9"/>
    <w:rsid w:val="00BC2022"/>
    <w:rsid w:val="00BC51CA"/>
    <w:rsid w:val="00BD5E17"/>
    <w:rsid w:val="00BF5FDD"/>
    <w:rsid w:val="00BF7F0B"/>
    <w:rsid w:val="00C00AB2"/>
    <w:rsid w:val="00C53AD9"/>
    <w:rsid w:val="00C60E20"/>
    <w:rsid w:val="00C76F04"/>
    <w:rsid w:val="00C86259"/>
    <w:rsid w:val="00C94665"/>
    <w:rsid w:val="00CF109D"/>
    <w:rsid w:val="00D13CE7"/>
    <w:rsid w:val="00D31D50"/>
    <w:rsid w:val="00D349B4"/>
    <w:rsid w:val="00D4783F"/>
    <w:rsid w:val="00D67A25"/>
    <w:rsid w:val="00D7024F"/>
    <w:rsid w:val="00DA3A0A"/>
    <w:rsid w:val="00DB7052"/>
    <w:rsid w:val="00DC0615"/>
    <w:rsid w:val="00DD6EB9"/>
    <w:rsid w:val="00DE1647"/>
    <w:rsid w:val="00DE2F00"/>
    <w:rsid w:val="00E27227"/>
    <w:rsid w:val="00E509C6"/>
    <w:rsid w:val="00E72DE0"/>
    <w:rsid w:val="00E73BA7"/>
    <w:rsid w:val="00E92972"/>
    <w:rsid w:val="00EA0D2E"/>
    <w:rsid w:val="00EB74F3"/>
    <w:rsid w:val="00ED6032"/>
    <w:rsid w:val="00EE077B"/>
    <w:rsid w:val="00EF59F2"/>
    <w:rsid w:val="00F216ED"/>
    <w:rsid w:val="00F2381A"/>
    <w:rsid w:val="00F2483C"/>
    <w:rsid w:val="00F3058C"/>
    <w:rsid w:val="00F31908"/>
    <w:rsid w:val="00F46328"/>
    <w:rsid w:val="00F6439D"/>
    <w:rsid w:val="00F73C73"/>
    <w:rsid w:val="00F874B5"/>
    <w:rsid w:val="00F97EC4"/>
    <w:rsid w:val="00FB7E7F"/>
    <w:rsid w:val="08977907"/>
    <w:rsid w:val="53896C12"/>
    <w:rsid w:val="772F3214"/>
    <w:rsid w:val="7EE51A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3">
    <w:name w:val="Body Text Indent"/>
    <w:basedOn w:val="1"/>
    <w:link w:val="11"/>
    <w:qFormat/>
    <w:uiPriority w:val="0"/>
    <w:pPr>
      <w:widowControl w:val="0"/>
      <w:adjustRightInd/>
      <w:snapToGrid/>
      <w:spacing w:after="120"/>
      <w:ind w:left="200" w:leftChars="200"/>
      <w:jc w:val="both"/>
    </w:pPr>
    <w:rPr>
      <w:rFonts w:ascii="Times New Roman" w:hAnsi="Times New Roman" w:eastAsia="仿宋_GB2312" w:cs="Times New Roman"/>
      <w:kern w:val="2"/>
      <w:sz w:val="24"/>
      <w:szCs w:val="24"/>
    </w:rPr>
  </w:style>
  <w:style w:type="paragraph" w:styleId="4">
    <w:name w:val="footer"/>
    <w:basedOn w:val="1"/>
    <w:link w:val="9"/>
    <w:semiHidden/>
    <w:unhideWhenUsed/>
    <w:qFormat/>
    <w:uiPriority w:val="99"/>
    <w:pPr>
      <w:tabs>
        <w:tab w:val="center" w:pos="4153"/>
        <w:tab w:val="right" w:pos="8306"/>
      </w:tabs>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qFormat/>
    <w:uiPriority w:val="99"/>
    <w:rPr>
      <w:rFonts w:ascii="Tahoma" w:hAnsi="Tahoma"/>
      <w:sz w:val="18"/>
      <w:szCs w:val="18"/>
    </w:rPr>
  </w:style>
  <w:style w:type="character" w:customStyle="1" w:styleId="9">
    <w:name w:val="页脚 Char"/>
    <w:basedOn w:val="7"/>
    <w:link w:val="4"/>
    <w:semiHidden/>
    <w:qFormat/>
    <w:uiPriority w:val="99"/>
    <w:rPr>
      <w:rFonts w:ascii="Tahoma" w:hAnsi="Tahoma"/>
      <w:sz w:val="18"/>
      <w:szCs w:val="18"/>
    </w:rPr>
  </w:style>
  <w:style w:type="character" w:customStyle="1" w:styleId="10">
    <w:name w:val="正文文本 Char"/>
    <w:basedOn w:val="7"/>
    <w:link w:val="2"/>
    <w:uiPriority w:val="0"/>
    <w:rPr>
      <w:rFonts w:ascii="Times New Roman" w:hAnsi="Times New Roman" w:eastAsia="宋体" w:cs="Times New Roman"/>
      <w:kern w:val="2"/>
      <w:sz w:val="21"/>
      <w:szCs w:val="24"/>
    </w:rPr>
  </w:style>
  <w:style w:type="character" w:customStyle="1" w:styleId="11">
    <w:name w:val="正文文本缩进 Char"/>
    <w:basedOn w:val="7"/>
    <w:link w:val="3"/>
    <w:uiPriority w:val="0"/>
    <w:rPr>
      <w:rFonts w:ascii="Times New Roman" w:hAnsi="Times New Roman" w:eastAsia="仿宋_GB2312" w:cs="Times New Roman"/>
      <w:kern w:val="2"/>
      <w:sz w:val="24"/>
      <w:szCs w:val="24"/>
    </w:rPr>
  </w:style>
  <w:style w:type="paragraph" w:customStyle="1" w:styleId="12">
    <w:name w:val="_Style 17"/>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395</Words>
  <Characters>2256</Characters>
  <Lines>18</Lines>
  <Paragraphs>5</Paragraphs>
  <TotalTime>235</TotalTime>
  <ScaleCrop>false</ScaleCrop>
  <LinksUpToDate>false</LinksUpToDate>
  <CharactersWithSpaces>2646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哎哟</cp:lastModifiedBy>
  <cp:lastPrinted>2020-11-16T03:06:56Z</cp:lastPrinted>
  <dcterms:modified xsi:type="dcterms:W3CDTF">2020-11-16T03:07:18Z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