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560" w:lineRule="exact"/>
        <w:rPr>
          <w:rFonts w:hint="eastAsia" w:ascii="宋体" w:hAnsi="宋体" w:eastAsia="微软雅黑" w:cstheme="minorBidi"/>
          <w:bCs/>
          <w:kern w:val="0"/>
          <w:sz w:val="32"/>
          <w:szCs w:val="32"/>
        </w:rPr>
      </w:pPr>
    </w:p>
    <w:p>
      <w:pPr>
        <w:pStyle w:val="2"/>
        <w:spacing w:line="560" w:lineRule="exact"/>
        <w:rPr>
          <w:rFonts w:hint="eastAsia" w:ascii="宋体" w:hAnsi="宋体" w:eastAsia="微软雅黑" w:cstheme="minorBidi"/>
          <w:bCs/>
          <w:kern w:val="0"/>
          <w:sz w:val="32"/>
          <w:szCs w:val="32"/>
        </w:rPr>
      </w:pPr>
    </w:p>
    <w:p>
      <w:pPr>
        <w:pStyle w:val="2"/>
        <w:spacing w:line="560" w:lineRule="exact"/>
        <w:rPr>
          <w:rFonts w:ascii="宋体" w:hAnsi="宋体"/>
          <w:spacing w:val="-20"/>
        </w:rPr>
      </w:pPr>
    </w:p>
    <w:p>
      <w:pPr>
        <w:pStyle w:val="2"/>
        <w:spacing w:line="520" w:lineRule="exact"/>
        <w:jc w:val="right"/>
        <w:rPr>
          <w:rFonts w:ascii="宋体" w:hAnsi="宋体"/>
          <w:spacing w:val="-20"/>
          <w:sz w:val="32"/>
          <w:szCs w:val="32"/>
        </w:rPr>
      </w:pPr>
      <w:r>
        <w:rPr>
          <w:rFonts w:hint="eastAsia" w:ascii="宋体" w:hAnsi="宋体"/>
          <w:spacing w:val="-20"/>
        </w:rPr>
        <w:t xml:space="preserve">                                                    </w:t>
      </w:r>
      <w:r>
        <w:rPr>
          <w:rFonts w:hint="eastAsia" w:ascii="宋体" w:hAnsi="宋体"/>
          <w:spacing w:val="-20"/>
          <w:sz w:val="32"/>
          <w:szCs w:val="32"/>
        </w:rPr>
        <w:t>益</w:t>
      </w:r>
      <w:r>
        <w:rPr>
          <w:rFonts w:hint="eastAsia" w:ascii="宋体" w:hAnsi="宋体" w:cs="宋体"/>
          <w:spacing w:val="-20"/>
          <w:sz w:val="32"/>
          <w:szCs w:val="32"/>
        </w:rPr>
        <w:t>环审(表</w:t>
      </w:r>
      <w:r>
        <w:rPr>
          <w:rFonts w:hint="eastAsia" w:ascii="宋体" w:hAnsi="宋体"/>
          <w:spacing w:val="-20"/>
          <w:sz w:val="32"/>
          <w:szCs w:val="32"/>
        </w:rPr>
        <w:t>)〔2020〕123号</w:t>
      </w:r>
    </w:p>
    <w:p>
      <w:pPr>
        <w:tabs>
          <w:tab w:val="left" w:pos="1021"/>
        </w:tabs>
        <w:spacing w:line="520" w:lineRule="exact"/>
        <w:jc w:val="center"/>
        <w:rPr>
          <w:rFonts w:ascii="方正小标宋简体" w:eastAsia="方正小标宋简体" w:hAnsiTheme="majorEastAsia"/>
          <w:spacing w:val="-10"/>
          <w:sz w:val="44"/>
          <w:szCs w:val="44"/>
        </w:rPr>
      </w:pPr>
      <w:r>
        <w:rPr>
          <w:rFonts w:hint="eastAsia" w:ascii="方正小标宋简体" w:eastAsia="方正小标宋简体" w:hAnsiTheme="majorEastAsia"/>
          <w:spacing w:val="-10"/>
          <w:sz w:val="44"/>
          <w:szCs w:val="44"/>
        </w:rPr>
        <w:t>益阳市生态环境局</w:t>
      </w:r>
    </w:p>
    <w:p>
      <w:pPr>
        <w:tabs>
          <w:tab w:val="left" w:pos="1021"/>
        </w:tabs>
        <w:spacing w:line="520" w:lineRule="exact"/>
        <w:jc w:val="center"/>
        <w:rPr>
          <w:rFonts w:ascii="方正小标宋简体" w:eastAsia="方正小标宋简体" w:hAnsiTheme="majorEastAsia"/>
          <w:spacing w:val="-10"/>
          <w:sz w:val="44"/>
          <w:szCs w:val="44"/>
        </w:rPr>
      </w:pPr>
      <w:r>
        <w:rPr>
          <w:rFonts w:hint="eastAsia" w:ascii="方正小标宋简体" w:eastAsia="方正小标宋简体" w:hAnsiTheme="majorEastAsia"/>
          <w:spacing w:val="-10"/>
          <w:sz w:val="44"/>
          <w:szCs w:val="44"/>
        </w:rPr>
        <w:t>关于湖南一盏灯新型材料有限公司</w:t>
      </w:r>
    </w:p>
    <w:p>
      <w:pPr>
        <w:tabs>
          <w:tab w:val="left" w:pos="1021"/>
        </w:tabs>
        <w:spacing w:line="520" w:lineRule="exact"/>
        <w:jc w:val="center"/>
        <w:rPr>
          <w:rFonts w:ascii="方正小标宋简体" w:eastAsia="方正小标宋简体" w:hAnsiTheme="majorEastAsia"/>
          <w:spacing w:val="-10"/>
          <w:sz w:val="44"/>
          <w:szCs w:val="44"/>
        </w:rPr>
      </w:pPr>
      <w:r>
        <w:rPr>
          <w:rFonts w:hint="eastAsia" w:ascii="方正小标宋简体" w:eastAsia="方正小标宋简体" w:hAnsiTheme="majorEastAsia"/>
          <w:spacing w:val="-10"/>
          <w:sz w:val="44"/>
          <w:szCs w:val="44"/>
        </w:rPr>
        <w:t>年产3000吨硅酮环保密封胶建设项目</w:t>
      </w:r>
    </w:p>
    <w:p>
      <w:pPr>
        <w:pStyle w:val="2"/>
        <w:spacing w:line="560" w:lineRule="exact"/>
        <w:jc w:val="center"/>
        <w:rPr>
          <w:rFonts w:asciiTheme="majorEastAsia" w:hAnsiTheme="majorEastAsia" w:eastAsiaTheme="majorEastAsia"/>
          <w:b/>
          <w:sz w:val="44"/>
          <w:szCs w:val="44"/>
        </w:rPr>
      </w:pPr>
      <w:r>
        <w:rPr>
          <w:rFonts w:hint="eastAsia" w:ascii="方正小标宋简体" w:eastAsia="方正小标宋简体" w:hAnsiTheme="majorEastAsia"/>
          <w:spacing w:val="-10"/>
          <w:sz w:val="44"/>
          <w:szCs w:val="44"/>
        </w:rPr>
        <w:t>环境影响报告表的批复</w:t>
      </w:r>
    </w:p>
    <w:p>
      <w:pPr>
        <w:spacing w:after="0" w:line="560" w:lineRule="exact"/>
        <w:jc w:val="both"/>
        <w:rPr>
          <w:rFonts w:ascii="仿宋" w:hAnsi="仿宋" w:eastAsia="仿宋" w:cs="Times New Roman"/>
          <w:kern w:val="2"/>
          <w:sz w:val="32"/>
          <w:szCs w:val="32"/>
        </w:rPr>
      </w:pPr>
    </w:p>
    <w:p>
      <w:pPr>
        <w:spacing w:after="0" w:line="520" w:lineRule="exact"/>
        <w:jc w:val="both"/>
        <w:rPr>
          <w:rFonts w:ascii="仿宋" w:hAnsi="仿宋" w:eastAsia="仿宋" w:cs="Times New Roman"/>
          <w:sz w:val="32"/>
          <w:szCs w:val="32"/>
        </w:rPr>
      </w:pPr>
      <w:r>
        <w:rPr>
          <w:rFonts w:ascii="仿宋" w:hAnsi="仿宋" w:eastAsia="仿宋" w:cs="Times New Roman"/>
          <w:sz w:val="32"/>
          <w:szCs w:val="32"/>
        </w:rPr>
        <w:t>湖南</w:t>
      </w:r>
      <w:r>
        <w:rPr>
          <w:rFonts w:hint="eastAsia" w:ascii="仿宋" w:hAnsi="仿宋" w:eastAsia="仿宋" w:cs="Times New Roman"/>
          <w:sz w:val="32"/>
          <w:szCs w:val="32"/>
        </w:rPr>
        <w:t>一盏灯</w:t>
      </w:r>
      <w:r>
        <w:rPr>
          <w:rFonts w:ascii="仿宋" w:hAnsi="仿宋" w:eastAsia="仿宋" w:cs="Times New Roman"/>
          <w:sz w:val="32"/>
          <w:szCs w:val="32"/>
        </w:rPr>
        <w:t>新型材料有限公司</w:t>
      </w:r>
      <w:r>
        <w:rPr>
          <w:rFonts w:hint="eastAsia" w:ascii="仿宋" w:hAnsi="仿宋" w:eastAsia="仿宋" w:cs="Times New Roman"/>
          <w:sz w:val="32"/>
          <w:szCs w:val="32"/>
        </w:rPr>
        <w:t>：</w:t>
      </w:r>
    </w:p>
    <w:p>
      <w:pPr>
        <w:pStyle w:val="2"/>
        <w:spacing w:after="0" w:line="520" w:lineRule="exact"/>
        <w:ind w:firstLine="640" w:firstLineChars="200"/>
        <w:rPr>
          <w:rFonts w:ascii="仿宋" w:hAnsi="仿宋" w:eastAsia="仿宋"/>
          <w:sz w:val="32"/>
          <w:szCs w:val="32"/>
        </w:rPr>
      </w:pPr>
      <w:r>
        <w:rPr>
          <w:rFonts w:hint="eastAsia" w:ascii="仿宋" w:hAnsi="仿宋" w:eastAsia="仿宋"/>
          <w:kern w:val="0"/>
          <w:sz w:val="32"/>
          <w:szCs w:val="32"/>
        </w:rPr>
        <w:t>你公司呈报的《关于请求对&lt;</w:t>
      </w:r>
      <w:r>
        <w:rPr>
          <w:rFonts w:ascii="仿宋" w:hAnsi="仿宋" w:eastAsia="仿宋"/>
          <w:kern w:val="0"/>
          <w:sz w:val="32"/>
          <w:szCs w:val="32"/>
        </w:rPr>
        <w:t>湖南</w:t>
      </w:r>
      <w:r>
        <w:rPr>
          <w:rFonts w:hint="eastAsia" w:ascii="仿宋" w:hAnsi="仿宋" w:eastAsia="仿宋"/>
          <w:kern w:val="0"/>
          <w:sz w:val="32"/>
          <w:szCs w:val="32"/>
        </w:rPr>
        <w:t>一盏灯</w:t>
      </w:r>
      <w:r>
        <w:rPr>
          <w:rFonts w:ascii="仿宋" w:hAnsi="仿宋" w:eastAsia="仿宋"/>
          <w:kern w:val="0"/>
          <w:sz w:val="32"/>
          <w:szCs w:val="32"/>
        </w:rPr>
        <w:t>新型材料有限公司</w:t>
      </w:r>
      <w:r>
        <w:rPr>
          <w:rFonts w:hint="eastAsia" w:ascii="仿宋" w:hAnsi="仿宋" w:eastAsia="仿宋"/>
          <w:kern w:val="0"/>
          <w:sz w:val="32"/>
          <w:szCs w:val="32"/>
        </w:rPr>
        <w:t>年产3000吨硅酮环保密封胶</w:t>
      </w:r>
      <w:r>
        <w:rPr>
          <w:rFonts w:ascii="仿宋" w:hAnsi="仿宋" w:eastAsia="仿宋"/>
          <w:kern w:val="0"/>
          <w:sz w:val="32"/>
          <w:szCs w:val="32"/>
        </w:rPr>
        <w:t>建设项目</w:t>
      </w:r>
      <w:r>
        <w:rPr>
          <w:rFonts w:hint="eastAsia" w:ascii="仿宋" w:hAnsi="仿宋" w:eastAsia="仿宋"/>
          <w:kern w:val="0"/>
          <w:sz w:val="32"/>
          <w:szCs w:val="32"/>
        </w:rPr>
        <w:t>环</w:t>
      </w:r>
      <w:r>
        <w:rPr>
          <w:rFonts w:hint="eastAsia" w:ascii="仿宋" w:hAnsi="仿宋" w:eastAsia="仿宋"/>
          <w:sz w:val="32"/>
          <w:szCs w:val="32"/>
        </w:rPr>
        <w:t>境影响报告表&gt;进行审批的报告》、益阳市生态环境局南县分局的预审意见及相关材料收悉。经审查、研究，批复如下：</w:t>
      </w:r>
    </w:p>
    <w:p>
      <w:pPr>
        <w:spacing w:after="0" w:line="520" w:lineRule="exact"/>
        <w:ind w:firstLine="629"/>
        <w:jc w:val="both"/>
        <w:rPr>
          <w:rFonts w:ascii="仿宋" w:hAnsi="仿宋" w:eastAsia="仿宋" w:cs="Times New Roman"/>
          <w:kern w:val="2"/>
          <w:sz w:val="32"/>
          <w:szCs w:val="32"/>
        </w:rPr>
      </w:pPr>
      <w:r>
        <w:rPr>
          <w:rFonts w:hint="eastAsia" w:ascii="仿宋" w:hAnsi="仿宋" w:eastAsia="仿宋"/>
          <w:b/>
          <w:bCs/>
          <w:sz w:val="32"/>
          <w:szCs w:val="32"/>
        </w:rPr>
        <w:t>一</w:t>
      </w:r>
      <w:r>
        <w:rPr>
          <w:rFonts w:hint="eastAsia" w:ascii="仿宋" w:hAnsi="仿宋" w:eastAsia="仿宋"/>
          <w:bCs/>
          <w:sz w:val="32"/>
          <w:szCs w:val="32"/>
        </w:rPr>
        <w:t>、</w:t>
      </w:r>
      <w:r>
        <w:rPr>
          <w:rFonts w:ascii="仿宋" w:hAnsi="仿宋" w:eastAsia="仿宋"/>
          <w:sz w:val="32"/>
          <w:szCs w:val="32"/>
        </w:rPr>
        <w:t>湖南</w:t>
      </w:r>
      <w:r>
        <w:rPr>
          <w:rFonts w:hint="eastAsia" w:ascii="仿宋" w:hAnsi="仿宋" w:eastAsia="仿宋"/>
          <w:sz w:val="32"/>
          <w:szCs w:val="32"/>
        </w:rPr>
        <w:t>一盏灯</w:t>
      </w:r>
      <w:r>
        <w:rPr>
          <w:rFonts w:ascii="仿宋" w:hAnsi="仿宋" w:eastAsia="仿宋"/>
          <w:sz w:val="32"/>
          <w:szCs w:val="32"/>
        </w:rPr>
        <w:t>新型材料有限公司</w:t>
      </w:r>
      <w:r>
        <w:rPr>
          <w:rFonts w:hint="eastAsia" w:ascii="仿宋" w:hAnsi="仿宋" w:eastAsia="仿宋"/>
          <w:sz w:val="32"/>
          <w:szCs w:val="32"/>
        </w:rPr>
        <w:t>拟投资3000万元在</w:t>
      </w:r>
      <w:r>
        <w:rPr>
          <w:rFonts w:ascii="仿宋" w:hAnsi="仿宋" w:eastAsia="仿宋" w:cs="Times New Roman"/>
          <w:sz w:val="32"/>
          <w:szCs w:val="32"/>
        </w:rPr>
        <w:t>南县经济开发区</w:t>
      </w:r>
      <w:r>
        <w:rPr>
          <w:rFonts w:hint="eastAsia" w:ascii="仿宋" w:hAnsi="仿宋" w:eastAsia="仿宋" w:cs="Times New Roman"/>
          <w:sz w:val="32"/>
          <w:szCs w:val="32"/>
        </w:rPr>
        <w:t>子</w:t>
      </w:r>
      <w:r>
        <w:rPr>
          <w:rFonts w:ascii="仿宋" w:hAnsi="仿宋" w:eastAsia="仿宋" w:cs="Times New Roman"/>
          <w:sz w:val="32"/>
          <w:szCs w:val="32"/>
        </w:rPr>
        <w:t>美路征地</w:t>
      </w:r>
      <w:r>
        <w:rPr>
          <w:rFonts w:hint="eastAsia" w:ascii="仿宋" w:hAnsi="仿宋" w:eastAsia="仿宋" w:cs="Times New Roman"/>
          <w:sz w:val="32"/>
          <w:szCs w:val="32"/>
        </w:rPr>
        <w:t>20亩，建设</w:t>
      </w:r>
      <w:r>
        <w:rPr>
          <w:rFonts w:hint="eastAsia" w:ascii="仿宋" w:hAnsi="仿宋" w:eastAsia="仿宋"/>
          <w:sz w:val="32"/>
          <w:szCs w:val="32"/>
        </w:rPr>
        <w:t>年产3000吨硅酮环保密封胶</w:t>
      </w:r>
      <w:r>
        <w:rPr>
          <w:rFonts w:ascii="仿宋" w:hAnsi="仿宋" w:eastAsia="仿宋" w:cs="Times New Roman"/>
          <w:kern w:val="2"/>
          <w:sz w:val="32"/>
          <w:szCs w:val="32"/>
        </w:rPr>
        <w:t>项</w:t>
      </w:r>
      <w:r>
        <w:rPr>
          <w:rFonts w:hint="eastAsia" w:ascii="仿宋" w:hAnsi="仿宋" w:eastAsia="仿宋"/>
          <w:sz w:val="32"/>
          <w:szCs w:val="32"/>
        </w:rPr>
        <w:t>目。主要建设内容包括新建一栋建筑面积6000m</w:t>
      </w:r>
      <w:r>
        <w:rPr>
          <w:rFonts w:hint="eastAsia" w:ascii="仿宋" w:hAnsi="仿宋" w:eastAsia="仿宋"/>
          <w:sz w:val="32"/>
          <w:szCs w:val="32"/>
          <w:vertAlign w:val="superscript"/>
        </w:rPr>
        <w:t>2</w:t>
      </w:r>
      <w:r>
        <w:rPr>
          <w:rFonts w:hint="eastAsia" w:ascii="仿宋" w:hAnsi="仿宋" w:eastAsia="仿宋"/>
          <w:sz w:val="32"/>
          <w:szCs w:val="32"/>
        </w:rPr>
        <w:t>生产厂房，分别布局捏合机、分散机、压料机、烘干、包装等工序区域，</w:t>
      </w:r>
      <w:r>
        <w:rPr>
          <w:rFonts w:hint="eastAsia" w:ascii="仿宋" w:hAnsi="仿宋" w:eastAsia="仿宋" w:cs="Times New Roman"/>
          <w:kern w:val="2"/>
          <w:sz w:val="32"/>
          <w:szCs w:val="32"/>
        </w:rPr>
        <w:t>配套建设</w:t>
      </w:r>
      <w:r>
        <w:rPr>
          <w:rFonts w:hint="eastAsia" w:ascii="仿宋" w:hAnsi="仿宋" w:eastAsia="仿宋"/>
          <w:sz w:val="32"/>
          <w:szCs w:val="32"/>
        </w:rPr>
        <w:t>办公生活楼、公用工程用房、</w:t>
      </w:r>
      <w:r>
        <w:rPr>
          <w:rFonts w:hint="eastAsia" w:ascii="仿宋" w:hAnsi="仿宋" w:eastAsia="仿宋" w:cs="Times New Roman"/>
          <w:kern w:val="2"/>
          <w:sz w:val="32"/>
          <w:szCs w:val="32"/>
        </w:rPr>
        <w:t>给排水、供配电、储运、环保等相关公用辅助工程。</w:t>
      </w:r>
    </w:p>
    <w:p>
      <w:pPr>
        <w:spacing w:after="0" w:line="520" w:lineRule="exact"/>
        <w:ind w:firstLine="629"/>
        <w:jc w:val="both"/>
        <w:rPr>
          <w:rFonts w:ascii="仿宋" w:hAnsi="仿宋" w:eastAsia="仿宋" w:cs="Times New Roman"/>
          <w:kern w:val="2"/>
          <w:sz w:val="32"/>
          <w:szCs w:val="32"/>
        </w:rPr>
      </w:pPr>
      <w:r>
        <w:rPr>
          <w:rFonts w:hint="eastAsia" w:ascii="仿宋" w:hAnsi="仿宋" w:eastAsia="仿宋" w:cs="Times New Roman"/>
          <w:kern w:val="2"/>
          <w:sz w:val="32"/>
          <w:szCs w:val="32"/>
        </w:rPr>
        <w:t>项目符合国家产业政策和南县</w:t>
      </w:r>
      <w:r>
        <w:rPr>
          <w:rFonts w:ascii="仿宋" w:hAnsi="仿宋" w:eastAsia="仿宋" w:cs="Times New Roman"/>
          <w:kern w:val="2"/>
          <w:sz w:val="32"/>
          <w:szCs w:val="32"/>
        </w:rPr>
        <w:t>经开区</w:t>
      </w:r>
      <w:r>
        <w:rPr>
          <w:rFonts w:hint="eastAsia" w:ascii="仿宋" w:hAnsi="仿宋" w:eastAsia="仿宋" w:cs="Times New Roman"/>
          <w:kern w:val="2"/>
          <w:sz w:val="32"/>
          <w:szCs w:val="32"/>
        </w:rPr>
        <w:t>相关规划要求，根据湖南沐程生态环境工程有限公司编制的环评报告表分析结论和</w:t>
      </w:r>
      <w:r>
        <w:rPr>
          <w:rFonts w:hint="eastAsia" w:ascii="仿宋" w:hAnsi="仿宋" w:eastAsia="仿宋"/>
          <w:sz w:val="32"/>
          <w:szCs w:val="32"/>
        </w:rPr>
        <w:t>益阳市生态环境局南县分局</w:t>
      </w:r>
      <w:r>
        <w:rPr>
          <w:rFonts w:hint="eastAsia" w:ascii="仿宋" w:hAnsi="仿宋" w:eastAsia="仿宋" w:cs="Times New Roman"/>
          <w:kern w:val="2"/>
          <w:sz w:val="32"/>
          <w:szCs w:val="32"/>
        </w:rPr>
        <w:t>的预审意见，在建设单位认真落实报告表和本批复提出的各项生态环境保护措施，确保各项污染物稳定达标排放的前提下，我局原则同意</w:t>
      </w:r>
      <w:r>
        <w:rPr>
          <w:rFonts w:ascii="仿宋" w:hAnsi="仿宋" w:eastAsia="仿宋"/>
          <w:sz w:val="32"/>
          <w:szCs w:val="32"/>
        </w:rPr>
        <w:t>湖南</w:t>
      </w:r>
      <w:r>
        <w:rPr>
          <w:rFonts w:hint="eastAsia" w:ascii="仿宋" w:hAnsi="仿宋" w:eastAsia="仿宋"/>
          <w:sz w:val="32"/>
          <w:szCs w:val="32"/>
        </w:rPr>
        <w:t>一盏灯</w:t>
      </w:r>
      <w:r>
        <w:rPr>
          <w:rFonts w:ascii="仿宋" w:hAnsi="仿宋" w:eastAsia="仿宋"/>
          <w:sz w:val="32"/>
          <w:szCs w:val="32"/>
        </w:rPr>
        <w:t>新型材料有限公司</w:t>
      </w:r>
      <w:r>
        <w:rPr>
          <w:rFonts w:hint="eastAsia" w:ascii="仿宋" w:hAnsi="仿宋" w:eastAsia="仿宋"/>
          <w:sz w:val="32"/>
          <w:szCs w:val="32"/>
        </w:rPr>
        <w:t>年产3000吨硅酮环保密封胶</w:t>
      </w:r>
      <w:r>
        <w:rPr>
          <w:rFonts w:ascii="仿宋" w:hAnsi="仿宋" w:eastAsia="仿宋"/>
          <w:sz w:val="32"/>
          <w:szCs w:val="32"/>
        </w:rPr>
        <w:t>建设项目</w:t>
      </w:r>
      <w:r>
        <w:rPr>
          <w:rFonts w:hint="eastAsia" w:ascii="仿宋" w:hAnsi="仿宋" w:eastAsia="仿宋" w:cs="Times New Roman"/>
          <w:kern w:val="2"/>
          <w:sz w:val="32"/>
          <w:szCs w:val="32"/>
        </w:rPr>
        <w:t>的选址并建设。</w:t>
      </w:r>
    </w:p>
    <w:p>
      <w:pPr>
        <w:spacing w:after="0" w:line="520" w:lineRule="exact"/>
        <w:ind w:firstLine="629"/>
        <w:jc w:val="both"/>
        <w:rPr>
          <w:rFonts w:ascii="仿宋" w:hAnsi="仿宋" w:eastAsia="仿宋" w:cs="Times New Roman"/>
          <w:kern w:val="2"/>
          <w:sz w:val="32"/>
          <w:szCs w:val="32"/>
        </w:rPr>
      </w:pPr>
      <w:r>
        <w:rPr>
          <w:rFonts w:hint="eastAsia" w:ascii="仿宋" w:hAnsi="仿宋" w:eastAsia="仿宋" w:cs="Times New Roman"/>
          <w:kern w:val="2"/>
          <w:sz w:val="32"/>
          <w:szCs w:val="32"/>
        </w:rPr>
        <w:t>二、你公司在工程设计、建设和运营管理中，必须切实落实环评提出的各项污染防治和风险防范措施要求，着重做好以下工作：</w:t>
      </w:r>
    </w:p>
    <w:p>
      <w:pPr>
        <w:spacing w:after="0" w:line="520" w:lineRule="exact"/>
        <w:ind w:firstLine="629"/>
        <w:jc w:val="both"/>
        <w:rPr>
          <w:rFonts w:ascii="仿宋" w:hAnsi="仿宋" w:eastAsia="仿宋" w:cs="Times New Roman"/>
          <w:kern w:val="2"/>
          <w:sz w:val="32"/>
          <w:szCs w:val="32"/>
        </w:rPr>
      </w:pPr>
      <w:r>
        <w:rPr>
          <w:rFonts w:hint="eastAsia" w:ascii="仿宋" w:hAnsi="仿宋" w:eastAsia="仿宋" w:cs="Times New Roman"/>
          <w:kern w:val="2"/>
          <w:sz w:val="32"/>
          <w:szCs w:val="32"/>
        </w:rPr>
        <w:t>（一）</w:t>
      </w:r>
      <w:r>
        <w:rPr>
          <w:rFonts w:hint="eastAsia" w:ascii="仿宋" w:hAnsi="仿宋" w:eastAsia="仿宋"/>
          <w:sz w:val="32"/>
          <w:szCs w:val="32"/>
        </w:rPr>
        <w:t>严格履行建设单位的环保主体责任，加强环境管理。建立环保规章制度和岗位责任制，配备专职或兼职环保管理人员，定期对污染处理设施进行检查和维修，确保环保设施稳定正常运行和污染物的稳定达标排放。制定环境风险事故应急预案，落实事故风险防范措施，切实防范各类环境风险事故。</w:t>
      </w:r>
    </w:p>
    <w:p>
      <w:pPr>
        <w:spacing w:after="0" w:line="520" w:lineRule="exact"/>
        <w:ind w:firstLine="629"/>
        <w:jc w:val="both"/>
        <w:rPr>
          <w:rFonts w:ascii="仿宋" w:hAnsi="仿宋" w:eastAsia="仿宋" w:cs="Times New Roman"/>
          <w:kern w:val="2"/>
          <w:sz w:val="32"/>
          <w:szCs w:val="32"/>
        </w:rPr>
      </w:pPr>
      <w:r>
        <w:rPr>
          <w:rFonts w:hint="eastAsia" w:ascii="仿宋" w:hAnsi="仿宋" w:eastAsia="仿宋" w:cs="Times New Roman"/>
          <w:kern w:val="2"/>
          <w:sz w:val="32"/>
          <w:szCs w:val="32"/>
        </w:rPr>
        <w:t>（二）加强施工期的环境管理。对施工场地采取围挡、洒水降尘等措施，采用密闭车辆运输渣土物料，减轻施工及运输扬尘污染影响；妥善处置建筑弃渣和施工垃圾，施工废水必须集中进行处理后方可外排；选用低噪声施工设备，合理安排工期，控制夜间作业时段，防止施工噪声扰民；加强水土流失防治措施，防止水土流失。</w:t>
      </w:r>
    </w:p>
    <w:p>
      <w:pPr>
        <w:spacing w:after="0" w:line="520" w:lineRule="exact"/>
        <w:ind w:firstLine="629"/>
        <w:jc w:val="both"/>
        <w:rPr>
          <w:rFonts w:ascii="仿宋" w:hAnsi="仿宋" w:eastAsia="仿宋"/>
          <w:sz w:val="32"/>
          <w:szCs w:val="32"/>
        </w:rPr>
      </w:pPr>
      <w:r>
        <w:rPr>
          <w:rFonts w:hint="eastAsia" w:ascii="仿宋" w:hAnsi="仿宋" w:eastAsia="仿宋" w:cs="Times New Roman"/>
          <w:kern w:val="2"/>
          <w:sz w:val="32"/>
          <w:szCs w:val="32"/>
        </w:rPr>
        <w:t>（三）落实废气污染防治措施。本项目进料工序产生的粉尘须采取“集气罩收集+布袋除尘器”</w:t>
      </w:r>
      <w:r>
        <w:rPr>
          <w:rFonts w:hint="eastAsia" w:ascii="仿宋" w:hAnsi="仿宋" w:eastAsia="仿宋"/>
          <w:sz w:val="32"/>
          <w:szCs w:val="32"/>
        </w:rPr>
        <w:t>处理，满足《大气污染物综合排放标准》（GB16297-1996）中表2的排放限值要求后，通过15米高排气筒有组织排放；</w:t>
      </w:r>
      <w:r>
        <w:rPr>
          <w:rFonts w:hint="eastAsia" w:ascii="仿宋" w:hAnsi="仿宋" w:eastAsia="仿宋" w:cs="Times New Roman"/>
          <w:kern w:val="2"/>
          <w:sz w:val="32"/>
          <w:szCs w:val="32"/>
        </w:rPr>
        <w:t>制胶工序采取真空环境下完成，废气经真空泵排空，须满足《涂料、油墨及胶粘剂工业大气污染物排放标准》（GB37824-2019）</w:t>
      </w:r>
      <w:r>
        <w:rPr>
          <w:rFonts w:ascii="仿宋" w:hAnsi="仿宋" w:eastAsia="仿宋" w:cs="Times New Roman"/>
          <w:kern w:val="2"/>
          <w:sz w:val="32"/>
          <w:szCs w:val="32"/>
        </w:rPr>
        <w:t>要求</w:t>
      </w:r>
      <w:r>
        <w:rPr>
          <w:rFonts w:hint="eastAsia" w:ascii="仿宋" w:hAnsi="仿宋" w:eastAsia="仿宋" w:cs="Times New Roman"/>
          <w:kern w:val="2"/>
          <w:sz w:val="32"/>
          <w:szCs w:val="32"/>
        </w:rPr>
        <w:t>；加强废气有效收集处理的管理，减少废气无组织排放，无组织外排废气的须满足《挥发性有机物无组织排放控制标准》（GB37822-2019）的相关要求</w:t>
      </w:r>
      <w:r>
        <w:rPr>
          <w:rFonts w:ascii="仿宋" w:hAnsi="仿宋" w:eastAsia="仿宋" w:cs="Times New Roman"/>
          <w:kern w:val="2"/>
          <w:sz w:val="32"/>
          <w:szCs w:val="32"/>
        </w:rPr>
        <w:t>。</w:t>
      </w:r>
    </w:p>
    <w:p>
      <w:pPr>
        <w:spacing w:after="0" w:line="520" w:lineRule="exact"/>
        <w:ind w:firstLine="629"/>
        <w:jc w:val="both"/>
        <w:rPr>
          <w:rFonts w:ascii="仿宋" w:hAnsi="仿宋" w:eastAsia="仿宋"/>
          <w:sz w:val="32"/>
          <w:szCs w:val="32"/>
        </w:rPr>
      </w:pPr>
      <w:r>
        <w:rPr>
          <w:rFonts w:hint="eastAsia" w:ascii="仿宋" w:hAnsi="仿宋" w:eastAsia="仿宋" w:cs="Times New Roman"/>
          <w:kern w:val="2"/>
          <w:sz w:val="32"/>
          <w:szCs w:val="32"/>
        </w:rPr>
        <w:t>（四）落实废水污染防治措施。本项目生产过程中的冷却水循环使用不外排；生活污水经化粪池处理，满足《污水综合排放标准》（GB8978-1996）中表4的三级标准要求后排入园区污水管网进入南县第二污水处理厂深度处理。</w:t>
      </w:r>
    </w:p>
    <w:p>
      <w:pPr>
        <w:spacing w:after="0" w:line="520" w:lineRule="exact"/>
        <w:ind w:left="110" w:leftChars="50" w:firstLine="640" w:firstLineChars="200"/>
        <w:jc w:val="both"/>
        <w:rPr>
          <w:rFonts w:ascii="仿宋" w:hAnsi="仿宋" w:eastAsia="仿宋"/>
          <w:sz w:val="32"/>
          <w:szCs w:val="32"/>
        </w:rPr>
      </w:pPr>
      <w:r>
        <w:rPr>
          <w:rFonts w:hint="eastAsia" w:ascii="仿宋" w:hAnsi="仿宋" w:eastAsia="仿宋" w:cs="Times New Roman"/>
          <w:kern w:val="2"/>
          <w:sz w:val="32"/>
          <w:szCs w:val="32"/>
        </w:rPr>
        <w:t>（五）落实固体废物污染防治措施。项目须按照《危险废物贮存污染控制标准》(GB18597－2001)及其修改单要求、《一般工业固体废物贮存、处置场污染控制标准》（GB 18599-2001）及其修改单要求分别设置危废暂存库和一般固废暂存场所，废白油等</w:t>
      </w:r>
      <w:r>
        <w:rPr>
          <w:rFonts w:hint="eastAsia" w:ascii="仿宋" w:hAnsi="仿宋" w:eastAsia="仿宋"/>
          <w:sz w:val="32"/>
          <w:szCs w:val="32"/>
        </w:rPr>
        <w:t>危险废物委托有</w:t>
      </w:r>
      <w:bookmarkStart w:id="0" w:name="_GoBack"/>
      <w:bookmarkEnd w:id="0"/>
      <w:r>
        <w:rPr>
          <w:rFonts w:hint="eastAsia" w:ascii="仿宋" w:hAnsi="仿宋" w:eastAsia="仿宋"/>
          <w:sz w:val="32"/>
          <w:szCs w:val="32"/>
        </w:rPr>
        <w:t>危废处置资质的单位进行安全处置；废边包装材料等一般固废外售综合利用；废胶弹性体和</w:t>
      </w:r>
      <w:r>
        <w:rPr>
          <w:rFonts w:hint="eastAsia" w:ascii="仿宋" w:hAnsi="仿宋" w:eastAsia="仿宋" w:cs="Times New Roman"/>
          <w:kern w:val="2"/>
          <w:sz w:val="32"/>
          <w:szCs w:val="32"/>
        </w:rPr>
        <w:t>生活垃圾交由</w:t>
      </w:r>
      <w:r>
        <w:rPr>
          <w:rFonts w:hint="eastAsia" w:ascii="仿宋" w:hAnsi="仿宋" w:eastAsia="仿宋"/>
          <w:sz w:val="32"/>
          <w:szCs w:val="32"/>
        </w:rPr>
        <w:t>当地环卫部门处理。</w:t>
      </w:r>
    </w:p>
    <w:p>
      <w:pPr>
        <w:spacing w:after="0" w:line="520" w:lineRule="exact"/>
        <w:ind w:left="110" w:leftChars="50" w:firstLine="640" w:firstLineChars="200"/>
        <w:jc w:val="both"/>
        <w:rPr>
          <w:rFonts w:ascii="仿宋" w:hAnsi="仿宋" w:eastAsia="仿宋"/>
          <w:sz w:val="32"/>
          <w:szCs w:val="32"/>
        </w:rPr>
      </w:pPr>
      <w:r>
        <w:rPr>
          <w:rFonts w:hint="eastAsia" w:ascii="仿宋" w:hAnsi="仿宋" w:eastAsia="仿宋"/>
          <w:sz w:val="32"/>
          <w:szCs w:val="32"/>
        </w:rPr>
        <w:t>（六）落实噪声污染防治措施。对各类高噪声设备采取合理布局、减振隔声降噪等措施，确保厂界噪声符合《工业企业厂界环境噪声排放标准》（GB12348—2008）中3类区标准要求。</w:t>
      </w:r>
    </w:p>
    <w:p>
      <w:pPr>
        <w:spacing w:after="0" w:line="520" w:lineRule="exact"/>
        <w:ind w:firstLine="800" w:firstLineChars="250"/>
        <w:jc w:val="both"/>
        <w:rPr>
          <w:rFonts w:ascii="仿宋" w:hAnsi="仿宋" w:eastAsia="仿宋" w:cs="宋体"/>
          <w:spacing w:val="8"/>
          <w:sz w:val="32"/>
          <w:szCs w:val="32"/>
        </w:rPr>
      </w:pPr>
      <w:r>
        <w:rPr>
          <w:rFonts w:hint="eastAsia" w:ascii="仿宋" w:hAnsi="仿宋" w:eastAsia="仿宋"/>
          <w:sz w:val="32"/>
          <w:szCs w:val="32"/>
        </w:rPr>
        <w:t>(七)本项目污染物总量控制指标为：VOCs ≤</w:t>
      </w:r>
      <w:r>
        <w:rPr>
          <w:rFonts w:hint="eastAsia" w:ascii="仿宋" w:hAnsi="仿宋" w:eastAsia="仿宋"/>
          <w:sz w:val="32"/>
          <w:szCs w:val="32"/>
          <w:lang w:val="de-DE"/>
        </w:rPr>
        <w:t>0.152</w:t>
      </w:r>
      <w:r>
        <w:rPr>
          <w:rFonts w:hint="eastAsia" w:ascii="仿宋" w:hAnsi="仿宋" w:eastAsia="仿宋"/>
          <w:sz w:val="32"/>
          <w:szCs w:val="32"/>
        </w:rPr>
        <w:t>t/a，指标纳入南县总量控制管理。</w:t>
      </w:r>
    </w:p>
    <w:p>
      <w:pPr>
        <w:spacing w:after="0" w:line="520" w:lineRule="exact"/>
        <w:ind w:firstLine="640" w:firstLineChars="200"/>
        <w:jc w:val="both"/>
        <w:rPr>
          <w:rFonts w:ascii="仿宋" w:hAnsi="仿宋" w:eastAsia="仿宋"/>
          <w:sz w:val="32"/>
          <w:szCs w:val="32"/>
        </w:rPr>
      </w:pPr>
      <w:r>
        <w:rPr>
          <w:rFonts w:hint="eastAsia" w:ascii="仿宋" w:hAnsi="仿宋" w:eastAsia="仿宋"/>
          <w:sz w:val="32"/>
          <w:szCs w:val="32"/>
          <w:lang w:val="en-GB"/>
        </w:rPr>
        <w:t>三、</w:t>
      </w:r>
      <w:r>
        <w:rPr>
          <w:rFonts w:hint="eastAsia" w:ascii="仿宋" w:hAnsi="仿宋" w:eastAsia="仿宋"/>
          <w:spacing w:val="8"/>
          <w:sz w:val="32"/>
          <w:szCs w:val="32"/>
          <w:lang w:val="en-GB"/>
        </w:rPr>
        <w:t>项目批复后，</w:t>
      </w:r>
      <w:r>
        <w:rPr>
          <w:rFonts w:hint="eastAsia" w:ascii="仿宋" w:hAnsi="仿宋" w:eastAsia="仿宋"/>
          <w:sz w:val="32"/>
          <w:szCs w:val="32"/>
        </w:rPr>
        <w:t>须按照《固定污染源排污许可分类管理名录》(2019年版) 和《排污许可管理办法（试行）》（环保部令第48号）的要求及时办理排污许可相关手续。同时，</w:t>
      </w:r>
      <w:r>
        <w:rPr>
          <w:rFonts w:hint="eastAsia" w:ascii="仿宋" w:hAnsi="仿宋" w:eastAsia="仿宋"/>
          <w:sz w:val="32"/>
          <w:szCs w:val="32"/>
          <w:lang w:val="en-GB"/>
        </w:rPr>
        <w:t>按</w:t>
      </w:r>
      <w:r>
        <w:rPr>
          <w:rFonts w:hint="eastAsia" w:ascii="仿宋" w:hAnsi="仿宋" w:eastAsia="仿宋"/>
          <w:sz w:val="32"/>
          <w:szCs w:val="32"/>
        </w:rPr>
        <w:t>《建设项目环境保护管理条例》</w:t>
      </w:r>
      <w:r>
        <w:rPr>
          <w:rFonts w:hint="eastAsia" w:ascii="仿宋" w:hAnsi="仿宋" w:eastAsia="仿宋"/>
          <w:sz w:val="32"/>
          <w:szCs w:val="32"/>
          <w:lang w:val="en-GB"/>
        </w:rPr>
        <w:t>的有关规定，及时办理项目竣工环保验收手续，</w:t>
      </w:r>
      <w:r>
        <w:rPr>
          <w:rFonts w:hint="eastAsia" w:ascii="仿宋" w:hAnsi="仿宋" w:eastAsia="仿宋"/>
          <w:bCs/>
          <w:sz w:val="32"/>
          <w:szCs w:val="32"/>
        </w:rPr>
        <w:t>益阳市生态环境局南县分局</w:t>
      </w:r>
      <w:r>
        <w:rPr>
          <w:rFonts w:hint="eastAsia" w:ascii="仿宋" w:hAnsi="仿宋" w:eastAsia="仿宋"/>
          <w:sz w:val="32"/>
          <w:szCs w:val="32"/>
        </w:rPr>
        <w:t>负责项目的日常环境管理。</w:t>
      </w:r>
    </w:p>
    <w:p>
      <w:pPr>
        <w:spacing w:after="0" w:line="520" w:lineRule="exact"/>
        <w:ind w:firstLine="640" w:firstLineChars="200"/>
        <w:jc w:val="both"/>
        <w:rPr>
          <w:rFonts w:ascii="仿宋" w:hAnsi="仿宋" w:eastAsia="仿宋"/>
          <w:sz w:val="32"/>
          <w:szCs w:val="32"/>
          <w:lang w:val="en-GB"/>
        </w:rPr>
      </w:pPr>
      <w:r>
        <w:rPr>
          <w:rFonts w:hint="eastAsia" w:ascii="仿宋" w:hAnsi="仿宋" w:eastAsia="仿宋"/>
          <w:sz w:val="32"/>
          <w:szCs w:val="32"/>
        </w:rPr>
        <w:t>四、你公司须</w:t>
      </w:r>
      <w:r>
        <w:rPr>
          <w:rFonts w:hint="eastAsia" w:ascii="仿宋" w:hAnsi="仿宋" w:eastAsia="仿宋"/>
          <w:sz w:val="32"/>
          <w:szCs w:val="32"/>
          <w:lang w:val="en-GB"/>
        </w:rPr>
        <w:t>在收到本批复后 15 个工作日内，将本批复及项目环评报告表送</w:t>
      </w:r>
      <w:r>
        <w:rPr>
          <w:rFonts w:hint="eastAsia" w:ascii="仿宋" w:hAnsi="仿宋" w:eastAsia="仿宋"/>
          <w:bCs/>
          <w:sz w:val="32"/>
          <w:szCs w:val="32"/>
        </w:rPr>
        <w:t>益阳市生态环境局南县分局</w:t>
      </w:r>
      <w:r>
        <w:rPr>
          <w:rFonts w:hint="eastAsia" w:ascii="仿宋" w:hAnsi="仿宋" w:eastAsia="仿宋"/>
          <w:sz w:val="32"/>
          <w:szCs w:val="32"/>
          <w:lang w:val="en-GB"/>
        </w:rPr>
        <w:t>。</w:t>
      </w:r>
    </w:p>
    <w:p>
      <w:pPr>
        <w:spacing w:after="0" w:line="520" w:lineRule="exact"/>
        <w:ind w:left="180" w:firstLine="320" w:firstLineChars="100"/>
        <w:rPr>
          <w:rFonts w:ascii="仿宋" w:hAnsi="仿宋" w:eastAsia="仿宋"/>
          <w:sz w:val="32"/>
          <w:szCs w:val="32"/>
        </w:rPr>
      </w:pPr>
    </w:p>
    <w:p>
      <w:pPr>
        <w:spacing w:after="0" w:line="520" w:lineRule="exact"/>
        <w:ind w:firstLine="5760" w:firstLineChars="1800"/>
        <w:rPr>
          <w:rFonts w:ascii="仿宋" w:hAnsi="仿宋" w:eastAsia="仿宋"/>
          <w:sz w:val="32"/>
          <w:szCs w:val="32"/>
        </w:rPr>
      </w:pPr>
    </w:p>
    <w:p>
      <w:pPr>
        <w:spacing w:after="0" w:line="520" w:lineRule="exact"/>
        <w:ind w:firstLine="5760" w:firstLineChars="1800"/>
        <w:rPr>
          <w:rFonts w:ascii="仿宋" w:hAnsi="仿宋" w:eastAsia="仿宋"/>
          <w:sz w:val="32"/>
          <w:szCs w:val="32"/>
        </w:rPr>
      </w:pPr>
    </w:p>
    <w:p>
      <w:pPr>
        <w:spacing w:after="0" w:line="520" w:lineRule="exact"/>
        <w:rPr>
          <w:rFonts w:ascii="仿宋" w:hAnsi="仿宋" w:eastAsia="仿宋"/>
          <w:sz w:val="32"/>
          <w:szCs w:val="32"/>
        </w:rPr>
      </w:pPr>
    </w:p>
    <w:p>
      <w:pPr>
        <w:spacing w:after="0" w:line="520" w:lineRule="exact"/>
        <w:ind w:firstLine="5600" w:firstLineChars="1750"/>
        <w:rPr>
          <w:rFonts w:ascii="仿宋" w:hAnsi="仿宋" w:eastAsia="仿宋"/>
          <w:sz w:val="32"/>
          <w:szCs w:val="32"/>
        </w:rPr>
      </w:pPr>
      <w:r>
        <w:rPr>
          <w:rFonts w:hint="eastAsia" w:ascii="仿宋" w:hAnsi="仿宋" w:eastAsia="仿宋"/>
          <w:sz w:val="32"/>
          <w:szCs w:val="32"/>
        </w:rPr>
        <w:t>益阳市生态环境局</w:t>
      </w:r>
    </w:p>
    <w:p>
      <w:pPr>
        <w:spacing w:after="0" w:line="520" w:lineRule="exact"/>
        <w:ind w:firstLine="5600" w:firstLineChars="1750"/>
        <w:rPr>
          <w:rFonts w:ascii="仿宋" w:hAnsi="仿宋" w:eastAsia="仿宋"/>
          <w:sz w:val="32"/>
          <w:szCs w:val="32"/>
        </w:rPr>
      </w:pPr>
      <w:r>
        <w:rPr>
          <w:rFonts w:hint="eastAsia" w:ascii="仿宋" w:hAnsi="仿宋" w:eastAsia="仿宋"/>
          <w:sz w:val="32"/>
          <w:szCs w:val="32"/>
        </w:rPr>
        <w:t>2020年10月30日</w:t>
      </w:r>
    </w:p>
    <w:sectPr>
      <w:pgSz w:w="11906" w:h="16838"/>
      <w:pgMar w:top="1440" w:right="1800" w:bottom="1440" w:left="1800" w:header="708" w:footer="708" w:gutter="0"/>
      <w:cols w:space="708"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720"/>
  <w:characterSpacingControl w:val="doNotCompress"/>
  <w:compat>
    <w:useFELayout/>
    <w:compatSetting w:name="compatibilityMode" w:uri="http://schemas.microsoft.com/office/word" w:val="12"/>
  </w:compat>
  <w:rsids>
    <w:rsidRoot w:val="00D31D50"/>
    <w:rsid w:val="00015A18"/>
    <w:rsid w:val="00050115"/>
    <w:rsid w:val="000616FC"/>
    <w:rsid w:val="00091E16"/>
    <w:rsid w:val="000E184A"/>
    <w:rsid w:val="001150B7"/>
    <w:rsid w:val="001203BD"/>
    <w:rsid w:val="00165A65"/>
    <w:rsid w:val="001905BE"/>
    <w:rsid w:val="00192A8F"/>
    <w:rsid w:val="001938C0"/>
    <w:rsid w:val="001C229A"/>
    <w:rsid w:val="001F0911"/>
    <w:rsid w:val="002046A9"/>
    <w:rsid w:val="00206F0D"/>
    <w:rsid w:val="0020795F"/>
    <w:rsid w:val="00230177"/>
    <w:rsid w:val="00254826"/>
    <w:rsid w:val="002601A4"/>
    <w:rsid w:val="0026095C"/>
    <w:rsid w:val="00262CDD"/>
    <w:rsid w:val="00293EA7"/>
    <w:rsid w:val="002B000B"/>
    <w:rsid w:val="002B31B3"/>
    <w:rsid w:val="002B4CA3"/>
    <w:rsid w:val="002C3622"/>
    <w:rsid w:val="002E3E7E"/>
    <w:rsid w:val="002F09B0"/>
    <w:rsid w:val="002F1F84"/>
    <w:rsid w:val="00305F5D"/>
    <w:rsid w:val="00322571"/>
    <w:rsid w:val="00322A46"/>
    <w:rsid w:val="00323B43"/>
    <w:rsid w:val="003423F7"/>
    <w:rsid w:val="00361B62"/>
    <w:rsid w:val="003733B4"/>
    <w:rsid w:val="003767D5"/>
    <w:rsid w:val="00396DFE"/>
    <w:rsid w:val="003B0BDE"/>
    <w:rsid w:val="003C6904"/>
    <w:rsid w:val="003D37D8"/>
    <w:rsid w:val="003E3D15"/>
    <w:rsid w:val="003E5F69"/>
    <w:rsid w:val="00415CCB"/>
    <w:rsid w:val="00417F54"/>
    <w:rsid w:val="00426133"/>
    <w:rsid w:val="004358AB"/>
    <w:rsid w:val="00465377"/>
    <w:rsid w:val="004A2D24"/>
    <w:rsid w:val="004A76D7"/>
    <w:rsid w:val="004B025E"/>
    <w:rsid w:val="004B05D6"/>
    <w:rsid w:val="0051647E"/>
    <w:rsid w:val="005413F5"/>
    <w:rsid w:val="005634D5"/>
    <w:rsid w:val="00570F71"/>
    <w:rsid w:val="0057651E"/>
    <w:rsid w:val="0059729A"/>
    <w:rsid w:val="005C1C49"/>
    <w:rsid w:val="005C20F1"/>
    <w:rsid w:val="005E71D3"/>
    <w:rsid w:val="006014D5"/>
    <w:rsid w:val="0060607B"/>
    <w:rsid w:val="00613EBA"/>
    <w:rsid w:val="00616F8A"/>
    <w:rsid w:val="0063339E"/>
    <w:rsid w:val="00646D11"/>
    <w:rsid w:val="00675ACB"/>
    <w:rsid w:val="00681A94"/>
    <w:rsid w:val="0068312D"/>
    <w:rsid w:val="006A080F"/>
    <w:rsid w:val="006A08A8"/>
    <w:rsid w:val="006A69C7"/>
    <w:rsid w:val="006B1BAB"/>
    <w:rsid w:val="006B315D"/>
    <w:rsid w:val="006C4739"/>
    <w:rsid w:val="006D5211"/>
    <w:rsid w:val="006D5AA9"/>
    <w:rsid w:val="007164C4"/>
    <w:rsid w:val="00772CEF"/>
    <w:rsid w:val="007C2ABB"/>
    <w:rsid w:val="007E5DA2"/>
    <w:rsid w:val="007E74F6"/>
    <w:rsid w:val="007E7AE9"/>
    <w:rsid w:val="00814E89"/>
    <w:rsid w:val="00836B2B"/>
    <w:rsid w:val="00841879"/>
    <w:rsid w:val="00856328"/>
    <w:rsid w:val="00873B79"/>
    <w:rsid w:val="00877117"/>
    <w:rsid w:val="00880D4E"/>
    <w:rsid w:val="00893BF0"/>
    <w:rsid w:val="008B19CD"/>
    <w:rsid w:val="008B7726"/>
    <w:rsid w:val="008C625F"/>
    <w:rsid w:val="00900658"/>
    <w:rsid w:val="00903C42"/>
    <w:rsid w:val="009610E4"/>
    <w:rsid w:val="009726B4"/>
    <w:rsid w:val="00980568"/>
    <w:rsid w:val="009868B6"/>
    <w:rsid w:val="009C0BB9"/>
    <w:rsid w:val="009E04C6"/>
    <w:rsid w:val="009E16B3"/>
    <w:rsid w:val="009F215B"/>
    <w:rsid w:val="009F6A23"/>
    <w:rsid w:val="00A06E78"/>
    <w:rsid w:val="00A176FE"/>
    <w:rsid w:val="00A2337C"/>
    <w:rsid w:val="00A35172"/>
    <w:rsid w:val="00A519DC"/>
    <w:rsid w:val="00A857A2"/>
    <w:rsid w:val="00A90648"/>
    <w:rsid w:val="00A92EF0"/>
    <w:rsid w:val="00AA11F7"/>
    <w:rsid w:val="00AA42F3"/>
    <w:rsid w:val="00AC05B8"/>
    <w:rsid w:val="00AD0322"/>
    <w:rsid w:val="00AF3865"/>
    <w:rsid w:val="00B10613"/>
    <w:rsid w:val="00B25785"/>
    <w:rsid w:val="00B361BC"/>
    <w:rsid w:val="00B4245A"/>
    <w:rsid w:val="00B61896"/>
    <w:rsid w:val="00B66203"/>
    <w:rsid w:val="00B71781"/>
    <w:rsid w:val="00B7770B"/>
    <w:rsid w:val="00B87B0E"/>
    <w:rsid w:val="00BC6DD9"/>
    <w:rsid w:val="00BD5BBC"/>
    <w:rsid w:val="00C33537"/>
    <w:rsid w:val="00C37B4E"/>
    <w:rsid w:val="00C4439C"/>
    <w:rsid w:val="00C47BCA"/>
    <w:rsid w:val="00C55EBB"/>
    <w:rsid w:val="00C6747C"/>
    <w:rsid w:val="00C77762"/>
    <w:rsid w:val="00C82197"/>
    <w:rsid w:val="00C87A72"/>
    <w:rsid w:val="00C939DC"/>
    <w:rsid w:val="00CA43D2"/>
    <w:rsid w:val="00CA7716"/>
    <w:rsid w:val="00CC6687"/>
    <w:rsid w:val="00CE5875"/>
    <w:rsid w:val="00CE713B"/>
    <w:rsid w:val="00CF3603"/>
    <w:rsid w:val="00D20B41"/>
    <w:rsid w:val="00D31D50"/>
    <w:rsid w:val="00D846B8"/>
    <w:rsid w:val="00DA1580"/>
    <w:rsid w:val="00DB6781"/>
    <w:rsid w:val="00DC6A1B"/>
    <w:rsid w:val="00DE705D"/>
    <w:rsid w:val="00E35E91"/>
    <w:rsid w:val="00E44DFD"/>
    <w:rsid w:val="00E538DC"/>
    <w:rsid w:val="00E63A55"/>
    <w:rsid w:val="00E812BB"/>
    <w:rsid w:val="00E866DC"/>
    <w:rsid w:val="00E93A45"/>
    <w:rsid w:val="00E94398"/>
    <w:rsid w:val="00E94483"/>
    <w:rsid w:val="00EA0D3D"/>
    <w:rsid w:val="00EA65BA"/>
    <w:rsid w:val="00ED08D7"/>
    <w:rsid w:val="00ED1FC4"/>
    <w:rsid w:val="00EE78C8"/>
    <w:rsid w:val="00F122A4"/>
    <w:rsid w:val="00F55890"/>
    <w:rsid w:val="00F650D2"/>
    <w:rsid w:val="00F67E09"/>
    <w:rsid w:val="00FB3F0E"/>
    <w:rsid w:val="00FD0304"/>
    <w:rsid w:val="00FD32DD"/>
    <w:rsid w:val="00FE3BCC"/>
    <w:rsid w:val="268008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0"/>
    <w:uiPriority w:val="0"/>
    <w:pPr>
      <w:widowControl w:val="0"/>
      <w:adjustRightInd/>
      <w:snapToGrid/>
      <w:spacing w:after="120"/>
      <w:jc w:val="both"/>
    </w:pPr>
    <w:rPr>
      <w:rFonts w:ascii="Times New Roman" w:hAnsi="Times New Roman" w:eastAsia="宋体" w:cs="Times New Roman"/>
      <w:kern w:val="2"/>
      <w:sz w:val="21"/>
      <w:szCs w:val="24"/>
    </w:rPr>
  </w:style>
  <w:style w:type="paragraph" w:styleId="3">
    <w:name w:val="Body Text Indent"/>
    <w:basedOn w:val="1"/>
    <w:link w:val="11"/>
    <w:qFormat/>
    <w:uiPriority w:val="0"/>
    <w:pPr>
      <w:widowControl w:val="0"/>
      <w:adjustRightInd/>
      <w:snapToGrid/>
      <w:spacing w:after="120"/>
      <w:ind w:left="200" w:leftChars="200"/>
      <w:jc w:val="both"/>
    </w:pPr>
    <w:rPr>
      <w:rFonts w:ascii="Times New Roman" w:hAnsi="Times New Roman" w:eastAsia="仿宋_GB2312" w:cs="Times New Roman"/>
      <w:kern w:val="2"/>
      <w:sz w:val="24"/>
      <w:szCs w:val="24"/>
    </w:rPr>
  </w:style>
  <w:style w:type="paragraph" w:styleId="4">
    <w:name w:val="footer"/>
    <w:basedOn w:val="1"/>
    <w:link w:val="9"/>
    <w:semiHidden/>
    <w:unhideWhenUsed/>
    <w:uiPriority w:val="99"/>
    <w:pPr>
      <w:tabs>
        <w:tab w:val="center" w:pos="4153"/>
        <w:tab w:val="right" w:pos="8306"/>
      </w:tabs>
    </w:pPr>
    <w:rPr>
      <w:sz w:val="18"/>
      <w:szCs w:val="18"/>
    </w:rPr>
  </w:style>
  <w:style w:type="paragraph" w:styleId="5">
    <w:name w:val="header"/>
    <w:basedOn w:val="1"/>
    <w:link w:val="8"/>
    <w:semiHidden/>
    <w:unhideWhenUsed/>
    <w:uiPriority w:val="99"/>
    <w:pPr>
      <w:pBdr>
        <w:bottom w:val="single" w:color="auto" w:sz="6" w:space="1"/>
      </w:pBdr>
      <w:tabs>
        <w:tab w:val="center" w:pos="4153"/>
        <w:tab w:val="right" w:pos="8306"/>
      </w:tabs>
      <w:jc w:val="center"/>
    </w:pPr>
    <w:rPr>
      <w:sz w:val="18"/>
      <w:szCs w:val="18"/>
    </w:rPr>
  </w:style>
  <w:style w:type="character" w:customStyle="1" w:styleId="8">
    <w:name w:val="页眉 Char"/>
    <w:basedOn w:val="7"/>
    <w:link w:val="5"/>
    <w:semiHidden/>
    <w:uiPriority w:val="99"/>
    <w:rPr>
      <w:rFonts w:ascii="Tahoma" w:hAnsi="Tahoma"/>
      <w:sz w:val="18"/>
      <w:szCs w:val="18"/>
    </w:rPr>
  </w:style>
  <w:style w:type="character" w:customStyle="1" w:styleId="9">
    <w:name w:val="页脚 Char"/>
    <w:basedOn w:val="7"/>
    <w:link w:val="4"/>
    <w:semiHidden/>
    <w:qFormat/>
    <w:uiPriority w:val="99"/>
    <w:rPr>
      <w:rFonts w:ascii="Tahoma" w:hAnsi="Tahoma"/>
      <w:sz w:val="18"/>
      <w:szCs w:val="18"/>
    </w:rPr>
  </w:style>
  <w:style w:type="character" w:customStyle="1" w:styleId="10">
    <w:name w:val="正文文本 Char"/>
    <w:basedOn w:val="7"/>
    <w:link w:val="2"/>
    <w:qFormat/>
    <w:uiPriority w:val="0"/>
    <w:rPr>
      <w:rFonts w:ascii="Times New Roman" w:hAnsi="Times New Roman" w:eastAsia="宋体" w:cs="Times New Roman"/>
      <w:kern w:val="2"/>
      <w:sz w:val="21"/>
      <w:szCs w:val="24"/>
    </w:rPr>
  </w:style>
  <w:style w:type="character" w:customStyle="1" w:styleId="11">
    <w:name w:val="正文文本缩进 Char"/>
    <w:basedOn w:val="7"/>
    <w:link w:val="3"/>
    <w:qFormat/>
    <w:uiPriority w:val="0"/>
    <w:rPr>
      <w:rFonts w:ascii="Times New Roman" w:hAnsi="Times New Roman" w:eastAsia="仿宋_GB2312" w:cs="Times New Roman"/>
      <w:kern w:val="2"/>
      <w:sz w:val="24"/>
      <w:szCs w:val="24"/>
    </w:r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265</Words>
  <Characters>1515</Characters>
  <Lines>12</Lines>
  <Paragraphs>3</Paragraphs>
  <TotalTime>1181</TotalTime>
  <ScaleCrop>false</ScaleCrop>
  <LinksUpToDate>false</LinksUpToDate>
  <CharactersWithSpaces>1777</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哎哟</cp:lastModifiedBy>
  <cp:lastPrinted>2020-10-30T03:56:00Z</cp:lastPrinted>
  <dcterms:modified xsi:type="dcterms:W3CDTF">2020-11-23T03:18:32Z</dcterms:modified>
  <cp:revision>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