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eastAsia="黑体"/>
          <w:bCs/>
          <w:color w:val="auto"/>
          <w:sz w:val="52"/>
          <w:szCs w:val="52"/>
        </w:rPr>
      </w:pPr>
    </w:p>
    <w:p>
      <w:pPr>
        <w:spacing w:before="500" w:line="240" w:lineRule="auto"/>
        <w:ind w:firstLine="0" w:firstLineChars="0"/>
        <w:jc w:val="center"/>
        <w:rPr>
          <w:color w:val="auto"/>
        </w:rPr>
      </w:pPr>
      <w:r>
        <w:rPr>
          <w:rFonts w:hint="eastAsia" w:ascii="宋体" w:hAnsi="宋体"/>
          <w:b/>
          <w:color w:val="auto"/>
          <w:sz w:val="48"/>
          <w:szCs w:val="72"/>
        </w:rPr>
        <w:t>年产100t食品包装袋建设项目建设项目</w:t>
      </w:r>
    </w:p>
    <w:p>
      <w:pPr>
        <w:spacing w:before="500" w:line="240" w:lineRule="auto"/>
        <w:ind w:firstLine="0" w:firstLineChars="0"/>
        <w:jc w:val="center"/>
        <w:rPr>
          <w:rFonts w:ascii="宋体" w:hAnsi="宋体"/>
          <w:b/>
          <w:color w:val="auto"/>
          <w:sz w:val="96"/>
          <w:szCs w:val="96"/>
        </w:rPr>
      </w:pPr>
      <w:r>
        <w:rPr>
          <w:rFonts w:hint="eastAsia" w:ascii="宋体" w:hAnsi="宋体"/>
          <w:b/>
          <w:color w:val="auto"/>
          <w:sz w:val="96"/>
          <w:szCs w:val="96"/>
        </w:rPr>
        <w:t>环境影响报告表</w:t>
      </w:r>
    </w:p>
    <w:p>
      <w:pPr>
        <w:spacing w:line="240" w:lineRule="auto"/>
        <w:ind w:firstLine="720"/>
        <w:jc w:val="center"/>
        <w:rPr>
          <w:color w:val="auto"/>
          <w:sz w:val="36"/>
        </w:rPr>
      </w:pPr>
      <w:r>
        <w:rPr>
          <w:rFonts w:hint="eastAsia"/>
          <w:color w:val="auto"/>
          <w:sz w:val="36"/>
        </w:rPr>
        <w:t>（报批稿）</w:t>
      </w:r>
    </w:p>
    <w:p>
      <w:pPr>
        <w:ind w:firstLine="720"/>
        <w:rPr>
          <w:color w:val="auto"/>
          <w:sz w:val="36"/>
        </w:rPr>
      </w:pPr>
    </w:p>
    <w:p>
      <w:pPr>
        <w:ind w:firstLine="720"/>
        <w:rPr>
          <w:color w:val="auto"/>
          <w:sz w:val="36"/>
        </w:rPr>
      </w:pPr>
    </w:p>
    <w:p>
      <w:pPr>
        <w:ind w:firstLine="1446"/>
        <w:rPr>
          <w:b/>
          <w:color w:val="auto"/>
          <w:sz w:val="72"/>
        </w:rPr>
      </w:pPr>
    </w:p>
    <w:p>
      <w:pPr>
        <w:ind w:firstLine="1446"/>
        <w:rPr>
          <w:b/>
          <w:color w:val="auto"/>
          <w:sz w:val="72"/>
        </w:rPr>
      </w:pPr>
    </w:p>
    <w:p>
      <w:pPr>
        <w:ind w:firstLine="602"/>
        <w:jc w:val="center"/>
        <w:rPr>
          <w:rFonts w:ascii="宋体" w:hAnsi="宋体"/>
          <w:b/>
          <w:color w:val="auto"/>
          <w:sz w:val="30"/>
          <w:szCs w:val="30"/>
        </w:rPr>
      </w:pPr>
    </w:p>
    <w:p>
      <w:pPr>
        <w:pStyle w:val="2"/>
        <w:ind w:left="480" w:firstLine="480"/>
        <w:rPr>
          <w:color w:val="auto"/>
        </w:rPr>
      </w:pPr>
    </w:p>
    <w:p>
      <w:pPr>
        <w:pStyle w:val="2"/>
        <w:ind w:left="480" w:firstLine="480"/>
        <w:rPr>
          <w:color w:val="auto"/>
        </w:rPr>
      </w:pPr>
    </w:p>
    <w:p>
      <w:pPr>
        <w:pStyle w:val="2"/>
        <w:ind w:left="480" w:firstLine="640"/>
        <w:rPr>
          <w:color w:val="auto"/>
          <w:sz w:val="32"/>
        </w:rPr>
      </w:pPr>
    </w:p>
    <w:p>
      <w:pPr>
        <w:ind w:left="137" w:leftChars="57" w:right="137" w:rightChars="57" w:firstLine="562"/>
        <w:jc w:val="center"/>
        <w:rPr>
          <w:b/>
          <w:color w:val="auto"/>
          <w:sz w:val="28"/>
        </w:rPr>
      </w:pPr>
    </w:p>
    <w:p>
      <w:pPr>
        <w:ind w:left="137" w:leftChars="57" w:right="137" w:rightChars="57" w:firstLine="562"/>
        <w:jc w:val="center"/>
        <w:rPr>
          <w:b/>
          <w:color w:val="auto"/>
          <w:sz w:val="28"/>
        </w:rPr>
      </w:pPr>
    </w:p>
    <w:p>
      <w:pPr>
        <w:ind w:left="137" w:leftChars="57" w:right="137" w:rightChars="57" w:firstLine="562"/>
        <w:jc w:val="center"/>
        <w:rPr>
          <w:b/>
          <w:color w:val="auto"/>
          <w:sz w:val="28"/>
        </w:rPr>
      </w:pPr>
      <w:r>
        <w:rPr>
          <w:b/>
          <w:color w:val="auto"/>
          <w:sz w:val="28"/>
        </w:rPr>
        <w:t>建设单位</w:t>
      </w:r>
      <w:r>
        <w:rPr>
          <w:rFonts w:hint="eastAsia"/>
          <w:b/>
          <w:color w:val="auto"/>
          <w:sz w:val="28"/>
        </w:rPr>
        <w:t>：益阳三鼎包装有限公司</w:t>
      </w:r>
    </w:p>
    <w:p>
      <w:pPr>
        <w:ind w:left="137" w:leftChars="57" w:right="137" w:rightChars="57" w:firstLine="562"/>
        <w:jc w:val="center"/>
        <w:rPr>
          <w:b/>
          <w:color w:val="auto"/>
          <w:sz w:val="28"/>
        </w:rPr>
      </w:pPr>
      <w:r>
        <w:rPr>
          <w:rFonts w:hint="eastAsia"/>
          <w:b/>
          <w:color w:val="auto"/>
          <w:sz w:val="28"/>
          <w:lang w:val="en-US" w:eastAsia="zh-CN"/>
        </w:rPr>
        <w:t xml:space="preserve">        </w:t>
      </w:r>
      <w:r>
        <w:rPr>
          <w:rFonts w:hint="eastAsia"/>
          <w:b/>
          <w:color w:val="auto"/>
          <w:sz w:val="28"/>
        </w:rPr>
        <w:t>环评单位：湖南欣森宏景环境评估有限公司</w:t>
      </w:r>
    </w:p>
    <w:p>
      <w:pPr>
        <w:ind w:firstLine="155" w:firstLineChars="55"/>
        <w:jc w:val="center"/>
        <w:rPr>
          <w:rFonts w:eastAsia="黑体"/>
          <w:color w:val="auto"/>
          <w:sz w:val="36"/>
          <w:szCs w:val="32"/>
        </w:rPr>
      </w:pPr>
      <w:r>
        <w:rPr>
          <w:rFonts w:hint="eastAsia"/>
          <w:b/>
          <w:color w:val="auto"/>
          <w:sz w:val="28"/>
        </w:rPr>
        <w:t>二O二O年</w:t>
      </w:r>
      <w:r>
        <w:rPr>
          <w:rFonts w:hint="eastAsia"/>
          <w:b/>
          <w:color w:val="auto"/>
          <w:sz w:val="28"/>
          <w:lang w:eastAsia="zh-CN"/>
        </w:rPr>
        <w:t>九</w:t>
      </w:r>
      <w:r>
        <w:rPr>
          <w:rFonts w:hint="eastAsia"/>
          <w:b/>
          <w:color w:val="auto"/>
          <w:sz w:val="28"/>
        </w:rPr>
        <w:t>月</w:t>
      </w:r>
    </w:p>
    <w:p>
      <w:pPr>
        <w:ind w:firstLine="720"/>
        <w:jc w:val="center"/>
        <w:rPr>
          <w:rFonts w:eastAsia="黑体"/>
          <w:color w:val="auto"/>
          <w:sz w:val="36"/>
          <w:szCs w:val="32"/>
        </w:rPr>
      </w:pPr>
    </w:p>
    <w:p>
      <w:pPr>
        <w:ind w:firstLine="720"/>
        <w:jc w:val="center"/>
        <w:rPr>
          <w:rFonts w:eastAsia="黑体"/>
          <w:color w:val="auto"/>
          <w:sz w:val="36"/>
          <w:szCs w:val="32"/>
        </w:rPr>
        <w:sectPr>
          <w:headerReference r:id="rId5" w:type="first"/>
          <w:footerReference r:id="rId7" w:type="first"/>
          <w:headerReference r:id="rId3" w:type="default"/>
          <w:headerReference r:id="rId4" w:type="even"/>
          <w:footerReference r:id="rId6" w:type="even"/>
          <w:pgSz w:w="11906" w:h="16838"/>
          <w:pgMar w:top="1418" w:right="1247" w:bottom="1418" w:left="1247" w:header="851" w:footer="992" w:gutter="0"/>
          <w:pgNumType w:start="0"/>
          <w:cols w:space="425" w:num="1"/>
          <w:titlePg/>
          <w:docGrid w:type="lines" w:linePitch="312" w:charSpace="0"/>
        </w:sectPr>
      </w:pPr>
    </w:p>
    <w:p>
      <w:pPr>
        <w:pStyle w:val="4"/>
        <w:rPr>
          <w:color w:val="auto"/>
        </w:rPr>
      </w:pPr>
      <w:r>
        <w:rPr>
          <w:color w:val="auto"/>
        </w:rPr>
        <w:t>设项目基本情况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501"/>
        <w:gridCol w:w="977"/>
        <w:gridCol w:w="644"/>
        <w:gridCol w:w="243"/>
        <w:gridCol w:w="329"/>
        <w:gridCol w:w="717"/>
        <w:gridCol w:w="234"/>
        <w:gridCol w:w="409"/>
        <w:gridCol w:w="860"/>
        <w:gridCol w:w="308"/>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项目名称</w:t>
            </w:r>
          </w:p>
        </w:tc>
        <w:tc>
          <w:tcPr>
            <w:tcW w:w="4048" w:type="pct"/>
            <w:gridSpan w:val="11"/>
            <w:shd w:val="clear" w:color="auto" w:fill="auto"/>
            <w:vAlign w:val="center"/>
          </w:tcPr>
          <w:p>
            <w:pPr>
              <w:spacing w:line="240" w:lineRule="auto"/>
              <w:ind w:firstLine="0" w:firstLineChars="0"/>
              <w:jc w:val="center"/>
              <w:rPr>
                <w:bCs/>
                <w:color w:val="auto"/>
              </w:rPr>
            </w:pPr>
            <w:r>
              <w:rPr>
                <w:rFonts w:hint="eastAsia"/>
                <w:bCs/>
                <w:color w:val="auto"/>
              </w:rPr>
              <w:t>益阳三鼎包装有限公司年产100t食品包装袋建设项目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建设单位</w:t>
            </w:r>
          </w:p>
        </w:tc>
        <w:tc>
          <w:tcPr>
            <w:tcW w:w="4048" w:type="pct"/>
            <w:gridSpan w:val="11"/>
            <w:shd w:val="clear" w:color="auto" w:fill="auto"/>
            <w:vAlign w:val="center"/>
          </w:tcPr>
          <w:p>
            <w:pPr>
              <w:spacing w:line="240" w:lineRule="auto"/>
              <w:ind w:firstLine="0" w:firstLineChars="0"/>
              <w:jc w:val="center"/>
              <w:rPr>
                <w:bCs/>
                <w:color w:val="auto"/>
              </w:rPr>
            </w:pPr>
            <w:r>
              <w:rPr>
                <w:rFonts w:hint="eastAsia"/>
                <w:bCs/>
                <w:color w:val="auto"/>
              </w:rPr>
              <w:t>益阳三鼎包装</w:t>
            </w:r>
            <w:bookmarkStart w:id="8" w:name="_GoBack"/>
            <w:bookmarkEnd w:id="8"/>
            <w:r>
              <w:rPr>
                <w:rFonts w:hint="eastAsia"/>
                <w:bCs/>
                <w:color w:val="auto"/>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法人代表</w:t>
            </w:r>
          </w:p>
        </w:tc>
        <w:tc>
          <w:tcPr>
            <w:tcW w:w="1989" w:type="pct"/>
            <w:gridSpan w:val="5"/>
            <w:shd w:val="clear" w:color="auto" w:fill="auto"/>
            <w:vAlign w:val="center"/>
          </w:tcPr>
          <w:p>
            <w:pPr>
              <w:spacing w:line="240" w:lineRule="auto"/>
              <w:ind w:firstLine="0" w:firstLineChars="0"/>
              <w:jc w:val="center"/>
              <w:rPr>
                <w:bCs/>
                <w:color w:val="auto"/>
              </w:rPr>
            </w:pPr>
            <w:r>
              <w:rPr>
                <w:rFonts w:hint="eastAsia"/>
                <w:bCs/>
                <w:color w:val="auto"/>
              </w:rPr>
              <w:t>钟迎春</w:t>
            </w:r>
          </w:p>
        </w:tc>
        <w:tc>
          <w:tcPr>
            <w:tcW w:w="732" w:type="pct"/>
            <w:gridSpan w:val="3"/>
            <w:shd w:val="clear" w:color="auto" w:fill="auto"/>
            <w:vAlign w:val="center"/>
          </w:tcPr>
          <w:p>
            <w:pPr>
              <w:spacing w:line="240" w:lineRule="auto"/>
              <w:ind w:firstLine="0" w:firstLineChars="0"/>
              <w:jc w:val="center"/>
              <w:rPr>
                <w:b/>
                <w:bCs/>
                <w:color w:val="auto"/>
              </w:rPr>
            </w:pPr>
            <w:r>
              <w:rPr>
                <w:b/>
                <w:bCs/>
                <w:color w:val="auto"/>
              </w:rPr>
              <w:t>联系人</w:t>
            </w:r>
          </w:p>
        </w:tc>
        <w:tc>
          <w:tcPr>
            <w:tcW w:w="1326" w:type="pct"/>
            <w:gridSpan w:val="3"/>
            <w:shd w:val="clear" w:color="auto" w:fill="auto"/>
            <w:vAlign w:val="center"/>
          </w:tcPr>
          <w:p>
            <w:pPr>
              <w:spacing w:line="240" w:lineRule="auto"/>
              <w:ind w:firstLine="0" w:firstLineChars="0"/>
              <w:jc w:val="center"/>
              <w:rPr>
                <w:bCs/>
                <w:color w:val="auto"/>
              </w:rPr>
            </w:pPr>
            <w:r>
              <w:rPr>
                <w:rFonts w:hint="eastAsia"/>
                <w:bCs/>
                <w:color w:val="auto"/>
              </w:rPr>
              <w:t>钟迎春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通讯地址</w:t>
            </w:r>
          </w:p>
        </w:tc>
        <w:tc>
          <w:tcPr>
            <w:tcW w:w="4048" w:type="pct"/>
            <w:gridSpan w:val="11"/>
            <w:shd w:val="clear" w:color="auto" w:fill="auto"/>
            <w:vAlign w:val="center"/>
          </w:tcPr>
          <w:p>
            <w:pPr>
              <w:spacing w:line="240" w:lineRule="auto"/>
              <w:ind w:firstLine="0" w:firstLineChars="0"/>
              <w:jc w:val="center"/>
              <w:rPr>
                <w:bCs/>
                <w:color w:val="auto"/>
              </w:rPr>
            </w:pPr>
            <w:r>
              <w:rPr>
                <w:rFonts w:hint="eastAsia"/>
                <w:bCs/>
                <w:color w:val="auto"/>
              </w:rPr>
              <w:t>益阳市赫山区龙光桥镇南道塘村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联系电话</w:t>
            </w:r>
          </w:p>
        </w:tc>
        <w:tc>
          <w:tcPr>
            <w:tcW w:w="1334" w:type="pct"/>
            <w:gridSpan w:val="2"/>
            <w:shd w:val="clear" w:color="auto" w:fill="auto"/>
            <w:vAlign w:val="center"/>
          </w:tcPr>
          <w:p>
            <w:pPr>
              <w:spacing w:line="240" w:lineRule="auto"/>
              <w:ind w:firstLine="0" w:firstLineChars="0"/>
              <w:jc w:val="center"/>
              <w:rPr>
                <w:bCs/>
                <w:color w:val="auto"/>
              </w:rPr>
            </w:pPr>
            <w:r>
              <w:rPr>
                <w:bCs/>
                <w:color w:val="auto"/>
              </w:rPr>
              <w:t>13807374911</w:t>
            </w:r>
          </w:p>
        </w:tc>
        <w:tc>
          <w:tcPr>
            <w:tcW w:w="478" w:type="pct"/>
            <w:gridSpan w:val="2"/>
            <w:shd w:val="clear" w:color="auto" w:fill="auto"/>
            <w:vAlign w:val="center"/>
          </w:tcPr>
          <w:p>
            <w:pPr>
              <w:spacing w:line="240" w:lineRule="auto"/>
              <w:ind w:firstLine="0" w:firstLineChars="0"/>
              <w:jc w:val="center"/>
              <w:rPr>
                <w:b/>
                <w:bCs/>
                <w:color w:val="auto"/>
              </w:rPr>
            </w:pPr>
            <w:r>
              <w:rPr>
                <w:b/>
                <w:bCs/>
                <w:color w:val="auto"/>
              </w:rPr>
              <w:t>传真</w:t>
            </w:r>
          </w:p>
        </w:tc>
        <w:tc>
          <w:tcPr>
            <w:tcW w:w="563" w:type="pct"/>
            <w:gridSpan w:val="2"/>
            <w:shd w:val="clear" w:color="auto" w:fill="auto"/>
            <w:vAlign w:val="center"/>
          </w:tcPr>
          <w:p>
            <w:pPr>
              <w:spacing w:line="240" w:lineRule="auto"/>
              <w:ind w:firstLine="0" w:firstLineChars="0"/>
              <w:jc w:val="center"/>
              <w:rPr>
                <w:bCs/>
                <w:color w:val="auto"/>
              </w:rPr>
            </w:pPr>
            <w:r>
              <w:rPr>
                <w:bCs/>
                <w:color w:val="auto"/>
              </w:rPr>
              <w:t>—</w:t>
            </w:r>
          </w:p>
        </w:tc>
        <w:tc>
          <w:tcPr>
            <w:tcW w:w="809" w:type="pct"/>
            <w:gridSpan w:val="3"/>
            <w:shd w:val="clear" w:color="auto" w:fill="auto"/>
            <w:vAlign w:val="center"/>
          </w:tcPr>
          <w:p>
            <w:pPr>
              <w:spacing w:line="240" w:lineRule="auto"/>
              <w:ind w:firstLine="0" w:firstLineChars="0"/>
              <w:jc w:val="center"/>
              <w:rPr>
                <w:b/>
                <w:bCs/>
                <w:color w:val="auto"/>
                <w:highlight w:val="yellow"/>
              </w:rPr>
            </w:pPr>
            <w:r>
              <w:rPr>
                <w:b/>
                <w:bCs/>
                <w:color w:val="auto"/>
              </w:rPr>
              <w:t>邮政编码</w:t>
            </w:r>
          </w:p>
        </w:tc>
        <w:tc>
          <w:tcPr>
            <w:tcW w:w="862" w:type="pct"/>
            <w:gridSpan w:val="2"/>
            <w:shd w:val="clear" w:color="auto" w:fill="auto"/>
            <w:vAlign w:val="center"/>
          </w:tcPr>
          <w:p>
            <w:pPr>
              <w:spacing w:line="240" w:lineRule="auto"/>
              <w:ind w:firstLine="0" w:firstLineChars="0"/>
              <w:jc w:val="center"/>
              <w:rPr>
                <w:bCs/>
                <w:color w:val="auto"/>
              </w:rPr>
            </w:pPr>
            <w:r>
              <w:rPr>
                <w:rFonts w:hint="eastAsia"/>
                <w:bCs/>
                <w:color w:val="auto"/>
              </w:rPr>
              <w:t>413100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建设地点</w:t>
            </w:r>
          </w:p>
        </w:tc>
        <w:tc>
          <w:tcPr>
            <w:tcW w:w="4048" w:type="pct"/>
            <w:gridSpan w:val="11"/>
            <w:shd w:val="clear" w:color="auto" w:fill="auto"/>
            <w:vAlign w:val="center"/>
          </w:tcPr>
          <w:p>
            <w:pPr>
              <w:spacing w:line="240" w:lineRule="auto"/>
              <w:ind w:firstLine="0" w:firstLineChars="0"/>
              <w:jc w:val="center"/>
              <w:rPr>
                <w:bCs/>
                <w:color w:val="auto"/>
              </w:rPr>
            </w:pPr>
            <w:r>
              <w:rPr>
                <w:rFonts w:hint="eastAsia"/>
                <w:bCs/>
                <w:color w:val="auto"/>
              </w:rPr>
              <w:t>湖南省沅江市高新技术产业园区中联大道与南洞庭湖大道交叉口东南侧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立项审批部门</w:t>
            </w:r>
          </w:p>
        </w:tc>
        <w:tc>
          <w:tcPr>
            <w:tcW w:w="1681" w:type="pct"/>
            <w:gridSpan w:val="3"/>
            <w:shd w:val="clear" w:color="auto" w:fill="auto"/>
            <w:vAlign w:val="center"/>
          </w:tcPr>
          <w:p>
            <w:pPr>
              <w:spacing w:line="240" w:lineRule="auto"/>
              <w:ind w:firstLine="0" w:firstLineChars="0"/>
              <w:jc w:val="center"/>
              <w:rPr>
                <w:bCs/>
                <w:color w:val="auto"/>
              </w:rPr>
            </w:pPr>
            <w:r>
              <w:rPr>
                <w:rFonts w:hint="eastAsia"/>
                <w:bCs/>
                <w:color w:val="auto"/>
              </w:rPr>
              <w:t>/</w:t>
            </w:r>
          </w:p>
        </w:tc>
        <w:tc>
          <w:tcPr>
            <w:tcW w:w="820" w:type="pct"/>
            <w:gridSpan w:val="4"/>
            <w:shd w:val="clear" w:color="auto" w:fill="auto"/>
            <w:vAlign w:val="center"/>
          </w:tcPr>
          <w:p>
            <w:pPr>
              <w:spacing w:line="240" w:lineRule="auto"/>
              <w:ind w:firstLine="0" w:firstLineChars="0"/>
              <w:jc w:val="center"/>
              <w:rPr>
                <w:b/>
                <w:bCs/>
                <w:color w:val="auto"/>
              </w:rPr>
            </w:pPr>
            <w:r>
              <w:rPr>
                <w:b/>
                <w:bCs/>
                <w:color w:val="auto"/>
              </w:rPr>
              <w:t>批准文号</w:t>
            </w:r>
          </w:p>
        </w:tc>
        <w:tc>
          <w:tcPr>
            <w:tcW w:w="1546" w:type="pct"/>
            <w:gridSpan w:val="4"/>
            <w:shd w:val="clear" w:color="auto" w:fill="auto"/>
            <w:vAlign w:val="center"/>
          </w:tcPr>
          <w:p>
            <w:pPr>
              <w:spacing w:line="240" w:lineRule="auto"/>
              <w:ind w:firstLine="0" w:firstLineChars="0"/>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建设性质</w:t>
            </w:r>
          </w:p>
        </w:tc>
        <w:tc>
          <w:tcPr>
            <w:tcW w:w="1681" w:type="pct"/>
            <w:gridSpan w:val="3"/>
            <w:shd w:val="clear" w:color="auto" w:fill="auto"/>
            <w:vAlign w:val="center"/>
          </w:tcPr>
          <w:p>
            <w:pPr>
              <w:spacing w:line="240" w:lineRule="auto"/>
              <w:ind w:firstLine="0" w:firstLineChars="0"/>
              <w:jc w:val="center"/>
              <w:rPr>
                <w:bCs/>
                <w:color w:val="auto"/>
              </w:rPr>
            </w:pPr>
            <w:r>
              <w:rPr>
                <w:rFonts w:hint="eastAsia" w:hAnsi="宋体"/>
                <w:bCs/>
                <w:color w:val="auto"/>
              </w:rPr>
              <w:t>新建（迁建）</w:t>
            </w:r>
          </w:p>
        </w:tc>
        <w:tc>
          <w:tcPr>
            <w:tcW w:w="820" w:type="pct"/>
            <w:gridSpan w:val="4"/>
            <w:shd w:val="clear" w:color="auto" w:fill="auto"/>
            <w:vAlign w:val="center"/>
          </w:tcPr>
          <w:p>
            <w:pPr>
              <w:spacing w:line="240" w:lineRule="auto"/>
              <w:ind w:firstLine="0" w:firstLineChars="0"/>
              <w:jc w:val="center"/>
              <w:rPr>
                <w:b/>
                <w:bCs/>
                <w:color w:val="auto"/>
              </w:rPr>
            </w:pPr>
            <w:r>
              <w:rPr>
                <w:b/>
                <w:bCs/>
                <w:color w:val="auto"/>
              </w:rPr>
              <w:t>行业类别</w:t>
            </w:r>
          </w:p>
        </w:tc>
        <w:tc>
          <w:tcPr>
            <w:tcW w:w="1546" w:type="pct"/>
            <w:gridSpan w:val="4"/>
            <w:shd w:val="clear" w:color="auto" w:fill="auto"/>
            <w:vAlign w:val="center"/>
          </w:tcPr>
          <w:p>
            <w:pPr>
              <w:spacing w:line="240" w:lineRule="auto"/>
              <w:ind w:firstLine="0" w:firstLineChars="0"/>
              <w:jc w:val="center"/>
              <w:rPr>
                <w:bCs/>
                <w:color w:val="auto"/>
              </w:rPr>
            </w:pPr>
            <w:r>
              <w:rPr>
                <w:rFonts w:hint="eastAsia"/>
                <w:bCs/>
                <w:color w:val="auto"/>
              </w:rPr>
              <w:t>C2319包装装潢及其他印刷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占地面积</w:t>
            </w:r>
          </w:p>
          <w:p>
            <w:pPr>
              <w:spacing w:line="240" w:lineRule="auto"/>
              <w:ind w:firstLine="0" w:firstLineChars="0"/>
              <w:jc w:val="center"/>
              <w:rPr>
                <w:b/>
                <w:bCs/>
                <w:color w:val="auto"/>
              </w:rPr>
            </w:pPr>
            <w:r>
              <w:rPr>
                <w:b/>
                <w:bCs/>
                <w:color w:val="auto"/>
              </w:rPr>
              <w:t>（平方米）</w:t>
            </w:r>
          </w:p>
        </w:tc>
        <w:tc>
          <w:tcPr>
            <w:tcW w:w="1681" w:type="pct"/>
            <w:gridSpan w:val="3"/>
            <w:shd w:val="clear" w:color="auto" w:fill="auto"/>
            <w:vAlign w:val="center"/>
          </w:tcPr>
          <w:p>
            <w:pPr>
              <w:spacing w:line="240" w:lineRule="auto"/>
              <w:ind w:firstLine="0" w:firstLineChars="0"/>
              <w:jc w:val="center"/>
              <w:rPr>
                <w:bCs/>
                <w:color w:val="auto"/>
              </w:rPr>
            </w:pPr>
            <w:r>
              <w:rPr>
                <w:rFonts w:hint="eastAsia"/>
                <w:bCs/>
                <w:color w:val="auto"/>
              </w:rPr>
              <w:t>4156</w:t>
            </w:r>
          </w:p>
        </w:tc>
        <w:tc>
          <w:tcPr>
            <w:tcW w:w="820" w:type="pct"/>
            <w:gridSpan w:val="4"/>
            <w:shd w:val="clear" w:color="auto" w:fill="auto"/>
            <w:vAlign w:val="center"/>
          </w:tcPr>
          <w:p>
            <w:pPr>
              <w:spacing w:line="240" w:lineRule="auto"/>
              <w:ind w:firstLine="0" w:firstLineChars="0"/>
              <w:jc w:val="center"/>
              <w:rPr>
                <w:b/>
                <w:bCs/>
                <w:color w:val="auto"/>
              </w:rPr>
            </w:pPr>
            <w:r>
              <w:rPr>
                <w:b/>
                <w:bCs/>
                <w:color w:val="auto"/>
              </w:rPr>
              <w:t>绿化面积</w:t>
            </w:r>
          </w:p>
          <w:p>
            <w:pPr>
              <w:spacing w:line="240" w:lineRule="auto"/>
              <w:ind w:firstLine="0" w:firstLineChars="0"/>
              <w:jc w:val="center"/>
              <w:rPr>
                <w:b/>
                <w:bCs/>
                <w:color w:val="auto"/>
              </w:rPr>
            </w:pPr>
            <w:r>
              <w:rPr>
                <w:b/>
                <w:bCs/>
                <w:color w:val="auto"/>
              </w:rPr>
              <w:t>（平方米）</w:t>
            </w:r>
          </w:p>
        </w:tc>
        <w:tc>
          <w:tcPr>
            <w:tcW w:w="1546" w:type="pct"/>
            <w:gridSpan w:val="4"/>
            <w:shd w:val="clear" w:color="auto" w:fill="auto"/>
            <w:vAlign w:val="center"/>
          </w:tcPr>
          <w:p>
            <w:pPr>
              <w:spacing w:line="240" w:lineRule="auto"/>
              <w:ind w:firstLine="0" w:firstLineChars="0"/>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总投资</w:t>
            </w:r>
          </w:p>
          <w:p>
            <w:pPr>
              <w:spacing w:line="240" w:lineRule="auto"/>
              <w:ind w:firstLine="0" w:firstLineChars="0"/>
              <w:jc w:val="center"/>
              <w:rPr>
                <w:b/>
                <w:bCs/>
                <w:color w:val="auto"/>
              </w:rPr>
            </w:pPr>
            <w:r>
              <w:rPr>
                <w:b/>
                <w:bCs/>
                <w:color w:val="auto"/>
              </w:rPr>
              <w:t>（万元）</w:t>
            </w:r>
          </w:p>
        </w:tc>
        <w:tc>
          <w:tcPr>
            <w:tcW w:w="808" w:type="pct"/>
            <w:shd w:val="clear" w:color="auto" w:fill="auto"/>
            <w:vAlign w:val="center"/>
          </w:tcPr>
          <w:p>
            <w:pPr>
              <w:spacing w:line="240" w:lineRule="auto"/>
              <w:ind w:firstLine="0" w:firstLineChars="0"/>
              <w:jc w:val="center"/>
              <w:rPr>
                <w:bCs/>
                <w:color w:val="auto"/>
              </w:rPr>
            </w:pPr>
            <w:r>
              <w:rPr>
                <w:rFonts w:hint="eastAsia"/>
                <w:bCs/>
                <w:color w:val="auto"/>
              </w:rPr>
              <w:t>500</w:t>
            </w:r>
          </w:p>
        </w:tc>
        <w:tc>
          <w:tcPr>
            <w:tcW w:w="872" w:type="pct"/>
            <w:gridSpan w:val="2"/>
            <w:shd w:val="clear" w:color="auto" w:fill="auto"/>
            <w:vAlign w:val="center"/>
          </w:tcPr>
          <w:p>
            <w:pPr>
              <w:spacing w:line="240" w:lineRule="auto"/>
              <w:ind w:firstLine="0" w:firstLineChars="0"/>
              <w:jc w:val="center"/>
              <w:rPr>
                <w:b/>
                <w:bCs/>
                <w:color w:val="auto"/>
              </w:rPr>
            </w:pPr>
            <w:r>
              <w:rPr>
                <w:b/>
                <w:bCs/>
                <w:color w:val="auto"/>
              </w:rPr>
              <w:t>其中：环投资（万元）</w:t>
            </w:r>
          </w:p>
        </w:tc>
        <w:tc>
          <w:tcPr>
            <w:tcW w:w="820" w:type="pct"/>
            <w:gridSpan w:val="4"/>
            <w:shd w:val="clear" w:color="auto" w:fill="auto"/>
            <w:vAlign w:val="center"/>
          </w:tcPr>
          <w:p>
            <w:pPr>
              <w:spacing w:line="240" w:lineRule="auto"/>
              <w:ind w:firstLine="0" w:firstLineChars="0"/>
              <w:jc w:val="center"/>
              <w:rPr>
                <w:bCs/>
                <w:color w:val="auto"/>
              </w:rPr>
            </w:pPr>
            <w:r>
              <w:rPr>
                <w:rFonts w:hint="eastAsia"/>
                <w:bCs/>
                <w:color w:val="auto"/>
              </w:rPr>
              <w:t>48</w:t>
            </w:r>
          </w:p>
        </w:tc>
        <w:tc>
          <w:tcPr>
            <w:tcW w:w="849" w:type="pct"/>
            <w:gridSpan w:val="3"/>
            <w:shd w:val="clear" w:color="auto" w:fill="auto"/>
            <w:vAlign w:val="center"/>
          </w:tcPr>
          <w:p>
            <w:pPr>
              <w:spacing w:line="240" w:lineRule="auto"/>
              <w:ind w:firstLine="0" w:firstLineChars="0"/>
              <w:jc w:val="center"/>
              <w:rPr>
                <w:b/>
                <w:bCs/>
                <w:color w:val="auto"/>
              </w:rPr>
            </w:pPr>
            <w:r>
              <w:rPr>
                <w:b/>
                <w:bCs/>
                <w:color w:val="auto"/>
              </w:rPr>
              <w:t>环保投资占总投资比例</w:t>
            </w:r>
          </w:p>
        </w:tc>
        <w:tc>
          <w:tcPr>
            <w:tcW w:w="697" w:type="pct"/>
            <w:shd w:val="clear" w:color="auto" w:fill="auto"/>
            <w:vAlign w:val="center"/>
          </w:tcPr>
          <w:p>
            <w:pPr>
              <w:spacing w:line="240" w:lineRule="auto"/>
              <w:ind w:firstLine="0" w:firstLineChars="0"/>
              <w:jc w:val="center"/>
              <w:rPr>
                <w:bCs/>
                <w:color w:val="auto"/>
              </w:rPr>
            </w:pPr>
            <w:r>
              <w:rPr>
                <w:rFonts w:hint="eastAsia"/>
                <w:bCs/>
                <w:color w:val="auto"/>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 w:type="pct"/>
            <w:shd w:val="clear" w:color="auto" w:fill="auto"/>
            <w:vAlign w:val="center"/>
          </w:tcPr>
          <w:p>
            <w:pPr>
              <w:spacing w:line="240" w:lineRule="auto"/>
              <w:ind w:firstLine="0" w:firstLineChars="0"/>
              <w:jc w:val="center"/>
              <w:rPr>
                <w:b/>
                <w:bCs/>
                <w:color w:val="auto"/>
              </w:rPr>
            </w:pPr>
            <w:r>
              <w:rPr>
                <w:b/>
                <w:bCs/>
                <w:color w:val="auto"/>
              </w:rPr>
              <w:t>评价经费</w:t>
            </w:r>
          </w:p>
          <w:p>
            <w:pPr>
              <w:spacing w:line="240" w:lineRule="auto"/>
              <w:ind w:firstLine="0" w:firstLineChars="0"/>
              <w:jc w:val="center"/>
              <w:rPr>
                <w:b/>
                <w:bCs/>
                <w:color w:val="auto"/>
              </w:rPr>
            </w:pPr>
            <w:r>
              <w:rPr>
                <w:b/>
                <w:bCs/>
                <w:color w:val="auto"/>
              </w:rPr>
              <w:t>（万元）</w:t>
            </w:r>
          </w:p>
        </w:tc>
        <w:tc>
          <w:tcPr>
            <w:tcW w:w="1681" w:type="pct"/>
            <w:gridSpan w:val="3"/>
            <w:shd w:val="clear" w:color="auto" w:fill="auto"/>
            <w:vAlign w:val="center"/>
          </w:tcPr>
          <w:p>
            <w:pPr>
              <w:spacing w:line="240" w:lineRule="auto"/>
              <w:ind w:firstLine="0" w:firstLineChars="0"/>
              <w:jc w:val="center"/>
              <w:rPr>
                <w:bCs/>
                <w:color w:val="auto"/>
              </w:rPr>
            </w:pPr>
            <w:r>
              <w:rPr>
                <w:rFonts w:hint="eastAsia"/>
                <w:bCs/>
                <w:color w:val="auto"/>
              </w:rPr>
              <w:t>--</w:t>
            </w:r>
          </w:p>
        </w:tc>
        <w:tc>
          <w:tcPr>
            <w:tcW w:w="820" w:type="pct"/>
            <w:gridSpan w:val="4"/>
            <w:shd w:val="clear" w:color="auto" w:fill="auto"/>
            <w:vAlign w:val="center"/>
          </w:tcPr>
          <w:p>
            <w:pPr>
              <w:spacing w:line="240" w:lineRule="auto"/>
              <w:ind w:firstLine="0" w:firstLineChars="0"/>
              <w:jc w:val="center"/>
              <w:rPr>
                <w:bCs/>
                <w:color w:val="auto"/>
              </w:rPr>
            </w:pPr>
            <w:r>
              <w:rPr>
                <w:b/>
                <w:bCs/>
                <w:color w:val="auto"/>
              </w:rPr>
              <w:t>预投产日期</w:t>
            </w:r>
          </w:p>
        </w:tc>
        <w:tc>
          <w:tcPr>
            <w:tcW w:w="1546" w:type="pct"/>
            <w:gridSpan w:val="4"/>
            <w:shd w:val="clear" w:color="auto" w:fill="auto"/>
            <w:vAlign w:val="center"/>
          </w:tcPr>
          <w:p>
            <w:pPr>
              <w:spacing w:line="240" w:lineRule="auto"/>
              <w:ind w:firstLine="0" w:firstLineChars="0"/>
              <w:jc w:val="center"/>
              <w:rPr>
                <w:bCs/>
                <w:color w:val="auto"/>
              </w:rPr>
            </w:pPr>
            <w:r>
              <w:rPr>
                <w:rFonts w:hint="eastAsia"/>
                <w:bCs/>
                <w:color w:val="auto"/>
              </w:rPr>
              <w:t>2020年10月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2"/>
            <w:shd w:val="clear" w:color="auto" w:fill="auto"/>
            <w:vAlign w:val="center"/>
          </w:tcPr>
          <w:p>
            <w:pPr>
              <w:ind w:firstLine="0" w:firstLineChars="0"/>
              <w:rPr>
                <w:b/>
                <w:bCs/>
                <w:color w:val="auto"/>
                <w:szCs w:val="32"/>
              </w:rPr>
            </w:pPr>
            <w:r>
              <w:rPr>
                <w:b/>
                <w:bCs/>
                <w:color w:val="auto"/>
                <w:szCs w:val="32"/>
              </w:rPr>
              <w:t>工程内容及规模</w:t>
            </w:r>
          </w:p>
          <w:p>
            <w:pPr>
              <w:ind w:firstLine="480"/>
              <w:jc w:val="both"/>
              <w:rPr>
                <w:rFonts w:eastAsia="黑体"/>
                <w:color w:val="auto"/>
                <w:szCs w:val="32"/>
              </w:rPr>
            </w:pPr>
            <w:r>
              <w:rPr>
                <w:rFonts w:eastAsia="黑体"/>
                <w:color w:val="auto"/>
                <w:szCs w:val="32"/>
              </w:rPr>
              <w:t>一、项目背景</w:t>
            </w:r>
          </w:p>
          <w:p>
            <w:pPr>
              <w:ind w:firstLine="480"/>
              <w:jc w:val="both"/>
              <w:rPr>
                <w:bCs/>
                <w:color w:val="auto"/>
              </w:rPr>
            </w:pPr>
            <w:r>
              <w:rPr>
                <w:rFonts w:hint="eastAsia"/>
                <w:bCs/>
                <w:color w:val="auto"/>
              </w:rPr>
              <w:t>1、项目由来</w:t>
            </w:r>
          </w:p>
          <w:p>
            <w:pPr>
              <w:snapToGrid w:val="0"/>
              <w:ind w:firstLine="470" w:firstLineChars="196"/>
              <w:rPr>
                <w:rFonts w:hAnsi="宋体"/>
                <w:bCs/>
                <w:color w:val="auto"/>
                <w:u w:val="single"/>
              </w:rPr>
            </w:pPr>
            <w:r>
              <w:rPr>
                <w:rFonts w:hint="eastAsia"/>
                <w:bCs/>
                <w:color w:val="auto"/>
                <w:u w:val="single"/>
              </w:rPr>
              <w:t>食品包装袋又被称为多层复合食品包装袋（膜），生活中常用于熟食、茶叶、面食等。</w:t>
            </w:r>
            <w:r>
              <w:rPr>
                <w:rFonts w:hAnsi="宋体"/>
                <w:bCs/>
                <w:color w:val="auto"/>
                <w:u w:val="single"/>
              </w:rPr>
              <w:t>近年来，随着益阳地区的休闲小吃食品企业不断发展，各企业的产量逐年增加，食品包装袋需求也呈现逐年上升的趋势，食品包装袋具有较</w:t>
            </w:r>
            <w:r>
              <w:rPr>
                <w:rFonts w:hint="eastAsia" w:hAnsi="宋体"/>
                <w:bCs/>
                <w:color w:val="auto"/>
                <w:u w:val="single"/>
              </w:rPr>
              <w:t>好</w:t>
            </w:r>
            <w:r>
              <w:rPr>
                <w:rFonts w:hAnsi="宋体"/>
                <w:bCs/>
                <w:color w:val="auto"/>
                <w:u w:val="single"/>
              </w:rPr>
              <w:t>的市场。</w:t>
            </w:r>
          </w:p>
          <w:p>
            <w:pPr>
              <w:snapToGrid w:val="0"/>
              <w:ind w:firstLine="470" w:firstLineChars="196"/>
              <w:rPr>
                <w:rFonts w:hAnsi="宋体"/>
                <w:bCs/>
                <w:color w:val="auto"/>
                <w:u w:val="single"/>
              </w:rPr>
            </w:pPr>
            <w:r>
              <w:rPr>
                <w:rFonts w:hint="eastAsia" w:hAnsi="宋体"/>
                <w:bCs/>
                <w:color w:val="auto"/>
                <w:u w:val="single"/>
              </w:rPr>
              <w:t>鉴于市场行情，</w:t>
            </w:r>
            <w:r>
              <w:rPr>
                <w:rFonts w:hint="eastAsia"/>
                <w:bCs/>
                <w:color w:val="auto"/>
                <w:u w:val="single"/>
              </w:rPr>
              <w:t>益阳三鼎包装有限公司成立于2012年11月19日，主要致力于食品包装袋的生产，</w:t>
            </w:r>
            <w:r>
              <w:rPr>
                <w:rFonts w:hint="eastAsia" w:hAnsi="宋体"/>
                <w:bCs/>
                <w:color w:val="auto"/>
                <w:u w:val="single"/>
              </w:rPr>
              <w:t>原厂址位于益阳市赫山区龙光桥镇，但未办理相关的环评手续，也未采取相应的环保设施，不符合相关环保法律法规的要求，且根据《湖南省污染防治攻坚战三年行动计划》及其它相关政策中“积极推进工业企业进入合规批设的省级及以上产业园区集聚发展”等要求，原有项目选址不属于园区，原项目应进行关停或迁建至园区并办理相关手续。</w:t>
            </w:r>
          </w:p>
          <w:p>
            <w:pPr>
              <w:snapToGrid w:val="0"/>
              <w:ind w:firstLine="470" w:firstLineChars="196"/>
              <w:rPr>
                <w:bCs/>
                <w:color w:val="auto"/>
              </w:rPr>
            </w:pPr>
            <w:r>
              <w:rPr>
                <w:rFonts w:hint="eastAsia" w:hAnsi="宋体"/>
                <w:bCs/>
                <w:color w:val="auto"/>
                <w:u w:val="single"/>
              </w:rPr>
              <w:t>为保证周边的环境质量及本项目的可持续发展，益阳三鼎包装有限公司关停了原有厂房的生产，并应沅江市投资促进服务中心的邀请，于2020年4月签订了租赁协议（租赁湖南省科旺科技有限公司空置厂房），</w:t>
            </w:r>
            <w:r>
              <w:rPr>
                <w:rFonts w:hint="eastAsia"/>
                <w:bCs/>
                <w:color w:val="auto"/>
                <w:u w:val="single"/>
              </w:rPr>
              <w:t>将原有生产项目搬迁至江市高新技术产业园内。利用部分原有设备的基础上，引进更为先进、节能和环保的工艺和设施、采取有效的环保设施对生产过程中产生的污染物处理后达标排放。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6" w:hRule="atLeast"/>
          <w:jc w:val="center"/>
        </w:trPr>
        <w:tc>
          <w:tcPr>
            <w:tcW w:w="5000" w:type="pct"/>
            <w:gridSpan w:val="12"/>
            <w:shd w:val="clear" w:color="auto" w:fill="auto"/>
            <w:vAlign w:val="center"/>
          </w:tcPr>
          <w:p>
            <w:pPr>
              <w:tabs>
                <w:tab w:val="left" w:pos="1350"/>
                <w:tab w:val="left" w:pos="1560"/>
              </w:tabs>
              <w:ind w:firstLine="480"/>
              <w:jc w:val="both"/>
              <w:rPr>
                <w:color w:val="auto"/>
              </w:rPr>
            </w:pPr>
            <w:r>
              <w:rPr>
                <w:rFonts w:hint="eastAsia"/>
                <w:color w:val="auto"/>
              </w:rPr>
              <w:t>根据《中华人民共和国环境影响评价法》、《建设项目环境保护管理条例》（国务院第682号令）及《建设项目环境影响评价分类管理名录》（2018年修正）等有关规定，本项目属于“十二、印刷和记录媒介复制业-30、印刷厂；磁材料制品”，应当编制环境影响报告表。益阳三鼎包装有限公司委托湖南欣森宏景环境评估有限公司对该项目进行环境影响评价。我单位受委托后，派有关工程技术人员到现场进行调查和资料收集，按照国家有关环评技术规范要求，编制完成该项目环境影响报告表。</w:t>
            </w:r>
          </w:p>
          <w:p>
            <w:pPr>
              <w:spacing w:line="440" w:lineRule="exact"/>
              <w:ind w:firstLine="472" w:firstLineChars="196"/>
              <w:jc w:val="both"/>
              <w:textAlignment w:val="baseline"/>
              <w:rPr>
                <w:b/>
                <w:color w:val="auto"/>
              </w:rPr>
            </w:pPr>
            <w:r>
              <w:rPr>
                <w:b/>
                <w:color w:val="auto"/>
              </w:rPr>
              <w:t>2</w:t>
            </w:r>
            <w:r>
              <w:rPr>
                <w:rFonts w:hAnsi="宋体"/>
                <w:b/>
                <w:color w:val="auto"/>
              </w:rPr>
              <w:t>、编制依据</w:t>
            </w:r>
          </w:p>
          <w:p>
            <w:pPr>
              <w:spacing w:line="440" w:lineRule="exact"/>
              <w:ind w:firstLine="472" w:firstLineChars="196"/>
              <w:jc w:val="both"/>
              <w:textAlignment w:val="baseline"/>
              <w:rPr>
                <w:b/>
                <w:color w:val="auto"/>
              </w:rPr>
            </w:pPr>
            <w:r>
              <w:rPr>
                <w:b/>
                <w:color w:val="auto"/>
              </w:rPr>
              <w:t>2.1</w:t>
            </w:r>
            <w:r>
              <w:rPr>
                <w:rFonts w:hAnsi="宋体"/>
                <w:b/>
                <w:color w:val="auto"/>
              </w:rPr>
              <w:t>法律法规及相关政策</w:t>
            </w:r>
          </w:p>
          <w:p>
            <w:pPr>
              <w:adjustRightInd w:val="0"/>
              <w:snapToGrid w:val="0"/>
              <w:ind w:firstLine="480"/>
              <w:rPr>
                <w:color w:val="auto"/>
                <w:szCs w:val="20"/>
              </w:rPr>
            </w:pPr>
            <w:r>
              <w:rPr>
                <w:rFonts w:hint="eastAsia"/>
                <w:color w:val="auto"/>
                <w:szCs w:val="20"/>
              </w:rPr>
              <w:t>（1）</w:t>
            </w:r>
            <w:r>
              <w:rPr>
                <w:color w:val="auto"/>
                <w:szCs w:val="20"/>
              </w:rPr>
              <w:t>《中华人民共和国环境保护法》（2015年1月1日施行）；</w:t>
            </w:r>
          </w:p>
          <w:p>
            <w:pPr>
              <w:adjustRightInd w:val="0"/>
              <w:snapToGrid w:val="0"/>
              <w:ind w:firstLine="480"/>
              <w:rPr>
                <w:color w:val="auto"/>
                <w:szCs w:val="20"/>
              </w:rPr>
            </w:pPr>
            <w:r>
              <w:rPr>
                <w:rFonts w:hint="eastAsia"/>
                <w:color w:val="auto"/>
                <w:szCs w:val="20"/>
              </w:rPr>
              <w:t>（2）</w:t>
            </w:r>
            <w:r>
              <w:rPr>
                <w:color w:val="auto"/>
                <w:szCs w:val="20"/>
              </w:rPr>
              <w:t>《中华人民共和国大气污染防治法》（201</w:t>
            </w:r>
            <w:r>
              <w:rPr>
                <w:rFonts w:hint="eastAsia"/>
                <w:color w:val="auto"/>
                <w:szCs w:val="20"/>
              </w:rPr>
              <w:t>8</w:t>
            </w:r>
            <w:r>
              <w:rPr>
                <w:color w:val="auto"/>
                <w:szCs w:val="20"/>
              </w:rPr>
              <w:t>年1</w:t>
            </w:r>
            <w:r>
              <w:rPr>
                <w:rFonts w:hint="eastAsia"/>
                <w:color w:val="auto"/>
                <w:szCs w:val="20"/>
              </w:rPr>
              <w:t>0</w:t>
            </w:r>
            <w:r>
              <w:rPr>
                <w:color w:val="auto"/>
                <w:szCs w:val="20"/>
              </w:rPr>
              <w:t>月</w:t>
            </w:r>
            <w:r>
              <w:rPr>
                <w:rFonts w:hint="eastAsia"/>
                <w:color w:val="auto"/>
                <w:szCs w:val="20"/>
              </w:rPr>
              <w:t>26</w:t>
            </w:r>
            <w:r>
              <w:rPr>
                <w:color w:val="auto"/>
                <w:szCs w:val="20"/>
              </w:rPr>
              <w:t>日</w:t>
            </w:r>
            <w:r>
              <w:rPr>
                <w:rFonts w:hint="eastAsia"/>
                <w:color w:val="auto"/>
                <w:szCs w:val="20"/>
              </w:rPr>
              <w:t>修正</w:t>
            </w:r>
            <w:r>
              <w:rPr>
                <w:color w:val="auto"/>
                <w:szCs w:val="20"/>
              </w:rPr>
              <w:t>）；</w:t>
            </w:r>
          </w:p>
          <w:p>
            <w:pPr>
              <w:adjustRightInd w:val="0"/>
              <w:snapToGrid w:val="0"/>
              <w:ind w:firstLine="480"/>
              <w:rPr>
                <w:color w:val="auto"/>
                <w:szCs w:val="20"/>
              </w:rPr>
            </w:pPr>
            <w:r>
              <w:rPr>
                <w:rFonts w:hint="eastAsia"/>
                <w:color w:val="auto"/>
                <w:szCs w:val="20"/>
              </w:rPr>
              <w:t>（3）</w:t>
            </w:r>
            <w:r>
              <w:rPr>
                <w:color w:val="auto"/>
                <w:szCs w:val="20"/>
              </w:rPr>
              <w:t>《中华人民共和国水污染防治法》（</w:t>
            </w:r>
            <w:r>
              <w:rPr>
                <w:rFonts w:hint="eastAsia"/>
                <w:color w:val="auto"/>
                <w:szCs w:val="20"/>
              </w:rPr>
              <w:t>2018年1月1日施行</w:t>
            </w:r>
            <w:r>
              <w:rPr>
                <w:color w:val="auto"/>
                <w:szCs w:val="20"/>
              </w:rPr>
              <w:t>）；</w:t>
            </w:r>
          </w:p>
          <w:p>
            <w:pPr>
              <w:adjustRightInd w:val="0"/>
              <w:snapToGrid w:val="0"/>
              <w:ind w:firstLine="480"/>
              <w:rPr>
                <w:color w:val="auto"/>
                <w:szCs w:val="20"/>
              </w:rPr>
            </w:pPr>
            <w:r>
              <w:rPr>
                <w:rFonts w:hint="eastAsia"/>
                <w:color w:val="auto"/>
                <w:szCs w:val="20"/>
              </w:rPr>
              <w:t>（4）</w:t>
            </w:r>
            <w:r>
              <w:rPr>
                <w:color w:val="auto"/>
                <w:szCs w:val="20"/>
              </w:rPr>
              <w:t>《中华人民共和国固体废物污染环境防治法》（</w:t>
            </w:r>
            <w:r>
              <w:rPr>
                <w:rFonts w:hint="eastAsia"/>
                <w:color w:val="auto"/>
                <w:szCs w:val="20"/>
              </w:rPr>
              <w:t>2020年4月29日修正</w:t>
            </w:r>
            <w:r>
              <w:rPr>
                <w:color w:val="auto"/>
                <w:szCs w:val="20"/>
              </w:rPr>
              <w:t>）；</w:t>
            </w:r>
          </w:p>
          <w:p>
            <w:pPr>
              <w:adjustRightInd w:val="0"/>
              <w:snapToGrid w:val="0"/>
              <w:ind w:firstLine="480"/>
              <w:rPr>
                <w:color w:val="auto"/>
                <w:szCs w:val="20"/>
              </w:rPr>
            </w:pPr>
            <w:r>
              <w:rPr>
                <w:rFonts w:hint="eastAsia"/>
                <w:color w:val="auto"/>
                <w:szCs w:val="20"/>
              </w:rPr>
              <w:t>（5）</w:t>
            </w:r>
            <w:r>
              <w:rPr>
                <w:color w:val="auto"/>
                <w:szCs w:val="20"/>
              </w:rPr>
              <w:t>《中华人民共和国环境噪声污染防治法》（</w:t>
            </w:r>
            <w:r>
              <w:rPr>
                <w:rFonts w:hint="eastAsia"/>
                <w:color w:val="auto"/>
                <w:szCs w:val="20"/>
              </w:rPr>
              <w:t>2018</w:t>
            </w:r>
            <w:r>
              <w:rPr>
                <w:color w:val="auto"/>
                <w:szCs w:val="20"/>
              </w:rPr>
              <w:t>年</w:t>
            </w:r>
            <w:r>
              <w:rPr>
                <w:rFonts w:hint="eastAsia"/>
                <w:color w:val="auto"/>
                <w:szCs w:val="20"/>
              </w:rPr>
              <w:t>12</w:t>
            </w:r>
            <w:r>
              <w:rPr>
                <w:color w:val="auto"/>
                <w:szCs w:val="20"/>
              </w:rPr>
              <w:t>月</w:t>
            </w:r>
            <w:r>
              <w:rPr>
                <w:rFonts w:hint="eastAsia"/>
                <w:color w:val="auto"/>
                <w:szCs w:val="20"/>
              </w:rPr>
              <w:t>29</w:t>
            </w:r>
            <w:r>
              <w:rPr>
                <w:color w:val="auto"/>
                <w:szCs w:val="20"/>
              </w:rPr>
              <w:t>日</w:t>
            </w:r>
            <w:r>
              <w:rPr>
                <w:rFonts w:hint="eastAsia"/>
                <w:color w:val="auto"/>
                <w:szCs w:val="20"/>
              </w:rPr>
              <w:t>修正</w:t>
            </w:r>
            <w:r>
              <w:rPr>
                <w:color w:val="auto"/>
                <w:szCs w:val="20"/>
              </w:rPr>
              <w:t>）；</w:t>
            </w:r>
          </w:p>
          <w:p>
            <w:pPr>
              <w:adjustRightInd w:val="0"/>
              <w:snapToGrid w:val="0"/>
              <w:ind w:firstLine="480"/>
              <w:rPr>
                <w:color w:val="auto"/>
                <w:szCs w:val="20"/>
              </w:rPr>
            </w:pPr>
            <w:r>
              <w:rPr>
                <w:rFonts w:hint="eastAsia"/>
                <w:color w:val="auto"/>
                <w:szCs w:val="20"/>
              </w:rPr>
              <w:t>（6）</w:t>
            </w:r>
            <w:r>
              <w:rPr>
                <w:color w:val="auto"/>
                <w:szCs w:val="20"/>
              </w:rPr>
              <w:t>《中华人民共和国环境影响评价法》（</w:t>
            </w:r>
            <w:r>
              <w:rPr>
                <w:rFonts w:hint="eastAsia"/>
                <w:color w:val="auto"/>
                <w:szCs w:val="20"/>
              </w:rPr>
              <w:t>2018</w:t>
            </w:r>
            <w:r>
              <w:rPr>
                <w:color w:val="auto"/>
                <w:szCs w:val="20"/>
              </w:rPr>
              <w:t>年</w:t>
            </w:r>
            <w:r>
              <w:rPr>
                <w:rFonts w:hint="eastAsia"/>
                <w:color w:val="auto"/>
                <w:szCs w:val="20"/>
              </w:rPr>
              <w:t>12</w:t>
            </w:r>
            <w:r>
              <w:rPr>
                <w:color w:val="auto"/>
                <w:szCs w:val="20"/>
              </w:rPr>
              <w:t>月</w:t>
            </w:r>
            <w:r>
              <w:rPr>
                <w:rFonts w:hint="eastAsia"/>
                <w:color w:val="auto"/>
                <w:szCs w:val="20"/>
              </w:rPr>
              <w:t>29</w:t>
            </w:r>
            <w:r>
              <w:rPr>
                <w:color w:val="auto"/>
                <w:szCs w:val="20"/>
              </w:rPr>
              <w:t>日</w:t>
            </w:r>
            <w:r>
              <w:rPr>
                <w:rFonts w:hint="eastAsia"/>
                <w:color w:val="auto"/>
                <w:szCs w:val="20"/>
              </w:rPr>
              <w:t>修正</w:t>
            </w:r>
            <w:r>
              <w:rPr>
                <w:color w:val="auto"/>
                <w:szCs w:val="20"/>
              </w:rPr>
              <w:t>）；</w:t>
            </w:r>
          </w:p>
          <w:p>
            <w:pPr>
              <w:adjustRightInd w:val="0"/>
              <w:snapToGrid w:val="0"/>
              <w:ind w:firstLine="480"/>
              <w:rPr>
                <w:color w:val="auto"/>
                <w:szCs w:val="20"/>
              </w:rPr>
            </w:pPr>
            <w:r>
              <w:rPr>
                <w:rFonts w:hint="eastAsia"/>
                <w:color w:val="auto"/>
                <w:szCs w:val="20"/>
              </w:rPr>
              <w:t>（7）</w:t>
            </w:r>
            <w:r>
              <w:rPr>
                <w:color w:val="auto"/>
                <w:szCs w:val="20"/>
              </w:rPr>
              <w:t>《建设项目环境保护管理条例》</w:t>
            </w:r>
            <w:r>
              <w:rPr>
                <w:rFonts w:hint="eastAsia"/>
                <w:color w:val="auto"/>
                <w:szCs w:val="20"/>
              </w:rPr>
              <w:t>（国务院令第682号，2017年10月1日施行）</w:t>
            </w:r>
            <w:r>
              <w:rPr>
                <w:color w:val="auto"/>
                <w:szCs w:val="20"/>
              </w:rPr>
              <w:t>；</w:t>
            </w:r>
          </w:p>
          <w:p>
            <w:pPr>
              <w:adjustRightInd w:val="0"/>
              <w:snapToGrid w:val="0"/>
              <w:ind w:firstLine="480"/>
              <w:rPr>
                <w:color w:val="auto"/>
                <w:szCs w:val="20"/>
              </w:rPr>
            </w:pPr>
            <w:r>
              <w:rPr>
                <w:rFonts w:hint="eastAsia"/>
                <w:color w:val="auto"/>
                <w:szCs w:val="20"/>
              </w:rPr>
              <w:t>（8）</w:t>
            </w:r>
            <w:r>
              <w:rPr>
                <w:color w:val="auto"/>
                <w:szCs w:val="20"/>
              </w:rPr>
              <w:t>《建设项目环境影响评价分类管理名录》（</w:t>
            </w:r>
            <w:r>
              <w:rPr>
                <w:rFonts w:hint="eastAsia"/>
                <w:color w:val="auto"/>
                <w:szCs w:val="20"/>
              </w:rPr>
              <w:t>环境保护部令第44号，2018年4月28日修正</w:t>
            </w:r>
            <w:r>
              <w:rPr>
                <w:color w:val="auto"/>
                <w:szCs w:val="20"/>
              </w:rPr>
              <w:t>）；</w:t>
            </w:r>
          </w:p>
          <w:p>
            <w:pPr>
              <w:adjustRightInd w:val="0"/>
              <w:snapToGrid w:val="0"/>
              <w:ind w:firstLine="480"/>
              <w:rPr>
                <w:color w:val="auto"/>
                <w:szCs w:val="20"/>
              </w:rPr>
            </w:pPr>
            <w:r>
              <w:rPr>
                <w:rFonts w:hint="eastAsia"/>
                <w:color w:val="auto"/>
                <w:szCs w:val="20"/>
              </w:rPr>
              <w:t>（9）</w:t>
            </w:r>
            <w:r>
              <w:rPr>
                <w:color w:val="auto"/>
                <w:szCs w:val="20"/>
              </w:rPr>
              <w:t>《大气污染防治行动计划》（国发〔2013〕37号，2013年9月10日施行）；</w:t>
            </w:r>
          </w:p>
          <w:p>
            <w:pPr>
              <w:adjustRightInd w:val="0"/>
              <w:snapToGrid w:val="0"/>
              <w:ind w:firstLine="480"/>
              <w:rPr>
                <w:color w:val="auto"/>
                <w:szCs w:val="20"/>
              </w:rPr>
            </w:pPr>
            <w:r>
              <w:rPr>
                <w:rFonts w:hint="eastAsia"/>
                <w:color w:val="auto"/>
                <w:szCs w:val="20"/>
              </w:rPr>
              <w:t>（10）</w:t>
            </w:r>
            <w:r>
              <w:rPr>
                <w:color w:val="auto"/>
                <w:szCs w:val="20"/>
              </w:rPr>
              <w:t>《水污染防治行动计划》（国发〔2015〕17号，2015年4月2日施行）；</w:t>
            </w:r>
          </w:p>
          <w:p>
            <w:pPr>
              <w:adjustRightInd w:val="0"/>
              <w:snapToGrid w:val="0"/>
              <w:ind w:firstLine="480"/>
              <w:rPr>
                <w:color w:val="auto"/>
                <w:szCs w:val="20"/>
              </w:rPr>
            </w:pPr>
            <w:r>
              <w:rPr>
                <w:rFonts w:hint="eastAsia"/>
                <w:color w:val="auto"/>
                <w:szCs w:val="20"/>
              </w:rPr>
              <w:t>（11）《湖南省大气污染防治条例》（2017 年 6 月 1 日起施行）；</w:t>
            </w:r>
          </w:p>
          <w:p>
            <w:pPr>
              <w:adjustRightInd w:val="0"/>
              <w:snapToGrid w:val="0"/>
              <w:ind w:firstLine="480"/>
              <w:rPr>
                <w:color w:val="auto"/>
                <w:szCs w:val="20"/>
              </w:rPr>
            </w:pPr>
            <w:r>
              <w:rPr>
                <w:rFonts w:hint="eastAsia"/>
                <w:color w:val="auto"/>
                <w:szCs w:val="20"/>
              </w:rPr>
              <w:t>（12）《湖南省贯彻落实〈水污染防治行动计划〉实施方案（2016-2020 年）》（湘政发〔2015〕53 号，2015 年 12 月 31 日）；</w:t>
            </w:r>
          </w:p>
          <w:p>
            <w:pPr>
              <w:adjustRightInd w:val="0"/>
              <w:snapToGrid w:val="0"/>
              <w:ind w:firstLine="480"/>
              <w:rPr>
                <w:color w:val="auto"/>
                <w:szCs w:val="20"/>
              </w:rPr>
            </w:pPr>
            <w:r>
              <w:rPr>
                <w:rFonts w:hint="eastAsia"/>
                <w:color w:val="auto"/>
                <w:szCs w:val="20"/>
              </w:rPr>
              <w:t>（13）《产业结构调整指导目录（2019 年本）》；</w:t>
            </w:r>
          </w:p>
          <w:p>
            <w:pPr>
              <w:adjustRightInd w:val="0"/>
              <w:snapToGrid w:val="0"/>
              <w:ind w:firstLine="480"/>
              <w:rPr>
                <w:color w:val="auto"/>
                <w:szCs w:val="20"/>
              </w:rPr>
            </w:pPr>
            <w:r>
              <w:rPr>
                <w:rFonts w:hint="eastAsia"/>
                <w:color w:val="auto"/>
                <w:szCs w:val="20"/>
              </w:rPr>
              <w:t>（14）《湖南省主要水系地表水环境功能区划》（DB43/023-2005）；</w:t>
            </w:r>
          </w:p>
          <w:p>
            <w:pPr>
              <w:adjustRightInd w:val="0"/>
              <w:snapToGrid w:val="0"/>
              <w:ind w:firstLine="480"/>
              <w:rPr>
                <w:color w:val="auto"/>
                <w:szCs w:val="20"/>
              </w:rPr>
            </w:pPr>
            <w:r>
              <w:rPr>
                <w:rFonts w:hint="eastAsia"/>
                <w:color w:val="auto"/>
                <w:szCs w:val="20"/>
              </w:rPr>
              <w:t>（15）《湖南省人民政府关于公布湖南省县级以上地表水集中式饮用水水源保护区划定方案的通知》（湘政函〔2016〕176 号，2016 年 12 月 30 日）；</w:t>
            </w:r>
          </w:p>
          <w:p>
            <w:pPr>
              <w:adjustRightInd w:val="0"/>
              <w:snapToGrid w:val="0"/>
              <w:ind w:firstLine="480"/>
              <w:rPr>
                <w:color w:val="auto"/>
                <w:szCs w:val="20"/>
              </w:rPr>
            </w:pPr>
            <w:r>
              <w:rPr>
                <w:rFonts w:hint="eastAsia"/>
                <w:color w:val="auto"/>
                <w:szCs w:val="20"/>
              </w:rPr>
              <w:t>（16）《中华人民共和国可再生资源法》（2006 年 1 月 1 日起施行）</w:t>
            </w:r>
          </w:p>
          <w:p>
            <w:pPr>
              <w:adjustRightInd w:val="0"/>
              <w:snapToGrid w:val="0"/>
              <w:ind w:firstLine="480"/>
              <w:rPr>
                <w:color w:val="auto"/>
                <w:szCs w:val="20"/>
              </w:rPr>
            </w:pPr>
            <w:r>
              <w:rPr>
                <w:rFonts w:hint="eastAsia"/>
                <w:color w:val="auto"/>
                <w:szCs w:val="20"/>
              </w:rPr>
              <w:t>（17）《土壤污染防治行动计划》（国发〔2016〕31号，2016年5月28日施行）</w:t>
            </w:r>
            <w:r>
              <w:rPr>
                <w:color w:val="auto"/>
                <w:szCs w:val="20"/>
              </w:rPr>
              <w:t>。</w:t>
            </w:r>
          </w:p>
          <w:p>
            <w:pPr>
              <w:pStyle w:val="2"/>
              <w:ind w:left="0" w:leftChars="0" w:firstLine="480"/>
              <w:rPr>
                <w:color w:val="auto"/>
                <w:szCs w:val="20"/>
                <w:u w:val="single"/>
              </w:rPr>
            </w:pPr>
            <w:r>
              <w:rPr>
                <w:rFonts w:hint="eastAsia"/>
                <w:color w:val="auto"/>
                <w:szCs w:val="20"/>
                <w:u w:val="single"/>
              </w:rPr>
              <w:t>（18）《“十三五”挥发性有机物污染防治工作方案》（环大气[2017]121号）》</w:t>
            </w:r>
          </w:p>
          <w:p>
            <w:pPr>
              <w:pStyle w:val="2"/>
              <w:ind w:left="0" w:leftChars="0" w:firstLine="480"/>
              <w:rPr>
                <w:color w:val="auto"/>
                <w:szCs w:val="20"/>
                <w:u w:val="single"/>
              </w:rPr>
            </w:pPr>
            <w:r>
              <w:rPr>
                <w:rFonts w:hint="eastAsia"/>
                <w:color w:val="auto"/>
                <w:szCs w:val="20"/>
                <w:u w:val="single"/>
              </w:rPr>
              <w:t>（19）《湖南省污染防治攻坚战三年行动计划》</w:t>
            </w:r>
          </w:p>
          <w:p>
            <w:pPr>
              <w:pStyle w:val="2"/>
              <w:ind w:left="0" w:leftChars="0" w:firstLine="480"/>
              <w:rPr>
                <w:color w:val="auto"/>
                <w:szCs w:val="20"/>
                <w:u w:val="single"/>
              </w:rPr>
            </w:pPr>
            <w:r>
              <w:rPr>
                <w:rFonts w:hint="eastAsia"/>
                <w:color w:val="auto"/>
                <w:szCs w:val="20"/>
                <w:u w:val="single"/>
              </w:rPr>
              <w:t>（20）《湖南省VOCs污染防治三年实施方案》（湘环发〔2018〕11号）</w:t>
            </w:r>
          </w:p>
          <w:p>
            <w:pPr>
              <w:spacing w:line="440" w:lineRule="exact"/>
              <w:ind w:firstLine="472" w:firstLineChars="196"/>
              <w:jc w:val="both"/>
              <w:textAlignment w:val="baseline"/>
              <w:rPr>
                <w:b/>
                <w:color w:val="auto"/>
              </w:rPr>
            </w:pPr>
            <w:r>
              <w:rPr>
                <w:b/>
                <w:color w:val="auto"/>
              </w:rPr>
              <w:t>2.2</w:t>
            </w:r>
            <w:r>
              <w:rPr>
                <w:rFonts w:hAnsi="宋体"/>
                <w:b/>
                <w:color w:val="auto"/>
              </w:rPr>
              <w:t>技术规范</w:t>
            </w:r>
          </w:p>
          <w:p>
            <w:pPr>
              <w:spacing w:line="440" w:lineRule="exact"/>
              <w:ind w:firstLine="480"/>
              <w:jc w:val="both"/>
              <w:rPr>
                <w:color w:val="auto"/>
              </w:rPr>
            </w:pPr>
            <w:r>
              <w:rPr>
                <w:rFonts w:hint="eastAsia"/>
                <w:color w:val="auto"/>
              </w:rPr>
              <w:t>（1）《建设项目环境影响评价技术导则  总纲》（HJ 2.1-2016）</w:t>
            </w:r>
            <w:r>
              <w:rPr>
                <w:color w:val="auto"/>
              </w:rPr>
              <w:t>；</w:t>
            </w:r>
          </w:p>
          <w:p>
            <w:pPr>
              <w:spacing w:line="440" w:lineRule="exact"/>
              <w:ind w:firstLine="480"/>
              <w:jc w:val="both"/>
              <w:rPr>
                <w:color w:val="auto"/>
              </w:rPr>
            </w:pPr>
            <w:r>
              <w:rPr>
                <w:rFonts w:hint="eastAsia"/>
                <w:color w:val="auto"/>
              </w:rPr>
              <w:t>（2）《环境影响评价技术导则 土壤环境（试行）》（HJ964-2018）</w:t>
            </w:r>
            <w:r>
              <w:rPr>
                <w:color w:val="auto"/>
              </w:rPr>
              <w:t>；</w:t>
            </w:r>
          </w:p>
          <w:p>
            <w:pPr>
              <w:spacing w:line="440" w:lineRule="exact"/>
              <w:ind w:firstLine="480"/>
              <w:jc w:val="both"/>
              <w:rPr>
                <w:color w:val="auto"/>
              </w:rPr>
            </w:pPr>
            <w:r>
              <w:rPr>
                <w:rFonts w:hint="eastAsia"/>
                <w:color w:val="auto"/>
              </w:rPr>
              <w:t>（3）</w:t>
            </w:r>
            <w:r>
              <w:rPr>
                <w:color w:val="auto"/>
              </w:rPr>
              <w:t>《环境影响评价技术导则  大气环境》（HJ 2.2-20</w:t>
            </w:r>
            <w:r>
              <w:rPr>
                <w:rFonts w:hint="eastAsia"/>
                <w:color w:val="auto"/>
              </w:rPr>
              <w:t>1</w:t>
            </w:r>
            <w:r>
              <w:rPr>
                <w:color w:val="auto"/>
              </w:rPr>
              <w:t>8）；</w:t>
            </w:r>
          </w:p>
          <w:p>
            <w:pPr>
              <w:spacing w:line="440" w:lineRule="exact"/>
              <w:ind w:firstLine="480"/>
              <w:jc w:val="both"/>
              <w:rPr>
                <w:color w:val="auto"/>
              </w:rPr>
            </w:pPr>
            <w:r>
              <w:rPr>
                <w:rFonts w:hint="eastAsia"/>
                <w:color w:val="auto"/>
              </w:rPr>
              <w:t>（4）</w:t>
            </w:r>
            <w:r>
              <w:rPr>
                <w:color w:val="auto"/>
              </w:rPr>
              <w:t>《环境影响评价技术导则  地</w:t>
            </w:r>
            <w:r>
              <w:rPr>
                <w:rFonts w:hint="eastAsia"/>
                <w:color w:val="auto"/>
              </w:rPr>
              <w:t>表</w:t>
            </w:r>
            <w:r>
              <w:rPr>
                <w:color w:val="auto"/>
              </w:rPr>
              <w:t>水环境》（HJ/ 2.3-</w:t>
            </w:r>
            <w:r>
              <w:rPr>
                <w:rFonts w:hint="eastAsia"/>
                <w:color w:val="auto"/>
              </w:rPr>
              <w:t>2018</w:t>
            </w:r>
            <w:r>
              <w:rPr>
                <w:color w:val="auto"/>
              </w:rPr>
              <w:t>）；</w:t>
            </w:r>
          </w:p>
          <w:p>
            <w:pPr>
              <w:spacing w:line="440" w:lineRule="exact"/>
              <w:ind w:firstLine="480"/>
              <w:jc w:val="both"/>
              <w:rPr>
                <w:color w:val="auto"/>
              </w:rPr>
            </w:pPr>
            <w:r>
              <w:rPr>
                <w:rFonts w:hint="eastAsia"/>
                <w:color w:val="auto"/>
              </w:rPr>
              <w:t>（5）</w:t>
            </w:r>
            <w:r>
              <w:rPr>
                <w:color w:val="auto"/>
              </w:rPr>
              <w:t>《环境影响评价技术导则  声环境》（HJ 2.4-2009）；</w:t>
            </w:r>
          </w:p>
          <w:p>
            <w:pPr>
              <w:spacing w:line="440" w:lineRule="exact"/>
              <w:ind w:firstLine="480"/>
              <w:jc w:val="both"/>
              <w:rPr>
                <w:color w:val="auto"/>
              </w:rPr>
            </w:pPr>
            <w:r>
              <w:rPr>
                <w:rFonts w:hint="eastAsia"/>
                <w:color w:val="auto"/>
              </w:rPr>
              <w:t>（6）</w:t>
            </w:r>
            <w:r>
              <w:rPr>
                <w:color w:val="auto"/>
              </w:rPr>
              <w:t>《环境影响评价技术导则  生态影响》（HJ19-2011）；</w:t>
            </w:r>
          </w:p>
          <w:p>
            <w:pPr>
              <w:spacing w:line="440" w:lineRule="exact"/>
              <w:ind w:firstLine="480"/>
              <w:jc w:val="both"/>
              <w:rPr>
                <w:color w:val="auto"/>
              </w:rPr>
            </w:pPr>
            <w:r>
              <w:rPr>
                <w:rFonts w:hint="eastAsia"/>
                <w:color w:val="auto"/>
              </w:rPr>
              <w:t>（7）</w:t>
            </w:r>
            <w:r>
              <w:rPr>
                <w:color w:val="auto"/>
              </w:rPr>
              <w:t>《建设项目环境风险评价技术导则》（HJ/1</w:t>
            </w:r>
            <w:r>
              <w:rPr>
                <w:rFonts w:hint="eastAsia"/>
                <w:color w:val="auto"/>
              </w:rPr>
              <w:t>6</w:t>
            </w:r>
            <w:r>
              <w:rPr>
                <w:color w:val="auto"/>
              </w:rPr>
              <w:t>9-20</w:t>
            </w:r>
            <w:r>
              <w:rPr>
                <w:rFonts w:hint="eastAsia"/>
                <w:color w:val="auto"/>
              </w:rPr>
              <w:t>18</w:t>
            </w:r>
            <w:r>
              <w:rPr>
                <w:color w:val="auto"/>
              </w:rPr>
              <w:t>）</w:t>
            </w:r>
            <w:r>
              <w:rPr>
                <w:rFonts w:hint="eastAsia"/>
                <w:color w:val="auto"/>
              </w:rPr>
              <w:t>；</w:t>
            </w:r>
          </w:p>
          <w:p>
            <w:pPr>
              <w:spacing w:line="440" w:lineRule="exact"/>
              <w:ind w:firstLine="480"/>
              <w:jc w:val="both"/>
              <w:rPr>
                <w:color w:val="auto"/>
              </w:rPr>
            </w:pPr>
            <w:r>
              <w:rPr>
                <w:rFonts w:hint="eastAsia"/>
                <w:color w:val="auto"/>
              </w:rPr>
              <w:t>（8）</w:t>
            </w:r>
            <w:r>
              <w:rPr>
                <w:color w:val="auto"/>
              </w:rPr>
              <w:t>《固体废物处理处置工程技术导则》（HJ2035-2013）；</w:t>
            </w:r>
          </w:p>
          <w:p>
            <w:pPr>
              <w:spacing w:line="440" w:lineRule="exact"/>
              <w:ind w:firstLine="480"/>
              <w:jc w:val="both"/>
              <w:rPr>
                <w:color w:val="auto"/>
              </w:rPr>
            </w:pPr>
            <w:r>
              <w:rPr>
                <w:rFonts w:hint="eastAsia"/>
                <w:color w:val="auto"/>
              </w:rPr>
              <w:t>（9）《</w:t>
            </w:r>
            <w:r>
              <w:rPr>
                <w:color w:val="auto"/>
              </w:rPr>
              <w:t>排污单位自行监测技术指南 总则》（HJ819-2017）。</w:t>
            </w:r>
          </w:p>
          <w:p>
            <w:pPr>
              <w:pStyle w:val="2"/>
              <w:ind w:left="0" w:leftChars="0" w:firstLine="480"/>
              <w:rPr>
                <w:color w:val="auto"/>
              </w:rPr>
            </w:pPr>
            <w:r>
              <w:rPr>
                <w:rFonts w:hint="eastAsia"/>
                <w:color w:val="auto"/>
                <w:szCs w:val="20"/>
                <w:u w:val="single"/>
              </w:rPr>
              <w:t>（10）《排污许可证申请与核发技术规范 印刷工业》（HJ 1066-2019）</w:t>
            </w:r>
          </w:p>
          <w:p>
            <w:pPr>
              <w:spacing w:line="440" w:lineRule="exact"/>
              <w:ind w:firstLine="472" w:firstLineChars="196"/>
              <w:jc w:val="both"/>
              <w:textAlignment w:val="baseline"/>
              <w:rPr>
                <w:b/>
                <w:color w:val="auto"/>
              </w:rPr>
            </w:pPr>
            <w:r>
              <w:rPr>
                <w:b/>
                <w:color w:val="auto"/>
              </w:rPr>
              <w:t>2.3</w:t>
            </w:r>
            <w:r>
              <w:rPr>
                <w:rFonts w:hAnsi="宋体"/>
                <w:b/>
                <w:color w:val="auto"/>
              </w:rPr>
              <w:t>其他有关文件</w:t>
            </w:r>
          </w:p>
          <w:p>
            <w:pPr>
              <w:pStyle w:val="61"/>
              <w:numPr>
                <w:ilvl w:val="0"/>
                <w:numId w:val="2"/>
              </w:numPr>
              <w:ind w:firstLineChars="0"/>
              <w:rPr>
                <w:color w:val="auto"/>
              </w:rPr>
            </w:pPr>
            <w:r>
              <w:rPr>
                <w:rFonts w:hint="eastAsia"/>
                <w:color w:val="auto"/>
              </w:rPr>
              <w:t>益阳三鼎包装有限公司提供的相关资料。</w:t>
            </w:r>
          </w:p>
          <w:p>
            <w:pPr>
              <w:ind w:firstLine="480"/>
              <w:jc w:val="both"/>
              <w:rPr>
                <w:rFonts w:eastAsia="黑体"/>
                <w:color w:val="auto"/>
                <w:szCs w:val="32"/>
              </w:rPr>
            </w:pPr>
            <w:r>
              <w:rPr>
                <w:rFonts w:eastAsia="黑体"/>
                <w:color w:val="auto"/>
                <w:szCs w:val="32"/>
              </w:rPr>
              <w:t>二、项目建设规模与内容</w:t>
            </w:r>
          </w:p>
          <w:p>
            <w:pPr>
              <w:tabs>
                <w:tab w:val="left" w:pos="1350"/>
                <w:tab w:val="left" w:pos="1560"/>
              </w:tabs>
              <w:ind w:firstLine="577" w:firstLineChars="228"/>
              <w:jc w:val="both"/>
              <w:rPr>
                <w:b/>
                <w:color w:val="auto"/>
                <w:spacing w:val="6"/>
              </w:rPr>
            </w:pPr>
            <w:r>
              <w:rPr>
                <w:rFonts w:hint="eastAsia"/>
                <w:b/>
                <w:color w:val="auto"/>
                <w:spacing w:val="6"/>
              </w:rPr>
              <w:t>1、工程概况</w:t>
            </w:r>
          </w:p>
          <w:p>
            <w:pPr>
              <w:tabs>
                <w:tab w:val="left" w:pos="1350"/>
                <w:tab w:val="left" w:pos="1560"/>
              </w:tabs>
              <w:ind w:firstLine="574" w:firstLineChars="228"/>
              <w:jc w:val="both"/>
              <w:rPr>
                <w:color w:val="auto"/>
              </w:rPr>
            </w:pPr>
            <w:r>
              <w:rPr>
                <w:rFonts w:hint="eastAsia"/>
                <w:color w:val="auto"/>
                <w:spacing w:val="6"/>
              </w:rPr>
              <w:t>项目名称：</w:t>
            </w:r>
            <w:r>
              <w:rPr>
                <w:rFonts w:hint="eastAsia"/>
                <w:bCs/>
                <w:color w:val="auto"/>
              </w:rPr>
              <w:t>益阳三鼎包装有限公司年产100t食品包装袋建设项目</w:t>
            </w:r>
          </w:p>
          <w:p>
            <w:pPr>
              <w:tabs>
                <w:tab w:val="left" w:pos="1350"/>
                <w:tab w:val="left" w:pos="1560"/>
              </w:tabs>
              <w:ind w:firstLine="574" w:firstLineChars="228"/>
              <w:jc w:val="both"/>
              <w:rPr>
                <w:color w:val="auto"/>
                <w:spacing w:val="6"/>
              </w:rPr>
            </w:pPr>
            <w:r>
              <w:rPr>
                <w:rFonts w:hint="eastAsia"/>
                <w:color w:val="auto"/>
                <w:spacing w:val="6"/>
              </w:rPr>
              <w:t>总投资：500万元</w:t>
            </w:r>
          </w:p>
          <w:p>
            <w:pPr>
              <w:tabs>
                <w:tab w:val="left" w:pos="1350"/>
                <w:tab w:val="left" w:pos="1560"/>
              </w:tabs>
              <w:ind w:firstLine="574" w:firstLineChars="228"/>
              <w:jc w:val="both"/>
              <w:rPr>
                <w:color w:val="auto"/>
                <w:spacing w:val="6"/>
              </w:rPr>
            </w:pPr>
            <w:r>
              <w:rPr>
                <w:rFonts w:hint="eastAsia"/>
                <w:color w:val="auto"/>
                <w:spacing w:val="6"/>
              </w:rPr>
              <w:t>占地面积：4156m</w:t>
            </w:r>
            <w:r>
              <w:rPr>
                <w:rFonts w:hint="eastAsia"/>
                <w:color w:val="auto"/>
                <w:spacing w:val="6"/>
                <w:vertAlign w:val="superscript"/>
              </w:rPr>
              <w:t>2</w:t>
            </w:r>
          </w:p>
          <w:p>
            <w:pPr>
              <w:tabs>
                <w:tab w:val="left" w:pos="1350"/>
                <w:tab w:val="left" w:pos="1560"/>
              </w:tabs>
              <w:ind w:firstLine="574" w:firstLineChars="228"/>
              <w:jc w:val="both"/>
              <w:rPr>
                <w:rFonts w:hint="eastAsia" w:eastAsia="宋体"/>
                <w:color w:val="auto"/>
                <w:spacing w:val="6"/>
                <w:lang w:eastAsia="zh-CN"/>
              </w:rPr>
            </w:pPr>
            <w:r>
              <w:rPr>
                <w:rFonts w:hint="eastAsia"/>
                <w:color w:val="auto"/>
                <w:spacing w:val="6"/>
              </w:rPr>
              <w:t>建设性质：新建</w:t>
            </w:r>
            <w:r>
              <w:rPr>
                <w:rFonts w:hint="eastAsia"/>
                <w:color w:val="auto"/>
                <w:spacing w:val="6"/>
                <w:lang w:eastAsia="zh-CN"/>
              </w:rPr>
              <w:t>（迁建）</w:t>
            </w:r>
          </w:p>
          <w:p>
            <w:pPr>
              <w:tabs>
                <w:tab w:val="left" w:pos="1350"/>
                <w:tab w:val="left" w:pos="1560"/>
              </w:tabs>
              <w:ind w:firstLine="574" w:firstLineChars="228"/>
              <w:jc w:val="both"/>
              <w:rPr>
                <w:color w:val="auto"/>
              </w:rPr>
            </w:pPr>
            <w:r>
              <w:rPr>
                <w:rFonts w:hint="eastAsia"/>
                <w:color w:val="auto"/>
                <w:spacing w:val="6"/>
              </w:rPr>
              <w:t>建设地点：</w:t>
            </w:r>
            <w:r>
              <w:rPr>
                <w:rFonts w:hint="eastAsia"/>
                <w:color w:val="auto"/>
              </w:rPr>
              <w:t>湖南省沅江市高新技术产业园区中联大道与南洞庭湖大道交叉口东南侧，科旺公司原生产大楼第一层</w:t>
            </w:r>
          </w:p>
          <w:p>
            <w:pPr>
              <w:tabs>
                <w:tab w:val="left" w:pos="1350"/>
                <w:tab w:val="left" w:pos="1560"/>
              </w:tabs>
              <w:ind w:firstLine="547" w:firstLineChars="228"/>
              <w:jc w:val="both"/>
              <w:rPr>
                <w:color w:val="auto"/>
                <w:vertAlign w:val="superscript"/>
              </w:rPr>
            </w:pPr>
            <w:r>
              <w:rPr>
                <w:rFonts w:hint="eastAsia"/>
                <w:color w:val="auto"/>
              </w:rPr>
              <w:t>生产规模</w:t>
            </w:r>
            <w:r>
              <w:rPr>
                <w:rFonts w:hint="eastAsia"/>
                <w:color w:val="auto"/>
                <w:spacing w:val="6"/>
              </w:rPr>
              <w:t>：</w:t>
            </w:r>
            <w:r>
              <w:rPr>
                <w:rFonts w:hint="eastAsia"/>
                <w:color w:val="auto"/>
              </w:rPr>
              <w:t>年产100t食品包装袋。</w:t>
            </w:r>
          </w:p>
          <w:p>
            <w:pPr>
              <w:tabs>
                <w:tab w:val="left" w:pos="1350"/>
                <w:tab w:val="left" w:pos="1560"/>
              </w:tabs>
              <w:ind w:firstLine="547" w:firstLineChars="228"/>
              <w:jc w:val="both"/>
              <w:rPr>
                <w:color w:val="auto"/>
              </w:rPr>
            </w:pPr>
            <w:r>
              <w:rPr>
                <w:rFonts w:hint="eastAsia"/>
                <w:color w:val="auto"/>
              </w:rPr>
              <w:t>工作制度：职工20人，一天一班制，8h，年生产300天；</w:t>
            </w:r>
          </w:p>
          <w:p>
            <w:pPr>
              <w:tabs>
                <w:tab w:val="left" w:pos="1350"/>
                <w:tab w:val="left" w:pos="1560"/>
              </w:tabs>
              <w:ind w:firstLine="547" w:firstLineChars="228"/>
              <w:jc w:val="both"/>
              <w:rPr>
                <w:b/>
                <w:color w:val="auto"/>
              </w:rPr>
            </w:pPr>
            <w:r>
              <w:rPr>
                <w:rFonts w:hint="eastAsia"/>
                <w:color w:val="auto"/>
              </w:rPr>
              <w:t>项目组成：</w:t>
            </w:r>
            <w:r>
              <w:rPr>
                <w:color w:val="auto"/>
              </w:rPr>
              <w:t>项目主要由生产车间、</w:t>
            </w:r>
            <w:r>
              <w:rPr>
                <w:rFonts w:hint="eastAsia"/>
                <w:color w:val="auto"/>
              </w:rPr>
              <w:t>仓库、</w:t>
            </w:r>
            <w:r>
              <w:rPr>
                <w:color w:val="auto"/>
              </w:rPr>
              <w:t>办公室等组成</w:t>
            </w:r>
            <w:r>
              <w:rPr>
                <w:rFonts w:hint="eastAsia"/>
                <w:color w:val="auto"/>
              </w:rPr>
              <w:t>，项目组成表见表1-1。</w:t>
            </w:r>
          </w:p>
          <w:p>
            <w:pPr>
              <w:tabs>
                <w:tab w:val="left" w:pos="1350"/>
                <w:tab w:val="left" w:pos="1560"/>
              </w:tabs>
              <w:ind w:firstLine="0" w:firstLineChars="0"/>
              <w:jc w:val="center"/>
              <w:rPr>
                <w:b/>
                <w:color w:val="auto"/>
              </w:rPr>
            </w:pPr>
          </w:p>
          <w:p>
            <w:pPr>
              <w:tabs>
                <w:tab w:val="left" w:pos="1350"/>
                <w:tab w:val="left" w:pos="1560"/>
              </w:tabs>
              <w:ind w:firstLine="0" w:firstLineChars="0"/>
              <w:jc w:val="center"/>
              <w:rPr>
                <w:b/>
                <w:color w:val="auto"/>
              </w:rPr>
            </w:pPr>
            <w:r>
              <w:rPr>
                <w:rFonts w:hint="eastAsia"/>
                <w:b/>
                <w:color w:val="auto"/>
              </w:rPr>
              <w:t>表1-1</w:t>
            </w:r>
            <w:r>
              <w:rPr>
                <w:rFonts w:hint="eastAsia"/>
                <w:b/>
                <w:color w:val="auto"/>
                <w:lang w:val="en-US" w:eastAsia="zh-CN"/>
              </w:rPr>
              <w:t xml:space="preserve">   </w:t>
            </w:r>
            <w:r>
              <w:rPr>
                <w:rFonts w:hint="eastAsia"/>
                <w:b/>
                <w:color w:val="auto"/>
              </w:rPr>
              <w:t>建设项目组成一览表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814"/>
              <w:gridCol w:w="5357"/>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5" w:type="pct"/>
                  <w:gridSpan w:val="2"/>
                  <w:shd w:val="clear" w:color="auto" w:fill="auto"/>
                  <w:vAlign w:val="center"/>
                </w:tcPr>
                <w:p>
                  <w:pPr>
                    <w:tabs>
                      <w:tab w:val="left" w:pos="1350"/>
                      <w:tab w:val="left" w:pos="1560"/>
                    </w:tabs>
                    <w:spacing w:line="240" w:lineRule="auto"/>
                    <w:ind w:firstLine="0" w:firstLineChars="0"/>
                    <w:jc w:val="center"/>
                    <w:rPr>
                      <w:b/>
                      <w:color w:val="auto"/>
                      <w:sz w:val="21"/>
                      <w:szCs w:val="21"/>
                    </w:rPr>
                  </w:pPr>
                  <w:r>
                    <w:rPr>
                      <w:rFonts w:hint="eastAsia"/>
                      <w:b/>
                      <w:color w:val="auto"/>
                      <w:sz w:val="21"/>
                      <w:szCs w:val="21"/>
                    </w:rPr>
                    <w:t>工程组成</w:t>
                  </w:r>
                </w:p>
              </w:tc>
              <w:tc>
                <w:tcPr>
                  <w:tcW w:w="2956" w:type="pct"/>
                  <w:shd w:val="clear" w:color="auto" w:fill="auto"/>
                  <w:vAlign w:val="center"/>
                </w:tcPr>
                <w:p>
                  <w:pPr>
                    <w:tabs>
                      <w:tab w:val="left" w:pos="1350"/>
                      <w:tab w:val="left" w:pos="1560"/>
                    </w:tabs>
                    <w:spacing w:line="240" w:lineRule="auto"/>
                    <w:ind w:firstLine="0" w:firstLineChars="0"/>
                    <w:jc w:val="center"/>
                    <w:rPr>
                      <w:b/>
                      <w:color w:val="auto"/>
                      <w:sz w:val="21"/>
                      <w:szCs w:val="21"/>
                    </w:rPr>
                  </w:pPr>
                  <w:r>
                    <w:rPr>
                      <w:rFonts w:hint="eastAsia"/>
                      <w:b/>
                      <w:color w:val="auto"/>
                      <w:sz w:val="21"/>
                      <w:szCs w:val="21"/>
                    </w:rPr>
                    <w:t>工程内容</w:t>
                  </w:r>
                </w:p>
              </w:tc>
              <w:tc>
                <w:tcPr>
                  <w:tcW w:w="678" w:type="pct"/>
                  <w:vAlign w:val="center"/>
                </w:tcPr>
                <w:p>
                  <w:pPr>
                    <w:tabs>
                      <w:tab w:val="left" w:pos="1350"/>
                      <w:tab w:val="left" w:pos="1560"/>
                    </w:tabs>
                    <w:spacing w:line="240" w:lineRule="auto"/>
                    <w:ind w:firstLine="0" w:firstLineChars="0"/>
                    <w:jc w:val="center"/>
                    <w:rPr>
                      <w:b/>
                      <w:color w:val="auto"/>
                      <w:sz w:val="21"/>
                      <w:szCs w:val="21"/>
                    </w:rPr>
                  </w:pPr>
                  <w:r>
                    <w:rPr>
                      <w:rFonts w:hint="eastAsia"/>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5" w:type="pct"/>
                  <w:gridSpan w:val="2"/>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主体工程</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1F，主要包括印刷区、制袋区、熟化区等，建设一条食品包装袋生产线，厂房占地面积约为4000平方米。</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5" w:type="pct"/>
                  <w:gridSpan w:val="2"/>
                  <w:vMerge w:val="restar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储运工程</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项目在生产车间内西侧中部设置1处原材料区，用于存放原辅材料</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5" w:type="pct"/>
                  <w:gridSpan w:val="2"/>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项目在生产车间内原材料区南侧设置1处成品区，用于存放成品</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5" w:type="pct"/>
                  <w:gridSpan w:val="2"/>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项目在生产车间内东南角设置1处印版仓库，用于存放印版</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5" w:type="pct"/>
                  <w:gridSpan w:val="2"/>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辅助工程</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项目在生产车间内西南角设置1处办公区</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restar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公用</w:t>
                  </w:r>
                </w:p>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工程</w:t>
                  </w:r>
                </w:p>
              </w:tc>
              <w:tc>
                <w:tcPr>
                  <w:tcW w:w="1001"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供水</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由园区供水系统统一供给</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1001"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排水</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实行雨、污分流排水，雨、污水管道已铺设完成；雨水进入雨水管网，营运期产生的废水主要为生活污水经化粪池处理后由园区污水管网收集引至排入沅江市第二污水处理厂处理外排至资江分河。</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1001"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供电</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由园区供电系统统一供给</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1001"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供热</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熟化工序的供热采用电能，厂区不设置锅炉</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restart"/>
                  <w:shd w:val="clear" w:color="auto" w:fill="auto"/>
                  <w:vAlign w:val="center"/>
                </w:tcPr>
                <w:p>
                  <w:pPr>
                    <w:tabs>
                      <w:tab w:val="left" w:pos="1350"/>
                      <w:tab w:val="left" w:pos="1560"/>
                    </w:tabs>
                    <w:spacing w:line="240" w:lineRule="auto"/>
                    <w:ind w:firstLine="0" w:firstLineChars="0"/>
                    <w:jc w:val="both"/>
                    <w:rPr>
                      <w:color w:val="auto"/>
                      <w:sz w:val="21"/>
                      <w:szCs w:val="21"/>
                    </w:rPr>
                  </w:pPr>
                  <w:r>
                    <w:rPr>
                      <w:rFonts w:hint="eastAsia"/>
                      <w:color w:val="auto"/>
                      <w:sz w:val="21"/>
                      <w:szCs w:val="21"/>
                    </w:rPr>
                    <w:t>环保工程</w:t>
                  </w:r>
                </w:p>
              </w:tc>
              <w:tc>
                <w:tcPr>
                  <w:tcW w:w="1001"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废水治理</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无工艺废水产生和外排；生活污水经化粪池处理达到《污水排入城镇下水道水质标准》（GB/T31962-2015）表1中B等级标准，经园区污水管网收集后，排入沅江市第二污水处理厂处理达到《城镇污水处理厂污染物排放标准》（GB18918-2002）及其修改单中的一级A标准后外排至资江分河。</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1001"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废气治理</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印刷与复合过程中产生的有机废气经集气罩分别收集后引至RCO废气处理装置进行处理后由1根25m高的排气筒进行排放，未被收集的有机废气以无组织形式排放</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1001"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噪声治理</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设备基座减震、厂房隔声等措施</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1001"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固废</w:t>
                  </w:r>
                </w:p>
              </w:tc>
              <w:tc>
                <w:tcPr>
                  <w:tcW w:w="2956" w:type="pc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分类收集，分类处置；危险废物委托资质单位处置或者交由厂家单位回收处理</w:t>
                  </w:r>
                </w:p>
              </w:tc>
              <w:tc>
                <w:tcPr>
                  <w:tcW w:w="678" w:type="pc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restart"/>
                  <w:shd w:val="clear" w:color="auto" w:fill="auto"/>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依托工程</w:t>
                  </w:r>
                </w:p>
              </w:tc>
              <w:tc>
                <w:tcPr>
                  <w:tcW w:w="1001" w:type="pct"/>
                  <w:shd w:val="clear" w:color="auto" w:fill="auto"/>
                  <w:vAlign w:val="center"/>
                </w:tcPr>
                <w:p>
                  <w:pPr>
                    <w:pStyle w:val="32"/>
                    <w:jc w:val="center"/>
                    <w:rPr>
                      <w:rFonts w:ascii="Times New Roman" w:cs="Times New Roman"/>
                      <w:color w:val="auto"/>
                      <w:sz w:val="21"/>
                      <w:szCs w:val="21"/>
                    </w:rPr>
                  </w:pPr>
                  <w:r>
                    <w:rPr>
                      <w:rFonts w:ascii="Times New Roman" w:cs="Times New Roman"/>
                      <w:color w:val="auto"/>
                      <w:sz w:val="21"/>
                      <w:szCs w:val="21"/>
                    </w:rPr>
                    <w:t>沅江市生活垃圾填埋场</w:t>
                  </w:r>
                </w:p>
              </w:tc>
              <w:tc>
                <w:tcPr>
                  <w:tcW w:w="2956" w:type="pct"/>
                  <w:shd w:val="clear" w:color="auto" w:fill="auto"/>
                  <w:vAlign w:val="center"/>
                </w:tcPr>
                <w:p>
                  <w:pPr>
                    <w:pStyle w:val="32"/>
                    <w:jc w:val="center"/>
                    <w:rPr>
                      <w:rFonts w:ascii="Times New Roman" w:cs="Times New Roman"/>
                      <w:color w:val="auto"/>
                      <w:sz w:val="21"/>
                      <w:szCs w:val="21"/>
                    </w:rPr>
                  </w:pPr>
                  <w:r>
                    <w:rPr>
                      <w:rFonts w:ascii="Times New Roman" w:cs="Times New Roman"/>
                      <w:color w:val="auto"/>
                      <w:sz w:val="21"/>
                      <w:szCs w:val="21"/>
                    </w:rPr>
                    <w:t>位于沅江市胭脂湖街道办事处杨梅山村，总库容220万立方米，日处理能力300t，目前已经投入使用</w:t>
                  </w:r>
                </w:p>
              </w:tc>
              <w:tc>
                <w:tcPr>
                  <w:tcW w:w="678" w:type="pct"/>
                  <w:vMerge w:val="restart"/>
                  <w:vAlign w:val="center"/>
                </w:tcPr>
                <w:p>
                  <w:pPr>
                    <w:tabs>
                      <w:tab w:val="left" w:pos="1350"/>
                      <w:tab w:val="left" w:pos="1560"/>
                    </w:tabs>
                    <w:spacing w:line="240" w:lineRule="auto"/>
                    <w:ind w:firstLine="0" w:firstLineChars="0"/>
                    <w:jc w:val="center"/>
                    <w:rPr>
                      <w:color w:val="auto"/>
                      <w:sz w:val="21"/>
                      <w:szCs w:val="21"/>
                    </w:rPr>
                  </w:pPr>
                  <w:r>
                    <w:rPr>
                      <w:rFonts w:hint="eastAsia"/>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1001" w:type="pct"/>
                  <w:shd w:val="clear" w:color="auto" w:fill="auto"/>
                  <w:vAlign w:val="center"/>
                </w:tcPr>
                <w:p>
                  <w:pPr>
                    <w:tabs>
                      <w:tab w:val="left" w:pos="3255"/>
                    </w:tabs>
                    <w:spacing w:line="288" w:lineRule="auto"/>
                    <w:ind w:firstLine="0" w:firstLineChars="0"/>
                    <w:jc w:val="both"/>
                    <w:rPr>
                      <w:color w:val="auto"/>
                      <w:sz w:val="21"/>
                      <w:szCs w:val="21"/>
                      <w:u w:val="single"/>
                    </w:rPr>
                  </w:pPr>
                  <w:r>
                    <w:rPr>
                      <w:color w:val="auto"/>
                      <w:sz w:val="21"/>
                      <w:szCs w:val="21"/>
                      <w:u w:val="single"/>
                    </w:rPr>
                    <w:t>益阳市</w:t>
                  </w:r>
                  <w:r>
                    <w:rPr>
                      <w:rFonts w:hint="eastAsia"/>
                      <w:color w:val="auto"/>
                      <w:sz w:val="21"/>
                      <w:szCs w:val="21"/>
                      <w:u w:val="single"/>
                    </w:rPr>
                    <w:t>北部片区</w:t>
                  </w:r>
                  <w:r>
                    <w:rPr>
                      <w:color w:val="auto"/>
                      <w:sz w:val="21"/>
                      <w:szCs w:val="21"/>
                      <w:u w:val="single"/>
                    </w:rPr>
                    <w:t>生活垃圾焚烧发电厂</w:t>
                  </w:r>
                </w:p>
              </w:tc>
              <w:tc>
                <w:tcPr>
                  <w:tcW w:w="2956" w:type="pct"/>
                  <w:shd w:val="clear" w:color="auto" w:fill="auto"/>
                  <w:vAlign w:val="center"/>
                </w:tcPr>
                <w:p>
                  <w:pPr>
                    <w:widowControl/>
                    <w:spacing w:line="288" w:lineRule="auto"/>
                    <w:ind w:firstLine="420"/>
                    <w:rPr>
                      <w:color w:val="auto"/>
                      <w:sz w:val="21"/>
                      <w:szCs w:val="21"/>
                      <w:u w:val="single"/>
                    </w:rPr>
                  </w:pPr>
                  <w:r>
                    <w:rPr>
                      <w:color w:val="auto"/>
                      <w:sz w:val="21"/>
                      <w:szCs w:val="21"/>
                      <w:u w:val="single"/>
                    </w:rPr>
                    <w:t>益阳市北部片区生活垃圾焚烧发电</w:t>
                  </w:r>
                  <w:r>
                    <w:rPr>
                      <w:rFonts w:hint="eastAsia"/>
                      <w:color w:val="auto"/>
                      <w:sz w:val="21"/>
                      <w:szCs w:val="21"/>
                      <w:u w:val="single"/>
                    </w:rPr>
                    <w:t>厂位于</w:t>
                  </w:r>
                  <w:r>
                    <w:rPr>
                      <w:color w:val="auto"/>
                      <w:sz w:val="21"/>
                      <w:szCs w:val="21"/>
                      <w:u w:val="single"/>
                    </w:rPr>
                    <w:t>益阳沅江市草尾镇和平村</w:t>
                  </w:r>
                  <w:r>
                    <w:rPr>
                      <w:rFonts w:hint="eastAsia"/>
                      <w:color w:val="auto"/>
                      <w:sz w:val="21"/>
                      <w:szCs w:val="21"/>
                      <w:u w:val="single"/>
                    </w:rPr>
                    <w:t>。预计</w:t>
                  </w:r>
                  <w:r>
                    <w:rPr>
                      <w:color w:val="auto"/>
                      <w:sz w:val="21"/>
                      <w:szCs w:val="21"/>
                      <w:u w:val="single"/>
                    </w:rPr>
                    <w:t>近期日处理垃圾能力为600t，年处理能力为20.1万吨，统筹处理益阳市北部片区（南县、大通湖区及沅江市部分区域）的城乡生活垃圾，预留远期300t/d发展用地，远期具体规模待益阳市实际发展状况与益阳市总体规划修编后确定</w:t>
                  </w:r>
                  <w:r>
                    <w:rPr>
                      <w:rFonts w:hint="eastAsia"/>
                      <w:color w:val="auto"/>
                      <w:sz w:val="21"/>
                      <w:szCs w:val="21"/>
                      <w:u w:val="single"/>
                    </w:rPr>
                    <w:t>。</w:t>
                  </w:r>
                </w:p>
              </w:tc>
              <w:tc>
                <w:tcPr>
                  <w:tcW w:w="678" w:type="pct"/>
                  <w:vMerge w:val="continue"/>
                  <w:vAlign w:val="center"/>
                </w:tcPr>
                <w:p>
                  <w:pPr>
                    <w:tabs>
                      <w:tab w:val="left" w:pos="1350"/>
                      <w:tab w:val="left" w:pos="1560"/>
                    </w:tabs>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shd w:val="clear" w:color="auto" w:fill="auto"/>
                  <w:vAlign w:val="center"/>
                </w:tcPr>
                <w:p>
                  <w:pPr>
                    <w:tabs>
                      <w:tab w:val="left" w:pos="1350"/>
                      <w:tab w:val="left" w:pos="1560"/>
                    </w:tabs>
                    <w:spacing w:line="240" w:lineRule="auto"/>
                    <w:ind w:firstLine="0" w:firstLineChars="0"/>
                    <w:jc w:val="center"/>
                    <w:rPr>
                      <w:color w:val="auto"/>
                      <w:sz w:val="21"/>
                      <w:szCs w:val="21"/>
                    </w:rPr>
                  </w:pPr>
                </w:p>
              </w:tc>
              <w:tc>
                <w:tcPr>
                  <w:tcW w:w="1001" w:type="pct"/>
                  <w:shd w:val="clear" w:color="auto" w:fill="auto"/>
                  <w:vAlign w:val="center"/>
                </w:tcPr>
                <w:p>
                  <w:pPr>
                    <w:tabs>
                      <w:tab w:val="left" w:pos="3255"/>
                    </w:tabs>
                    <w:spacing w:line="288" w:lineRule="auto"/>
                    <w:ind w:firstLine="0" w:firstLineChars="0"/>
                    <w:jc w:val="center"/>
                    <w:rPr>
                      <w:color w:val="auto"/>
                      <w:sz w:val="21"/>
                      <w:szCs w:val="21"/>
                      <w:u w:val="single"/>
                    </w:rPr>
                  </w:pPr>
                  <w:r>
                    <w:rPr>
                      <w:rFonts w:hint="eastAsia"/>
                      <w:color w:val="auto"/>
                      <w:sz w:val="21"/>
                      <w:szCs w:val="21"/>
                      <w:u w:val="single"/>
                    </w:rPr>
                    <w:t>沅江市第二污水处理厂</w:t>
                  </w:r>
                </w:p>
              </w:tc>
              <w:tc>
                <w:tcPr>
                  <w:tcW w:w="2956" w:type="pct"/>
                  <w:shd w:val="clear" w:color="auto" w:fill="auto"/>
                  <w:vAlign w:val="center"/>
                </w:tcPr>
                <w:p>
                  <w:pPr>
                    <w:widowControl/>
                    <w:spacing w:line="288" w:lineRule="auto"/>
                    <w:ind w:firstLine="0" w:firstLineChars="0"/>
                    <w:jc w:val="both"/>
                    <w:rPr>
                      <w:color w:val="auto"/>
                      <w:sz w:val="21"/>
                      <w:szCs w:val="21"/>
                      <w:u w:val="single"/>
                    </w:rPr>
                  </w:pPr>
                  <w:r>
                    <w:rPr>
                      <w:color w:val="auto"/>
                      <w:sz w:val="21"/>
                      <w:szCs w:val="21"/>
                      <w:u w:val="single"/>
                    </w:rPr>
                    <w:t>沅江市第二污水处理厂工程项目总占地面积87498.07m</w:t>
                  </w:r>
                  <w:r>
                    <w:rPr>
                      <w:color w:val="auto"/>
                      <w:sz w:val="21"/>
                      <w:szCs w:val="21"/>
                      <w:u w:val="single"/>
                      <w:vertAlign w:val="superscript"/>
                    </w:rPr>
                    <w:t>2</w:t>
                  </w:r>
                  <w:r>
                    <w:rPr>
                      <w:color w:val="auto"/>
                      <w:sz w:val="21"/>
                      <w:szCs w:val="21"/>
                      <w:u w:val="single"/>
                    </w:rPr>
                    <w:t>（合131.24亩），分两期建设，建设规模为：一期工程（近期2015年）3.0×10</w:t>
                  </w:r>
                  <w:r>
                    <w:rPr>
                      <w:color w:val="auto"/>
                      <w:sz w:val="21"/>
                      <w:szCs w:val="21"/>
                      <w:u w:val="single"/>
                      <w:vertAlign w:val="superscript"/>
                    </w:rPr>
                    <w:t>4</w:t>
                  </w:r>
                  <w:r>
                    <w:rPr>
                      <w:rFonts w:hint="eastAsia"/>
                      <w:color w:val="auto"/>
                      <w:sz w:val="21"/>
                      <w:szCs w:val="21"/>
                      <w:u w:val="single"/>
                    </w:rPr>
                    <w:t>m³</w:t>
                  </w:r>
                  <w:r>
                    <w:rPr>
                      <w:color w:val="auto"/>
                      <w:sz w:val="21"/>
                      <w:szCs w:val="21"/>
                      <w:u w:val="single"/>
                    </w:rPr>
                    <w:t>/d，二期工程（远期2018年）3.0×10</w:t>
                  </w:r>
                  <w:r>
                    <w:rPr>
                      <w:color w:val="auto"/>
                      <w:sz w:val="21"/>
                      <w:szCs w:val="21"/>
                      <w:u w:val="single"/>
                      <w:vertAlign w:val="superscript"/>
                    </w:rPr>
                    <w:t>4</w:t>
                  </w:r>
                  <w:r>
                    <w:rPr>
                      <w:rFonts w:hint="eastAsia"/>
                      <w:color w:val="auto"/>
                      <w:sz w:val="21"/>
                      <w:szCs w:val="21"/>
                      <w:u w:val="single"/>
                    </w:rPr>
                    <w:t>m³</w:t>
                  </w:r>
                  <w:r>
                    <w:rPr>
                      <w:color w:val="auto"/>
                      <w:sz w:val="21"/>
                      <w:szCs w:val="21"/>
                      <w:u w:val="single"/>
                    </w:rPr>
                    <w:t>/d。一期工程（近期（2015年）占地43989.11m</w:t>
                  </w:r>
                  <w:r>
                    <w:rPr>
                      <w:color w:val="auto"/>
                      <w:sz w:val="21"/>
                      <w:szCs w:val="21"/>
                      <w:u w:val="single"/>
                      <w:vertAlign w:val="superscript"/>
                    </w:rPr>
                    <w:t>2</w:t>
                  </w:r>
                  <w:r>
                    <w:rPr>
                      <w:color w:val="auto"/>
                      <w:sz w:val="21"/>
                      <w:szCs w:val="21"/>
                      <w:u w:val="single"/>
                    </w:rPr>
                    <w:t>（合65.98亩），纳污面积为6.95km</w:t>
                  </w:r>
                  <w:r>
                    <w:rPr>
                      <w:color w:val="auto"/>
                      <w:sz w:val="21"/>
                      <w:szCs w:val="21"/>
                      <w:u w:val="single"/>
                      <w:vertAlign w:val="superscript"/>
                    </w:rPr>
                    <w:t>2</w:t>
                  </w:r>
                  <w:r>
                    <w:rPr>
                      <w:rFonts w:hint="eastAsia"/>
                      <w:color w:val="auto"/>
                      <w:sz w:val="21"/>
                      <w:szCs w:val="21"/>
                      <w:u w:val="single"/>
                    </w:rPr>
                    <w:t>。</w:t>
                  </w:r>
                </w:p>
              </w:tc>
              <w:tc>
                <w:tcPr>
                  <w:tcW w:w="678" w:type="pct"/>
                  <w:vMerge w:val="continue"/>
                  <w:vAlign w:val="center"/>
                </w:tcPr>
                <w:p>
                  <w:pPr>
                    <w:tabs>
                      <w:tab w:val="left" w:pos="1350"/>
                      <w:tab w:val="left" w:pos="1560"/>
                    </w:tabs>
                    <w:spacing w:line="240" w:lineRule="auto"/>
                    <w:ind w:firstLine="0" w:firstLineChars="0"/>
                    <w:jc w:val="center"/>
                    <w:rPr>
                      <w:color w:val="auto"/>
                      <w:sz w:val="21"/>
                      <w:szCs w:val="21"/>
                    </w:rPr>
                  </w:pPr>
                </w:p>
              </w:tc>
            </w:tr>
          </w:tbl>
          <w:p>
            <w:pPr>
              <w:ind w:firstLine="496" w:firstLineChars="196"/>
              <w:jc w:val="both"/>
              <w:rPr>
                <w:b/>
                <w:color w:val="auto"/>
                <w:spacing w:val="6"/>
              </w:rPr>
            </w:pPr>
            <w:r>
              <w:rPr>
                <w:rFonts w:hint="eastAsia"/>
                <w:b/>
                <w:color w:val="auto"/>
                <w:spacing w:val="6"/>
              </w:rPr>
              <w:t>2、主要设</w:t>
            </w:r>
            <w:r>
              <w:rPr>
                <w:b/>
                <w:color w:val="auto"/>
                <w:spacing w:val="6"/>
              </w:rPr>
              <w:t>备</w:t>
            </w:r>
          </w:p>
          <w:p>
            <w:pPr>
              <w:ind w:firstLine="504"/>
              <w:jc w:val="both"/>
              <w:rPr>
                <w:color w:val="auto"/>
                <w:spacing w:val="6"/>
              </w:rPr>
            </w:pPr>
            <w:r>
              <w:rPr>
                <w:color w:val="auto"/>
                <w:spacing w:val="6"/>
              </w:rPr>
              <w:t>本项目</w:t>
            </w:r>
            <w:r>
              <w:rPr>
                <w:rFonts w:hint="eastAsia"/>
                <w:color w:val="auto"/>
                <w:spacing w:val="6"/>
              </w:rPr>
              <w:t>主要生产设备见表1-2。</w:t>
            </w:r>
          </w:p>
          <w:p>
            <w:pPr>
              <w:ind w:firstLine="0" w:firstLineChars="0"/>
              <w:jc w:val="center"/>
              <w:rPr>
                <w:b/>
                <w:color w:val="auto"/>
                <w:spacing w:val="6"/>
              </w:rPr>
            </w:pPr>
            <w:r>
              <w:rPr>
                <w:rFonts w:hint="eastAsia"/>
                <w:b/>
                <w:color w:val="auto"/>
                <w:spacing w:val="6"/>
              </w:rPr>
              <w:t>表1-2</w:t>
            </w:r>
            <w:r>
              <w:rPr>
                <w:rFonts w:hint="eastAsia"/>
                <w:b/>
                <w:color w:val="auto"/>
                <w:spacing w:val="6"/>
                <w:lang w:val="en-US" w:eastAsia="zh-CN"/>
              </w:rPr>
              <w:t xml:space="preserve">   </w:t>
            </w:r>
            <w:r>
              <w:rPr>
                <w:rFonts w:hint="eastAsia"/>
                <w:b/>
                <w:color w:val="auto"/>
                <w:spacing w:val="6"/>
              </w:rPr>
              <w:t>生产设备一览表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778"/>
              <w:gridCol w:w="1276"/>
              <w:gridCol w:w="2016"/>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shd w:val="clear" w:color="auto" w:fill="auto"/>
                  <w:vAlign w:val="center"/>
                </w:tcPr>
                <w:p>
                  <w:pPr>
                    <w:spacing w:line="240" w:lineRule="auto"/>
                    <w:ind w:firstLine="0" w:firstLineChars="0"/>
                    <w:jc w:val="center"/>
                    <w:rPr>
                      <w:b/>
                      <w:bCs/>
                      <w:color w:val="auto"/>
                      <w:spacing w:val="6"/>
                      <w:sz w:val="21"/>
                      <w:szCs w:val="21"/>
                      <w:u w:val="single"/>
                    </w:rPr>
                  </w:pPr>
                  <w:r>
                    <w:rPr>
                      <w:rFonts w:hAnsi="宋体"/>
                      <w:b/>
                      <w:bCs/>
                      <w:color w:val="auto"/>
                      <w:spacing w:val="6"/>
                      <w:sz w:val="21"/>
                      <w:szCs w:val="21"/>
                      <w:u w:val="single"/>
                    </w:rPr>
                    <w:t>序号</w:t>
                  </w:r>
                </w:p>
              </w:tc>
              <w:tc>
                <w:tcPr>
                  <w:tcW w:w="981" w:type="pct"/>
                  <w:shd w:val="clear" w:color="auto" w:fill="auto"/>
                  <w:vAlign w:val="center"/>
                </w:tcPr>
                <w:p>
                  <w:pPr>
                    <w:spacing w:line="240" w:lineRule="auto"/>
                    <w:ind w:firstLine="0" w:firstLineChars="0"/>
                    <w:jc w:val="center"/>
                    <w:rPr>
                      <w:b/>
                      <w:bCs/>
                      <w:color w:val="auto"/>
                      <w:spacing w:val="6"/>
                      <w:sz w:val="21"/>
                      <w:szCs w:val="21"/>
                      <w:u w:val="single"/>
                    </w:rPr>
                  </w:pPr>
                  <w:r>
                    <w:rPr>
                      <w:rFonts w:hAnsi="宋体"/>
                      <w:b/>
                      <w:bCs/>
                      <w:color w:val="auto"/>
                      <w:spacing w:val="6"/>
                      <w:sz w:val="21"/>
                      <w:szCs w:val="21"/>
                      <w:u w:val="single"/>
                    </w:rPr>
                    <w:t>设备名称</w:t>
                  </w:r>
                </w:p>
              </w:tc>
              <w:tc>
                <w:tcPr>
                  <w:tcW w:w="704" w:type="pct"/>
                  <w:shd w:val="clear" w:color="auto" w:fill="auto"/>
                  <w:vAlign w:val="center"/>
                </w:tcPr>
                <w:p>
                  <w:pPr>
                    <w:spacing w:line="240" w:lineRule="auto"/>
                    <w:ind w:firstLine="0" w:firstLineChars="0"/>
                    <w:jc w:val="center"/>
                    <w:rPr>
                      <w:b/>
                      <w:bCs/>
                      <w:color w:val="auto"/>
                      <w:spacing w:val="6"/>
                      <w:sz w:val="21"/>
                      <w:szCs w:val="21"/>
                      <w:u w:val="single"/>
                    </w:rPr>
                  </w:pPr>
                  <w:r>
                    <w:rPr>
                      <w:rFonts w:hAnsi="宋体"/>
                      <w:b/>
                      <w:bCs/>
                      <w:color w:val="auto"/>
                      <w:spacing w:val="6"/>
                      <w:sz w:val="21"/>
                      <w:szCs w:val="21"/>
                      <w:u w:val="single"/>
                    </w:rPr>
                    <w:t>数量</w:t>
                  </w:r>
                </w:p>
              </w:tc>
              <w:tc>
                <w:tcPr>
                  <w:tcW w:w="1112" w:type="pct"/>
                </w:tcPr>
                <w:p>
                  <w:pPr>
                    <w:spacing w:line="240" w:lineRule="auto"/>
                    <w:ind w:firstLine="0" w:firstLineChars="0"/>
                    <w:jc w:val="center"/>
                    <w:rPr>
                      <w:rFonts w:hAnsi="宋体"/>
                      <w:b/>
                      <w:bCs/>
                      <w:color w:val="auto"/>
                      <w:spacing w:val="6"/>
                      <w:sz w:val="21"/>
                      <w:szCs w:val="21"/>
                      <w:u w:val="single"/>
                    </w:rPr>
                  </w:pPr>
                  <w:r>
                    <w:rPr>
                      <w:rFonts w:hint="eastAsia" w:hAnsi="宋体"/>
                      <w:b/>
                      <w:bCs/>
                      <w:color w:val="auto"/>
                      <w:spacing w:val="6"/>
                      <w:sz w:val="21"/>
                      <w:szCs w:val="21"/>
                      <w:u w:val="single"/>
                    </w:rPr>
                    <w:t>型号</w:t>
                  </w:r>
                </w:p>
              </w:tc>
              <w:tc>
                <w:tcPr>
                  <w:tcW w:w="1465" w:type="pct"/>
                </w:tcPr>
                <w:p>
                  <w:pPr>
                    <w:spacing w:line="240" w:lineRule="auto"/>
                    <w:ind w:firstLine="0" w:firstLineChars="0"/>
                    <w:jc w:val="center"/>
                    <w:rPr>
                      <w:rFonts w:hAnsi="宋体"/>
                      <w:b/>
                      <w:bCs/>
                      <w:color w:val="auto"/>
                      <w:spacing w:val="6"/>
                      <w:sz w:val="21"/>
                      <w:szCs w:val="21"/>
                      <w:u w:val="single"/>
                    </w:rPr>
                  </w:pPr>
                  <w:r>
                    <w:rPr>
                      <w:rFonts w:hint="eastAsia" w:hAnsi="宋体"/>
                      <w:b/>
                      <w:bCs/>
                      <w:color w:val="auto"/>
                      <w:spacing w:val="6"/>
                      <w:sz w:val="21"/>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shd w:val="clear" w:color="auto" w:fill="auto"/>
                  <w:vAlign w:val="center"/>
                </w:tcPr>
                <w:p>
                  <w:pPr>
                    <w:spacing w:line="240" w:lineRule="auto"/>
                    <w:ind w:firstLine="0" w:firstLineChars="0"/>
                    <w:jc w:val="center"/>
                    <w:rPr>
                      <w:bCs/>
                      <w:color w:val="auto"/>
                      <w:spacing w:val="6"/>
                      <w:sz w:val="21"/>
                      <w:szCs w:val="21"/>
                      <w:u w:val="single"/>
                    </w:rPr>
                  </w:pPr>
                  <w:r>
                    <w:rPr>
                      <w:bCs/>
                      <w:color w:val="auto"/>
                      <w:spacing w:val="6"/>
                      <w:sz w:val="21"/>
                      <w:szCs w:val="21"/>
                      <w:u w:val="single"/>
                    </w:rPr>
                    <w:t>1</w:t>
                  </w:r>
                </w:p>
              </w:tc>
              <w:tc>
                <w:tcPr>
                  <w:tcW w:w="981"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印刷机</w:t>
                  </w:r>
                </w:p>
              </w:tc>
              <w:tc>
                <w:tcPr>
                  <w:tcW w:w="704"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1台</w:t>
                  </w:r>
                </w:p>
              </w:tc>
              <w:tc>
                <w:tcPr>
                  <w:tcW w:w="1112"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1050-A</w:t>
                  </w:r>
                </w:p>
              </w:tc>
              <w:tc>
                <w:tcPr>
                  <w:tcW w:w="1465"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shd w:val="clear" w:color="auto" w:fill="auto"/>
                  <w:vAlign w:val="center"/>
                </w:tcPr>
                <w:p>
                  <w:pPr>
                    <w:spacing w:line="240" w:lineRule="auto"/>
                    <w:ind w:firstLine="0" w:firstLineChars="0"/>
                    <w:jc w:val="center"/>
                    <w:rPr>
                      <w:bCs/>
                      <w:color w:val="auto"/>
                      <w:spacing w:val="6"/>
                      <w:sz w:val="21"/>
                      <w:szCs w:val="21"/>
                      <w:u w:val="single"/>
                    </w:rPr>
                  </w:pPr>
                  <w:r>
                    <w:rPr>
                      <w:bCs/>
                      <w:color w:val="auto"/>
                      <w:spacing w:val="6"/>
                      <w:sz w:val="21"/>
                      <w:szCs w:val="21"/>
                      <w:u w:val="single"/>
                    </w:rPr>
                    <w:t>2</w:t>
                  </w:r>
                </w:p>
              </w:tc>
              <w:tc>
                <w:tcPr>
                  <w:tcW w:w="981"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高速复合机</w:t>
                  </w:r>
                </w:p>
              </w:tc>
              <w:tc>
                <w:tcPr>
                  <w:tcW w:w="704"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2台</w:t>
                  </w:r>
                </w:p>
              </w:tc>
              <w:tc>
                <w:tcPr>
                  <w:tcW w:w="1112"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1050</w:t>
                  </w:r>
                </w:p>
              </w:tc>
              <w:tc>
                <w:tcPr>
                  <w:tcW w:w="1465"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3</w:t>
                  </w:r>
                </w:p>
              </w:tc>
              <w:tc>
                <w:tcPr>
                  <w:tcW w:w="981"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高速制袋机</w:t>
                  </w:r>
                </w:p>
              </w:tc>
              <w:tc>
                <w:tcPr>
                  <w:tcW w:w="704"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8台</w:t>
                  </w:r>
                </w:p>
              </w:tc>
              <w:tc>
                <w:tcPr>
                  <w:tcW w:w="1112"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w:t>
                  </w:r>
                </w:p>
              </w:tc>
              <w:tc>
                <w:tcPr>
                  <w:tcW w:w="1465"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4</w:t>
                  </w:r>
                </w:p>
              </w:tc>
              <w:tc>
                <w:tcPr>
                  <w:tcW w:w="981"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螺杆空气压缩机</w:t>
                  </w:r>
                </w:p>
              </w:tc>
              <w:tc>
                <w:tcPr>
                  <w:tcW w:w="704"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1台</w:t>
                  </w:r>
                </w:p>
              </w:tc>
              <w:tc>
                <w:tcPr>
                  <w:tcW w:w="1112"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w:t>
                  </w:r>
                </w:p>
              </w:tc>
              <w:tc>
                <w:tcPr>
                  <w:tcW w:w="1465"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5</w:t>
                  </w:r>
                </w:p>
              </w:tc>
              <w:tc>
                <w:tcPr>
                  <w:tcW w:w="981"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烤箱</w:t>
                  </w:r>
                </w:p>
              </w:tc>
              <w:tc>
                <w:tcPr>
                  <w:tcW w:w="704"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3个</w:t>
                  </w:r>
                </w:p>
              </w:tc>
              <w:tc>
                <w:tcPr>
                  <w:tcW w:w="1112"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w:t>
                  </w:r>
                </w:p>
              </w:tc>
              <w:tc>
                <w:tcPr>
                  <w:tcW w:w="1465"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6</w:t>
                  </w:r>
                </w:p>
              </w:tc>
              <w:tc>
                <w:tcPr>
                  <w:tcW w:w="981"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高速分切机</w:t>
                  </w:r>
                </w:p>
              </w:tc>
              <w:tc>
                <w:tcPr>
                  <w:tcW w:w="704"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1台</w:t>
                  </w:r>
                </w:p>
              </w:tc>
              <w:tc>
                <w:tcPr>
                  <w:tcW w:w="1112"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ZXT-B</w:t>
                  </w:r>
                </w:p>
              </w:tc>
              <w:tc>
                <w:tcPr>
                  <w:tcW w:w="1465"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7</w:t>
                  </w:r>
                </w:p>
              </w:tc>
              <w:tc>
                <w:tcPr>
                  <w:tcW w:w="981"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冷水机</w:t>
                  </w:r>
                </w:p>
              </w:tc>
              <w:tc>
                <w:tcPr>
                  <w:tcW w:w="704" w:type="pct"/>
                  <w:shd w:val="clear" w:color="auto" w:fill="auto"/>
                  <w:vAlign w:val="center"/>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2台</w:t>
                  </w:r>
                </w:p>
              </w:tc>
              <w:tc>
                <w:tcPr>
                  <w:tcW w:w="1112"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w:t>
                  </w:r>
                </w:p>
              </w:tc>
              <w:tc>
                <w:tcPr>
                  <w:tcW w:w="1465" w:type="pct"/>
                </w:tcPr>
                <w:p>
                  <w:pPr>
                    <w:spacing w:line="240" w:lineRule="auto"/>
                    <w:ind w:firstLine="0" w:firstLineChars="0"/>
                    <w:jc w:val="center"/>
                    <w:rPr>
                      <w:bCs/>
                      <w:color w:val="auto"/>
                      <w:spacing w:val="6"/>
                      <w:sz w:val="21"/>
                      <w:szCs w:val="21"/>
                      <w:u w:val="single"/>
                    </w:rPr>
                  </w:pPr>
                  <w:r>
                    <w:rPr>
                      <w:rFonts w:hint="eastAsia"/>
                      <w:bCs/>
                      <w:color w:val="auto"/>
                      <w:spacing w:val="6"/>
                      <w:sz w:val="21"/>
                      <w:szCs w:val="21"/>
                      <w:u w:val="single"/>
                    </w:rPr>
                    <w:t>依托原有</w:t>
                  </w:r>
                </w:p>
              </w:tc>
            </w:tr>
          </w:tbl>
          <w:p>
            <w:pPr>
              <w:ind w:firstLine="506"/>
              <w:jc w:val="both"/>
              <w:rPr>
                <w:b/>
                <w:color w:val="auto"/>
                <w:spacing w:val="6"/>
              </w:rPr>
            </w:pPr>
            <w:r>
              <w:rPr>
                <w:rFonts w:hint="eastAsia"/>
                <w:b/>
                <w:color w:val="auto"/>
                <w:spacing w:val="6"/>
              </w:rPr>
              <w:t>3、原材料及能源消耗情况</w:t>
            </w:r>
          </w:p>
          <w:p>
            <w:pPr>
              <w:ind w:firstLine="504"/>
              <w:jc w:val="both"/>
              <w:rPr>
                <w:color w:val="auto"/>
                <w:spacing w:val="6"/>
              </w:rPr>
            </w:pPr>
            <w:r>
              <w:rPr>
                <w:color w:val="auto"/>
                <w:spacing w:val="6"/>
              </w:rPr>
              <w:t>主要原辅材料消耗见表</w:t>
            </w:r>
            <w:r>
              <w:rPr>
                <w:rFonts w:hint="eastAsia"/>
                <w:color w:val="auto"/>
                <w:spacing w:val="6"/>
              </w:rPr>
              <w:t>1-3</w:t>
            </w:r>
            <w:r>
              <w:rPr>
                <w:color w:val="auto"/>
                <w:spacing w:val="6"/>
              </w:rPr>
              <w:t>。</w:t>
            </w:r>
          </w:p>
          <w:p>
            <w:pPr>
              <w:tabs>
                <w:tab w:val="left" w:pos="1350"/>
                <w:tab w:val="left" w:pos="1560"/>
              </w:tabs>
              <w:ind w:firstLine="0" w:firstLineChars="0"/>
              <w:jc w:val="center"/>
              <w:rPr>
                <w:b/>
                <w:color w:val="auto"/>
                <w:spacing w:val="6"/>
              </w:rPr>
            </w:pPr>
            <w:r>
              <w:rPr>
                <w:b/>
                <w:color w:val="auto"/>
                <w:spacing w:val="6"/>
              </w:rPr>
              <w:t>表</w:t>
            </w:r>
            <w:r>
              <w:rPr>
                <w:rFonts w:hint="eastAsia"/>
                <w:b/>
                <w:color w:val="auto"/>
                <w:spacing w:val="6"/>
              </w:rPr>
              <w:t>1-3</w:t>
            </w:r>
            <w:r>
              <w:rPr>
                <w:rFonts w:hint="eastAsia"/>
                <w:b/>
                <w:color w:val="auto"/>
                <w:spacing w:val="6"/>
                <w:lang w:val="en-US" w:eastAsia="zh-CN"/>
              </w:rPr>
              <w:t xml:space="preserve">   </w:t>
            </w:r>
            <w:r>
              <w:rPr>
                <w:b/>
                <w:color w:val="auto"/>
                <w:spacing w:val="6"/>
              </w:rPr>
              <w:t>主要原辅材料消耗表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834"/>
              <w:gridCol w:w="1529"/>
              <w:gridCol w:w="2292"/>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shd w:val="clear" w:color="auto" w:fill="auto"/>
                  <w:vAlign w:val="center"/>
                </w:tcPr>
                <w:p>
                  <w:pPr>
                    <w:adjustRightInd w:val="0"/>
                    <w:snapToGrid w:val="0"/>
                    <w:spacing w:line="240" w:lineRule="auto"/>
                    <w:ind w:firstLine="0" w:firstLineChars="0"/>
                    <w:jc w:val="center"/>
                    <w:rPr>
                      <w:b/>
                      <w:bCs/>
                      <w:color w:val="auto"/>
                      <w:sz w:val="21"/>
                      <w:szCs w:val="21"/>
                      <w:u w:val="single"/>
                    </w:rPr>
                  </w:pPr>
                  <w:r>
                    <w:rPr>
                      <w:rFonts w:hint="eastAsia"/>
                      <w:b/>
                      <w:bCs/>
                      <w:color w:val="auto"/>
                      <w:sz w:val="21"/>
                      <w:szCs w:val="21"/>
                      <w:u w:val="single"/>
                    </w:rPr>
                    <w:t>序号</w:t>
                  </w:r>
                </w:p>
              </w:tc>
              <w:tc>
                <w:tcPr>
                  <w:tcW w:w="1834" w:type="dxa"/>
                  <w:shd w:val="clear" w:color="auto" w:fill="auto"/>
                  <w:vAlign w:val="center"/>
                </w:tcPr>
                <w:p>
                  <w:pPr>
                    <w:adjustRightInd w:val="0"/>
                    <w:snapToGrid w:val="0"/>
                    <w:spacing w:line="240" w:lineRule="auto"/>
                    <w:ind w:firstLine="0" w:firstLineChars="0"/>
                    <w:jc w:val="center"/>
                    <w:rPr>
                      <w:b/>
                      <w:bCs/>
                      <w:color w:val="auto"/>
                      <w:sz w:val="21"/>
                      <w:szCs w:val="21"/>
                      <w:u w:val="single"/>
                    </w:rPr>
                  </w:pPr>
                  <w:r>
                    <w:rPr>
                      <w:b/>
                      <w:bCs/>
                      <w:color w:val="auto"/>
                      <w:sz w:val="21"/>
                      <w:szCs w:val="21"/>
                      <w:u w:val="single"/>
                    </w:rPr>
                    <w:t>名称</w:t>
                  </w:r>
                </w:p>
              </w:tc>
              <w:tc>
                <w:tcPr>
                  <w:tcW w:w="1529" w:type="dxa"/>
                  <w:shd w:val="clear" w:color="auto" w:fill="auto"/>
                  <w:vAlign w:val="center"/>
                </w:tcPr>
                <w:p>
                  <w:pPr>
                    <w:adjustRightInd w:val="0"/>
                    <w:snapToGrid w:val="0"/>
                    <w:spacing w:line="240" w:lineRule="auto"/>
                    <w:ind w:firstLine="0" w:firstLineChars="0"/>
                    <w:jc w:val="center"/>
                    <w:rPr>
                      <w:b/>
                      <w:bCs/>
                      <w:color w:val="auto"/>
                      <w:sz w:val="21"/>
                      <w:szCs w:val="21"/>
                      <w:u w:val="single"/>
                    </w:rPr>
                  </w:pPr>
                  <w:r>
                    <w:rPr>
                      <w:b/>
                      <w:bCs/>
                      <w:color w:val="auto"/>
                      <w:sz w:val="21"/>
                      <w:szCs w:val="21"/>
                      <w:u w:val="single"/>
                    </w:rPr>
                    <w:t>年耗量</w:t>
                  </w:r>
                </w:p>
              </w:tc>
              <w:tc>
                <w:tcPr>
                  <w:tcW w:w="2292" w:type="dxa"/>
                  <w:shd w:val="clear" w:color="auto" w:fill="auto"/>
                  <w:vAlign w:val="center"/>
                </w:tcPr>
                <w:p>
                  <w:pPr>
                    <w:adjustRightInd w:val="0"/>
                    <w:snapToGrid w:val="0"/>
                    <w:spacing w:line="240" w:lineRule="auto"/>
                    <w:ind w:firstLine="0" w:firstLineChars="0"/>
                    <w:jc w:val="center"/>
                    <w:rPr>
                      <w:b/>
                      <w:bCs/>
                      <w:color w:val="auto"/>
                      <w:sz w:val="21"/>
                      <w:szCs w:val="21"/>
                      <w:u w:val="single"/>
                    </w:rPr>
                  </w:pPr>
                  <w:r>
                    <w:rPr>
                      <w:rFonts w:hint="eastAsia"/>
                      <w:b/>
                      <w:bCs/>
                      <w:color w:val="auto"/>
                      <w:sz w:val="21"/>
                      <w:szCs w:val="21"/>
                      <w:u w:val="single"/>
                    </w:rPr>
                    <w:t>备注</w:t>
                  </w:r>
                </w:p>
              </w:tc>
              <w:tc>
                <w:tcPr>
                  <w:tcW w:w="2481" w:type="dxa"/>
                  <w:vAlign w:val="center"/>
                </w:tcPr>
                <w:p>
                  <w:pPr>
                    <w:adjustRightInd w:val="0"/>
                    <w:snapToGrid w:val="0"/>
                    <w:spacing w:line="240" w:lineRule="auto"/>
                    <w:ind w:firstLine="0" w:firstLineChars="0"/>
                    <w:jc w:val="center"/>
                    <w:rPr>
                      <w:b/>
                      <w:bCs/>
                      <w:color w:val="auto"/>
                      <w:sz w:val="21"/>
                      <w:szCs w:val="21"/>
                      <w:u w:val="single"/>
                    </w:rPr>
                  </w:pPr>
                  <w:r>
                    <w:rPr>
                      <w:rFonts w:hint="eastAsia"/>
                      <w:b/>
                      <w:bCs/>
                      <w:color w:val="auto"/>
                      <w:sz w:val="21"/>
                      <w:szCs w:val="21"/>
                      <w:u w:val="single"/>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1</w:t>
                  </w:r>
                </w:p>
              </w:tc>
              <w:tc>
                <w:tcPr>
                  <w:tcW w:w="183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BOPP</w:t>
                  </w:r>
                </w:p>
              </w:tc>
              <w:tc>
                <w:tcPr>
                  <w:tcW w:w="1529"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2</w:t>
                  </w:r>
                  <w:r>
                    <w:rPr>
                      <w:color w:val="auto"/>
                      <w:sz w:val="21"/>
                      <w:szCs w:val="21"/>
                      <w:u w:val="single"/>
                    </w:rPr>
                    <w:t>t/a</w:t>
                  </w:r>
                </w:p>
              </w:tc>
              <w:tc>
                <w:tcPr>
                  <w:tcW w:w="22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双向拉伸聚丙烯薄膜</w:t>
                  </w:r>
                </w:p>
              </w:tc>
              <w:tc>
                <w:tcPr>
                  <w:tcW w:w="2481" w:type="dxa"/>
                  <w:vMerge w:val="restart"/>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外购，卷装，置于原料暂存间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2</w:t>
                  </w:r>
                </w:p>
              </w:tc>
              <w:tc>
                <w:tcPr>
                  <w:tcW w:w="183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PET</w:t>
                  </w:r>
                </w:p>
              </w:tc>
              <w:tc>
                <w:tcPr>
                  <w:tcW w:w="1529"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20</w:t>
                  </w:r>
                  <w:r>
                    <w:rPr>
                      <w:color w:val="auto"/>
                      <w:sz w:val="21"/>
                      <w:szCs w:val="21"/>
                      <w:u w:val="single"/>
                    </w:rPr>
                    <w:t>t/a</w:t>
                  </w:r>
                </w:p>
              </w:tc>
              <w:tc>
                <w:tcPr>
                  <w:tcW w:w="22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聚酯薄膜</w:t>
                  </w:r>
                </w:p>
              </w:tc>
              <w:tc>
                <w:tcPr>
                  <w:tcW w:w="2481" w:type="dxa"/>
                  <w:vMerge w:val="continue"/>
                  <w:vAlign w:val="center"/>
                </w:tcPr>
                <w:p>
                  <w:pPr>
                    <w:adjustRightInd w:val="0"/>
                    <w:snapToGrid w:val="0"/>
                    <w:spacing w:line="240" w:lineRule="auto"/>
                    <w:ind w:firstLine="0" w:firstLineChars="0"/>
                    <w:jc w:val="center"/>
                    <w:rPr>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3</w:t>
                  </w:r>
                </w:p>
              </w:tc>
              <w:tc>
                <w:tcPr>
                  <w:tcW w:w="183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CPP</w:t>
                  </w:r>
                </w:p>
              </w:tc>
              <w:tc>
                <w:tcPr>
                  <w:tcW w:w="1529"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40</w:t>
                  </w:r>
                  <w:r>
                    <w:rPr>
                      <w:color w:val="auto"/>
                      <w:sz w:val="21"/>
                      <w:szCs w:val="21"/>
                      <w:u w:val="single"/>
                    </w:rPr>
                    <w:t>t/a</w:t>
                  </w:r>
                </w:p>
              </w:tc>
              <w:tc>
                <w:tcPr>
                  <w:tcW w:w="22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聚丙烯薄膜</w:t>
                  </w:r>
                </w:p>
              </w:tc>
              <w:tc>
                <w:tcPr>
                  <w:tcW w:w="2481" w:type="dxa"/>
                  <w:vMerge w:val="continue"/>
                  <w:vAlign w:val="center"/>
                </w:tcPr>
                <w:p>
                  <w:pPr>
                    <w:adjustRightInd w:val="0"/>
                    <w:snapToGrid w:val="0"/>
                    <w:spacing w:line="240" w:lineRule="auto"/>
                    <w:ind w:firstLine="0" w:firstLineChars="0"/>
                    <w:jc w:val="center"/>
                    <w:rPr>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4</w:t>
                  </w:r>
                </w:p>
              </w:tc>
              <w:tc>
                <w:tcPr>
                  <w:tcW w:w="1834"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铝箔</w:t>
                  </w:r>
                </w:p>
              </w:tc>
              <w:tc>
                <w:tcPr>
                  <w:tcW w:w="1529"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10</w:t>
                  </w:r>
                  <w:r>
                    <w:rPr>
                      <w:color w:val="auto"/>
                      <w:sz w:val="21"/>
                      <w:szCs w:val="21"/>
                      <w:u w:val="single"/>
                    </w:rPr>
                    <w:t>t/a</w:t>
                  </w:r>
                </w:p>
              </w:tc>
              <w:tc>
                <w:tcPr>
                  <w:tcW w:w="22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镀铝膜</w:t>
                  </w:r>
                </w:p>
              </w:tc>
              <w:tc>
                <w:tcPr>
                  <w:tcW w:w="2481" w:type="dxa"/>
                  <w:vMerge w:val="continue"/>
                  <w:vAlign w:val="center"/>
                </w:tcPr>
                <w:p>
                  <w:pPr>
                    <w:adjustRightInd w:val="0"/>
                    <w:snapToGrid w:val="0"/>
                    <w:spacing w:line="240" w:lineRule="auto"/>
                    <w:ind w:firstLine="0" w:firstLineChars="0"/>
                    <w:jc w:val="center"/>
                    <w:rPr>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5</w:t>
                  </w:r>
                </w:p>
              </w:tc>
              <w:tc>
                <w:tcPr>
                  <w:tcW w:w="1834"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聚氨酯油墨</w:t>
                  </w:r>
                </w:p>
              </w:tc>
              <w:tc>
                <w:tcPr>
                  <w:tcW w:w="1529"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lang w:val="en-US" w:eastAsia="zh-CN"/>
                    </w:rPr>
                    <w:t>3</w:t>
                  </w:r>
                  <w:r>
                    <w:rPr>
                      <w:rFonts w:hint="eastAsia"/>
                      <w:color w:val="auto"/>
                      <w:sz w:val="21"/>
                      <w:szCs w:val="21"/>
                      <w:u w:val="single"/>
                    </w:rPr>
                    <w:t>t</w:t>
                  </w:r>
                  <w:r>
                    <w:rPr>
                      <w:color w:val="auto"/>
                      <w:sz w:val="21"/>
                      <w:szCs w:val="21"/>
                      <w:u w:val="single"/>
                    </w:rPr>
                    <w:t>/a</w:t>
                  </w:r>
                </w:p>
              </w:tc>
              <w:tc>
                <w:tcPr>
                  <w:tcW w:w="22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无苯环保型材料，罐装，约50kg/罐，</w:t>
                  </w:r>
                </w:p>
              </w:tc>
              <w:tc>
                <w:tcPr>
                  <w:tcW w:w="2481"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外购，50kg桶装，置于原料暂存间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6</w:t>
                  </w:r>
                </w:p>
              </w:tc>
              <w:tc>
                <w:tcPr>
                  <w:tcW w:w="1834"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聚氨酯胶水</w:t>
                  </w:r>
                </w:p>
              </w:tc>
              <w:tc>
                <w:tcPr>
                  <w:tcW w:w="1529"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lang w:val="en-US" w:eastAsia="zh-CN"/>
                    </w:rPr>
                    <w:t>2</w:t>
                  </w:r>
                  <w:r>
                    <w:rPr>
                      <w:color w:val="auto"/>
                      <w:sz w:val="21"/>
                      <w:szCs w:val="21"/>
                      <w:u w:val="single"/>
                    </w:rPr>
                    <w:t>t/a</w:t>
                  </w:r>
                </w:p>
              </w:tc>
              <w:tc>
                <w:tcPr>
                  <w:tcW w:w="22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无苯环保型材料</w:t>
                  </w:r>
                </w:p>
              </w:tc>
              <w:tc>
                <w:tcPr>
                  <w:tcW w:w="2481"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外购，50kg桶装，置于原料暂存间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7</w:t>
                  </w:r>
                </w:p>
              </w:tc>
              <w:tc>
                <w:tcPr>
                  <w:tcW w:w="1834"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稀释剂</w:t>
                  </w:r>
                </w:p>
              </w:tc>
              <w:tc>
                <w:tcPr>
                  <w:tcW w:w="1529"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lang w:val="en-US" w:eastAsia="zh-CN"/>
                    </w:rPr>
                    <w:t>3</w:t>
                  </w:r>
                  <w:r>
                    <w:rPr>
                      <w:color w:val="auto"/>
                      <w:sz w:val="21"/>
                      <w:szCs w:val="21"/>
                      <w:u w:val="single"/>
                    </w:rPr>
                    <w:t>t/a</w:t>
                  </w:r>
                </w:p>
              </w:tc>
              <w:tc>
                <w:tcPr>
                  <w:tcW w:w="22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作为油墨稀释剂</w:t>
                  </w:r>
                </w:p>
              </w:tc>
              <w:tc>
                <w:tcPr>
                  <w:tcW w:w="2481"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外购，25kg桶装，置于原料暂存间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8</w:t>
                  </w:r>
                </w:p>
              </w:tc>
              <w:tc>
                <w:tcPr>
                  <w:tcW w:w="1834"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清洗剂</w:t>
                  </w:r>
                </w:p>
              </w:tc>
              <w:tc>
                <w:tcPr>
                  <w:tcW w:w="1529"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lang w:val="en-US" w:eastAsia="zh-CN"/>
                    </w:rPr>
                    <w:t>1.17</w:t>
                  </w:r>
                  <w:r>
                    <w:rPr>
                      <w:color w:val="auto"/>
                      <w:sz w:val="21"/>
                      <w:szCs w:val="21"/>
                      <w:u w:val="single"/>
                    </w:rPr>
                    <w:t>t/a</w:t>
                  </w:r>
                </w:p>
              </w:tc>
              <w:tc>
                <w:tcPr>
                  <w:tcW w:w="22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印刷设备清洗用</w:t>
                  </w:r>
                </w:p>
              </w:tc>
              <w:tc>
                <w:tcPr>
                  <w:tcW w:w="2481"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外购，5kg桶装，置于原料暂存间</w:t>
                  </w:r>
                </w:p>
              </w:tc>
            </w:tr>
          </w:tbl>
          <w:p>
            <w:pPr>
              <w:ind w:firstLine="480"/>
              <w:jc w:val="both"/>
              <w:rPr>
                <w:rStyle w:val="82"/>
                <w:rFonts w:hint="eastAsia"/>
                <w:color w:val="auto"/>
                <w:u w:val="single"/>
              </w:rPr>
            </w:pPr>
            <w:r>
              <w:rPr>
                <w:rStyle w:val="82"/>
                <w:color w:val="auto"/>
                <w:u w:val="single"/>
              </w:rPr>
              <w:t>根据《国家食品包装条例》规定的食品包装不含苯、酮</w:t>
            </w:r>
            <w:r>
              <w:rPr>
                <w:rStyle w:val="82"/>
                <w:rFonts w:hint="eastAsia"/>
                <w:color w:val="auto"/>
                <w:u w:val="single"/>
              </w:rPr>
              <w:t>。主要原辅材料的理化性质见下表。</w:t>
            </w:r>
          </w:p>
          <w:p>
            <w:pPr>
              <w:pStyle w:val="32"/>
              <w:rPr>
                <w:rStyle w:val="82"/>
                <w:rFonts w:hint="eastAsia"/>
                <w:color w:val="auto"/>
                <w:u w:val="single"/>
              </w:rPr>
            </w:pPr>
          </w:p>
          <w:p>
            <w:pPr>
              <w:pStyle w:val="32"/>
              <w:rPr>
                <w:rStyle w:val="82"/>
                <w:rFonts w:hint="eastAsia"/>
                <w:color w:val="auto"/>
                <w:u w:val="single"/>
              </w:rPr>
            </w:pPr>
          </w:p>
          <w:p>
            <w:pPr>
              <w:pStyle w:val="32"/>
              <w:rPr>
                <w:rStyle w:val="82"/>
                <w:rFonts w:hint="eastAsia"/>
                <w:color w:val="auto"/>
                <w:u w:val="single"/>
              </w:rPr>
            </w:pPr>
          </w:p>
          <w:p>
            <w:pPr>
              <w:pStyle w:val="32"/>
              <w:rPr>
                <w:rStyle w:val="82"/>
                <w:rFonts w:hint="eastAsia"/>
                <w:color w:val="auto"/>
                <w:u w:val="single"/>
              </w:rPr>
            </w:pPr>
          </w:p>
          <w:p>
            <w:pPr>
              <w:pStyle w:val="32"/>
              <w:rPr>
                <w:rStyle w:val="82"/>
                <w:rFonts w:hint="eastAsia"/>
                <w:color w:val="auto"/>
                <w:u w:val="single"/>
              </w:rPr>
            </w:pPr>
          </w:p>
          <w:p>
            <w:pPr>
              <w:pStyle w:val="32"/>
              <w:rPr>
                <w:rStyle w:val="82"/>
                <w:rFonts w:hint="eastAsia"/>
                <w:color w:val="auto"/>
                <w:u w:val="single"/>
              </w:rPr>
            </w:pPr>
          </w:p>
          <w:p>
            <w:pPr>
              <w:pStyle w:val="32"/>
              <w:rPr>
                <w:rStyle w:val="82"/>
                <w:rFonts w:hint="eastAsia"/>
                <w:color w:val="auto"/>
                <w:u w:val="single"/>
              </w:rPr>
            </w:pPr>
          </w:p>
          <w:p>
            <w:pPr>
              <w:snapToGrid w:val="0"/>
              <w:spacing w:line="240" w:lineRule="auto"/>
              <w:ind w:firstLine="0" w:firstLineChars="0"/>
              <w:jc w:val="center"/>
              <w:rPr>
                <w:b/>
                <w:bCs/>
                <w:color w:val="auto"/>
                <w:szCs w:val="20"/>
              </w:rPr>
            </w:pPr>
            <w:r>
              <w:rPr>
                <w:rFonts w:hint="eastAsia"/>
                <w:b/>
                <w:bCs/>
                <w:color w:val="auto"/>
                <w:szCs w:val="20"/>
              </w:rPr>
              <w:t xml:space="preserve">表1-4 </w:t>
            </w:r>
            <w:r>
              <w:rPr>
                <w:rFonts w:hint="eastAsia"/>
                <w:b/>
                <w:bCs/>
                <w:color w:val="auto"/>
                <w:szCs w:val="20"/>
                <w:lang w:val="en-US" w:eastAsia="zh-CN"/>
              </w:rPr>
              <w:t xml:space="preserve">  </w:t>
            </w:r>
            <w:r>
              <w:rPr>
                <w:rFonts w:hint="eastAsia"/>
                <w:b/>
                <w:bCs/>
                <w:color w:val="auto"/>
                <w:szCs w:val="20"/>
              </w:rPr>
              <w:t>项目原辅材料理化性质一览表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snapToGrid w:val="0"/>
                    <w:spacing w:line="240" w:lineRule="auto"/>
                    <w:ind w:firstLine="0" w:firstLineChars="0"/>
                    <w:jc w:val="center"/>
                    <w:rPr>
                      <w:b/>
                      <w:bCs/>
                      <w:color w:val="auto"/>
                      <w:sz w:val="21"/>
                      <w:szCs w:val="21"/>
                      <w:u w:val="single"/>
                    </w:rPr>
                  </w:pPr>
                  <w:r>
                    <w:rPr>
                      <w:rFonts w:hint="eastAsia"/>
                      <w:b/>
                      <w:bCs/>
                      <w:color w:val="auto"/>
                      <w:sz w:val="21"/>
                      <w:szCs w:val="21"/>
                      <w:u w:val="single"/>
                    </w:rPr>
                    <w:t>序号</w:t>
                  </w:r>
                </w:p>
              </w:tc>
              <w:tc>
                <w:tcPr>
                  <w:tcW w:w="1276" w:type="dxa"/>
                  <w:vAlign w:val="center"/>
                </w:tcPr>
                <w:p>
                  <w:pPr>
                    <w:snapToGrid w:val="0"/>
                    <w:spacing w:line="240" w:lineRule="auto"/>
                    <w:ind w:firstLine="0" w:firstLineChars="0"/>
                    <w:jc w:val="center"/>
                    <w:rPr>
                      <w:b/>
                      <w:bCs/>
                      <w:color w:val="auto"/>
                      <w:sz w:val="21"/>
                      <w:szCs w:val="21"/>
                      <w:u w:val="single"/>
                    </w:rPr>
                  </w:pPr>
                  <w:r>
                    <w:rPr>
                      <w:rFonts w:hint="eastAsia"/>
                      <w:b/>
                      <w:bCs/>
                      <w:color w:val="auto"/>
                      <w:sz w:val="21"/>
                      <w:szCs w:val="21"/>
                      <w:u w:val="single"/>
                    </w:rPr>
                    <w:t>名称</w:t>
                  </w:r>
                </w:p>
              </w:tc>
              <w:tc>
                <w:tcPr>
                  <w:tcW w:w="7080" w:type="dxa"/>
                  <w:vAlign w:val="center"/>
                </w:tcPr>
                <w:p>
                  <w:pPr>
                    <w:snapToGrid w:val="0"/>
                    <w:spacing w:line="240" w:lineRule="auto"/>
                    <w:ind w:firstLine="0" w:firstLineChars="0"/>
                    <w:jc w:val="center"/>
                    <w:rPr>
                      <w:b/>
                      <w:bCs/>
                      <w:color w:val="auto"/>
                      <w:sz w:val="21"/>
                      <w:szCs w:val="21"/>
                      <w:u w:val="single"/>
                    </w:rPr>
                  </w:pPr>
                  <w:r>
                    <w:rPr>
                      <w:rFonts w:hint="eastAsia"/>
                      <w:b/>
                      <w:bCs/>
                      <w:color w:val="auto"/>
                      <w:sz w:val="21"/>
                      <w:szCs w:val="21"/>
                      <w:u w:val="single"/>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snapToGrid w:val="0"/>
                    <w:spacing w:line="240" w:lineRule="auto"/>
                    <w:ind w:firstLine="0" w:firstLineChars="0"/>
                    <w:jc w:val="center"/>
                    <w:rPr>
                      <w:color w:val="auto"/>
                      <w:sz w:val="21"/>
                      <w:szCs w:val="20"/>
                      <w:u w:val="single"/>
                    </w:rPr>
                  </w:pPr>
                  <w:r>
                    <w:rPr>
                      <w:color w:val="auto"/>
                      <w:sz w:val="21"/>
                      <w:szCs w:val="20"/>
                      <w:u w:val="single"/>
                    </w:rPr>
                    <w:t>1</w:t>
                  </w:r>
                </w:p>
              </w:tc>
              <w:tc>
                <w:tcPr>
                  <w:tcW w:w="1276" w:type="dxa"/>
                  <w:vAlign w:val="center"/>
                </w:tcPr>
                <w:p>
                  <w:pPr>
                    <w:snapToGrid w:val="0"/>
                    <w:spacing w:line="240" w:lineRule="auto"/>
                    <w:ind w:firstLine="0" w:firstLineChars="0"/>
                    <w:jc w:val="both"/>
                    <w:rPr>
                      <w:color w:val="auto"/>
                      <w:sz w:val="21"/>
                      <w:szCs w:val="20"/>
                      <w:u w:val="single"/>
                    </w:rPr>
                  </w:pPr>
                  <w:r>
                    <w:rPr>
                      <w:rFonts w:hint="eastAsia"/>
                      <w:color w:val="auto"/>
                      <w:sz w:val="21"/>
                      <w:szCs w:val="20"/>
                      <w:u w:val="single"/>
                    </w:rPr>
                    <w:t>BOPP（双向拉伸聚丙烯薄膜）</w:t>
                  </w:r>
                </w:p>
              </w:tc>
              <w:tc>
                <w:tcPr>
                  <w:tcW w:w="7080" w:type="dxa"/>
                  <w:vAlign w:val="center"/>
                </w:tcPr>
                <w:p>
                  <w:pPr>
                    <w:snapToGrid w:val="0"/>
                    <w:spacing w:line="276" w:lineRule="auto"/>
                    <w:ind w:firstLine="0" w:firstLineChars="0"/>
                    <w:jc w:val="both"/>
                    <w:rPr>
                      <w:color w:val="auto"/>
                      <w:sz w:val="21"/>
                      <w:szCs w:val="20"/>
                      <w:u w:val="single"/>
                    </w:rPr>
                  </w:pPr>
                  <w:r>
                    <w:rPr>
                      <w:rFonts w:hint="eastAsia"/>
                      <w:color w:val="auto"/>
                      <w:sz w:val="21"/>
                      <w:szCs w:val="20"/>
                      <w:u w:val="single"/>
                    </w:rPr>
                    <w:t>即双向拉伸聚丙烯薄膜，是一种非常重要的软包装材料，BOPP薄膜无色、无臭、无味、无毒，并具有高拉伸强度、冲击强度、刚性、强韧性和良好的透明性。具有良好的印刷适应性，常用作复合薄膜的面层材料，在生产中可与多种不同材料复合（如PE、PT、PO、PVA等），以满足特殊的应用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snapToGrid w:val="0"/>
                    <w:spacing w:line="240" w:lineRule="auto"/>
                    <w:ind w:firstLine="0" w:firstLineChars="0"/>
                    <w:jc w:val="center"/>
                    <w:rPr>
                      <w:color w:val="auto"/>
                      <w:sz w:val="21"/>
                      <w:szCs w:val="20"/>
                      <w:u w:val="single"/>
                    </w:rPr>
                  </w:pPr>
                  <w:r>
                    <w:rPr>
                      <w:color w:val="auto"/>
                      <w:sz w:val="21"/>
                      <w:szCs w:val="20"/>
                      <w:u w:val="single"/>
                    </w:rPr>
                    <w:t>2</w:t>
                  </w:r>
                </w:p>
              </w:tc>
              <w:tc>
                <w:tcPr>
                  <w:tcW w:w="1276" w:type="dxa"/>
                  <w:vAlign w:val="center"/>
                </w:tcPr>
                <w:p>
                  <w:pPr>
                    <w:snapToGrid w:val="0"/>
                    <w:spacing w:line="240" w:lineRule="auto"/>
                    <w:ind w:firstLine="0" w:firstLineChars="0"/>
                    <w:jc w:val="both"/>
                    <w:rPr>
                      <w:color w:val="auto"/>
                      <w:sz w:val="21"/>
                      <w:szCs w:val="20"/>
                      <w:u w:val="single"/>
                    </w:rPr>
                  </w:pPr>
                  <w:r>
                    <w:rPr>
                      <w:rFonts w:hint="eastAsia"/>
                      <w:color w:val="auto"/>
                      <w:sz w:val="21"/>
                      <w:szCs w:val="20"/>
                      <w:u w:val="single"/>
                    </w:rPr>
                    <w:t>PET（聚酯薄膜）</w:t>
                  </w:r>
                </w:p>
              </w:tc>
              <w:tc>
                <w:tcPr>
                  <w:tcW w:w="7080" w:type="dxa"/>
                  <w:vAlign w:val="center"/>
                </w:tcPr>
                <w:p>
                  <w:pPr>
                    <w:snapToGrid w:val="0"/>
                    <w:spacing w:line="276" w:lineRule="auto"/>
                    <w:ind w:firstLine="0" w:firstLineChars="0"/>
                    <w:jc w:val="both"/>
                    <w:rPr>
                      <w:color w:val="auto"/>
                      <w:sz w:val="21"/>
                      <w:szCs w:val="20"/>
                      <w:u w:val="single"/>
                    </w:rPr>
                  </w:pPr>
                  <w:r>
                    <w:rPr>
                      <w:rFonts w:hint="eastAsia"/>
                      <w:color w:val="auto"/>
                      <w:sz w:val="21"/>
                      <w:szCs w:val="20"/>
                      <w:u w:val="single"/>
                    </w:rPr>
                    <w:t>PET（聚酯薄膜）是以聚对苯二甲酸乙二醇酯为原料，采用挤出法制成厚片，再经双向拉伸制成的薄膜材料。它是一种无色透明、有光泽的薄膜，机械性能优良，刚性、硬度及韧性高，耐穿刺，耐摩擦，耐高温和低温，耐化学药品性、耐油性、气密性和保香性良好，是常用的阻透性复合薄膜基材之一。一般厚度0.12mm，常用做蒸煮包装的外层材料，印刷性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snapToGrid w:val="0"/>
                    <w:spacing w:line="240" w:lineRule="auto"/>
                    <w:ind w:firstLine="0" w:firstLineChars="0"/>
                    <w:jc w:val="center"/>
                    <w:rPr>
                      <w:color w:val="auto"/>
                      <w:sz w:val="21"/>
                      <w:szCs w:val="20"/>
                      <w:u w:val="single"/>
                    </w:rPr>
                  </w:pPr>
                  <w:r>
                    <w:rPr>
                      <w:color w:val="auto"/>
                      <w:sz w:val="21"/>
                      <w:szCs w:val="20"/>
                      <w:u w:val="single"/>
                    </w:rPr>
                    <w:t>3</w:t>
                  </w:r>
                </w:p>
              </w:tc>
              <w:tc>
                <w:tcPr>
                  <w:tcW w:w="1276" w:type="dxa"/>
                  <w:vAlign w:val="center"/>
                </w:tcPr>
                <w:p>
                  <w:pPr>
                    <w:snapToGrid w:val="0"/>
                    <w:spacing w:line="240" w:lineRule="auto"/>
                    <w:ind w:firstLine="0" w:firstLineChars="0"/>
                    <w:jc w:val="both"/>
                    <w:rPr>
                      <w:color w:val="auto"/>
                      <w:sz w:val="21"/>
                      <w:szCs w:val="20"/>
                      <w:u w:val="single"/>
                    </w:rPr>
                  </w:pPr>
                  <w:r>
                    <w:rPr>
                      <w:rFonts w:hint="eastAsia"/>
                      <w:color w:val="auto"/>
                      <w:sz w:val="21"/>
                      <w:szCs w:val="20"/>
                      <w:u w:val="single"/>
                    </w:rPr>
                    <w:t>CPP（聚丙烯薄膜）</w:t>
                  </w:r>
                </w:p>
              </w:tc>
              <w:tc>
                <w:tcPr>
                  <w:tcW w:w="7080" w:type="dxa"/>
                  <w:vAlign w:val="center"/>
                </w:tcPr>
                <w:p>
                  <w:pPr>
                    <w:snapToGrid w:val="0"/>
                    <w:spacing w:line="276" w:lineRule="auto"/>
                    <w:ind w:firstLine="0" w:firstLineChars="0"/>
                    <w:jc w:val="both"/>
                    <w:rPr>
                      <w:color w:val="auto"/>
                      <w:sz w:val="21"/>
                      <w:szCs w:val="20"/>
                      <w:u w:val="single"/>
                    </w:rPr>
                  </w:pPr>
                  <w:r>
                    <w:rPr>
                      <w:rFonts w:hint="eastAsia"/>
                      <w:color w:val="auto"/>
                      <w:sz w:val="21"/>
                      <w:szCs w:val="20"/>
                      <w:u w:val="single"/>
                    </w:rPr>
                    <w:t>耐热性优良。由于CPP软化点大约为140℃，该类薄膜可应用于热灌装、蒸煮袋、无菌包装等领域。加上耐酸、耐碱、耐油脂性能优良，使之成为面包产品包装或层压材料等领域的首选材料。其与食品接触性安全，演示性能优良，不会影响内装食品的风味，并可选择不同品级的树脂以获得所需的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4" w:type="dxa"/>
                  <w:vAlign w:val="center"/>
                </w:tcPr>
                <w:p>
                  <w:pPr>
                    <w:snapToGrid w:val="0"/>
                    <w:spacing w:line="240" w:lineRule="auto"/>
                    <w:ind w:firstLine="0" w:firstLineChars="0"/>
                    <w:jc w:val="center"/>
                    <w:rPr>
                      <w:color w:val="auto"/>
                      <w:sz w:val="21"/>
                      <w:szCs w:val="20"/>
                      <w:u w:val="single"/>
                    </w:rPr>
                  </w:pPr>
                  <w:r>
                    <w:rPr>
                      <w:color w:val="auto"/>
                      <w:sz w:val="21"/>
                      <w:szCs w:val="20"/>
                      <w:u w:val="single"/>
                    </w:rPr>
                    <w:t>4</w:t>
                  </w:r>
                </w:p>
              </w:tc>
              <w:tc>
                <w:tcPr>
                  <w:tcW w:w="1276" w:type="dxa"/>
                  <w:vAlign w:val="center"/>
                </w:tcPr>
                <w:p>
                  <w:pPr>
                    <w:snapToGrid w:val="0"/>
                    <w:spacing w:line="240" w:lineRule="auto"/>
                    <w:ind w:firstLine="0" w:firstLineChars="0"/>
                    <w:jc w:val="center"/>
                    <w:rPr>
                      <w:color w:val="auto"/>
                      <w:sz w:val="21"/>
                      <w:szCs w:val="20"/>
                      <w:u w:val="single"/>
                    </w:rPr>
                  </w:pPr>
                  <w:r>
                    <w:rPr>
                      <w:rFonts w:hint="eastAsia"/>
                      <w:color w:val="auto"/>
                      <w:sz w:val="21"/>
                      <w:szCs w:val="20"/>
                      <w:u w:val="single"/>
                    </w:rPr>
                    <w:t>聚氨酯胶水</w:t>
                  </w:r>
                </w:p>
              </w:tc>
              <w:tc>
                <w:tcPr>
                  <w:tcW w:w="7080" w:type="dxa"/>
                  <w:vAlign w:val="center"/>
                </w:tcPr>
                <w:p>
                  <w:pPr>
                    <w:snapToGrid w:val="0"/>
                    <w:spacing w:line="276" w:lineRule="auto"/>
                    <w:ind w:firstLine="0" w:firstLineChars="0"/>
                    <w:jc w:val="both"/>
                    <w:rPr>
                      <w:color w:val="auto"/>
                      <w:sz w:val="21"/>
                      <w:szCs w:val="20"/>
                      <w:u w:val="single"/>
                    </w:rPr>
                  </w:pPr>
                  <w:r>
                    <w:rPr>
                      <w:rFonts w:hint="eastAsia"/>
                      <w:color w:val="auto"/>
                      <w:sz w:val="21"/>
                      <w:szCs w:val="20"/>
                      <w:u w:val="single"/>
                    </w:rPr>
                    <w:t>聚氨酯胶水是分子链中含有氨</w:t>
                  </w:r>
                  <w:r>
                    <w:rPr>
                      <w:color w:val="auto"/>
                    </w:rPr>
                    <w:fldChar w:fldCharType="begin"/>
                  </w:r>
                  <w:r>
                    <w:rPr>
                      <w:color w:val="auto"/>
                    </w:rPr>
                    <w:instrText xml:space="preserve"> HYPERLINK "https://baike.baidu.com/item/%E9%85%AF%E5%9F%BA/7606604" \t "_blank" </w:instrText>
                  </w:r>
                  <w:r>
                    <w:rPr>
                      <w:color w:val="auto"/>
                    </w:rPr>
                    <w:fldChar w:fldCharType="separate"/>
                  </w:r>
                  <w:r>
                    <w:rPr>
                      <w:rFonts w:hint="eastAsia"/>
                      <w:color w:val="auto"/>
                      <w:sz w:val="21"/>
                      <w:szCs w:val="20"/>
                      <w:u w:val="single"/>
                    </w:rPr>
                    <w:t>酯基</w:t>
                  </w:r>
                  <w:r>
                    <w:rPr>
                      <w:rFonts w:hint="eastAsia"/>
                      <w:color w:val="auto"/>
                      <w:sz w:val="21"/>
                      <w:szCs w:val="20"/>
                      <w:u w:val="single"/>
                    </w:rPr>
                    <w:fldChar w:fldCharType="end"/>
                  </w:r>
                  <w:r>
                    <w:rPr>
                      <w:rFonts w:hint="eastAsia"/>
                      <w:color w:val="auto"/>
                      <w:sz w:val="21"/>
                      <w:szCs w:val="20"/>
                      <w:u w:val="single"/>
                    </w:rPr>
                    <w:t>和</w:t>
                  </w:r>
                  <w:r>
                    <w:rPr>
                      <w:color w:val="auto"/>
                    </w:rPr>
                    <w:fldChar w:fldCharType="begin"/>
                  </w:r>
                  <w:r>
                    <w:rPr>
                      <w:color w:val="auto"/>
                    </w:rPr>
                    <w:instrText xml:space="preserve"> HYPERLINK "https://baike.baidu.com/item/%E5%BC%82%E6%B0%B0%E9%85%B8%E9%85%AF/6867007" \t "_blank" </w:instrText>
                  </w:r>
                  <w:r>
                    <w:rPr>
                      <w:color w:val="auto"/>
                    </w:rPr>
                    <w:fldChar w:fldCharType="separate"/>
                  </w:r>
                  <w:r>
                    <w:rPr>
                      <w:rFonts w:hint="eastAsia"/>
                      <w:color w:val="auto"/>
                      <w:sz w:val="21"/>
                      <w:szCs w:val="20"/>
                      <w:u w:val="single"/>
                    </w:rPr>
                    <w:t>异氰酸酯</w:t>
                  </w:r>
                  <w:r>
                    <w:rPr>
                      <w:rFonts w:hint="eastAsia"/>
                      <w:color w:val="auto"/>
                      <w:sz w:val="21"/>
                      <w:szCs w:val="20"/>
                      <w:u w:val="single"/>
                    </w:rPr>
                    <w:fldChar w:fldCharType="end"/>
                  </w:r>
                  <w:r>
                    <w:rPr>
                      <w:rFonts w:hint="eastAsia"/>
                      <w:color w:val="auto"/>
                      <w:sz w:val="21"/>
                      <w:szCs w:val="20"/>
                      <w:u w:val="single"/>
                    </w:rPr>
                    <w:t>基的胶水，由于含有强极性的异氰酸酯和</w:t>
                  </w:r>
                  <w:r>
                    <w:rPr>
                      <w:color w:val="auto"/>
                    </w:rPr>
                    <w:fldChar w:fldCharType="begin"/>
                  </w:r>
                  <w:r>
                    <w:rPr>
                      <w:color w:val="auto"/>
                    </w:rPr>
                    <w:instrText xml:space="preserve"> HYPERLINK "https://baike.baidu.com/item/%E6%B0%A8%E5%9F%BA%E7%94%B2%E9%85%B8%E9%85%AF/1858193" \t "_blank" </w:instrText>
                  </w:r>
                  <w:r>
                    <w:rPr>
                      <w:color w:val="auto"/>
                    </w:rPr>
                    <w:fldChar w:fldCharType="separate"/>
                  </w:r>
                  <w:r>
                    <w:rPr>
                      <w:rFonts w:hint="eastAsia"/>
                      <w:color w:val="auto"/>
                      <w:sz w:val="21"/>
                      <w:szCs w:val="20"/>
                      <w:u w:val="single"/>
                    </w:rPr>
                    <w:t>氨基甲酸酯</w:t>
                  </w:r>
                  <w:r>
                    <w:rPr>
                      <w:rFonts w:hint="eastAsia"/>
                      <w:color w:val="auto"/>
                      <w:sz w:val="21"/>
                      <w:szCs w:val="20"/>
                      <w:u w:val="single"/>
                    </w:rPr>
                    <w:fldChar w:fldCharType="end"/>
                  </w:r>
                  <w:r>
                    <w:rPr>
                      <w:rFonts w:hint="eastAsia"/>
                      <w:color w:val="auto"/>
                      <w:sz w:val="21"/>
                      <w:szCs w:val="20"/>
                      <w:u w:val="single"/>
                    </w:rPr>
                    <w:t>基，具有很高的反应性，能够室温固化，因而对金属、橡胶、玻璃、陶瓷、塑料、木材、织物、皮革等多种材料都有优良的胶粘性能。</w:t>
                  </w:r>
                  <w:r>
                    <w:rPr>
                      <w:color w:val="auto"/>
                    </w:rPr>
                    <w:fldChar w:fldCharType="begin"/>
                  </w:r>
                  <w:r>
                    <w:rPr>
                      <w:color w:val="auto"/>
                    </w:rPr>
                    <w:instrText xml:space="preserve"> HYPERLINK "https://baike.baidu.com/item/%E8%81%9A%E6%B0%A8%E9%85%AF/2444330" \t "_blank" </w:instrText>
                  </w:r>
                  <w:r>
                    <w:rPr>
                      <w:color w:val="auto"/>
                    </w:rPr>
                    <w:fldChar w:fldCharType="separate"/>
                  </w:r>
                  <w:r>
                    <w:rPr>
                      <w:rFonts w:hint="eastAsia"/>
                      <w:color w:val="auto"/>
                      <w:sz w:val="21"/>
                      <w:szCs w:val="20"/>
                      <w:u w:val="single"/>
                    </w:rPr>
                    <w:t>聚氨酯</w:t>
                  </w:r>
                  <w:r>
                    <w:rPr>
                      <w:rFonts w:hint="eastAsia"/>
                      <w:color w:val="auto"/>
                      <w:sz w:val="21"/>
                      <w:szCs w:val="20"/>
                      <w:u w:val="single"/>
                    </w:rPr>
                    <w:fldChar w:fldCharType="end"/>
                  </w:r>
                  <w:r>
                    <w:rPr>
                      <w:rFonts w:hint="eastAsia"/>
                      <w:color w:val="auto"/>
                      <w:sz w:val="21"/>
                      <w:szCs w:val="20"/>
                      <w:u w:val="single"/>
                    </w:rPr>
                    <w:t>的主链柔性很好，其最大特点是耐受冲击震动和弯曲疲劳，</w:t>
                  </w:r>
                  <w:r>
                    <w:rPr>
                      <w:color w:val="auto"/>
                    </w:rPr>
                    <w:fldChar w:fldCharType="begin"/>
                  </w:r>
                  <w:r>
                    <w:rPr>
                      <w:color w:val="auto"/>
                    </w:rPr>
                    <w:instrText xml:space="preserve"> HYPERLINK "https://baike.baidu.com/item/%E5%89%A5%E7%A6%BB%E5%BC%BA%E5%BA%A6/4097484" \t "_blank" </w:instrText>
                  </w:r>
                  <w:r>
                    <w:rPr>
                      <w:color w:val="auto"/>
                    </w:rPr>
                    <w:fldChar w:fldCharType="separate"/>
                  </w:r>
                  <w:r>
                    <w:rPr>
                      <w:rFonts w:hint="eastAsia"/>
                      <w:color w:val="auto"/>
                      <w:sz w:val="21"/>
                      <w:szCs w:val="20"/>
                      <w:u w:val="single"/>
                    </w:rPr>
                    <w:t>剥离强度</w:t>
                  </w:r>
                  <w:r>
                    <w:rPr>
                      <w:rFonts w:hint="eastAsia"/>
                      <w:color w:val="auto"/>
                      <w:sz w:val="21"/>
                      <w:szCs w:val="20"/>
                      <w:u w:val="single"/>
                    </w:rPr>
                    <w:fldChar w:fldCharType="end"/>
                  </w:r>
                  <w:r>
                    <w:rPr>
                      <w:rFonts w:hint="eastAsia"/>
                      <w:color w:val="auto"/>
                      <w:sz w:val="21"/>
                      <w:szCs w:val="20"/>
                      <w:u w:val="single"/>
                    </w:rPr>
                    <w:t>很高，特别是耐低温性能极其优异，在现有的胶水中独占鳌头。聚氨酯胶水工艺简便，室温和加热均能固化，不同材料胶粘时</w:t>
                  </w:r>
                  <w:r>
                    <w:rPr>
                      <w:color w:val="auto"/>
                    </w:rPr>
                    <w:fldChar w:fldCharType="begin"/>
                  </w:r>
                  <w:r>
                    <w:rPr>
                      <w:color w:val="auto"/>
                    </w:rPr>
                    <w:instrText xml:space="preserve"> HYPERLINK "https://baike.baidu.com/item/%E7%83%AD%E5%BA%94%E5%8A%9B/9708121" \t "_blank" </w:instrText>
                  </w:r>
                  <w:r>
                    <w:rPr>
                      <w:color w:val="auto"/>
                    </w:rPr>
                    <w:fldChar w:fldCharType="separate"/>
                  </w:r>
                  <w:r>
                    <w:rPr>
                      <w:rFonts w:hint="eastAsia"/>
                      <w:color w:val="auto"/>
                      <w:sz w:val="21"/>
                      <w:szCs w:val="20"/>
                      <w:u w:val="single"/>
                    </w:rPr>
                    <w:t>热应力</w:t>
                  </w:r>
                  <w:r>
                    <w:rPr>
                      <w:rFonts w:hint="eastAsia"/>
                      <w:color w:val="auto"/>
                      <w:sz w:val="21"/>
                      <w:szCs w:val="20"/>
                      <w:u w:val="single"/>
                    </w:rPr>
                    <w:fldChar w:fldCharType="end"/>
                  </w:r>
                  <w:r>
                    <w:rPr>
                      <w:rFonts w:hint="eastAsia"/>
                      <w:color w:val="auto"/>
                      <w:sz w:val="21"/>
                      <w:szCs w:val="20"/>
                      <w:u w:val="single"/>
                    </w:rPr>
                    <w:t>影响小，在各个领域都有广泛的应用。聚氨酯胶水</w:t>
                  </w:r>
                  <w:r>
                    <w:rPr>
                      <w:color w:val="auto"/>
                    </w:rPr>
                    <w:fldChar w:fldCharType="begin"/>
                  </w:r>
                  <w:r>
                    <w:rPr>
                      <w:color w:val="auto"/>
                    </w:rPr>
                    <w:instrText xml:space="preserve"> HYPERLINK "https://baike.baidu.com/item/%E8%80%90%E6%B0%B4%E6%80%A7/10930899" \t "_blank" </w:instrText>
                  </w:r>
                  <w:r>
                    <w:rPr>
                      <w:color w:val="auto"/>
                    </w:rPr>
                    <w:fldChar w:fldCharType="separate"/>
                  </w:r>
                  <w:r>
                    <w:rPr>
                      <w:rFonts w:hint="eastAsia"/>
                      <w:color w:val="auto"/>
                      <w:sz w:val="21"/>
                      <w:szCs w:val="20"/>
                      <w:u w:val="single"/>
                    </w:rPr>
                    <w:t>耐水性</w:t>
                  </w:r>
                  <w:r>
                    <w:rPr>
                      <w:rFonts w:hint="eastAsia"/>
                      <w:color w:val="auto"/>
                      <w:sz w:val="21"/>
                      <w:szCs w:val="20"/>
                      <w:u w:val="single"/>
                    </w:rPr>
                    <w:fldChar w:fldCharType="end"/>
                  </w:r>
                  <w:r>
                    <w:rPr>
                      <w:rFonts w:hint="eastAsia"/>
                      <w:color w:val="auto"/>
                      <w:sz w:val="21"/>
                      <w:szCs w:val="20"/>
                      <w:u w:val="single"/>
                    </w:rPr>
                    <w:t>和</w:t>
                  </w:r>
                  <w:r>
                    <w:rPr>
                      <w:color w:val="auto"/>
                    </w:rPr>
                    <w:fldChar w:fldCharType="begin"/>
                  </w:r>
                  <w:r>
                    <w:rPr>
                      <w:color w:val="auto"/>
                    </w:rPr>
                    <w:instrText xml:space="preserve"> HYPERLINK "https://baike.baidu.com/item/%E8%80%90%E7%83%AD%E6%80%A7/9397486" \t "_blank" </w:instrText>
                  </w:r>
                  <w:r>
                    <w:rPr>
                      <w:color w:val="auto"/>
                    </w:rPr>
                    <w:fldChar w:fldCharType="separate"/>
                  </w:r>
                  <w:r>
                    <w:rPr>
                      <w:rFonts w:hint="eastAsia"/>
                      <w:color w:val="auto"/>
                      <w:sz w:val="21"/>
                      <w:szCs w:val="20"/>
                      <w:u w:val="single"/>
                    </w:rPr>
                    <w:t>耐热性</w:t>
                  </w:r>
                  <w:r>
                    <w:rPr>
                      <w:rFonts w:hint="eastAsia"/>
                      <w:color w:val="auto"/>
                      <w:sz w:val="21"/>
                      <w:szCs w:val="20"/>
                      <w:u w:val="single"/>
                    </w:rPr>
                    <w:fldChar w:fldCharType="end"/>
                  </w:r>
                  <w:r>
                    <w:rPr>
                      <w:rFonts w:hint="eastAsia"/>
                      <w:color w:val="auto"/>
                      <w:sz w:val="21"/>
                      <w:szCs w:val="20"/>
                      <w:u w:val="single"/>
                    </w:rPr>
                    <w:t>较差，选用时需要注意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704" w:type="dxa"/>
                  <w:vAlign w:val="center"/>
                </w:tcPr>
                <w:p>
                  <w:pPr>
                    <w:snapToGrid w:val="0"/>
                    <w:ind w:firstLine="0" w:firstLineChars="0"/>
                    <w:jc w:val="center"/>
                    <w:rPr>
                      <w:color w:val="auto"/>
                      <w:sz w:val="21"/>
                      <w:szCs w:val="20"/>
                      <w:u w:val="single"/>
                    </w:rPr>
                  </w:pPr>
                  <w:r>
                    <w:rPr>
                      <w:color w:val="auto"/>
                      <w:sz w:val="21"/>
                      <w:szCs w:val="20"/>
                      <w:u w:val="single"/>
                    </w:rPr>
                    <w:t>5</w:t>
                  </w:r>
                </w:p>
              </w:tc>
              <w:tc>
                <w:tcPr>
                  <w:tcW w:w="1276" w:type="dxa"/>
                  <w:vAlign w:val="center"/>
                </w:tcPr>
                <w:p>
                  <w:pPr>
                    <w:snapToGrid w:val="0"/>
                    <w:ind w:firstLine="0" w:firstLineChars="0"/>
                    <w:rPr>
                      <w:color w:val="auto"/>
                      <w:sz w:val="21"/>
                      <w:szCs w:val="20"/>
                      <w:u w:val="single"/>
                    </w:rPr>
                  </w:pPr>
                  <w:r>
                    <w:rPr>
                      <w:rFonts w:hint="eastAsia"/>
                      <w:color w:val="auto"/>
                      <w:sz w:val="21"/>
                      <w:szCs w:val="21"/>
                      <w:u w:val="single"/>
                    </w:rPr>
                    <w:t>聚氨酯油墨</w:t>
                  </w:r>
                </w:p>
              </w:tc>
              <w:tc>
                <w:tcPr>
                  <w:tcW w:w="7080" w:type="dxa"/>
                  <w:vAlign w:val="center"/>
                </w:tcPr>
                <w:p>
                  <w:pPr>
                    <w:snapToGrid w:val="0"/>
                    <w:spacing w:line="276" w:lineRule="auto"/>
                    <w:ind w:firstLine="0" w:firstLineChars="0"/>
                    <w:jc w:val="both"/>
                    <w:rPr>
                      <w:color w:val="auto"/>
                      <w:sz w:val="21"/>
                      <w:szCs w:val="20"/>
                      <w:u w:val="single"/>
                    </w:rPr>
                  </w:pPr>
                  <w:r>
                    <w:rPr>
                      <w:rFonts w:hint="eastAsia"/>
                      <w:color w:val="auto"/>
                      <w:sz w:val="21"/>
                      <w:szCs w:val="20"/>
                      <w:u w:val="single"/>
                    </w:rPr>
                    <w:t>具有高光泽，良好的耐性（如耐温、耐油、耐弱酸碱性）环保性、适用性广等特点，可用于各类食品、药品、日用品等软包装产品的印刷，并且可以针对后加工工艺的要求选择不同性能的聚氨酯油墨。</w:t>
                  </w:r>
                  <w:r>
                    <w:rPr>
                      <w:rStyle w:val="82"/>
                      <w:color w:val="auto"/>
                      <w:u w:val="single"/>
                    </w:rPr>
                    <w:t>主要成分为水溶性丙烯树脂</w:t>
                  </w:r>
                  <w:r>
                    <w:rPr>
                      <w:rStyle w:val="83"/>
                      <w:color w:val="auto"/>
                      <w:u w:val="single"/>
                    </w:rPr>
                    <w:t>25~35%</w:t>
                  </w:r>
                  <w:r>
                    <w:rPr>
                      <w:rStyle w:val="82"/>
                      <w:color w:val="auto"/>
                      <w:u w:val="single"/>
                    </w:rPr>
                    <w:t>，水</w:t>
                  </w:r>
                  <w:r>
                    <w:rPr>
                      <w:rStyle w:val="83"/>
                      <w:color w:val="auto"/>
                      <w:u w:val="single"/>
                    </w:rPr>
                    <w:t>15~25%</w:t>
                  </w:r>
                  <w:r>
                    <w:rPr>
                      <w:rStyle w:val="82"/>
                      <w:color w:val="auto"/>
                      <w:u w:val="single"/>
                    </w:rPr>
                    <w:t>，乙醇</w:t>
                  </w:r>
                  <w:r>
                    <w:rPr>
                      <w:rStyle w:val="83"/>
                      <w:color w:val="auto"/>
                      <w:u w:val="single"/>
                    </w:rPr>
                    <w:t>5~15%</w:t>
                  </w:r>
                  <w:r>
                    <w:rPr>
                      <w:rStyle w:val="82"/>
                      <w:color w:val="auto"/>
                      <w:u w:val="single"/>
                    </w:rPr>
                    <w:t>，三乙胺</w:t>
                  </w:r>
                  <w:r>
                    <w:rPr>
                      <w:rStyle w:val="83"/>
                      <w:color w:val="auto"/>
                      <w:u w:val="single"/>
                    </w:rPr>
                    <w:t>10~30%</w:t>
                  </w:r>
                  <w:r>
                    <w:rPr>
                      <w:rStyle w:val="82"/>
                      <w:color w:val="auto"/>
                      <w:u w:val="single"/>
                    </w:rPr>
                    <w:t>，颜料</w:t>
                  </w:r>
                  <w:r>
                    <w:rPr>
                      <w:rStyle w:val="83"/>
                      <w:color w:val="auto"/>
                      <w:u w:val="single"/>
                    </w:rPr>
                    <w:t>10~30%</w:t>
                  </w:r>
                  <w:r>
                    <w:rPr>
                      <w:rStyle w:val="82"/>
                      <w:color w:val="auto"/>
                      <w:u w:val="single"/>
                    </w:rPr>
                    <w:t>，助剂（消泡剂、稳定剂等）</w:t>
                  </w:r>
                  <w:r>
                    <w:rPr>
                      <w:rStyle w:val="83"/>
                      <w:color w:val="auto"/>
                      <w:u w:val="single"/>
                    </w:rPr>
                    <w:t>1~3%</w:t>
                  </w:r>
                  <w:r>
                    <w:rPr>
                      <w:rStyle w:val="82"/>
                      <w:color w:val="auto"/>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snapToGrid w:val="0"/>
                    <w:spacing w:line="240" w:lineRule="auto"/>
                    <w:ind w:firstLine="0" w:firstLineChars="0"/>
                    <w:jc w:val="center"/>
                    <w:rPr>
                      <w:color w:val="auto"/>
                      <w:sz w:val="21"/>
                      <w:szCs w:val="20"/>
                      <w:u w:val="single"/>
                    </w:rPr>
                  </w:pPr>
                  <w:r>
                    <w:rPr>
                      <w:color w:val="auto"/>
                      <w:sz w:val="21"/>
                      <w:szCs w:val="20"/>
                      <w:u w:val="single"/>
                    </w:rPr>
                    <w:t>6</w:t>
                  </w:r>
                </w:p>
              </w:tc>
              <w:tc>
                <w:tcPr>
                  <w:tcW w:w="1276" w:type="dxa"/>
                  <w:vAlign w:val="center"/>
                </w:tcPr>
                <w:p>
                  <w:pPr>
                    <w:snapToGrid w:val="0"/>
                    <w:spacing w:line="240" w:lineRule="auto"/>
                    <w:ind w:firstLine="0" w:firstLineChars="0"/>
                    <w:jc w:val="center"/>
                    <w:rPr>
                      <w:color w:val="auto"/>
                      <w:sz w:val="21"/>
                      <w:szCs w:val="20"/>
                      <w:u w:val="single"/>
                    </w:rPr>
                  </w:pPr>
                  <w:r>
                    <w:rPr>
                      <w:rFonts w:hint="eastAsia"/>
                      <w:color w:val="auto"/>
                      <w:sz w:val="21"/>
                      <w:szCs w:val="20"/>
                      <w:u w:val="single"/>
                    </w:rPr>
                    <w:t>稀释剂</w:t>
                  </w:r>
                </w:p>
              </w:tc>
              <w:tc>
                <w:tcPr>
                  <w:tcW w:w="7080" w:type="dxa"/>
                  <w:vAlign w:val="center"/>
                </w:tcPr>
                <w:p>
                  <w:pPr>
                    <w:snapToGrid w:val="0"/>
                    <w:spacing w:line="360" w:lineRule="exact"/>
                    <w:ind w:firstLine="0" w:firstLineChars="0"/>
                    <w:jc w:val="center"/>
                    <w:rPr>
                      <w:color w:val="auto"/>
                      <w:sz w:val="21"/>
                      <w:szCs w:val="20"/>
                      <w:u w:val="single"/>
                    </w:rPr>
                  </w:pPr>
                  <w:r>
                    <w:rPr>
                      <w:rFonts w:hint="eastAsia"/>
                      <w:color w:val="auto"/>
                      <w:sz w:val="21"/>
                      <w:szCs w:val="20"/>
                      <w:u w:val="single"/>
                    </w:rPr>
                    <w:t>用于调和油墨的粘稠度，本项目使用的稀释剂主要成分为乙酯、异丙醇和正丙酯。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Align w:val="center"/>
                </w:tcPr>
                <w:p>
                  <w:pPr>
                    <w:snapToGrid w:val="0"/>
                    <w:spacing w:line="240" w:lineRule="auto"/>
                    <w:ind w:firstLine="0" w:firstLineChars="0"/>
                    <w:jc w:val="center"/>
                    <w:rPr>
                      <w:color w:val="auto"/>
                      <w:sz w:val="21"/>
                      <w:szCs w:val="20"/>
                      <w:u w:val="single"/>
                    </w:rPr>
                  </w:pPr>
                  <w:r>
                    <w:rPr>
                      <w:color w:val="auto"/>
                      <w:sz w:val="21"/>
                      <w:szCs w:val="20"/>
                      <w:u w:val="single"/>
                    </w:rPr>
                    <w:t>7</w:t>
                  </w:r>
                </w:p>
              </w:tc>
              <w:tc>
                <w:tcPr>
                  <w:tcW w:w="1276" w:type="dxa"/>
                  <w:vAlign w:val="center"/>
                </w:tcPr>
                <w:p>
                  <w:pPr>
                    <w:snapToGrid w:val="0"/>
                    <w:spacing w:line="240" w:lineRule="auto"/>
                    <w:ind w:firstLine="0" w:firstLineChars="0"/>
                    <w:jc w:val="center"/>
                    <w:rPr>
                      <w:color w:val="auto"/>
                      <w:sz w:val="21"/>
                      <w:szCs w:val="20"/>
                      <w:u w:val="single"/>
                    </w:rPr>
                  </w:pPr>
                  <w:r>
                    <w:rPr>
                      <w:rFonts w:hint="eastAsia"/>
                      <w:color w:val="auto"/>
                      <w:sz w:val="21"/>
                      <w:szCs w:val="20"/>
                      <w:u w:val="single"/>
                    </w:rPr>
                    <w:t>清洗剂</w:t>
                  </w:r>
                </w:p>
              </w:tc>
              <w:tc>
                <w:tcPr>
                  <w:tcW w:w="7080" w:type="dxa"/>
                  <w:vAlign w:val="center"/>
                </w:tcPr>
                <w:p>
                  <w:pPr>
                    <w:snapToGrid w:val="0"/>
                    <w:spacing w:line="276" w:lineRule="auto"/>
                    <w:ind w:firstLine="0" w:firstLineChars="0"/>
                    <w:jc w:val="both"/>
                    <w:rPr>
                      <w:color w:val="auto"/>
                      <w:sz w:val="21"/>
                      <w:szCs w:val="20"/>
                      <w:u w:val="single"/>
                    </w:rPr>
                  </w:pPr>
                  <w:r>
                    <w:rPr>
                      <w:rFonts w:hint="eastAsia"/>
                      <w:color w:val="auto"/>
                      <w:sz w:val="21"/>
                      <w:szCs w:val="20"/>
                      <w:u w:val="single"/>
                    </w:rPr>
                    <w:t>油墨清洗剂用于清洗印版，墨辊，金属辊及橡皮布上的油墨。由工业洗油、非离子表面活性剂、有机酸、有机胺和水，按一定的工艺进行混合、乳化而成。具有无毒、无腐蚀、无污染、不燃烧、去污力强、流动性好、不变质、安全性高、清洗速度快等优点。化学成分为C5～C8脂肪烃、石油、失水山梨醇单油酸酯、失水山梨醇三油酸酯、聚氧乙烯失水山梨醇单油酸酯、油酸、氢氧化钠、三乙醇胺和水。</w:t>
                  </w:r>
                </w:p>
              </w:tc>
            </w:tr>
          </w:tbl>
          <w:p>
            <w:pPr>
              <w:ind w:firstLine="482"/>
              <w:jc w:val="both"/>
              <w:rPr>
                <w:b/>
                <w:color w:val="auto"/>
              </w:rPr>
            </w:pPr>
            <w:r>
              <w:rPr>
                <w:rFonts w:hint="eastAsia"/>
                <w:b/>
                <w:color w:val="auto"/>
              </w:rPr>
              <w:t>4、产品方案</w:t>
            </w:r>
          </w:p>
          <w:p>
            <w:pPr>
              <w:ind w:firstLine="480"/>
              <w:jc w:val="both"/>
              <w:rPr>
                <w:color w:val="auto"/>
              </w:rPr>
            </w:pPr>
            <w:r>
              <w:rPr>
                <w:rFonts w:hint="eastAsia"/>
                <w:color w:val="auto"/>
              </w:rPr>
              <w:t>产品方案见表1-5。</w:t>
            </w:r>
          </w:p>
          <w:p>
            <w:pPr>
              <w:ind w:firstLine="2951" w:firstLineChars="1225"/>
              <w:rPr>
                <w:b/>
                <w:color w:val="auto"/>
              </w:rPr>
            </w:pPr>
            <w:r>
              <w:rPr>
                <w:rFonts w:hint="eastAsia"/>
                <w:b/>
                <w:color w:val="auto"/>
              </w:rPr>
              <w:t xml:space="preserve">表1-5 </w:t>
            </w:r>
            <w:r>
              <w:rPr>
                <w:rFonts w:hint="eastAsia"/>
                <w:b/>
                <w:color w:val="auto"/>
                <w:lang w:val="en-US" w:eastAsia="zh-CN"/>
              </w:rPr>
              <w:t xml:space="preserve"> </w:t>
            </w:r>
            <w:r>
              <w:rPr>
                <w:rFonts w:hint="eastAsia"/>
                <w:b/>
                <w:color w:val="auto"/>
              </w:rPr>
              <w:t xml:space="preserve"> 项目产品方案</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5"/>
              <w:gridCol w:w="4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pct"/>
                  <w:shd w:val="clear" w:color="auto" w:fill="auto"/>
                  <w:vAlign w:val="center"/>
                </w:tcPr>
                <w:p>
                  <w:pPr>
                    <w:spacing w:line="240" w:lineRule="auto"/>
                    <w:ind w:firstLine="0" w:firstLineChars="0"/>
                    <w:jc w:val="center"/>
                    <w:rPr>
                      <w:b/>
                      <w:color w:val="auto"/>
                      <w:sz w:val="21"/>
                      <w:szCs w:val="21"/>
                    </w:rPr>
                  </w:pPr>
                  <w:r>
                    <w:rPr>
                      <w:rFonts w:hint="eastAsia"/>
                      <w:b/>
                      <w:color w:val="auto"/>
                      <w:sz w:val="21"/>
                      <w:szCs w:val="21"/>
                    </w:rPr>
                    <w:t>产品名称</w:t>
                  </w:r>
                </w:p>
              </w:tc>
              <w:tc>
                <w:tcPr>
                  <w:tcW w:w="2751" w:type="pct"/>
                  <w:shd w:val="clear" w:color="auto" w:fill="auto"/>
                  <w:vAlign w:val="center"/>
                </w:tcPr>
                <w:p>
                  <w:pPr>
                    <w:spacing w:line="240" w:lineRule="auto"/>
                    <w:ind w:firstLine="0" w:firstLineChars="0"/>
                    <w:jc w:val="center"/>
                    <w:rPr>
                      <w:b/>
                      <w:color w:val="auto"/>
                      <w:sz w:val="21"/>
                      <w:szCs w:val="21"/>
                    </w:rPr>
                  </w:pPr>
                  <w:r>
                    <w:rPr>
                      <w:rFonts w:hint="eastAsia"/>
                      <w:b/>
                      <w:color w:val="auto"/>
                      <w:sz w:val="21"/>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pct"/>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食品包装袋</w:t>
                  </w:r>
                </w:p>
              </w:tc>
              <w:tc>
                <w:tcPr>
                  <w:tcW w:w="2751" w:type="pct"/>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100t/a</w:t>
                  </w:r>
                </w:p>
              </w:tc>
            </w:tr>
          </w:tbl>
          <w:p>
            <w:pPr>
              <w:ind w:firstLine="504"/>
              <w:jc w:val="both"/>
              <w:rPr>
                <w:rFonts w:eastAsia="黑体"/>
                <w:bCs/>
                <w:color w:val="auto"/>
                <w:spacing w:val="6"/>
              </w:rPr>
            </w:pPr>
            <w:r>
              <w:rPr>
                <w:rFonts w:eastAsia="黑体"/>
                <w:bCs/>
                <w:color w:val="auto"/>
                <w:spacing w:val="6"/>
              </w:rPr>
              <w:t>四、公用工程</w:t>
            </w:r>
          </w:p>
          <w:p>
            <w:pPr>
              <w:pStyle w:val="7"/>
              <w:ind w:firstLine="480"/>
              <w:rPr>
                <w:color w:val="auto"/>
                <w:sz w:val="24"/>
              </w:rPr>
            </w:pPr>
            <w:r>
              <w:rPr>
                <w:color w:val="auto"/>
                <w:sz w:val="24"/>
              </w:rPr>
              <w:t>（1）给排水系统</w:t>
            </w:r>
          </w:p>
          <w:p>
            <w:pPr>
              <w:pStyle w:val="7"/>
              <w:ind w:firstLine="48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color w:val="auto"/>
                <w:sz w:val="24"/>
              </w:rPr>
              <w:t>给水系统</w:t>
            </w:r>
          </w:p>
          <w:p>
            <w:pPr>
              <w:pStyle w:val="63"/>
              <w:ind w:firstLine="482"/>
              <w:rPr>
                <w:b/>
                <w:color w:val="auto"/>
              </w:rPr>
            </w:pPr>
            <w:r>
              <w:rPr>
                <w:rFonts w:hint="eastAsia"/>
                <w:b/>
                <w:color w:val="auto"/>
              </w:rPr>
              <w:t>项目用水主要为生活用水，生产过程不用新鲜水。</w:t>
            </w:r>
          </w:p>
          <w:p>
            <w:pPr>
              <w:pStyle w:val="63"/>
              <w:ind w:firstLine="480"/>
              <w:rPr>
                <w:color w:val="auto"/>
              </w:rPr>
            </w:pPr>
            <w:r>
              <w:rPr>
                <w:color w:val="auto"/>
              </w:rPr>
              <w:t>根据建设单位提供的资料，本项目定员</w:t>
            </w:r>
            <w:r>
              <w:rPr>
                <w:rFonts w:hint="eastAsia"/>
                <w:color w:val="auto"/>
              </w:rPr>
              <w:t>20</w:t>
            </w:r>
            <w:r>
              <w:rPr>
                <w:color w:val="auto"/>
              </w:rPr>
              <w:t>人，</w:t>
            </w:r>
            <w:r>
              <w:rPr>
                <w:rFonts w:hint="eastAsia"/>
                <w:color w:val="auto"/>
              </w:rPr>
              <w:t>均不在</w:t>
            </w:r>
            <w:r>
              <w:rPr>
                <w:color w:val="auto"/>
              </w:rPr>
              <w:t>厂区内食宿。</w:t>
            </w:r>
            <w:r>
              <w:rPr>
                <w:rFonts w:hAnsi="宋体"/>
                <w:color w:val="auto"/>
              </w:rPr>
              <w:t>按人均用水</w:t>
            </w:r>
            <w:r>
              <w:rPr>
                <w:rFonts w:hint="eastAsia"/>
                <w:color w:val="auto"/>
              </w:rPr>
              <w:t>0.05</w:t>
            </w:r>
            <w:r>
              <w:rPr>
                <w:color w:val="auto"/>
              </w:rPr>
              <w:t>m</w:t>
            </w:r>
            <w:r>
              <w:rPr>
                <w:color w:val="auto"/>
                <w:vertAlign w:val="superscript"/>
              </w:rPr>
              <w:t>3</w:t>
            </w:r>
            <w:r>
              <w:rPr>
                <w:color w:val="auto"/>
              </w:rPr>
              <w:t>/</w:t>
            </w:r>
            <w:r>
              <w:rPr>
                <w:rFonts w:hAnsi="宋体"/>
                <w:color w:val="auto"/>
              </w:rPr>
              <w:t>人</w:t>
            </w:r>
            <w:r>
              <w:rPr>
                <w:color w:val="auto"/>
              </w:rPr>
              <w:t>·</w:t>
            </w:r>
            <w:r>
              <w:rPr>
                <w:rFonts w:hAnsi="宋体"/>
                <w:color w:val="auto"/>
              </w:rPr>
              <w:t>天</w:t>
            </w:r>
            <w:r>
              <w:rPr>
                <w:color w:val="auto"/>
              </w:rPr>
              <w:t>。计得本项目的生活用水量为</w:t>
            </w:r>
            <w:r>
              <w:rPr>
                <w:rFonts w:hint="eastAsia"/>
                <w:color w:val="auto"/>
              </w:rPr>
              <w:t>1</w:t>
            </w:r>
            <w:r>
              <w:rPr>
                <w:color w:val="auto"/>
              </w:rPr>
              <w:t>m</w:t>
            </w:r>
            <w:r>
              <w:rPr>
                <w:color w:val="auto"/>
                <w:vertAlign w:val="superscript"/>
              </w:rPr>
              <w:t>3</w:t>
            </w:r>
            <w:r>
              <w:rPr>
                <w:color w:val="auto"/>
              </w:rPr>
              <w:t>/d、</w:t>
            </w:r>
            <w:r>
              <w:rPr>
                <w:rFonts w:hint="eastAsia"/>
                <w:color w:val="auto"/>
              </w:rPr>
              <w:t>300</w:t>
            </w:r>
            <w:r>
              <w:rPr>
                <w:color w:val="auto"/>
              </w:rPr>
              <w:t>m</w:t>
            </w:r>
            <w:r>
              <w:rPr>
                <w:color w:val="auto"/>
                <w:vertAlign w:val="superscript"/>
              </w:rPr>
              <w:t>3</w:t>
            </w:r>
            <w:r>
              <w:rPr>
                <w:color w:val="auto"/>
              </w:rPr>
              <w:t>/a。</w:t>
            </w:r>
          </w:p>
          <w:p>
            <w:pPr>
              <w:ind w:firstLine="0" w:firstLineChars="0"/>
              <w:jc w:val="center"/>
              <w:rPr>
                <w:b/>
                <w:color w:val="auto"/>
              </w:rPr>
            </w:pPr>
            <w:r>
              <w:rPr>
                <w:b/>
                <w:color w:val="auto"/>
              </w:rPr>
              <w:t>表</w:t>
            </w:r>
            <w:r>
              <w:rPr>
                <w:rFonts w:hint="eastAsia"/>
                <w:b/>
                <w:color w:val="auto"/>
              </w:rPr>
              <w:t>1-6</w:t>
            </w:r>
            <w:r>
              <w:rPr>
                <w:b/>
                <w:color w:val="auto"/>
              </w:rPr>
              <w:t xml:space="preserve">  </w:t>
            </w:r>
            <w:r>
              <w:rPr>
                <w:rFonts w:hint="eastAsia"/>
                <w:b/>
                <w:color w:val="auto"/>
                <w:lang w:val="en-US" w:eastAsia="zh-CN"/>
              </w:rPr>
              <w:t xml:space="preserve"> </w:t>
            </w:r>
            <w:r>
              <w:rPr>
                <w:b/>
                <w:color w:val="auto"/>
              </w:rPr>
              <w:t>项目用水量明细表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913"/>
              <w:gridCol w:w="2169"/>
              <w:gridCol w:w="1913"/>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shd w:val="clear" w:color="auto" w:fill="auto"/>
                  <w:vAlign w:val="center"/>
                </w:tcPr>
                <w:p>
                  <w:pPr>
                    <w:spacing w:line="240" w:lineRule="auto"/>
                    <w:ind w:firstLine="0" w:firstLineChars="0"/>
                    <w:jc w:val="center"/>
                    <w:rPr>
                      <w:b/>
                      <w:color w:val="auto"/>
                      <w:sz w:val="21"/>
                      <w:szCs w:val="21"/>
                    </w:rPr>
                  </w:pPr>
                  <w:r>
                    <w:rPr>
                      <w:b/>
                      <w:color w:val="auto"/>
                      <w:sz w:val="21"/>
                      <w:szCs w:val="21"/>
                    </w:rPr>
                    <w:t>序号</w:t>
                  </w:r>
                </w:p>
              </w:tc>
              <w:tc>
                <w:tcPr>
                  <w:tcW w:w="1056" w:type="pct"/>
                  <w:shd w:val="clear" w:color="auto" w:fill="auto"/>
                  <w:vAlign w:val="center"/>
                </w:tcPr>
                <w:p>
                  <w:pPr>
                    <w:spacing w:line="240" w:lineRule="auto"/>
                    <w:ind w:firstLine="0" w:firstLineChars="0"/>
                    <w:jc w:val="center"/>
                    <w:rPr>
                      <w:b/>
                      <w:color w:val="auto"/>
                      <w:sz w:val="21"/>
                      <w:szCs w:val="21"/>
                    </w:rPr>
                  </w:pPr>
                  <w:r>
                    <w:rPr>
                      <w:b/>
                      <w:color w:val="auto"/>
                      <w:sz w:val="21"/>
                      <w:szCs w:val="21"/>
                    </w:rPr>
                    <w:t>用水单位</w:t>
                  </w:r>
                </w:p>
              </w:tc>
              <w:tc>
                <w:tcPr>
                  <w:tcW w:w="1197" w:type="pct"/>
                  <w:shd w:val="clear" w:color="auto" w:fill="auto"/>
                  <w:vAlign w:val="center"/>
                </w:tcPr>
                <w:p>
                  <w:pPr>
                    <w:spacing w:line="240" w:lineRule="auto"/>
                    <w:ind w:firstLine="0" w:firstLineChars="0"/>
                    <w:jc w:val="center"/>
                    <w:rPr>
                      <w:b/>
                      <w:color w:val="auto"/>
                      <w:sz w:val="21"/>
                      <w:szCs w:val="21"/>
                    </w:rPr>
                  </w:pPr>
                  <w:r>
                    <w:rPr>
                      <w:b/>
                      <w:color w:val="auto"/>
                      <w:sz w:val="21"/>
                      <w:szCs w:val="21"/>
                    </w:rPr>
                    <w:t>用水定额</w:t>
                  </w:r>
                </w:p>
              </w:tc>
              <w:tc>
                <w:tcPr>
                  <w:tcW w:w="1056" w:type="pct"/>
                  <w:shd w:val="clear" w:color="auto" w:fill="auto"/>
                  <w:vAlign w:val="center"/>
                </w:tcPr>
                <w:p>
                  <w:pPr>
                    <w:spacing w:line="240" w:lineRule="auto"/>
                    <w:ind w:firstLine="0" w:firstLineChars="0"/>
                    <w:jc w:val="center"/>
                    <w:rPr>
                      <w:b/>
                      <w:color w:val="auto"/>
                      <w:sz w:val="21"/>
                      <w:szCs w:val="21"/>
                    </w:rPr>
                  </w:pPr>
                  <w:r>
                    <w:rPr>
                      <w:b/>
                      <w:color w:val="auto"/>
                      <w:sz w:val="21"/>
                      <w:szCs w:val="21"/>
                    </w:rPr>
                    <w:t>年用水量</w:t>
                  </w:r>
                </w:p>
              </w:tc>
              <w:tc>
                <w:tcPr>
                  <w:tcW w:w="1055" w:type="pct"/>
                  <w:shd w:val="clear" w:color="auto" w:fill="auto"/>
                  <w:vAlign w:val="center"/>
                </w:tcPr>
                <w:p>
                  <w:pPr>
                    <w:spacing w:line="240" w:lineRule="auto"/>
                    <w:ind w:firstLine="0" w:firstLineChars="0"/>
                    <w:jc w:val="center"/>
                    <w:rPr>
                      <w:b/>
                      <w:color w:val="auto"/>
                      <w:sz w:val="21"/>
                      <w:szCs w:val="21"/>
                    </w:rPr>
                  </w:pPr>
                  <w:r>
                    <w:rPr>
                      <w:b/>
                      <w:color w:val="auto"/>
                      <w:sz w:val="21"/>
                      <w:szCs w:val="21"/>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36" w:type="pct"/>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1</w:t>
                  </w:r>
                </w:p>
              </w:tc>
              <w:tc>
                <w:tcPr>
                  <w:tcW w:w="1056" w:type="pct"/>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生活用水</w:t>
                  </w:r>
                </w:p>
              </w:tc>
              <w:tc>
                <w:tcPr>
                  <w:tcW w:w="1197" w:type="pct"/>
                  <w:shd w:val="clear" w:color="auto" w:fill="auto"/>
                  <w:vAlign w:val="center"/>
                </w:tcPr>
                <w:p>
                  <w:pPr>
                    <w:spacing w:line="240" w:lineRule="auto"/>
                    <w:ind w:firstLine="0" w:firstLineChars="0"/>
                    <w:jc w:val="center"/>
                    <w:rPr>
                      <w:color w:val="auto"/>
                      <w:sz w:val="21"/>
                      <w:szCs w:val="21"/>
                    </w:rPr>
                  </w:pPr>
                  <w:r>
                    <w:rPr>
                      <w:rFonts w:hint="eastAsia"/>
                      <w:color w:val="auto"/>
                    </w:rPr>
                    <w:t>0.05</w:t>
                  </w:r>
                  <w:r>
                    <w:rPr>
                      <w:color w:val="auto"/>
                    </w:rPr>
                    <w:t>m</w:t>
                  </w:r>
                  <w:r>
                    <w:rPr>
                      <w:color w:val="auto"/>
                      <w:vertAlign w:val="superscript"/>
                    </w:rPr>
                    <w:t>3</w:t>
                  </w:r>
                  <w:r>
                    <w:rPr>
                      <w:color w:val="auto"/>
                    </w:rPr>
                    <w:t>/</w:t>
                  </w:r>
                  <w:r>
                    <w:rPr>
                      <w:rFonts w:hAnsi="宋体"/>
                      <w:color w:val="auto"/>
                    </w:rPr>
                    <w:t>人</w:t>
                  </w:r>
                  <w:r>
                    <w:rPr>
                      <w:color w:val="auto"/>
                    </w:rPr>
                    <w:t>·</w:t>
                  </w:r>
                  <w:r>
                    <w:rPr>
                      <w:rFonts w:hAnsi="宋体"/>
                      <w:color w:val="auto"/>
                    </w:rPr>
                    <w:t>天</w:t>
                  </w:r>
                </w:p>
              </w:tc>
              <w:tc>
                <w:tcPr>
                  <w:tcW w:w="1056" w:type="pct"/>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300t/a</w:t>
                  </w:r>
                </w:p>
              </w:tc>
              <w:tc>
                <w:tcPr>
                  <w:tcW w:w="1055" w:type="pct"/>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240t/a</w:t>
                  </w:r>
                </w:p>
              </w:tc>
            </w:tr>
          </w:tbl>
          <w:p>
            <w:pPr>
              <w:ind w:firstLine="480"/>
              <w:jc w:val="both"/>
              <w:rPr>
                <w:color w:val="auto"/>
              </w:rPr>
            </w:pPr>
            <w:r>
              <w:rPr>
                <w:color w:val="auto"/>
              </w:rPr>
              <w:fldChar w:fldCharType="begin"/>
            </w:r>
            <w:r>
              <w:rPr>
                <w:color w:val="auto"/>
              </w:rPr>
              <w:instrText xml:space="preserve"> = 2 \* GB3 </w:instrText>
            </w:r>
            <w:r>
              <w:rPr>
                <w:color w:val="auto"/>
              </w:rPr>
              <w:fldChar w:fldCharType="separate"/>
            </w:r>
            <w:r>
              <w:rPr>
                <w:color w:val="auto"/>
              </w:rPr>
              <w:t>②</w:t>
            </w:r>
            <w:r>
              <w:rPr>
                <w:color w:val="auto"/>
              </w:rPr>
              <w:fldChar w:fldCharType="end"/>
            </w:r>
            <w:r>
              <w:rPr>
                <w:color w:val="auto"/>
              </w:rPr>
              <w:t>排水系统</w:t>
            </w:r>
          </w:p>
          <w:p>
            <w:pPr>
              <w:ind w:firstLine="480"/>
              <w:jc w:val="both"/>
              <w:rPr>
                <w:color w:val="auto"/>
              </w:rPr>
            </w:pPr>
            <w:r>
              <w:rPr>
                <w:rFonts w:hint="eastAsia"/>
                <w:color w:val="auto"/>
              </w:rPr>
              <w:t>实行雨、污分流排水，雨、污水管道已铺设完成；雨水进入雨水管网，营运期产生的废水主要为生活污水；生活污水经化粪池处理达到《污水排入城镇下水道水质标准》（GB/T31962-2015）表1中B等级标准，经园区污水管网收集后，排入沅江市第二污水处理厂处理达到《城镇污水处理厂污染物排放标准》（GB18918-2002）及其修改单中的一级A标准后外排至资江分河。</w:t>
            </w:r>
          </w:p>
          <w:p>
            <w:pPr>
              <w:ind w:firstLine="480"/>
              <w:jc w:val="both"/>
              <w:rPr>
                <w:color w:val="auto"/>
              </w:rPr>
            </w:pPr>
            <w:r>
              <w:rPr>
                <w:color w:val="auto"/>
              </w:rPr>
              <w:t>（2）供电</w:t>
            </w:r>
          </w:p>
          <w:p>
            <w:pPr>
              <w:adjustRightInd w:val="0"/>
              <w:snapToGrid w:val="0"/>
              <w:ind w:firstLine="480"/>
              <w:rPr>
                <w:color w:val="auto"/>
                <w:szCs w:val="20"/>
              </w:rPr>
            </w:pPr>
            <w:r>
              <w:rPr>
                <w:color w:val="auto"/>
              </w:rPr>
              <w:t>项目总用电由城市电网统一供应，本项目年用电量约</w:t>
            </w:r>
            <w:r>
              <w:rPr>
                <w:rFonts w:hint="eastAsia"/>
                <w:color w:val="auto"/>
              </w:rPr>
              <w:t>20万</w:t>
            </w:r>
            <w:r>
              <w:rPr>
                <w:color w:val="auto"/>
              </w:rPr>
              <w:t>kwh/年。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shd w:val="clear" w:color="auto" w:fill="auto"/>
            <w:vAlign w:val="center"/>
          </w:tcPr>
          <w:p>
            <w:pPr>
              <w:ind w:firstLine="0" w:firstLineChars="0"/>
              <w:jc w:val="both"/>
              <w:rPr>
                <w:rFonts w:eastAsia="黑体"/>
                <w:color w:val="auto"/>
                <w:szCs w:val="32"/>
              </w:rPr>
            </w:pPr>
            <w:r>
              <w:rPr>
                <w:rFonts w:eastAsia="黑体"/>
                <w:color w:val="auto"/>
                <w:szCs w:val="32"/>
              </w:rPr>
              <w:t>与本项目有关的原有污染情况及主要环境问题</w:t>
            </w:r>
          </w:p>
          <w:p>
            <w:pPr>
              <w:ind w:firstLine="470" w:firstLineChars="196"/>
              <w:rPr>
                <w:bCs/>
                <w:color w:val="auto"/>
                <w:szCs w:val="32"/>
              </w:rPr>
            </w:pPr>
            <w:r>
              <w:rPr>
                <w:rFonts w:hint="eastAsia"/>
                <w:bCs/>
                <w:color w:val="auto"/>
                <w:szCs w:val="32"/>
              </w:rPr>
              <w:t>一、原有污染情况</w:t>
            </w:r>
          </w:p>
          <w:p>
            <w:pPr>
              <w:ind w:firstLine="470" w:firstLineChars="196"/>
              <w:rPr>
                <w:bCs/>
                <w:color w:val="auto"/>
                <w:szCs w:val="32"/>
              </w:rPr>
            </w:pPr>
            <w:r>
              <w:rPr>
                <w:rFonts w:hint="eastAsia"/>
                <w:bCs/>
                <w:color w:val="auto"/>
                <w:szCs w:val="32"/>
              </w:rPr>
              <w:t>本项目租赁湖南科旺科技有限公司厂房进行生产，在本项目进驻前，厂房内的设备和其它设施等均已拆除，为空置厂房。无历史遗留的环境问题。</w:t>
            </w:r>
          </w:p>
          <w:p>
            <w:pPr>
              <w:numPr>
                <w:ilvl w:val="0"/>
                <w:numId w:val="3"/>
              </w:numPr>
              <w:ind w:firstLine="470" w:firstLineChars="196"/>
              <w:rPr>
                <w:bCs/>
                <w:color w:val="auto"/>
                <w:szCs w:val="32"/>
              </w:rPr>
            </w:pPr>
            <w:r>
              <w:rPr>
                <w:rFonts w:hint="eastAsia"/>
                <w:bCs/>
                <w:color w:val="auto"/>
                <w:szCs w:val="32"/>
              </w:rPr>
              <w:t>项目主要环境问题</w:t>
            </w:r>
          </w:p>
          <w:p>
            <w:pPr>
              <w:ind w:firstLine="480"/>
              <w:rPr>
                <w:bCs/>
                <w:color w:val="auto"/>
                <w:szCs w:val="32"/>
              </w:rPr>
            </w:pPr>
            <w:r>
              <w:rPr>
                <w:rFonts w:hint="eastAsia"/>
                <w:bCs/>
                <w:color w:val="auto"/>
                <w:szCs w:val="32"/>
              </w:rPr>
              <w:t>本项目为新建项目，因此无现有的环境问题。</w:t>
            </w:r>
          </w:p>
          <w:p>
            <w:pPr>
              <w:ind w:firstLine="470" w:firstLineChars="196"/>
              <w:rPr>
                <w:bCs/>
                <w:color w:val="auto"/>
                <w:szCs w:val="32"/>
              </w:rPr>
            </w:pPr>
            <w:r>
              <w:rPr>
                <w:rFonts w:hint="eastAsia"/>
                <w:bCs/>
                <w:color w:val="auto"/>
                <w:szCs w:val="32"/>
              </w:rPr>
              <w:t>项目所在科旺公司厂区现状北与园区主干道南洞庭湖大道毗连，东侧紧邻双凤棚改安置小区（亦称凤凰村安置区），南侧规划为道路和工业用地，现状未利用；西侧与湖南中涛起重科技公司相邻。</w:t>
            </w:r>
          </w:p>
          <w:p>
            <w:pPr>
              <w:pStyle w:val="2"/>
              <w:ind w:left="480" w:firstLine="480"/>
              <w:rPr>
                <w:bCs/>
                <w:color w:val="auto"/>
                <w:szCs w:val="32"/>
              </w:rPr>
            </w:pPr>
          </w:p>
          <w:p>
            <w:pPr>
              <w:pStyle w:val="2"/>
              <w:ind w:left="480" w:firstLine="480"/>
              <w:rPr>
                <w:bCs/>
                <w:color w:val="auto"/>
                <w:szCs w:val="32"/>
              </w:rPr>
            </w:pPr>
          </w:p>
          <w:p>
            <w:pPr>
              <w:pStyle w:val="2"/>
              <w:ind w:left="480" w:firstLine="480"/>
              <w:rPr>
                <w:bCs/>
                <w:color w:val="auto"/>
                <w:szCs w:val="32"/>
              </w:rPr>
            </w:pPr>
          </w:p>
          <w:p>
            <w:pPr>
              <w:pStyle w:val="2"/>
              <w:ind w:left="480" w:firstLine="480"/>
              <w:rPr>
                <w:bCs/>
                <w:color w:val="auto"/>
                <w:szCs w:val="32"/>
              </w:rPr>
            </w:pPr>
          </w:p>
          <w:p>
            <w:pPr>
              <w:ind w:firstLine="0" w:firstLineChars="0"/>
              <w:jc w:val="center"/>
              <w:rPr>
                <w:b/>
                <w:bCs/>
                <w:color w:val="auto"/>
                <w:szCs w:val="32"/>
              </w:rPr>
            </w:pPr>
            <w:r>
              <w:rPr>
                <w:color w:val="auto"/>
              </w:rPr>
              <w:drawing>
                <wp:inline distT="0" distB="0" distL="0" distR="0">
                  <wp:extent cx="2289175" cy="193929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cstate="email"/>
                          <a:stretch>
                            <a:fillRect/>
                          </a:stretch>
                        </pic:blipFill>
                        <pic:spPr>
                          <a:xfrm>
                            <a:off x="0" y="0"/>
                            <a:ext cx="2293589" cy="1942806"/>
                          </a:xfrm>
                          <a:prstGeom prst="rect">
                            <a:avLst/>
                          </a:prstGeom>
                        </pic:spPr>
                      </pic:pic>
                    </a:graphicData>
                  </a:graphic>
                </wp:inline>
              </w:drawing>
            </w:r>
            <w:r>
              <w:rPr>
                <w:color w:val="auto"/>
              </w:rPr>
              <w:drawing>
                <wp:inline distT="0" distB="0" distL="0" distR="0">
                  <wp:extent cx="2266950" cy="19462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cstate="email"/>
                          <a:stretch>
                            <a:fillRect/>
                          </a:stretch>
                        </pic:blipFill>
                        <pic:spPr>
                          <a:xfrm>
                            <a:off x="0" y="0"/>
                            <a:ext cx="2266667" cy="1946083"/>
                          </a:xfrm>
                          <a:prstGeom prst="rect">
                            <a:avLst/>
                          </a:prstGeom>
                        </pic:spPr>
                      </pic:pic>
                    </a:graphicData>
                  </a:graphic>
                </wp:inline>
              </w:drawing>
            </w:r>
          </w:p>
          <w:p>
            <w:pPr>
              <w:ind w:firstLine="0" w:firstLineChars="0"/>
              <w:jc w:val="center"/>
              <w:rPr>
                <w:b/>
                <w:bCs/>
                <w:color w:val="auto"/>
                <w:szCs w:val="32"/>
              </w:rPr>
            </w:pPr>
            <w:r>
              <w:rPr>
                <w:color w:val="auto"/>
              </w:rPr>
              <w:drawing>
                <wp:inline distT="0" distB="0" distL="0" distR="0">
                  <wp:extent cx="2200275" cy="185928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cstate="email"/>
                          <a:stretch>
                            <a:fillRect/>
                          </a:stretch>
                        </pic:blipFill>
                        <pic:spPr>
                          <a:xfrm>
                            <a:off x="0" y="0"/>
                            <a:ext cx="2201549" cy="1860833"/>
                          </a:xfrm>
                          <a:prstGeom prst="rect">
                            <a:avLst/>
                          </a:prstGeom>
                        </pic:spPr>
                      </pic:pic>
                    </a:graphicData>
                  </a:graphic>
                </wp:inline>
              </w:drawing>
            </w:r>
            <w:r>
              <w:rPr>
                <w:color w:val="auto"/>
              </w:rPr>
              <w:drawing>
                <wp:inline distT="0" distB="0" distL="0" distR="0">
                  <wp:extent cx="2187575" cy="1857375"/>
                  <wp:effectExtent l="0" t="0" r="317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cstate="email"/>
                          <a:stretch>
                            <a:fillRect/>
                          </a:stretch>
                        </pic:blipFill>
                        <pic:spPr>
                          <a:xfrm>
                            <a:off x="0" y="0"/>
                            <a:ext cx="2187689" cy="1857143"/>
                          </a:xfrm>
                          <a:prstGeom prst="rect">
                            <a:avLst/>
                          </a:prstGeom>
                        </pic:spPr>
                      </pic:pic>
                    </a:graphicData>
                  </a:graphic>
                </wp:inline>
              </w:drawing>
            </w:r>
          </w:p>
          <w:p>
            <w:pPr>
              <w:ind w:firstLine="0" w:firstLineChars="0"/>
              <w:jc w:val="center"/>
              <w:rPr>
                <w:b/>
                <w:bCs/>
                <w:color w:val="auto"/>
                <w:szCs w:val="32"/>
              </w:rPr>
            </w:pPr>
            <w:r>
              <w:rPr>
                <w:color w:val="auto"/>
              </w:rPr>
              <w:drawing>
                <wp:inline distT="0" distB="0" distL="0" distR="0">
                  <wp:extent cx="2279650" cy="1962150"/>
                  <wp:effectExtent l="0" t="0" r="635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5" cstate="email"/>
                          <a:stretch>
                            <a:fillRect/>
                          </a:stretch>
                        </pic:blipFill>
                        <pic:spPr>
                          <a:xfrm>
                            <a:off x="0" y="0"/>
                            <a:ext cx="2279806" cy="1961905"/>
                          </a:xfrm>
                          <a:prstGeom prst="rect">
                            <a:avLst/>
                          </a:prstGeom>
                        </pic:spPr>
                      </pic:pic>
                    </a:graphicData>
                  </a:graphic>
                </wp:inline>
              </w:drawing>
            </w:r>
          </w:p>
          <w:p>
            <w:pPr>
              <w:ind w:firstLine="0" w:firstLineChars="0"/>
              <w:rPr>
                <w:b/>
                <w:bCs/>
                <w:color w:val="auto"/>
                <w:szCs w:val="32"/>
              </w:rPr>
            </w:pPr>
          </w:p>
          <w:p>
            <w:pPr>
              <w:ind w:firstLine="0" w:firstLineChars="0"/>
              <w:rPr>
                <w:b/>
                <w:bCs/>
                <w:color w:val="auto"/>
                <w:szCs w:val="32"/>
              </w:rPr>
            </w:pPr>
          </w:p>
          <w:p>
            <w:pPr>
              <w:pStyle w:val="2"/>
              <w:ind w:left="480" w:firstLine="482"/>
              <w:rPr>
                <w:b/>
                <w:bCs/>
                <w:color w:val="auto"/>
                <w:szCs w:val="32"/>
              </w:rPr>
            </w:pPr>
          </w:p>
          <w:p>
            <w:pPr>
              <w:pStyle w:val="2"/>
              <w:ind w:left="480" w:firstLine="482"/>
              <w:rPr>
                <w:b/>
                <w:bCs/>
                <w:color w:val="auto"/>
                <w:szCs w:val="32"/>
              </w:rPr>
            </w:pPr>
          </w:p>
          <w:p>
            <w:pPr>
              <w:pStyle w:val="2"/>
              <w:ind w:left="480" w:firstLine="482"/>
              <w:rPr>
                <w:b/>
                <w:bCs/>
                <w:color w:val="auto"/>
                <w:szCs w:val="32"/>
              </w:rPr>
            </w:pPr>
          </w:p>
          <w:p>
            <w:pPr>
              <w:pStyle w:val="2"/>
              <w:ind w:left="480" w:firstLine="482"/>
              <w:rPr>
                <w:b/>
                <w:bCs/>
                <w:color w:val="auto"/>
                <w:szCs w:val="32"/>
              </w:rPr>
            </w:pPr>
          </w:p>
          <w:p>
            <w:pPr>
              <w:pStyle w:val="2"/>
              <w:ind w:left="480" w:firstLine="482"/>
              <w:rPr>
                <w:b/>
                <w:bCs/>
                <w:color w:val="auto"/>
                <w:szCs w:val="32"/>
              </w:rPr>
            </w:pPr>
          </w:p>
          <w:p>
            <w:pPr>
              <w:ind w:firstLine="0" w:firstLineChars="0"/>
              <w:rPr>
                <w:b/>
                <w:bCs/>
                <w:color w:val="auto"/>
                <w:szCs w:val="32"/>
              </w:rPr>
            </w:pPr>
          </w:p>
        </w:tc>
      </w:tr>
    </w:tbl>
    <w:p>
      <w:pPr>
        <w:pStyle w:val="4"/>
        <w:rPr>
          <w:color w:val="auto"/>
        </w:rPr>
      </w:pPr>
      <w:r>
        <w:rPr>
          <w:color w:val="auto"/>
          <w:sz w:val="30"/>
        </w:rPr>
        <w:t>建设项目所在地自然环境社会环境简况</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178" w:type="dxa"/>
          </w:tcPr>
          <w:p>
            <w:pPr>
              <w:ind w:firstLine="0" w:firstLineChars="0"/>
              <w:rPr>
                <w:b/>
                <w:color w:val="auto"/>
              </w:rPr>
            </w:pPr>
            <w:r>
              <w:rPr>
                <w:b/>
                <w:color w:val="auto"/>
              </w:rPr>
              <w:t>自然环境简况（地形、地貌、地质、气候、气象、水文、植被、生物多样性等）</w:t>
            </w:r>
          </w:p>
          <w:p>
            <w:pPr>
              <w:ind w:firstLine="480"/>
              <w:jc w:val="both"/>
              <w:rPr>
                <w:rFonts w:eastAsia="黑体"/>
                <w:bCs/>
                <w:color w:val="auto"/>
              </w:rPr>
            </w:pPr>
            <w:r>
              <w:rPr>
                <w:rFonts w:eastAsia="黑体"/>
                <w:bCs/>
                <w:color w:val="auto"/>
              </w:rPr>
              <w:t>一、地理位置</w:t>
            </w:r>
          </w:p>
          <w:p>
            <w:pPr>
              <w:ind w:firstLine="480"/>
              <w:rPr>
                <w:rFonts w:hAnsi="宋体"/>
                <w:color w:val="auto"/>
              </w:rPr>
            </w:pPr>
            <w:r>
              <w:rPr>
                <w:rFonts w:hint="eastAsia" w:hAnsi="宋体"/>
                <w:color w:val="auto"/>
              </w:rPr>
              <w:t>沅江市位于湖南省北部，益阳市东北部，以沅水归属之地而得名。东北与岳阳县交界，东南与汨罗市、湘阴县为邻，南和西南分别与益阳市赫山、资阳区接壤，西与汉寿相望，北与南县及大通湖区毗连，地理坐标介于东经112°14′87″~112°56′20″之间。东西最大长度67.67公里；南北最大宽度58.45公里。沅江市距长沙100km，距益阳26.6km，距长常高速公路仅4km，水路有高速客轮直达长沙。沅江港口年吞吐量100万吨，是湖南四大港口之一。</w:t>
            </w:r>
          </w:p>
          <w:p>
            <w:pPr>
              <w:ind w:firstLine="480"/>
              <w:jc w:val="both"/>
              <w:rPr>
                <w:rFonts w:hAnsi="宋体"/>
                <w:color w:val="auto"/>
              </w:rPr>
            </w:pPr>
            <w:r>
              <w:rPr>
                <w:rFonts w:hint="eastAsia" w:hAnsi="宋体"/>
                <w:color w:val="auto"/>
              </w:rPr>
              <w:t>本项目位于沅江市高新技术产业园区，中心地理坐标为东经112.350866，北纬28.805833，湖南沅江高新技术产业园区位于湖南省沅江市，是2012年4月由湖南省人民政府批准设立的省级高新技术产业园区，规划面积10平方公里。沅江是全国着名的商品粮基地、商品鱼基地、商品棉基地，自然资源丰富。2012年，园区工业总产值首次突破百亿元，并跻身湖南省同类园区综合实力20强；2013年度被评为湘商十大最具投资价值经济园区。2017年，全园完成工业总产值250亿元，其中规模工业总产值230亿元，园区工业企业实缴税金1.98亿元。园区现有企业135家，其中规模以上企业94家，形成了以中联重科公司为龙头的装备制造业、以辣妹子公司为龙头的食品加工业、以新马制衣公司为龙头的成衣制造业和以太阳鸟公司为主的船舶制造业四大主导产业。项目所在地理位置详见附图1。</w:t>
            </w:r>
          </w:p>
          <w:p>
            <w:pPr>
              <w:ind w:firstLine="480"/>
              <w:jc w:val="both"/>
              <w:rPr>
                <w:rFonts w:eastAsia="黑体"/>
                <w:bCs/>
                <w:color w:val="auto"/>
              </w:rPr>
            </w:pPr>
            <w:r>
              <w:rPr>
                <w:rFonts w:hint="eastAsia" w:eastAsia="黑体"/>
                <w:bCs/>
                <w:color w:val="auto"/>
              </w:rPr>
              <w:t>二、地质地貌</w:t>
            </w:r>
          </w:p>
          <w:p>
            <w:pPr>
              <w:autoSpaceDE w:val="0"/>
              <w:autoSpaceDN w:val="0"/>
              <w:adjustRightInd w:val="0"/>
              <w:snapToGrid w:val="0"/>
              <w:ind w:firstLine="480"/>
              <w:rPr>
                <w:color w:val="auto"/>
                <w:kern w:val="0"/>
              </w:rPr>
            </w:pPr>
            <w:r>
              <w:rPr>
                <w:color w:val="auto"/>
                <w:kern w:val="0"/>
              </w:rPr>
              <w:t>沅江市属洞庭湖平原地貌，西南较高而东北略现低平。西南为环湖岗地，岗岭在海拔100米上下，岗坳相对高差10-15米，内多湖塘。西域赤山为洞庭湖中一长条形孤岛，为中国内陆最大淡水湖岛，岗岭平缓，坡度25度以下。北部为河湖沉积物形成的平原，低平开阔，沟渠交织，海拔30米左右。东南部为南洞庭湖的一部分，东南湖、万子湖等大小护坝星罗棋布，淤积洲滩鳞鳞相切。东北部为沼泽芦洲，是东洞庭湖的淤积地貌，遇洪汛季节，则湖面弥漫，一望无际。</w:t>
            </w:r>
          </w:p>
          <w:p>
            <w:pPr>
              <w:autoSpaceDE w:val="0"/>
              <w:autoSpaceDN w:val="0"/>
              <w:adjustRightInd w:val="0"/>
              <w:snapToGrid w:val="0"/>
              <w:ind w:firstLine="480"/>
              <w:rPr>
                <w:color w:val="auto"/>
                <w:kern w:val="0"/>
              </w:rPr>
            </w:pPr>
            <w:r>
              <w:rPr>
                <w:color w:val="auto"/>
                <w:kern w:val="0"/>
              </w:rPr>
              <w:t>全市地貌大致可分为三部分：</w:t>
            </w:r>
            <w:r>
              <w:rPr>
                <w:rFonts w:hint="eastAsia" w:ascii="宋体" w:hAnsi="宋体" w:cs="宋体"/>
                <w:color w:val="auto"/>
                <w:kern w:val="0"/>
              </w:rPr>
              <w:t>①</w:t>
            </w:r>
            <w:r>
              <w:rPr>
                <w:color w:val="auto"/>
                <w:kern w:val="0"/>
              </w:rPr>
              <w:t>溪谷平原，主要分布在西南丘岗地区深入岗地腹部的湖港汊尖端和两旁边脚，占全市总面积的1.65%。</w:t>
            </w:r>
            <w:r>
              <w:rPr>
                <w:rFonts w:hint="eastAsia" w:ascii="宋体" w:hAnsi="宋体" w:cs="宋体"/>
                <w:color w:val="auto"/>
                <w:kern w:val="0"/>
              </w:rPr>
              <w:t>②</w:t>
            </w:r>
            <w:r>
              <w:rPr>
                <w:color w:val="auto"/>
                <w:kern w:val="0"/>
              </w:rPr>
              <w:t>湖滨平原，大部分在市境东北部草尾、共华等大垸及漉湖、万子湖、东南湖一带，占全市总面积的68.06％。</w:t>
            </w:r>
            <w:r>
              <w:rPr>
                <w:rFonts w:hint="eastAsia" w:ascii="宋体" w:hAnsi="宋体" w:cs="宋体"/>
                <w:color w:val="auto"/>
                <w:kern w:val="0"/>
              </w:rPr>
              <w:t>③</w:t>
            </w:r>
            <w:r>
              <w:rPr>
                <w:color w:val="auto"/>
                <w:kern w:val="0"/>
              </w:rPr>
              <w:t>丘岗地，包括市西南的三眼塘，西北部赤山和琼湖等地。占全市总面积的8.46%。沅江地势西南高，东北低，自西向东倾斜。全市境内，现存的山仅有赤山、明山、朗山等三处。全市最高处为庵子岭，海拔115.7米。全市湖州水域面积1041.3平方公里，占全市总面积的52.35%。</w:t>
            </w:r>
          </w:p>
          <w:p>
            <w:pPr>
              <w:autoSpaceDE w:val="0"/>
              <w:autoSpaceDN w:val="0"/>
              <w:adjustRightInd w:val="0"/>
              <w:snapToGrid w:val="0"/>
              <w:ind w:firstLine="480"/>
              <w:rPr>
                <w:color w:val="auto"/>
                <w:kern w:val="0"/>
              </w:rPr>
            </w:pPr>
            <w:r>
              <w:rPr>
                <w:color w:val="auto"/>
                <w:kern w:val="0"/>
              </w:rPr>
              <w:t>根据1990年颁布的《中国地震烈度区划图》，沅江市基本地震烈度为六度，建筑物按一般工程抗震标准设防。</w:t>
            </w:r>
          </w:p>
          <w:p>
            <w:pPr>
              <w:ind w:firstLine="480"/>
              <w:jc w:val="both"/>
              <w:rPr>
                <w:rFonts w:eastAsia="黑体"/>
                <w:bCs/>
                <w:color w:val="auto"/>
              </w:rPr>
            </w:pPr>
            <w:r>
              <w:rPr>
                <w:rFonts w:hint="eastAsia" w:eastAsia="黑体"/>
                <w:bCs/>
                <w:color w:val="auto"/>
              </w:rPr>
              <w:t>三</w:t>
            </w:r>
            <w:r>
              <w:rPr>
                <w:rFonts w:eastAsia="黑体"/>
                <w:bCs/>
                <w:color w:val="auto"/>
              </w:rPr>
              <w:t>、气候、气象</w:t>
            </w:r>
          </w:p>
          <w:p>
            <w:pPr>
              <w:autoSpaceDE w:val="0"/>
              <w:autoSpaceDN w:val="0"/>
              <w:adjustRightInd w:val="0"/>
              <w:snapToGrid w:val="0"/>
              <w:ind w:firstLine="480"/>
              <w:rPr>
                <w:color w:val="auto"/>
                <w:kern w:val="0"/>
              </w:rPr>
            </w:pPr>
            <w:r>
              <w:rPr>
                <w:color w:val="auto"/>
                <w:kern w:val="0"/>
              </w:rPr>
              <w:t>该区属中亚热带向北亚热带过渡的大陆性季风湿润气候，加之受湖泊效应的影响，光热充足，雨量丰富。有严寒期短，署热期长，昼夜温差小，四季风力大，水汽雾日多的湖区气候特色。根据沅江市气象站资料：</w:t>
            </w:r>
          </w:p>
          <w:p>
            <w:pPr>
              <w:autoSpaceDE w:val="0"/>
              <w:autoSpaceDN w:val="0"/>
              <w:adjustRightInd w:val="0"/>
              <w:snapToGrid w:val="0"/>
              <w:ind w:firstLine="480"/>
              <w:rPr>
                <w:color w:val="auto"/>
                <w:kern w:val="0"/>
              </w:rPr>
            </w:pPr>
            <w:r>
              <w:rPr>
                <w:color w:val="auto"/>
                <w:kern w:val="0"/>
              </w:rPr>
              <w:t>四季划分为3~5月为春季、6~8月为夏季、9~11月为秋季、12～2月为冬季；</w:t>
            </w:r>
          </w:p>
          <w:p>
            <w:pPr>
              <w:autoSpaceDE w:val="0"/>
              <w:autoSpaceDN w:val="0"/>
              <w:adjustRightInd w:val="0"/>
              <w:snapToGrid w:val="0"/>
              <w:ind w:firstLine="480"/>
              <w:rPr>
                <w:color w:val="auto"/>
                <w:kern w:val="0"/>
              </w:rPr>
            </w:pPr>
            <w:r>
              <w:rPr>
                <w:color w:val="auto"/>
                <w:kern w:val="0"/>
              </w:rPr>
              <w:t>全年主导风向为N，频率为22%；</w:t>
            </w:r>
          </w:p>
          <w:p>
            <w:pPr>
              <w:autoSpaceDE w:val="0"/>
              <w:autoSpaceDN w:val="0"/>
              <w:adjustRightInd w:val="0"/>
              <w:snapToGrid w:val="0"/>
              <w:ind w:firstLine="480"/>
              <w:rPr>
                <w:color w:val="auto"/>
                <w:kern w:val="0"/>
              </w:rPr>
            </w:pPr>
            <w:r>
              <w:rPr>
                <w:color w:val="auto"/>
                <w:kern w:val="0"/>
              </w:rPr>
              <w:t>夏季主导风向为ES，频率为12%；</w:t>
            </w:r>
          </w:p>
          <w:p>
            <w:pPr>
              <w:adjustRightInd w:val="0"/>
              <w:snapToGrid w:val="0"/>
              <w:ind w:firstLine="480"/>
              <w:jc w:val="both"/>
              <w:rPr>
                <w:color w:val="auto"/>
                <w:kern w:val="0"/>
              </w:rPr>
            </w:pPr>
            <w:r>
              <w:rPr>
                <w:color w:val="auto"/>
                <w:kern w:val="0"/>
              </w:rPr>
              <w:t>历年最大风速为24m/s，平均风速为3.0m/s；</w:t>
            </w:r>
          </w:p>
          <w:p>
            <w:pPr>
              <w:autoSpaceDE w:val="0"/>
              <w:autoSpaceDN w:val="0"/>
              <w:adjustRightInd w:val="0"/>
              <w:snapToGrid w:val="0"/>
              <w:ind w:firstLine="480"/>
              <w:rPr>
                <w:color w:val="auto"/>
                <w:kern w:val="0"/>
              </w:rPr>
            </w:pPr>
            <w:r>
              <w:rPr>
                <w:color w:val="auto"/>
                <w:kern w:val="0"/>
              </w:rPr>
              <w:t>极端最高气温39.4</w:t>
            </w:r>
            <w:r>
              <w:rPr>
                <w:rFonts w:hint="eastAsia" w:ascii="宋体" w:hAnsi="宋体" w:cs="宋体"/>
                <w:color w:val="auto"/>
                <w:kern w:val="0"/>
              </w:rPr>
              <w:t>℃</w:t>
            </w:r>
            <w:r>
              <w:rPr>
                <w:color w:val="auto"/>
                <w:kern w:val="0"/>
              </w:rPr>
              <w:t>，最低气温为-11.2</w:t>
            </w:r>
            <w:r>
              <w:rPr>
                <w:rFonts w:hint="eastAsia" w:ascii="宋体" w:hAnsi="宋体" w:cs="宋体"/>
                <w:color w:val="auto"/>
                <w:kern w:val="0"/>
              </w:rPr>
              <w:t>℃</w:t>
            </w:r>
            <w:r>
              <w:rPr>
                <w:color w:val="auto"/>
                <w:kern w:val="0"/>
              </w:rPr>
              <w:t>，年平均气温16.6</w:t>
            </w:r>
            <w:r>
              <w:rPr>
                <w:rFonts w:hint="eastAsia" w:ascii="宋体" w:hAnsi="宋体" w:cs="宋体"/>
                <w:color w:val="auto"/>
                <w:kern w:val="0"/>
              </w:rPr>
              <w:t>℃</w:t>
            </w:r>
            <w:r>
              <w:rPr>
                <w:color w:val="auto"/>
                <w:kern w:val="0"/>
              </w:rPr>
              <w:t>；</w:t>
            </w:r>
          </w:p>
          <w:p>
            <w:pPr>
              <w:autoSpaceDE w:val="0"/>
              <w:autoSpaceDN w:val="0"/>
              <w:adjustRightInd w:val="0"/>
              <w:snapToGrid w:val="0"/>
              <w:ind w:firstLine="480"/>
              <w:rPr>
                <w:color w:val="auto"/>
                <w:kern w:val="0"/>
              </w:rPr>
            </w:pPr>
            <w:r>
              <w:rPr>
                <w:color w:val="auto"/>
                <w:kern w:val="0"/>
              </w:rPr>
              <w:t>年平均降雨量为1319mm；</w:t>
            </w:r>
          </w:p>
          <w:p>
            <w:pPr>
              <w:autoSpaceDE w:val="0"/>
              <w:autoSpaceDN w:val="0"/>
              <w:adjustRightInd w:val="0"/>
              <w:snapToGrid w:val="0"/>
              <w:ind w:firstLine="480"/>
              <w:rPr>
                <w:color w:val="auto"/>
                <w:kern w:val="0"/>
              </w:rPr>
            </w:pPr>
            <w:r>
              <w:rPr>
                <w:color w:val="auto"/>
                <w:kern w:val="0"/>
              </w:rPr>
              <w:t>年平均蒸发量1323mm；</w:t>
            </w:r>
          </w:p>
          <w:p>
            <w:pPr>
              <w:autoSpaceDE w:val="0"/>
              <w:autoSpaceDN w:val="0"/>
              <w:adjustRightInd w:val="0"/>
              <w:snapToGrid w:val="0"/>
              <w:ind w:firstLine="480"/>
              <w:rPr>
                <w:color w:val="auto"/>
                <w:kern w:val="0"/>
              </w:rPr>
            </w:pPr>
            <w:r>
              <w:rPr>
                <w:color w:val="auto"/>
                <w:kern w:val="0"/>
              </w:rPr>
              <w:t>年平均相对湿度81%；</w:t>
            </w:r>
          </w:p>
          <w:p>
            <w:pPr>
              <w:autoSpaceDE w:val="0"/>
              <w:autoSpaceDN w:val="0"/>
              <w:adjustRightInd w:val="0"/>
              <w:snapToGrid w:val="0"/>
              <w:ind w:firstLine="480"/>
              <w:rPr>
                <w:color w:val="auto"/>
                <w:kern w:val="0"/>
              </w:rPr>
            </w:pPr>
            <w:r>
              <w:rPr>
                <w:color w:val="auto"/>
                <w:kern w:val="0"/>
              </w:rPr>
              <w:t>年积雪最大深度为30mm；</w:t>
            </w:r>
          </w:p>
          <w:p>
            <w:pPr>
              <w:autoSpaceDE w:val="0"/>
              <w:autoSpaceDN w:val="0"/>
              <w:adjustRightInd w:val="0"/>
              <w:snapToGrid w:val="0"/>
              <w:ind w:firstLine="480"/>
              <w:rPr>
                <w:color w:val="auto"/>
                <w:kern w:val="0"/>
              </w:rPr>
            </w:pPr>
            <w:r>
              <w:rPr>
                <w:color w:val="auto"/>
                <w:kern w:val="0"/>
              </w:rPr>
              <w:t>冬季最大气压101.88kPa；</w:t>
            </w:r>
          </w:p>
          <w:p>
            <w:pPr>
              <w:adjustRightInd w:val="0"/>
              <w:snapToGrid w:val="0"/>
              <w:ind w:firstLine="480"/>
              <w:jc w:val="both"/>
              <w:rPr>
                <w:bCs/>
                <w:color w:val="auto"/>
              </w:rPr>
            </w:pPr>
            <w:r>
              <w:rPr>
                <w:color w:val="auto"/>
                <w:kern w:val="0"/>
              </w:rPr>
              <w:t>夏季最大气压99.75kPa。</w:t>
            </w:r>
          </w:p>
          <w:p>
            <w:pPr>
              <w:ind w:firstLine="480"/>
              <w:jc w:val="both"/>
              <w:rPr>
                <w:rFonts w:eastAsia="黑体"/>
                <w:bCs/>
                <w:color w:val="auto"/>
              </w:rPr>
            </w:pPr>
            <w:r>
              <w:rPr>
                <w:rFonts w:hint="eastAsia" w:eastAsia="黑体"/>
                <w:bCs/>
                <w:color w:val="auto"/>
              </w:rPr>
              <w:t>四</w:t>
            </w:r>
            <w:r>
              <w:rPr>
                <w:rFonts w:eastAsia="黑体"/>
                <w:bCs/>
                <w:color w:val="auto"/>
              </w:rPr>
              <w:t>、水文</w:t>
            </w:r>
          </w:p>
          <w:p>
            <w:pPr>
              <w:autoSpaceDE w:val="0"/>
              <w:autoSpaceDN w:val="0"/>
              <w:adjustRightInd w:val="0"/>
              <w:snapToGrid w:val="0"/>
              <w:ind w:firstLine="480"/>
              <w:rPr>
                <w:color w:val="auto"/>
                <w:kern w:val="0"/>
              </w:rPr>
            </w:pPr>
            <w:r>
              <w:rPr>
                <w:color w:val="auto"/>
                <w:kern w:val="0"/>
              </w:rPr>
              <w:t>（1）地表水</w:t>
            </w:r>
          </w:p>
          <w:p>
            <w:pPr>
              <w:autoSpaceDE w:val="0"/>
              <w:autoSpaceDN w:val="0"/>
              <w:adjustRightInd w:val="0"/>
              <w:snapToGrid w:val="0"/>
              <w:ind w:firstLine="480"/>
              <w:rPr>
                <w:color w:val="auto"/>
                <w:kern w:val="0"/>
              </w:rPr>
            </w:pPr>
            <w:r>
              <w:rPr>
                <w:color w:val="auto"/>
                <w:kern w:val="0"/>
              </w:rPr>
              <w:t>沅江市域处于洞庭湖平原，用于行洪的湖洲和水面面积约占总面积的52.35％。</w:t>
            </w:r>
          </w:p>
          <w:p>
            <w:pPr>
              <w:autoSpaceDE w:val="0"/>
              <w:autoSpaceDN w:val="0"/>
              <w:adjustRightInd w:val="0"/>
              <w:snapToGrid w:val="0"/>
              <w:ind w:firstLine="480"/>
              <w:rPr>
                <w:color w:val="auto"/>
                <w:kern w:val="0"/>
              </w:rPr>
            </w:pPr>
            <w:r>
              <w:rPr>
                <w:color w:val="auto"/>
                <w:kern w:val="0"/>
              </w:rPr>
              <w:t>湖泊：洞庭湖区主要湖泊有漉湖、东南湖、万子湖、目平湖；城区</w:t>
            </w:r>
            <w:r>
              <w:rPr>
                <w:rFonts w:hint="eastAsia"/>
                <w:color w:val="auto"/>
                <w:kern w:val="0"/>
              </w:rPr>
              <w:t>“</w:t>
            </w:r>
            <w:r>
              <w:rPr>
                <w:color w:val="auto"/>
                <w:kern w:val="0"/>
              </w:rPr>
              <w:t>五湖</w:t>
            </w:r>
            <w:r>
              <w:rPr>
                <w:rFonts w:hint="eastAsia"/>
                <w:color w:val="auto"/>
                <w:kern w:val="0"/>
              </w:rPr>
              <w:t>”</w:t>
            </w:r>
            <w:r>
              <w:rPr>
                <w:color w:val="auto"/>
                <w:kern w:val="0"/>
              </w:rPr>
              <w:t>有：上琼湖、下琼湖、浩江湖、廖叶湖、石矶湖，沅江市辖区共计湖泊约154个。</w:t>
            </w:r>
          </w:p>
          <w:p>
            <w:pPr>
              <w:autoSpaceDE w:val="0"/>
              <w:autoSpaceDN w:val="0"/>
              <w:adjustRightInd w:val="0"/>
              <w:snapToGrid w:val="0"/>
              <w:ind w:firstLine="480"/>
              <w:rPr>
                <w:color w:val="auto"/>
                <w:kern w:val="0"/>
              </w:rPr>
            </w:pPr>
            <w:r>
              <w:rPr>
                <w:color w:val="auto"/>
                <w:kern w:val="0"/>
              </w:rPr>
              <w:t>河流：沅江、澧水尾闾在市境内，主要河道有白沙长河、赤磊洪道和蒿竹河。境内河流25条，汇集湘、资、沅、澧四水。河流总长206公里。</w:t>
            </w:r>
          </w:p>
          <w:p>
            <w:pPr>
              <w:autoSpaceDE w:val="0"/>
              <w:autoSpaceDN w:val="0"/>
              <w:adjustRightInd w:val="0"/>
              <w:snapToGrid w:val="0"/>
              <w:ind w:firstLine="480"/>
              <w:rPr>
                <w:color w:val="auto"/>
                <w:kern w:val="0"/>
              </w:rPr>
            </w:pPr>
            <w:r>
              <w:rPr>
                <w:color w:val="auto"/>
                <w:kern w:val="0"/>
              </w:rPr>
              <w:t>全市水资源总量多年平均为1544.12亿立方米，其中地表降水25.76亿立方米，取大年降水量40.24亿立方米。过境容水1514.20亿立方米，最大年过境容水量2012.6亿立方米。地下水可开采量4.16亿立方米。由于过境容水量大，所以水资源非常丰富。但由于过境容水流经时间主要集中在6-9月，易导致洪涝灾害。洞庭湖为我国第二大淡水湖，面积2740km</w:t>
            </w:r>
            <w:r>
              <w:rPr>
                <w:color w:val="auto"/>
                <w:kern w:val="0"/>
                <w:vertAlign w:val="superscript"/>
              </w:rPr>
              <w:t>2</w:t>
            </w:r>
            <w:r>
              <w:rPr>
                <w:color w:val="auto"/>
                <w:kern w:val="0"/>
              </w:rPr>
              <w:t>，洞庭湖吞长江，纳湘、资、沅、澧四水，水域广阔，是典型的过水性大型湖泊。沅江市河湖密布，外河与洞庭湖水域紧密相连，某中东南流向的有草尾河、南嘴河、蒿竹河、白沙河和南洞庭洪道，南北流向的有挖口子河与资江分河，它们上接湘、资、沅、澧四水，下往东洞庭湖。</w:t>
            </w:r>
          </w:p>
          <w:p>
            <w:pPr>
              <w:autoSpaceDE w:val="0"/>
              <w:autoSpaceDN w:val="0"/>
              <w:adjustRightInd w:val="0"/>
              <w:snapToGrid w:val="0"/>
              <w:ind w:firstLine="480"/>
              <w:jc w:val="both"/>
              <w:rPr>
                <w:color w:val="auto"/>
                <w:kern w:val="0"/>
              </w:rPr>
            </w:pPr>
            <w:r>
              <w:rPr>
                <w:color w:val="auto"/>
                <w:kern w:val="0"/>
              </w:rPr>
              <w:t>资江分河为季节性往复河流，7、8月份往北流向万子湖，其他月份往南流向资江，因此项目污水排入资江分河。多年平均流量为18m³/s，属于中型河流，主要为渔业灌溉用水，水质执行《地表水环境质量标准》（GB3838-2002）</w:t>
            </w:r>
            <w:r>
              <w:rPr>
                <w:rFonts w:hint="eastAsia" w:ascii="宋体" w:hAnsi="宋体" w:cs="宋体"/>
                <w:color w:val="auto"/>
                <w:kern w:val="0"/>
              </w:rPr>
              <w:t>Ⅲ</w:t>
            </w:r>
            <w:r>
              <w:rPr>
                <w:color w:val="auto"/>
                <w:kern w:val="0"/>
              </w:rPr>
              <w:t>类标准。</w:t>
            </w:r>
          </w:p>
          <w:p>
            <w:pPr>
              <w:autoSpaceDE w:val="0"/>
              <w:autoSpaceDN w:val="0"/>
              <w:adjustRightInd w:val="0"/>
              <w:snapToGrid w:val="0"/>
              <w:ind w:firstLine="480"/>
              <w:rPr>
                <w:color w:val="auto"/>
                <w:kern w:val="0"/>
              </w:rPr>
            </w:pPr>
            <w:r>
              <w:rPr>
                <w:color w:val="auto"/>
                <w:kern w:val="0"/>
              </w:rPr>
              <w:t>（2）地下水</w:t>
            </w:r>
          </w:p>
          <w:p>
            <w:pPr>
              <w:autoSpaceDE w:val="0"/>
              <w:autoSpaceDN w:val="0"/>
              <w:adjustRightInd w:val="0"/>
              <w:snapToGrid w:val="0"/>
              <w:ind w:firstLine="480"/>
              <w:rPr>
                <w:color w:val="auto"/>
                <w:kern w:val="0"/>
              </w:rPr>
            </w:pPr>
            <w:r>
              <w:rPr>
                <w:color w:val="auto"/>
                <w:kern w:val="0"/>
              </w:rPr>
              <w:t>沅江市境地下水储量丰富，分布广泛。主要有孔隙水，基岩裂隙水和岩溶裂隙水3 种类型，孔隙水分布于湖区和资江分河下游两岸一、二级阶地，其中湖区为全新统和更新统地层覆盖，地层以中粗砂为主，夹粘土层及沙砾、沙层、含水层厚22.66~73.1m，局部超过138m，水位埋深0.6~2.5m，水量丰富，钻孔涌水量一般为1000m³/d左右。</w:t>
            </w:r>
          </w:p>
          <w:p>
            <w:pPr>
              <w:autoSpaceDE w:val="0"/>
              <w:autoSpaceDN w:val="0"/>
              <w:adjustRightInd w:val="0"/>
              <w:snapToGrid w:val="0"/>
              <w:ind w:firstLine="480"/>
              <w:rPr>
                <w:color w:val="auto"/>
                <w:kern w:val="0"/>
              </w:rPr>
            </w:pPr>
            <w:r>
              <w:rPr>
                <w:color w:val="auto"/>
                <w:kern w:val="0"/>
              </w:rPr>
              <w:t>沅江市赤山两侧及其他浅丘岗地，多被第三系地层覆盖，岩性为沙砾或沙层，含水层厚4~74米，埋藏较深，地表无出露，水量较贫乏，钻孔涌水量453~1000m³/d，局部15~31m³/d。</w:t>
            </w:r>
          </w:p>
          <w:p>
            <w:pPr>
              <w:autoSpaceDE w:val="0"/>
              <w:autoSpaceDN w:val="0"/>
              <w:adjustRightInd w:val="0"/>
              <w:snapToGrid w:val="0"/>
              <w:ind w:firstLine="480"/>
              <w:rPr>
                <w:color w:val="auto"/>
                <w:sz w:val="21"/>
                <w:szCs w:val="20"/>
              </w:rPr>
            </w:pPr>
            <w:r>
              <w:rPr>
                <w:color w:val="auto"/>
                <w:kern w:val="0"/>
              </w:rPr>
              <w:t>沅江市环境保护监测站，1982年开始对城区饮用水源的地下水进行监测，至2004年，地下水水质总的达标率为96.2%，水质良好，水源基本未受污染，但地下水pH值偏低。</w:t>
            </w:r>
          </w:p>
          <w:p>
            <w:pPr>
              <w:ind w:firstLine="480"/>
              <w:jc w:val="both"/>
              <w:rPr>
                <w:rFonts w:eastAsia="黑体"/>
                <w:bCs/>
                <w:color w:val="auto"/>
              </w:rPr>
            </w:pPr>
            <w:r>
              <w:rPr>
                <w:rFonts w:hint="eastAsia" w:eastAsia="黑体"/>
                <w:bCs/>
                <w:color w:val="auto"/>
              </w:rPr>
              <w:t>五</w:t>
            </w:r>
            <w:r>
              <w:rPr>
                <w:rFonts w:eastAsia="黑体"/>
                <w:bCs/>
                <w:color w:val="auto"/>
              </w:rPr>
              <w:t>、土壤、植被与生物</w:t>
            </w:r>
          </w:p>
          <w:p>
            <w:pPr>
              <w:autoSpaceDE w:val="0"/>
              <w:autoSpaceDN w:val="0"/>
              <w:adjustRightInd w:val="0"/>
              <w:snapToGrid w:val="0"/>
              <w:ind w:firstLine="480"/>
              <w:rPr>
                <w:color w:val="auto"/>
                <w:kern w:val="0"/>
              </w:rPr>
            </w:pPr>
            <w:r>
              <w:rPr>
                <w:color w:val="auto"/>
                <w:kern w:val="0"/>
              </w:rPr>
              <w:t>（1）土壤</w:t>
            </w:r>
          </w:p>
          <w:p>
            <w:pPr>
              <w:autoSpaceDE w:val="0"/>
              <w:autoSpaceDN w:val="0"/>
              <w:adjustRightInd w:val="0"/>
              <w:snapToGrid w:val="0"/>
              <w:ind w:firstLine="480"/>
              <w:rPr>
                <w:color w:val="auto"/>
                <w:kern w:val="0"/>
              </w:rPr>
            </w:pPr>
            <w:r>
              <w:rPr>
                <w:color w:val="auto"/>
                <w:kern w:val="0"/>
              </w:rPr>
              <w:t>沅江市的地形和土地可形象地概括为：</w:t>
            </w:r>
            <w:r>
              <w:rPr>
                <w:rFonts w:hint="eastAsia"/>
                <w:color w:val="auto"/>
                <w:kern w:val="0"/>
              </w:rPr>
              <w:t>“</w:t>
            </w:r>
            <w:r>
              <w:rPr>
                <w:color w:val="auto"/>
                <w:kern w:val="0"/>
              </w:rPr>
              <w:t>三分水面三分洲，三分垸田一分丘</w:t>
            </w:r>
            <w:r>
              <w:rPr>
                <w:rFonts w:hint="eastAsia"/>
                <w:color w:val="auto"/>
                <w:kern w:val="0"/>
              </w:rPr>
              <w:t>”</w:t>
            </w:r>
            <w:r>
              <w:rPr>
                <w:color w:val="auto"/>
                <w:kern w:val="0"/>
              </w:rPr>
              <w:t>。现湖洲、水面面积为156.2万亩，占洞庭湖总面积的20.6%，占沅江总面积的51.1%；其中，湖洲面积94万亩，包括有芦苇面积45万亩，林地面积7.5万亩，荒草地面积20.5万亩；洲滩裸地面积2.75万亩，洪道扫障面积3.75万亩，湖浃面积4.5万亩，其它滩洲用地面积10万亩。湖洲面积中紫潮土类型的面积占68.95%(土壤含有机质3.16%，含氯0.18%，含磷0.0697%)，紫潮泥潮土和沙底紫潮土含有机质1.97-2.97%之间，含0.058-0.065%之间。</w:t>
            </w:r>
          </w:p>
          <w:p>
            <w:pPr>
              <w:autoSpaceDE w:val="0"/>
              <w:autoSpaceDN w:val="0"/>
              <w:adjustRightInd w:val="0"/>
              <w:snapToGrid w:val="0"/>
              <w:ind w:firstLine="480"/>
              <w:rPr>
                <w:color w:val="auto"/>
                <w:kern w:val="0"/>
              </w:rPr>
            </w:pPr>
            <w:r>
              <w:rPr>
                <w:color w:val="auto"/>
                <w:kern w:val="0"/>
              </w:rPr>
              <w:t>（2）植物资源</w:t>
            </w:r>
          </w:p>
          <w:p>
            <w:pPr>
              <w:autoSpaceDE w:val="0"/>
              <w:autoSpaceDN w:val="0"/>
              <w:adjustRightInd w:val="0"/>
              <w:snapToGrid w:val="0"/>
              <w:ind w:firstLine="480"/>
              <w:rPr>
                <w:color w:val="auto"/>
                <w:kern w:val="0"/>
              </w:rPr>
            </w:pPr>
            <w:r>
              <w:rPr>
                <w:color w:val="auto"/>
                <w:kern w:val="0"/>
              </w:rPr>
              <w:t>区域湖沼洲滩植物280种，165属，64科，其主要科属由禾本科、菊科、莎科、蓼科、睡莲科、水鳖科、香蒲科、胡桃科等种类组成。群落建群主要由芒属、苔草属、莲属、菰属、眼子菜属、狸藻属、柳属、枫杨属等种类组成。由于水分生境梯度的变化，呈沼泽和滩洲两个不同类型区系分异。湖沼主要由眼子菜属、狸藻属、金鱼属、莲属、菱属、香蒲属、菰属、芦苇属、蔗草属等组成。湖滩植被主要有芒属、苦草属、草属、柳属、枫杨属等组成。</w:t>
            </w:r>
          </w:p>
          <w:p>
            <w:pPr>
              <w:autoSpaceDE w:val="0"/>
              <w:autoSpaceDN w:val="0"/>
              <w:adjustRightInd w:val="0"/>
              <w:snapToGrid w:val="0"/>
              <w:ind w:firstLine="480"/>
              <w:rPr>
                <w:color w:val="auto"/>
                <w:kern w:val="0"/>
              </w:rPr>
            </w:pPr>
            <w:r>
              <w:rPr>
                <w:color w:val="auto"/>
                <w:kern w:val="0"/>
              </w:rPr>
              <w:t>（3）动物资源</w:t>
            </w:r>
          </w:p>
          <w:p>
            <w:pPr>
              <w:autoSpaceDE w:val="0"/>
              <w:autoSpaceDN w:val="0"/>
              <w:adjustRightInd w:val="0"/>
              <w:snapToGrid w:val="0"/>
              <w:ind w:firstLine="480"/>
              <w:rPr>
                <w:color w:val="auto"/>
                <w:kern w:val="0"/>
              </w:rPr>
            </w:pPr>
            <w:r>
              <w:rPr>
                <w:color w:val="auto"/>
                <w:kern w:val="0"/>
              </w:rPr>
              <w:t>鱼类资源：洞庭湖是我国第二大淡水湖，为水生生物的多样性提供了广阔的场所，沅江是我国著名的水泊鱼乡，是我国的淡水鱼基地之一。沅江市地处洞庭湖，共71.31万亩江河水域，是一个水产资源的宝库，有水生动物种类220种，其中鱼类114种，两栖类6种，爬行类2种，甲壳类7种，螺蚌类18种，属于12目、23科、70属。鸟类资源：南洞庭湖水域草洲辽阔，湖汊交错，盛产鱼、虾、蚌，水草丰盛，气候适宜，有多种鸟类活动，据调查记录，本区有鸟类16目43科164种，其中鸭科30种，占有19%，鹬科19种，占12%，鹭科14种，占9%，鹰科6种，隼科4种，雉科3种，雀科4种，秧鸡科9种，杜鹃科4种，翠鸟科4种，反嘴鹬科3种，欧科5种，鸠鸽科3种，行鸟科4种，鸽科3种，伯劳科3种，鸦科6种。</w:t>
            </w:r>
          </w:p>
          <w:p>
            <w:pPr>
              <w:adjustRightInd w:val="0"/>
              <w:snapToGrid w:val="0"/>
              <w:ind w:firstLine="480"/>
              <w:jc w:val="both"/>
              <w:rPr>
                <w:color w:val="auto"/>
                <w:kern w:val="0"/>
              </w:rPr>
            </w:pPr>
            <w:r>
              <w:rPr>
                <w:color w:val="auto"/>
                <w:kern w:val="0"/>
              </w:rPr>
              <w:t>据调查，评价区域内无珍稀濒危植物物种。</w:t>
            </w:r>
          </w:p>
          <w:p>
            <w:pPr>
              <w:pStyle w:val="2"/>
              <w:ind w:left="0" w:leftChars="0" w:firstLine="482"/>
              <w:rPr>
                <w:color w:val="auto"/>
                <w:kern w:val="0"/>
                <w:u w:val="single"/>
              </w:rPr>
            </w:pPr>
            <w:r>
              <w:rPr>
                <w:rFonts w:hint="eastAsia"/>
                <w:b/>
                <w:bCs/>
                <w:color w:val="auto"/>
                <w:kern w:val="0"/>
                <w:u w:val="single"/>
              </w:rPr>
              <w:t>六、沅江市高新技术开发区</w:t>
            </w:r>
          </w:p>
          <w:p>
            <w:pPr>
              <w:pStyle w:val="2"/>
              <w:ind w:left="0" w:leftChars="0" w:firstLine="480"/>
              <w:rPr>
                <w:rStyle w:val="31"/>
                <w:color w:val="auto"/>
              </w:rPr>
            </w:pPr>
            <w:r>
              <w:rPr>
                <w:rFonts w:hint="eastAsia"/>
                <w:color w:val="auto"/>
                <w:kern w:val="0"/>
                <w:u w:val="single"/>
              </w:rPr>
              <w:t>沅江经济开发区包括中心开发区和赤塘工业园区，其中中心开发区位于沅江中心城区南部，规划面积6.09km，分为东西两区，东园区规划范围东至石矶湖西岸，南至南洞庭大道，西至新沅路及上琼湖东岸，北至狮山路，控制面积1.07km</w:t>
            </w:r>
            <w:r>
              <w:rPr>
                <w:rFonts w:hint="eastAsia"/>
                <w:color w:val="auto"/>
                <w:kern w:val="0"/>
                <w:u w:val="single"/>
                <w:vertAlign w:val="superscript"/>
              </w:rPr>
              <w:t>2</w:t>
            </w:r>
            <w:r>
              <w:rPr>
                <w:rFonts w:hint="eastAsia"/>
                <w:color w:val="auto"/>
                <w:kern w:val="0"/>
                <w:u w:val="single"/>
              </w:rPr>
              <w:t>，该区产业发展重点以机械制造和服装加工为主；西园区规划范围东至环湖西路、沅三路，南至南洞庭大道，榨南湖大延，西至浩江湖路，北至南岸山路，控制面积5.02k㎡,该区产业发展重点以机械制造、食品加工和电子信息为主：赤塘工业园区位子中心开友区以南5 公里处的三眼塘镇，规划控制范围为东至益洗一级公路，南至胭脂湖村村级公路，西至胭脂湖湖汉及塘村三板桥、石碑基、烂泥冲，北至胭脂湖，规划控制面积0.9km</w:t>
            </w:r>
            <w:r>
              <w:rPr>
                <w:rFonts w:hint="eastAsia"/>
                <w:color w:val="auto"/>
                <w:kern w:val="0"/>
                <w:u w:val="single"/>
                <w:vertAlign w:val="superscript"/>
              </w:rPr>
              <w:t>2</w:t>
            </w:r>
            <w:r>
              <w:rPr>
                <w:rFonts w:hint="eastAsia"/>
                <w:color w:val="auto"/>
                <w:kern w:val="0"/>
                <w:u w:val="single"/>
              </w:rPr>
              <w:t>,该区重点发展高端设备制造产业，经开区规划总用地面积699公项、其中规划工业用地面积420.70公顷，占总用地面积的60.19% (其中一类工业用地171. 38公项。占 24. 52%: 二类工业用地 228. 32公顷，占32. 66%; 三类工业用地21公顷，占3. 00%) ; 物流仓储用地5. 00公顷，占0. 72%; 居住用地100. 45公顷，占14. 37%; 公共管理与公共服务设施用地4.28公顷，占总0.61%;商业服务业设施用地36.24公顷，占5.18%;道路与交通设施用地61.88公顷，占8.85%;公用设施用地9.20公顷，占1.32%;绿地与广场用地61.25公顷，占8.76%。</w:t>
            </w:r>
          </w:p>
          <w:p>
            <w:pPr>
              <w:pStyle w:val="2"/>
              <w:ind w:left="0" w:leftChars="0" w:firstLine="480"/>
              <w:rPr>
                <w:color w:val="auto"/>
                <w:kern w:val="0"/>
                <w:u w:val="single"/>
              </w:rPr>
            </w:pPr>
            <w:r>
              <w:rPr>
                <w:rFonts w:hint="eastAsia"/>
                <w:color w:val="auto"/>
                <w:kern w:val="0"/>
                <w:u w:val="single"/>
              </w:rPr>
              <w:t>园区</w:t>
            </w:r>
            <w:r>
              <w:rPr>
                <w:rFonts w:hint="eastAsia"/>
                <w:color w:val="auto"/>
                <w:kern w:val="0"/>
                <w:u w:val="single"/>
                <w:lang w:eastAsia="zh-CN"/>
              </w:rPr>
              <w:t>向原湖南省环境保护厅报送</w:t>
            </w:r>
            <w:r>
              <w:rPr>
                <w:rFonts w:hint="eastAsia"/>
                <w:color w:val="auto"/>
                <w:kern w:val="0"/>
                <w:u w:val="single"/>
              </w:rPr>
              <w:t>了《</w:t>
            </w:r>
            <w:r>
              <w:rPr>
                <w:rFonts w:hint="eastAsia"/>
                <w:color w:val="auto"/>
                <w:kern w:val="0"/>
                <w:u w:val="single"/>
                <w:lang w:eastAsia="zh-CN"/>
              </w:rPr>
              <w:t>关于申请对沅江经济开发区凋扩区规划环境影响报告书进行批复的报告</w:t>
            </w:r>
            <w:r>
              <w:rPr>
                <w:rFonts w:hint="eastAsia"/>
                <w:color w:val="auto"/>
                <w:kern w:val="0"/>
                <w:u w:val="single"/>
              </w:rPr>
              <w:t>》，并于2013年10月11日取得了《湖南省环境保护厅关于沅江经济开发区环境影响评价报告书的批复》（湘环评[2013]249号）。</w:t>
            </w:r>
          </w:p>
          <w:p>
            <w:pPr>
              <w:autoSpaceDE w:val="0"/>
              <w:autoSpaceDN w:val="0"/>
              <w:adjustRightInd w:val="0"/>
              <w:ind w:firstLine="480"/>
              <w:rPr>
                <w:b/>
                <w:bCs/>
                <w:color w:val="auto"/>
              </w:rPr>
            </w:pPr>
            <w:r>
              <w:rPr>
                <w:rFonts w:hint="eastAsia" w:eastAsia="黑体"/>
                <w:bCs/>
                <w:color w:val="auto"/>
              </w:rPr>
              <w:t>七</w:t>
            </w:r>
            <w:r>
              <w:rPr>
                <w:rFonts w:eastAsia="黑体"/>
                <w:bCs/>
                <w:color w:val="auto"/>
              </w:rPr>
              <w:t>、</w:t>
            </w:r>
            <w:r>
              <w:rPr>
                <w:b/>
                <w:color w:val="auto"/>
                <w:kern w:val="0"/>
              </w:rPr>
              <w:t>湖南南洞庭湖省级自然保护区</w:t>
            </w:r>
            <w:r>
              <w:rPr>
                <w:b/>
                <w:bCs/>
                <w:color w:val="auto"/>
              </w:rPr>
              <w:t>、湖南琼湖国家湿地公园</w:t>
            </w:r>
            <w:r>
              <w:rPr>
                <w:rFonts w:hint="eastAsia"/>
                <w:b/>
                <w:bCs/>
                <w:color w:val="auto"/>
              </w:rPr>
              <w:t>、南洞庭湖银鱼三角帆蚌国家级水产种质资源保护区</w:t>
            </w:r>
          </w:p>
          <w:p>
            <w:pPr>
              <w:adjustRightInd w:val="0"/>
              <w:snapToGrid w:val="0"/>
              <w:ind w:firstLine="482"/>
              <w:jc w:val="both"/>
              <w:rPr>
                <w:b/>
                <w:bCs/>
                <w:color w:val="auto"/>
              </w:rPr>
            </w:pPr>
            <w:r>
              <w:rPr>
                <w:b/>
                <w:bCs/>
                <w:color w:val="auto"/>
              </w:rPr>
              <w:t>（1）湖南南洞庭湖省级自然保护区</w:t>
            </w:r>
          </w:p>
          <w:p>
            <w:pPr>
              <w:adjustRightInd w:val="0"/>
              <w:snapToGrid w:val="0"/>
              <w:ind w:firstLine="480"/>
              <w:jc w:val="both"/>
              <w:rPr>
                <w:color w:val="auto"/>
              </w:rPr>
            </w:pPr>
            <w:r>
              <w:rPr>
                <w:color w:val="auto"/>
              </w:rPr>
              <w:t>湖南南洞庭湖湿地和水禽自然保护区位于洞庭湖西南部沅江市境内，东经112°18′15″-112°56′15″，北纬28°36′15″-29°03′45″，总面积7.7万公顷，其中核心区1.7 万公顷，缓冲区5.2万公顷，实验区0.8万公顷，是我国长江中游地区一块面积较大、破坏较轻、具有原始风貌的典型湿地。属于内陆湿地和水域生态系统类型自然保护区，是我国第二批申报成功的国际重要湿地之一。区内河流纵横、湖泊星罗棋布，沼泽湿地广泛分布而且多样，动植物物种十分丰富，分布有莲、白鹤、东方白鹳等数十种国家重点保护野生动植物，是一个生境复杂、物种丰富的生物群落复合体。同时，南洞庭湖湿地和水禽自然保护区也是具有国际重要意义的湿地和水域生态系统类型自然保护区。</w:t>
            </w:r>
          </w:p>
          <w:p>
            <w:pPr>
              <w:adjustRightInd w:val="0"/>
              <w:snapToGrid w:val="0"/>
              <w:ind w:firstLine="480"/>
              <w:jc w:val="both"/>
              <w:rPr>
                <w:color w:val="auto"/>
              </w:rPr>
            </w:pPr>
            <w:r>
              <w:rPr>
                <w:color w:val="auto"/>
              </w:rPr>
              <w:t>每年在保护区越冬的水禽约1000万只，是白鹳、白鹤等许多水禽的重要栖息地。也是国家一级保护鱼类中华鲟的栖息地。该湿地对长江的洪水调蓄作用极其重要。已被国家列为</w:t>
            </w:r>
            <w:r>
              <w:rPr>
                <w:rFonts w:hint="eastAsia"/>
                <w:color w:val="auto"/>
              </w:rPr>
              <w:t>“</w:t>
            </w:r>
            <w:r>
              <w:rPr>
                <w:color w:val="auto"/>
              </w:rPr>
              <w:t>湿地和水禽自然保护区</w:t>
            </w:r>
            <w:r>
              <w:rPr>
                <w:rFonts w:hint="eastAsia"/>
                <w:color w:val="auto"/>
              </w:rPr>
              <w:t>”</w:t>
            </w:r>
            <w:r>
              <w:rPr>
                <w:color w:val="auto"/>
              </w:rPr>
              <w:t>。南洞庭湖上生活着多种珍稀濒危水禽和其它野生植物。南洞庭湖有118个人迹罕至的湖洲和湖岛，有植物863种，鸟类164种，鱼类114种，国家一级保护动物有中华鲟、白鲟、白头鹤、中华秋沙鸭等10种。保护区内鸟类资源极其丰富，据调查记录表明，本区有鸟类16目43科164种，其中鸭科30种，鹬科19种，鹭科14种，鹰科6种，隼科4种，雉科3种，雀科4种，秧鸡科9种，杜鹃科4种，翠鸟科4种，反嘴鹬科3种，伯劳科3种，鸦科6种。据专家测算，在此越冬的候鸟有1000万只左右，国家重点保护的鸟类有白鹳805只，黑鹳300只，白头鹤200只，白鹤400只，白琵鹭1000多只，大鸨30只，白忱鹤400只，天鹅400多只，灰鹤1000只，中华秋沙鸭20多只，白额雁30000只，豆雁35000只。</w:t>
            </w:r>
          </w:p>
          <w:p>
            <w:pPr>
              <w:adjustRightInd w:val="0"/>
              <w:snapToGrid w:val="0"/>
              <w:ind w:firstLine="480"/>
              <w:jc w:val="both"/>
              <w:rPr>
                <w:color w:val="auto"/>
              </w:rPr>
            </w:pPr>
            <w:r>
              <w:rPr>
                <w:color w:val="auto"/>
              </w:rPr>
              <w:t>1997年，日本雁类协会池内俊雄测出此处小白额雁30000多只，远远超出世界记录的18000只。另外，保护区有植物154科475属863种，兽类23种，爬行类23种，两栖类8种，鱼类12目23科114种，虾类4科9种，贝类9科48种。由于湘、资、沅、澧和长江水汇流注入，使南洞庭湖湿地具有水浸皆湖，水落为洲的沼泽地貌特征，境内河汊纵横，洲岛密布，广阔的湖面上星罗棋布地散布着118个人迹罕至的湖洲和湖岛。2002年，南洞庭湖被确定为国际湿地自然生态保护区，其核心区在沅江市境内的鲁马湖，面积达80多平方公里。湖洲芦苇面积达2.4万公顷，是世界上最大的苇荻群落。</w:t>
            </w:r>
          </w:p>
          <w:p>
            <w:pPr>
              <w:adjustRightInd w:val="0"/>
              <w:snapToGrid w:val="0"/>
              <w:ind w:firstLine="480"/>
              <w:jc w:val="both"/>
              <w:rPr>
                <w:rFonts w:hint="default" w:eastAsia="宋体"/>
                <w:b/>
                <w:bCs/>
                <w:color w:val="auto"/>
                <w:u w:val="none"/>
                <w:lang w:val="en-US" w:eastAsia="zh-CN"/>
              </w:rPr>
            </w:pPr>
            <w:r>
              <w:rPr>
                <w:color w:val="auto"/>
              </w:rPr>
              <w:t>根据湖南省人民政府办公厅文件湘政办函【2018】61号，同意对南洞庭湖湿地和水禽省级自然保护区范围和功能区划进行调整，并将</w:t>
            </w:r>
            <w:r>
              <w:rPr>
                <w:rFonts w:hint="eastAsia"/>
                <w:color w:val="auto"/>
              </w:rPr>
              <w:t>“</w:t>
            </w:r>
            <w:r>
              <w:rPr>
                <w:color w:val="auto"/>
              </w:rPr>
              <w:t>湖南南洞庭湖湿地和水禽省级自然保护区</w:t>
            </w:r>
            <w:r>
              <w:rPr>
                <w:rFonts w:hint="eastAsia"/>
                <w:color w:val="auto"/>
              </w:rPr>
              <w:t>”</w:t>
            </w:r>
            <w:r>
              <w:rPr>
                <w:color w:val="auto"/>
              </w:rPr>
              <w:t>更名为</w:t>
            </w:r>
            <w:r>
              <w:rPr>
                <w:rFonts w:hint="eastAsia"/>
                <w:color w:val="auto"/>
              </w:rPr>
              <w:t>“</w:t>
            </w:r>
            <w:r>
              <w:rPr>
                <w:color w:val="auto"/>
              </w:rPr>
              <w:t>湖南南洞庭湖省级自然保护区</w:t>
            </w:r>
            <w:r>
              <w:rPr>
                <w:rFonts w:hint="eastAsia"/>
                <w:color w:val="auto"/>
              </w:rPr>
              <w:t>”</w:t>
            </w:r>
            <w:r>
              <w:rPr>
                <w:color w:val="auto"/>
              </w:rPr>
              <w:t>。调整后的保护区总面积为80125．28公顷，其中核心区19714．68公顷，缓冲区23058．11公顷、实验区37352．49公顷，调整后的保护区范围地理坐标为东经112°14′32．1″－129°56′18.3″，北纬28°45′47．5″－29°11′08．1″。调整后的保护区详见湖南南洞庭湖省级自然保护区总体规划（2018-2027）。</w:t>
            </w:r>
            <w:r>
              <w:rPr>
                <w:rFonts w:hint="eastAsia"/>
                <w:color w:val="auto"/>
                <w:u w:val="none"/>
                <w:lang w:eastAsia="zh-CN"/>
              </w:rPr>
              <w:t>本项目与保护区最近距离约为本项目西北侧</w:t>
            </w:r>
            <w:r>
              <w:rPr>
                <w:rFonts w:hint="eastAsia"/>
                <w:color w:val="auto"/>
                <w:u w:val="none"/>
                <w:lang w:val="en-US" w:eastAsia="zh-CN"/>
              </w:rPr>
              <w:t>280m。</w:t>
            </w:r>
          </w:p>
          <w:p>
            <w:pPr>
              <w:adjustRightInd w:val="0"/>
              <w:snapToGrid w:val="0"/>
              <w:ind w:firstLine="482"/>
              <w:jc w:val="both"/>
              <w:rPr>
                <w:b/>
                <w:bCs/>
                <w:color w:val="auto"/>
              </w:rPr>
            </w:pPr>
            <w:r>
              <w:rPr>
                <w:b/>
                <w:bCs/>
                <w:color w:val="auto"/>
              </w:rPr>
              <w:t>（2）湖南琼湖国家湿地公园</w:t>
            </w:r>
          </w:p>
          <w:p>
            <w:pPr>
              <w:adjustRightInd w:val="0"/>
              <w:snapToGrid w:val="0"/>
              <w:ind w:firstLine="480"/>
              <w:jc w:val="both"/>
              <w:rPr>
                <w:rFonts w:hint="default"/>
                <w:color w:val="auto"/>
                <w:lang w:val="en-US"/>
              </w:rPr>
            </w:pPr>
            <w:r>
              <w:rPr>
                <w:color w:val="auto"/>
              </w:rPr>
              <w:t>湖南琼湖国家湿地公园地处南洞庭湖与西洞庭湖2处国际重要湿地交汇处，资江、沅江与澧水三水汇合的半岛之上，包括以沅江市为中心，互为连通的后江湖、蓼叶湖、上琼湖、下琼湖、万子湖及胭脂湖等湖泊群构成，是洞庭湖湿地的重要组成部分，地理坐标为东经112°16′35″～112°23′58″，北纬28°44′36″～28°51′42″。公园总面积1760.4公顷，其中湿地面积1702.9公顷，占规划面积的96.7%。涉及湖泊湿地、沼泽湿地和人工湿地3大湿地类和永久性淡水湖泊、草木沼泽、运河、输水河、水产养殖场、库塘6个湿地型。公园及周边地区有种子植物543种，隶属于353属、119科，其中湿地种子植物138中，有金荞麦、中华结缕草等4中国家二级重点保护植物；古树名木70余株；有脊椎动物共计5纲30目73科198种，鱼类余鸟类资源突出，有鱼类48种，占湖南已知鱼类的27.9%；鸟类110种，占湖南已知鸟类的28.7%；有鸳鸯、雀鹰、鸢等国家二级重点保护动物17种，生物多样性丰富，珍稀动物众多，保护和科研价值极高。</w:t>
            </w:r>
            <w:r>
              <w:rPr>
                <w:rFonts w:hint="eastAsia"/>
                <w:color w:val="auto"/>
                <w:u w:val="none"/>
                <w:lang w:eastAsia="zh-CN"/>
              </w:rPr>
              <w:t>本项目与琼湖湿地公园最近距离约为本项目西北侧</w:t>
            </w:r>
            <w:r>
              <w:rPr>
                <w:rFonts w:hint="eastAsia"/>
                <w:color w:val="auto"/>
                <w:u w:val="none"/>
                <w:lang w:val="en-US" w:eastAsia="zh-CN"/>
              </w:rPr>
              <w:t>280m处。</w:t>
            </w:r>
          </w:p>
          <w:p>
            <w:pPr>
              <w:autoSpaceDE w:val="0"/>
              <w:autoSpaceDN w:val="0"/>
              <w:adjustRightInd w:val="0"/>
              <w:ind w:firstLine="482"/>
              <w:rPr>
                <w:b/>
                <w:bCs/>
                <w:color w:val="auto"/>
              </w:rPr>
            </w:pPr>
            <w:r>
              <w:rPr>
                <w:rFonts w:hint="eastAsia"/>
                <w:b/>
                <w:bCs/>
                <w:color w:val="auto"/>
              </w:rPr>
              <w:t>（3）</w:t>
            </w:r>
            <w:r>
              <w:rPr>
                <w:b/>
                <w:bCs/>
                <w:color w:val="auto"/>
              </w:rPr>
              <w:t>南洞庭湖银鱼三角帆蚌国家级水产种质资源保护区简介</w:t>
            </w:r>
          </w:p>
          <w:p>
            <w:pPr>
              <w:adjustRightInd w:val="0"/>
              <w:snapToGrid w:val="0"/>
              <w:ind w:firstLine="480"/>
              <w:jc w:val="both"/>
              <w:rPr>
                <w:rFonts w:hint="default" w:eastAsia="宋体"/>
                <w:bCs/>
                <w:color w:val="auto"/>
                <w:lang w:val="en-US" w:eastAsia="zh-CN"/>
              </w:rPr>
            </w:pPr>
            <w:r>
              <w:rPr>
                <w:color w:val="auto"/>
              </w:rPr>
              <w:t>南洞庭湖银鱼三角帆蚌国家级水产种质资源保护区，总面积38653.3公顷，其中核心面积13487.5公顷，实验区面积25165.8公顷。核心区特别保护期为4月1日至6月30日。保护区位于湖南省益阳市境内，范围在东经110°43′—112°55′，北纬27°31′之间。包括西洞庭湖部分水域和湘、资、沅、澧四水通湖入口水域，东以明朗山向北经猪栏湾、张家岔、下塞湖，至漉湖五花滩，向西经泗湖山、黄茅洲、草尾、茅草街，至天心湖；西以天心湖向南经八风窖、目平湖、巴兰湖、联盟七队至联盟二队；南以联盟二队向东经白沙大桥南端、七星洲、车便湖、伴湖洲、刘家湖、香炉洲至明朗山，环保护区周边总长度221.5km。保护区永久性标牌位置在水上新村北面、白沙大桥南端和凌云塔对面防洪大堤北侧，核心区位于保护区中心靠西南端，范围在东经110°43′23″—111°48′32″，北纬27°59′12″—28°30′58″之间。东起以伴湖洲向北经廖潭口至澎湖潭；北以澎潭向西经东南湖的江心洲至挖口子的航标洲；西以航标洲向南经赤山岛、白沙湖至联盟七队；南以联盟七队向东经联盟二队、白沙大桥南端、七星洲、车便湖（大湾、小湾）至伴湖洲；核心区周边全长99.7km。保护区内除核心区外的其他区域为实验区，具体为东边为铁尺湖的猪栏湾；北边为外滩湖东湖老的五花滩；西北边为铁尺湖的天心湖；西南边为沅江市平垸小区的创立大队；东南边为甘溪港入口处的灯塔洲。该水产种质资源保护区的主要保护对象为银鱼（太湖新银鱼）、三角帆蚌，其他保护物种包括黄颡鱼、背瘤丽蚌等物种。</w:t>
            </w:r>
            <w:r>
              <w:rPr>
                <w:rFonts w:hint="eastAsia"/>
                <w:color w:val="auto"/>
                <w:lang w:eastAsia="zh-CN"/>
              </w:rPr>
              <w:t>与本项目最近距离为项目西北侧的</w:t>
            </w:r>
            <w:r>
              <w:rPr>
                <w:rFonts w:hint="eastAsia"/>
                <w:color w:val="auto"/>
                <w:lang w:val="en-US" w:eastAsia="zh-CN"/>
              </w:rPr>
              <w:t>5.5公里。</w:t>
            </w:r>
          </w:p>
        </w:tc>
      </w:tr>
    </w:tbl>
    <w:p>
      <w:pPr>
        <w:ind w:firstLine="0" w:firstLineChars="0"/>
        <w:rPr>
          <w:rFonts w:eastAsia="黑体"/>
          <w:bCs/>
          <w:color w:val="auto"/>
          <w:sz w:val="28"/>
          <w:szCs w:val="28"/>
        </w:rPr>
        <w:sectPr>
          <w:footerReference r:id="rId8" w:type="default"/>
          <w:pgSz w:w="11906" w:h="16838"/>
          <w:pgMar w:top="1304" w:right="1418" w:bottom="1304" w:left="1418" w:header="851" w:footer="794" w:gutter="0"/>
          <w:cols w:space="425" w:num="1"/>
          <w:docGrid w:type="lines" w:linePitch="312" w:charSpace="0"/>
        </w:sectPr>
      </w:pPr>
    </w:p>
    <w:p>
      <w:pPr>
        <w:ind w:firstLine="643"/>
        <w:outlineLvl w:val="0"/>
        <w:rPr>
          <w:b/>
          <w:bCs/>
          <w:color w:val="auto"/>
          <w:sz w:val="32"/>
          <w:szCs w:val="32"/>
        </w:rPr>
      </w:pPr>
      <w:r>
        <w:rPr>
          <w:b/>
          <w:bCs/>
          <w:color w:val="auto"/>
          <w:sz w:val="30"/>
        </w:rPr>
        <w:t>环境质量状况</w:t>
      </w:r>
    </w:p>
    <w:tbl>
      <w:tblPr>
        <w:tblStyle w:val="25"/>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4" w:hRule="atLeast"/>
        </w:trPr>
        <w:tc>
          <w:tcPr>
            <w:tcW w:w="9214" w:type="dxa"/>
          </w:tcPr>
          <w:p>
            <w:pPr>
              <w:ind w:firstLine="241" w:firstLineChars="100"/>
              <w:jc w:val="both"/>
              <w:rPr>
                <w:b/>
                <w:color w:val="auto"/>
              </w:rPr>
            </w:pPr>
            <w:r>
              <w:rPr>
                <w:b/>
                <w:color w:val="auto"/>
              </w:rPr>
              <w:t>建设项目所在地区域环境质量现状及主要环境问题（环境空气、地表水、地下水、声环境、生态环境等）</w:t>
            </w:r>
          </w:p>
          <w:p>
            <w:pPr>
              <w:snapToGrid w:val="0"/>
              <w:ind w:firstLine="470" w:firstLineChars="195"/>
              <w:jc w:val="both"/>
              <w:rPr>
                <w:b/>
                <w:color w:val="auto"/>
              </w:rPr>
            </w:pPr>
            <w:r>
              <w:rPr>
                <w:rFonts w:hint="eastAsia"/>
                <w:b/>
                <w:color w:val="auto"/>
              </w:rPr>
              <w:t>1、</w:t>
            </w:r>
            <w:r>
              <w:rPr>
                <w:b/>
                <w:color w:val="auto"/>
              </w:rPr>
              <w:t>环境空气质量现状评价</w:t>
            </w:r>
          </w:p>
          <w:p>
            <w:pPr>
              <w:widowControl/>
              <w:ind w:firstLine="480" w:firstLineChars="0"/>
              <w:jc w:val="both"/>
              <w:rPr>
                <w:color w:val="auto"/>
              </w:rPr>
            </w:pPr>
            <w:r>
              <w:rPr>
                <w:color w:val="auto"/>
              </w:rPr>
              <w:t>（1）空气质量达标区判定</w:t>
            </w:r>
          </w:p>
          <w:p>
            <w:pPr>
              <w:widowControl/>
              <w:ind w:firstLine="480" w:firstLineChars="0"/>
              <w:jc w:val="both"/>
              <w:rPr>
                <w:color w:val="auto"/>
              </w:rPr>
            </w:pPr>
            <w:r>
              <w:rPr>
                <w:color w:val="auto"/>
                <w:szCs w:val="22"/>
              </w:rPr>
              <w:t>根据《环境影响评价技术导则 大气环境》（HJ2.2-2018）</w:t>
            </w:r>
            <w:r>
              <w:rPr>
                <w:rFonts w:hint="eastAsia"/>
                <w:color w:val="auto"/>
                <w:szCs w:val="22"/>
              </w:rPr>
              <w:t>“</w:t>
            </w:r>
            <w:r>
              <w:rPr>
                <w:color w:val="auto"/>
                <w:szCs w:val="22"/>
              </w:rPr>
              <w:t>5.5 评价基准年筛选 依据评价所需环境空气质量现状、气象资料等数据的可获得性、数据质量、代表性等因素，选择近3年中数据相对完整的1个日历年作为评价基准年</w:t>
            </w:r>
            <w:r>
              <w:rPr>
                <w:rFonts w:hint="eastAsia"/>
                <w:color w:val="auto"/>
                <w:szCs w:val="22"/>
              </w:rPr>
              <w:t>”</w:t>
            </w:r>
            <w:r>
              <w:rPr>
                <w:color w:val="auto"/>
                <w:szCs w:val="22"/>
              </w:rPr>
              <w:t>。</w:t>
            </w:r>
            <w:r>
              <w:rPr>
                <w:rFonts w:hint="eastAsia"/>
                <w:color w:val="auto"/>
                <w:szCs w:val="22"/>
              </w:rPr>
              <w:t>“</w:t>
            </w:r>
            <w:r>
              <w:rPr>
                <w:color w:val="auto"/>
                <w:szCs w:val="22"/>
              </w:rPr>
              <w:t>6.2 数据来源，采用评价范围内国家或地方环境空气质量监测网中评价基准年连续1年的监测数据，或采用生态环境主管部门公开发布的环境空气质量现状数据；评价范围内没有环境空气质量监测网数据或公开发布的环境空气质量数据的，可选择符合HJ664规定，并且与评价范围地理位置邻近，地形、气候条件相近的环境空气质量城市点或区域背景点监测数据</w:t>
            </w:r>
            <w:r>
              <w:rPr>
                <w:rFonts w:hint="eastAsia"/>
                <w:color w:val="auto"/>
                <w:szCs w:val="22"/>
              </w:rPr>
              <w:t>”</w:t>
            </w:r>
            <w:r>
              <w:rPr>
                <w:color w:val="auto"/>
                <w:szCs w:val="22"/>
              </w:rPr>
              <w:t>。本项目所在地为</w:t>
            </w:r>
            <w:r>
              <w:rPr>
                <w:color w:val="auto"/>
                <w:kern w:val="24"/>
                <w:szCs w:val="20"/>
              </w:rPr>
              <w:t>湖南省沅江市船舶产业园</w:t>
            </w:r>
            <w:r>
              <w:rPr>
                <w:color w:val="auto"/>
                <w:szCs w:val="22"/>
              </w:rPr>
              <w:t>，依据上述新版大气导则要求，为了解该项目周边环境空气质量状况，本评价收集了</w:t>
            </w:r>
            <w:r>
              <w:rPr>
                <w:color w:val="auto"/>
              </w:rPr>
              <w:t>益阳市环境保护局</w:t>
            </w:r>
            <w:r>
              <w:rPr>
                <w:color w:val="auto"/>
                <w:szCs w:val="22"/>
              </w:rPr>
              <w:t>2018年度沅江市环境空气污染浓度均值统计数据，</w:t>
            </w:r>
            <w:r>
              <w:rPr>
                <w:color w:val="auto"/>
              </w:rPr>
              <w:t>说明项目所在区域环境质量达标情况，作为项目所在区域是否为达标区的判断依据。</w:t>
            </w:r>
          </w:p>
          <w:p>
            <w:pPr>
              <w:adjustRightInd w:val="0"/>
              <w:snapToGrid w:val="0"/>
              <w:spacing w:line="240" w:lineRule="auto"/>
              <w:ind w:firstLine="0" w:firstLineChars="0"/>
              <w:jc w:val="center"/>
              <w:rPr>
                <w:b/>
                <w:color w:val="auto"/>
                <w:szCs w:val="22"/>
              </w:rPr>
            </w:pPr>
            <w:r>
              <w:rPr>
                <w:b/>
                <w:color w:val="auto"/>
                <w:szCs w:val="22"/>
              </w:rPr>
              <w:t>表</w:t>
            </w:r>
            <w:r>
              <w:rPr>
                <w:rFonts w:hint="eastAsia"/>
                <w:b/>
                <w:color w:val="auto"/>
                <w:szCs w:val="22"/>
              </w:rPr>
              <w:t>3-1</w:t>
            </w:r>
            <w:r>
              <w:rPr>
                <w:rFonts w:hint="eastAsia"/>
                <w:b/>
                <w:color w:val="auto"/>
                <w:szCs w:val="22"/>
                <w:lang w:val="en-US" w:eastAsia="zh-CN"/>
              </w:rPr>
              <w:t xml:space="preserve">  </w:t>
            </w:r>
            <w:r>
              <w:rPr>
                <w:b/>
                <w:color w:val="auto"/>
                <w:szCs w:val="22"/>
              </w:rPr>
              <w:t xml:space="preserve"> 沅江市2018年环境空气污染物浓度均值统计表</w:t>
            </w:r>
          </w:p>
          <w:tbl>
            <w:tblPr>
              <w:tblStyle w:val="26"/>
              <w:tblW w:w="0" w:type="auto"/>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19"/>
              <w:gridCol w:w="1075"/>
              <w:gridCol w:w="1035"/>
              <w:gridCol w:w="1433"/>
              <w:gridCol w:w="1387"/>
              <w:gridCol w:w="19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l2br w:val="nil"/>
                    <w:tr2bl w:val="nil"/>
                  </w:tcBorders>
                  <w:vAlign w:val="center"/>
                </w:tcPr>
                <w:p>
                  <w:pPr>
                    <w:spacing w:line="240" w:lineRule="auto"/>
                    <w:ind w:firstLine="0" w:firstLineChars="0"/>
                    <w:jc w:val="center"/>
                    <w:rPr>
                      <w:b/>
                      <w:bCs/>
                      <w:color w:val="auto"/>
                      <w:sz w:val="21"/>
                    </w:rPr>
                  </w:pPr>
                </w:p>
              </w:tc>
              <w:tc>
                <w:tcPr>
                  <w:tcW w:w="1219" w:type="dxa"/>
                  <w:tcBorders>
                    <w:tl2br w:val="nil"/>
                    <w:tr2bl w:val="nil"/>
                  </w:tcBorders>
                  <w:vAlign w:val="center"/>
                </w:tcPr>
                <w:p>
                  <w:pPr>
                    <w:spacing w:line="240" w:lineRule="auto"/>
                    <w:ind w:firstLine="0" w:firstLineChars="0"/>
                    <w:jc w:val="center"/>
                    <w:rPr>
                      <w:b/>
                      <w:bCs/>
                      <w:color w:val="auto"/>
                      <w:sz w:val="21"/>
                    </w:rPr>
                  </w:pPr>
                  <w:r>
                    <w:rPr>
                      <w:b/>
                      <w:bCs/>
                      <w:color w:val="auto"/>
                      <w:sz w:val="21"/>
                    </w:rPr>
                    <w:t>PM</w:t>
                  </w:r>
                  <w:r>
                    <w:rPr>
                      <w:b/>
                      <w:bCs/>
                      <w:color w:val="auto"/>
                      <w:sz w:val="21"/>
                      <w:vertAlign w:val="subscript"/>
                    </w:rPr>
                    <w:t>2.5</w:t>
                  </w:r>
                  <w:r>
                    <w:rPr>
                      <w:b/>
                      <w:bCs/>
                      <w:color w:val="auto"/>
                      <w:sz w:val="21"/>
                    </w:rPr>
                    <w:t>（ug/</w:t>
                  </w:r>
                  <w:r>
                    <w:rPr>
                      <w:rFonts w:hint="eastAsia"/>
                      <w:b/>
                      <w:bCs/>
                      <w:color w:val="auto"/>
                      <w:sz w:val="21"/>
                    </w:rPr>
                    <w:t>m³</w:t>
                  </w:r>
                  <w:r>
                    <w:rPr>
                      <w:b/>
                      <w:bCs/>
                      <w:color w:val="auto"/>
                      <w:sz w:val="21"/>
                    </w:rPr>
                    <w:t>）</w:t>
                  </w:r>
                </w:p>
              </w:tc>
              <w:tc>
                <w:tcPr>
                  <w:tcW w:w="1075" w:type="dxa"/>
                  <w:tcBorders>
                    <w:tl2br w:val="nil"/>
                    <w:tr2bl w:val="nil"/>
                  </w:tcBorders>
                  <w:vAlign w:val="center"/>
                </w:tcPr>
                <w:p>
                  <w:pPr>
                    <w:spacing w:line="240" w:lineRule="auto"/>
                    <w:ind w:firstLine="0" w:firstLineChars="0"/>
                    <w:jc w:val="center"/>
                    <w:rPr>
                      <w:b/>
                      <w:bCs/>
                      <w:color w:val="auto"/>
                      <w:sz w:val="21"/>
                    </w:rPr>
                  </w:pPr>
                  <w:r>
                    <w:rPr>
                      <w:b/>
                      <w:bCs/>
                      <w:color w:val="auto"/>
                      <w:sz w:val="21"/>
                    </w:rPr>
                    <w:t>PM</w:t>
                  </w:r>
                  <w:r>
                    <w:rPr>
                      <w:b/>
                      <w:bCs/>
                      <w:color w:val="auto"/>
                      <w:sz w:val="21"/>
                      <w:vertAlign w:val="subscript"/>
                    </w:rPr>
                    <w:t>10</w:t>
                  </w:r>
                  <w:r>
                    <w:rPr>
                      <w:b/>
                      <w:bCs/>
                      <w:color w:val="auto"/>
                      <w:sz w:val="21"/>
                    </w:rPr>
                    <w:t>（ug/</w:t>
                  </w:r>
                  <w:r>
                    <w:rPr>
                      <w:rFonts w:hint="eastAsia"/>
                      <w:b/>
                      <w:bCs/>
                      <w:color w:val="auto"/>
                      <w:sz w:val="21"/>
                    </w:rPr>
                    <w:t>m³</w:t>
                  </w:r>
                  <w:r>
                    <w:rPr>
                      <w:b/>
                      <w:bCs/>
                      <w:color w:val="auto"/>
                      <w:sz w:val="21"/>
                    </w:rPr>
                    <w:t>）</w:t>
                  </w:r>
                </w:p>
              </w:tc>
              <w:tc>
                <w:tcPr>
                  <w:tcW w:w="1035" w:type="dxa"/>
                  <w:tcBorders>
                    <w:tl2br w:val="nil"/>
                    <w:tr2bl w:val="nil"/>
                  </w:tcBorders>
                  <w:vAlign w:val="center"/>
                </w:tcPr>
                <w:p>
                  <w:pPr>
                    <w:spacing w:line="240" w:lineRule="auto"/>
                    <w:ind w:firstLine="0" w:firstLineChars="0"/>
                    <w:jc w:val="center"/>
                    <w:rPr>
                      <w:b/>
                      <w:bCs/>
                      <w:color w:val="auto"/>
                      <w:sz w:val="21"/>
                    </w:rPr>
                  </w:pPr>
                  <w:r>
                    <w:rPr>
                      <w:b/>
                      <w:bCs/>
                      <w:color w:val="auto"/>
                      <w:sz w:val="21"/>
                    </w:rPr>
                    <w:t>SO</w:t>
                  </w:r>
                  <w:r>
                    <w:rPr>
                      <w:b/>
                      <w:bCs/>
                      <w:color w:val="auto"/>
                      <w:sz w:val="21"/>
                      <w:vertAlign w:val="subscript"/>
                    </w:rPr>
                    <w:t>2</w:t>
                  </w:r>
                  <w:r>
                    <w:rPr>
                      <w:b/>
                      <w:bCs/>
                      <w:color w:val="auto"/>
                      <w:sz w:val="21"/>
                    </w:rPr>
                    <w:t>（ug/</w:t>
                  </w:r>
                  <w:r>
                    <w:rPr>
                      <w:rFonts w:hint="eastAsia"/>
                      <w:b/>
                      <w:bCs/>
                      <w:color w:val="auto"/>
                      <w:sz w:val="21"/>
                    </w:rPr>
                    <w:t>m³</w:t>
                  </w:r>
                  <w:r>
                    <w:rPr>
                      <w:b/>
                      <w:bCs/>
                      <w:color w:val="auto"/>
                      <w:sz w:val="21"/>
                    </w:rPr>
                    <w:t>）</w:t>
                  </w:r>
                </w:p>
              </w:tc>
              <w:tc>
                <w:tcPr>
                  <w:tcW w:w="1433" w:type="dxa"/>
                  <w:tcBorders>
                    <w:tl2br w:val="nil"/>
                    <w:tr2bl w:val="nil"/>
                  </w:tcBorders>
                  <w:vAlign w:val="center"/>
                </w:tcPr>
                <w:p>
                  <w:pPr>
                    <w:spacing w:line="240" w:lineRule="auto"/>
                    <w:ind w:firstLine="0" w:firstLineChars="0"/>
                    <w:jc w:val="center"/>
                    <w:rPr>
                      <w:b/>
                      <w:bCs/>
                      <w:color w:val="auto"/>
                      <w:sz w:val="21"/>
                    </w:rPr>
                  </w:pPr>
                  <w:r>
                    <w:rPr>
                      <w:b/>
                      <w:bCs/>
                      <w:color w:val="auto"/>
                      <w:sz w:val="21"/>
                    </w:rPr>
                    <w:t>NO</w:t>
                  </w:r>
                  <w:r>
                    <w:rPr>
                      <w:b/>
                      <w:bCs/>
                      <w:color w:val="auto"/>
                      <w:sz w:val="21"/>
                      <w:vertAlign w:val="subscript"/>
                    </w:rPr>
                    <w:t>2</w:t>
                  </w:r>
                  <w:r>
                    <w:rPr>
                      <w:b/>
                      <w:bCs/>
                      <w:color w:val="auto"/>
                      <w:sz w:val="21"/>
                    </w:rPr>
                    <w:t>（ug/</w:t>
                  </w:r>
                  <w:r>
                    <w:rPr>
                      <w:rFonts w:hint="eastAsia"/>
                      <w:b/>
                      <w:bCs/>
                      <w:color w:val="auto"/>
                      <w:sz w:val="21"/>
                    </w:rPr>
                    <w:t>m³</w:t>
                  </w:r>
                  <w:r>
                    <w:rPr>
                      <w:b/>
                      <w:bCs/>
                      <w:color w:val="auto"/>
                      <w:sz w:val="21"/>
                    </w:rPr>
                    <w:t>）</w:t>
                  </w:r>
                </w:p>
              </w:tc>
              <w:tc>
                <w:tcPr>
                  <w:tcW w:w="1387" w:type="dxa"/>
                  <w:tcBorders>
                    <w:tl2br w:val="nil"/>
                    <w:tr2bl w:val="nil"/>
                  </w:tcBorders>
                  <w:vAlign w:val="center"/>
                </w:tcPr>
                <w:p>
                  <w:pPr>
                    <w:spacing w:line="240" w:lineRule="auto"/>
                    <w:ind w:firstLine="0" w:firstLineChars="0"/>
                    <w:jc w:val="center"/>
                    <w:rPr>
                      <w:b/>
                      <w:bCs/>
                      <w:color w:val="auto"/>
                      <w:sz w:val="21"/>
                    </w:rPr>
                  </w:pPr>
                  <w:r>
                    <w:rPr>
                      <w:b/>
                      <w:bCs/>
                      <w:color w:val="auto"/>
                      <w:sz w:val="21"/>
                    </w:rPr>
                    <w:t>CO（mg/</w:t>
                  </w:r>
                  <w:r>
                    <w:rPr>
                      <w:rFonts w:hint="eastAsia"/>
                      <w:b/>
                      <w:bCs/>
                      <w:color w:val="auto"/>
                      <w:sz w:val="21"/>
                    </w:rPr>
                    <w:t>m³</w:t>
                  </w:r>
                  <w:r>
                    <w:rPr>
                      <w:b/>
                      <w:bCs/>
                      <w:color w:val="auto"/>
                      <w:sz w:val="21"/>
                    </w:rPr>
                    <w:t>）</w:t>
                  </w:r>
                </w:p>
              </w:tc>
              <w:tc>
                <w:tcPr>
                  <w:tcW w:w="1907" w:type="dxa"/>
                  <w:tcBorders>
                    <w:tl2br w:val="nil"/>
                    <w:tr2bl w:val="nil"/>
                  </w:tcBorders>
                  <w:vAlign w:val="center"/>
                </w:tcPr>
                <w:p>
                  <w:pPr>
                    <w:spacing w:line="240" w:lineRule="auto"/>
                    <w:ind w:firstLine="0" w:firstLineChars="0"/>
                    <w:jc w:val="center"/>
                    <w:rPr>
                      <w:b/>
                      <w:bCs/>
                      <w:color w:val="auto"/>
                      <w:sz w:val="21"/>
                    </w:rPr>
                  </w:pPr>
                  <w:r>
                    <w:rPr>
                      <w:b/>
                      <w:bCs/>
                      <w:color w:val="auto"/>
                      <w:sz w:val="21"/>
                    </w:rPr>
                    <w:t>O</w:t>
                  </w:r>
                  <w:r>
                    <w:rPr>
                      <w:b/>
                      <w:bCs/>
                      <w:color w:val="auto"/>
                      <w:sz w:val="21"/>
                      <w:vertAlign w:val="subscript"/>
                    </w:rPr>
                    <w:t>3</w:t>
                  </w:r>
                  <w:r>
                    <w:rPr>
                      <w:b/>
                      <w:bCs/>
                      <w:color w:val="auto"/>
                      <w:sz w:val="21"/>
                    </w:rPr>
                    <w:t>-8h（ug/</w:t>
                  </w:r>
                  <w:r>
                    <w:rPr>
                      <w:rFonts w:hint="eastAsia"/>
                      <w:b/>
                      <w:bCs/>
                      <w:color w:val="auto"/>
                      <w:sz w:val="21"/>
                    </w:rPr>
                    <w:t>m³</w:t>
                  </w:r>
                  <w:r>
                    <w:rPr>
                      <w:b/>
                      <w:bCs/>
                      <w:color w:val="auto"/>
                      <w:sz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l2br w:val="nil"/>
                    <w:tr2bl w:val="nil"/>
                  </w:tcBorders>
                  <w:vAlign w:val="center"/>
                </w:tcPr>
                <w:p>
                  <w:pPr>
                    <w:spacing w:line="240" w:lineRule="auto"/>
                    <w:ind w:firstLine="0" w:firstLineChars="0"/>
                    <w:jc w:val="center"/>
                    <w:rPr>
                      <w:color w:val="auto"/>
                      <w:sz w:val="21"/>
                    </w:rPr>
                  </w:pPr>
                  <w:r>
                    <w:rPr>
                      <w:color w:val="auto"/>
                      <w:sz w:val="21"/>
                    </w:rPr>
                    <w:t>沅江市</w:t>
                  </w:r>
                </w:p>
              </w:tc>
              <w:tc>
                <w:tcPr>
                  <w:tcW w:w="1219" w:type="dxa"/>
                  <w:tcBorders>
                    <w:tl2br w:val="nil"/>
                    <w:tr2bl w:val="nil"/>
                  </w:tcBorders>
                  <w:vAlign w:val="center"/>
                </w:tcPr>
                <w:p>
                  <w:pPr>
                    <w:spacing w:line="240" w:lineRule="auto"/>
                    <w:ind w:firstLine="0" w:firstLineChars="0"/>
                    <w:jc w:val="center"/>
                    <w:rPr>
                      <w:color w:val="auto"/>
                      <w:sz w:val="21"/>
                    </w:rPr>
                  </w:pPr>
                  <w:r>
                    <w:rPr>
                      <w:color w:val="auto"/>
                      <w:sz w:val="21"/>
                    </w:rPr>
                    <w:t>37</w:t>
                  </w:r>
                </w:p>
              </w:tc>
              <w:tc>
                <w:tcPr>
                  <w:tcW w:w="1075" w:type="dxa"/>
                  <w:tcBorders>
                    <w:tl2br w:val="nil"/>
                    <w:tr2bl w:val="nil"/>
                  </w:tcBorders>
                  <w:vAlign w:val="center"/>
                </w:tcPr>
                <w:p>
                  <w:pPr>
                    <w:spacing w:line="240" w:lineRule="auto"/>
                    <w:ind w:firstLine="0" w:firstLineChars="0"/>
                    <w:jc w:val="center"/>
                    <w:rPr>
                      <w:color w:val="auto"/>
                      <w:sz w:val="21"/>
                    </w:rPr>
                  </w:pPr>
                  <w:r>
                    <w:rPr>
                      <w:color w:val="auto"/>
                      <w:sz w:val="21"/>
                    </w:rPr>
                    <w:t>64</w:t>
                  </w:r>
                </w:p>
              </w:tc>
              <w:tc>
                <w:tcPr>
                  <w:tcW w:w="1035" w:type="dxa"/>
                  <w:tcBorders>
                    <w:tl2br w:val="nil"/>
                    <w:tr2bl w:val="nil"/>
                  </w:tcBorders>
                  <w:vAlign w:val="center"/>
                </w:tcPr>
                <w:p>
                  <w:pPr>
                    <w:spacing w:line="240" w:lineRule="auto"/>
                    <w:ind w:firstLine="0" w:firstLineChars="0"/>
                    <w:jc w:val="center"/>
                    <w:rPr>
                      <w:color w:val="auto"/>
                      <w:sz w:val="21"/>
                    </w:rPr>
                  </w:pPr>
                  <w:r>
                    <w:rPr>
                      <w:color w:val="auto"/>
                      <w:sz w:val="21"/>
                    </w:rPr>
                    <w:t>7</w:t>
                  </w:r>
                </w:p>
              </w:tc>
              <w:tc>
                <w:tcPr>
                  <w:tcW w:w="1433" w:type="dxa"/>
                  <w:tcBorders>
                    <w:tl2br w:val="nil"/>
                    <w:tr2bl w:val="nil"/>
                  </w:tcBorders>
                  <w:vAlign w:val="center"/>
                </w:tcPr>
                <w:p>
                  <w:pPr>
                    <w:spacing w:line="240" w:lineRule="auto"/>
                    <w:ind w:firstLine="0" w:firstLineChars="0"/>
                    <w:jc w:val="center"/>
                    <w:rPr>
                      <w:color w:val="auto"/>
                      <w:sz w:val="21"/>
                    </w:rPr>
                  </w:pPr>
                  <w:r>
                    <w:rPr>
                      <w:color w:val="auto"/>
                      <w:sz w:val="21"/>
                    </w:rPr>
                    <w:t>18</w:t>
                  </w:r>
                </w:p>
              </w:tc>
              <w:tc>
                <w:tcPr>
                  <w:tcW w:w="1387" w:type="dxa"/>
                  <w:tcBorders>
                    <w:tl2br w:val="nil"/>
                    <w:tr2bl w:val="nil"/>
                  </w:tcBorders>
                  <w:vAlign w:val="center"/>
                </w:tcPr>
                <w:p>
                  <w:pPr>
                    <w:spacing w:line="240" w:lineRule="auto"/>
                    <w:ind w:firstLine="0" w:firstLineChars="0"/>
                    <w:jc w:val="center"/>
                    <w:rPr>
                      <w:color w:val="auto"/>
                      <w:sz w:val="21"/>
                    </w:rPr>
                  </w:pPr>
                  <w:r>
                    <w:rPr>
                      <w:color w:val="auto"/>
                      <w:sz w:val="21"/>
                    </w:rPr>
                    <w:t>1.7</w:t>
                  </w:r>
                </w:p>
              </w:tc>
              <w:tc>
                <w:tcPr>
                  <w:tcW w:w="1907" w:type="dxa"/>
                  <w:tcBorders>
                    <w:tl2br w:val="nil"/>
                    <w:tr2bl w:val="nil"/>
                  </w:tcBorders>
                  <w:vAlign w:val="center"/>
                </w:tcPr>
                <w:p>
                  <w:pPr>
                    <w:spacing w:line="240" w:lineRule="auto"/>
                    <w:ind w:firstLine="0" w:firstLineChars="0"/>
                    <w:jc w:val="center"/>
                    <w:rPr>
                      <w:color w:val="auto"/>
                      <w:sz w:val="21"/>
                    </w:rPr>
                  </w:pPr>
                  <w:r>
                    <w:rPr>
                      <w:color w:val="auto"/>
                      <w:sz w:val="21"/>
                    </w:rP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l2br w:val="nil"/>
                    <w:tr2bl w:val="nil"/>
                  </w:tcBorders>
                  <w:vAlign w:val="center"/>
                </w:tcPr>
                <w:p>
                  <w:pPr>
                    <w:spacing w:line="240" w:lineRule="auto"/>
                    <w:ind w:firstLine="0" w:firstLineChars="0"/>
                    <w:jc w:val="center"/>
                    <w:rPr>
                      <w:color w:val="auto"/>
                      <w:sz w:val="21"/>
                    </w:rPr>
                  </w:pPr>
                  <w:r>
                    <w:rPr>
                      <w:color w:val="auto"/>
                      <w:sz w:val="21"/>
                    </w:rPr>
                    <w:t>标准值</w:t>
                  </w:r>
                </w:p>
              </w:tc>
              <w:tc>
                <w:tcPr>
                  <w:tcW w:w="1219" w:type="dxa"/>
                  <w:tcBorders>
                    <w:tl2br w:val="nil"/>
                    <w:tr2bl w:val="nil"/>
                  </w:tcBorders>
                  <w:vAlign w:val="center"/>
                </w:tcPr>
                <w:p>
                  <w:pPr>
                    <w:spacing w:line="240" w:lineRule="auto"/>
                    <w:ind w:firstLine="0" w:firstLineChars="0"/>
                    <w:jc w:val="center"/>
                    <w:rPr>
                      <w:color w:val="auto"/>
                      <w:sz w:val="21"/>
                    </w:rPr>
                  </w:pPr>
                  <w:r>
                    <w:rPr>
                      <w:color w:val="auto"/>
                      <w:sz w:val="21"/>
                    </w:rPr>
                    <w:t>35</w:t>
                  </w:r>
                </w:p>
              </w:tc>
              <w:tc>
                <w:tcPr>
                  <w:tcW w:w="1075" w:type="dxa"/>
                  <w:tcBorders>
                    <w:tl2br w:val="nil"/>
                    <w:tr2bl w:val="nil"/>
                  </w:tcBorders>
                  <w:vAlign w:val="center"/>
                </w:tcPr>
                <w:p>
                  <w:pPr>
                    <w:spacing w:line="240" w:lineRule="auto"/>
                    <w:ind w:firstLine="0" w:firstLineChars="0"/>
                    <w:jc w:val="center"/>
                    <w:rPr>
                      <w:color w:val="auto"/>
                      <w:sz w:val="21"/>
                    </w:rPr>
                  </w:pPr>
                  <w:r>
                    <w:rPr>
                      <w:color w:val="auto"/>
                      <w:sz w:val="21"/>
                    </w:rPr>
                    <w:t>70</w:t>
                  </w:r>
                </w:p>
              </w:tc>
              <w:tc>
                <w:tcPr>
                  <w:tcW w:w="1035" w:type="dxa"/>
                  <w:tcBorders>
                    <w:tl2br w:val="nil"/>
                    <w:tr2bl w:val="nil"/>
                  </w:tcBorders>
                  <w:vAlign w:val="center"/>
                </w:tcPr>
                <w:p>
                  <w:pPr>
                    <w:spacing w:line="240" w:lineRule="auto"/>
                    <w:ind w:firstLine="0" w:firstLineChars="0"/>
                    <w:jc w:val="center"/>
                    <w:rPr>
                      <w:color w:val="auto"/>
                      <w:sz w:val="21"/>
                    </w:rPr>
                  </w:pPr>
                  <w:r>
                    <w:rPr>
                      <w:color w:val="auto"/>
                      <w:sz w:val="21"/>
                    </w:rPr>
                    <w:t>60</w:t>
                  </w:r>
                </w:p>
              </w:tc>
              <w:tc>
                <w:tcPr>
                  <w:tcW w:w="1433" w:type="dxa"/>
                  <w:tcBorders>
                    <w:tl2br w:val="nil"/>
                    <w:tr2bl w:val="nil"/>
                  </w:tcBorders>
                  <w:vAlign w:val="center"/>
                </w:tcPr>
                <w:p>
                  <w:pPr>
                    <w:spacing w:line="240" w:lineRule="auto"/>
                    <w:ind w:firstLine="0" w:firstLineChars="0"/>
                    <w:jc w:val="center"/>
                    <w:rPr>
                      <w:color w:val="auto"/>
                      <w:sz w:val="21"/>
                    </w:rPr>
                  </w:pPr>
                  <w:r>
                    <w:rPr>
                      <w:color w:val="auto"/>
                      <w:sz w:val="21"/>
                    </w:rPr>
                    <w:t>40</w:t>
                  </w:r>
                </w:p>
              </w:tc>
              <w:tc>
                <w:tcPr>
                  <w:tcW w:w="1387" w:type="dxa"/>
                  <w:tcBorders>
                    <w:tl2br w:val="nil"/>
                    <w:tr2bl w:val="nil"/>
                  </w:tcBorders>
                  <w:vAlign w:val="center"/>
                </w:tcPr>
                <w:p>
                  <w:pPr>
                    <w:spacing w:line="240" w:lineRule="auto"/>
                    <w:ind w:firstLine="0" w:firstLineChars="0"/>
                    <w:jc w:val="center"/>
                    <w:rPr>
                      <w:color w:val="auto"/>
                      <w:sz w:val="21"/>
                    </w:rPr>
                  </w:pPr>
                  <w:r>
                    <w:rPr>
                      <w:color w:val="auto"/>
                      <w:sz w:val="21"/>
                    </w:rPr>
                    <w:t>4（日均值）</w:t>
                  </w:r>
                </w:p>
              </w:tc>
              <w:tc>
                <w:tcPr>
                  <w:tcW w:w="1907" w:type="dxa"/>
                  <w:tcBorders>
                    <w:tl2br w:val="nil"/>
                    <w:tr2bl w:val="nil"/>
                  </w:tcBorders>
                  <w:vAlign w:val="center"/>
                </w:tcPr>
                <w:p>
                  <w:pPr>
                    <w:spacing w:line="240" w:lineRule="auto"/>
                    <w:ind w:firstLine="0" w:firstLineChars="0"/>
                    <w:jc w:val="center"/>
                    <w:rPr>
                      <w:color w:val="auto"/>
                      <w:sz w:val="21"/>
                    </w:rPr>
                  </w:pPr>
                  <w:r>
                    <w:rPr>
                      <w:color w:val="auto"/>
                      <w:sz w:val="21"/>
                    </w:rPr>
                    <w:t>160（日最大8小时平均）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00" w:type="dxa"/>
                  <w:tcBorders>
                    <w:tl2br w:val="nil"/>
                    <w:tr2bl w:val="nil"/>
                  </w:tcBorders>
                  <w:vAlign w:val="center"/>
                </w:tcPr>
                <w:p>
                  <w:pPr>
                    <w:spacing w:line="240" w:lineRule="auto"/>
                    <w:ind w:firstLine="0" w:firstLineChars="0"/>
                    <w:jc w:val="center"/>
                    <w:rPr>
                      <w:color w:val="auto"/>
                      <w:sz w:val="21"/>
                    </w:rPr>
                  </w:pPr>
                  <w:r>
                    <w:rPr>
                      <w:color w:val="auto"/>
                      <w:sz w:val="21"/>
                    </w:rPr>
                    <w:t>达标情况</w:t>
                  </w:r>
                </w:p>
              </w:tc>
              <w:tc>
                <w:tcPr>
                  <w:tcW w:w="1219" w:type="dxa"/>
                  <w:tcBorders>
                    <w:tl2br w:val="nil"/>
                    <w:tr2bl w:val="nil"/>
                  </w:tcBorders>
                  <w:vAlign w:val="center"/>
                </w:tcPr>
                <w:p>
                  <w:pPr>
                    <w:spacing w:line="240" w:lineRule="auto"/>
                    <w:ind w:firstLine="0" w:firstLineChars="0"/>
                    <w:jc w:val="center"/>
                    <w:rPr>
                      <w:color w:val="auto"/>
                      <w:sz w:val="21"/>
                    </w:rPr>
                  </w:pPr>
                  <w:r>
                    <w:rPr>
                      <w:color w:val="auto"/>
                      <w:sz w:val="21"/>
                    </w:rPr>
                    <w:t>超标</w:t>
                  </w:r>
                </w:p>
              </w:tc>
              <w:tc>
                <w:tcPr>
                  <w:tcW w:w="1075" w:type="dxa"/>
                  <w:tcBorders>
                    <w:tl2br w:val="nil"/>
                    <w:tr2bl w:val="nil"/>
                  </w:tcBorders>
                  <w:vAlign w:val="center"/>
                </w:tcPr>
                <w:p>
                  <w:pPr>
                    <w:spacing w:line="240" w:lineRule="auto"/>
                    <w:ind w:firstLine="0" w:firstLineChars="0"/>
                    <w:jc w:val="center"/>
                    <w:rPr>
                      <w:color w:val="auto"/>
                      <w:sz w:val="21"/>
                    </w:rPr>
                  </w:pPr>
                  <w:r>
                    <w:rPr>
                      <w:color w:val="auto"/>
                      <w:sz w:val="21"/>
                    </w:rPr>
                    <w:t>达标</w:t>
                  </w:r>
                </w:p>
              </w:tc>
              <w:tc>
                <w:tcPr>
                  <w:tcW w:w="1035" w:type="dxa"/>
                  <w:tcBorders>
                    <w:tl2br w:val="nil"/>
                    <w:tr2bl w:val="nil"/>
                  </w:tcBorders>
                  <w:vAlign w:val="center"/>
                </w:tcPr>
                <w:p>
                  <w:pPr>
                    <w:spacing w:line="240" w:lineRule="auto"/>
                    <w:ind w:firstLine="0" w:firstLineChars="0"/>
                    <w:jc w:val="center"/>
                    <w:rPr>
                      <w:color w:val="auto"/>
                      <w:sz w:val="21"/>
                    </w:rPr>
                  </w:pPr>
                  <w:r>
                    <w:rPr>
                      <w:color w:val="auto"/>
                      <w:sz w:val="21"/>
                    </w:rPr>
                    <w:t>达标</w:t>
                  </w:r>
                </w:p>
              </w:tc>
              <w:tc>
                <w:tcPr>
                  <w:tcW w:w="1433" w:type="dxa"/>
                  <w:tcBorders>
                    <w:tl2br w:val="nil"/>
                    <w:tr2bl w:val="nil"/>
                  </w:tcBorders>
                  <w:vAlign w:val="center"/>
                </w:tcPr>
                <w:p>
                  <w:pPr>
                    <w:spacing w:line="240" w:lineRule="auto"/>
                    <w:ind w:firstLine="0" w:firstLineChars="0"/>
                    <w:jc w:val="center"/>
                    <w:rPr>
                      <w:color w:val="auto"/>
                      <w:sz w:val="21"/>
                    </w:rPr>
                  </w:pPr>
                  <w:r>
                    <w:rPr>
                      <w:color w:val="auto"/>
                      <w:sz w:val="21"/>
                    </w:rPr>
                    <w:t>达标</w:t>
                  </w:r>
                </w:p>
              </w:tc>
              <w:tc>
                <w:tcPr>
                  <w:tcW w:w="1387" w:type="dxa"/>
                  <w:tcBorders>
                    <w:tl2br w:val="nil"/>
                    <w:tr2bl w:val="nil"/>
                  </w:tcBorders>
                  <w:vAlign w:val="center"/>
                </w:tcPr>
                <w:p>
                  <w:pPr>
                    <w:spacing w:line="240" w:lineRule="auto"/>
                    <w:ind w:firstLine="0" w:firstLineChars="0"/>
                    <w:jc w:val="center"/>
                    <w:rPr>
                      <w:color w:val="auto"/>
                      <w:sz w:val="21"/>
                    </w:rPr>
                  </w:pPr>
                  <w:r>
                    <w:rPr>
                      <w:color w:val="auto"/>
                      <w:sz w:val="21"/>
                    </w:rPr>
                    <w:t>达标</w:t>
                  </w:r>
                </w:p>
              </w:tc>
              <w:tc>
                <w:tcPr>
                  <w:tcW w:w="1907" w:type="dxa"/>
                  <w:tcBorders>
                    <w:tl2br w:val="nil"/>
                    <w:tr2bl w:val="nil"/>
                  </w:tcBorders>
                  <w:vAlign w:val="center"/>
                </w:tcPr>
                <w:p>
                  <w:pPr>
                    <w:spacing w:line="240" w:lineRule="auto"/>
                    <w:ind w:firstLine="0" w:firstLineChars="0"/>
                    <w:jc w:val="center"/>
                    <w:rPr>
                      <w:color w:val="auto"/>
                      <w:sz w:val="21"/>
                    </w:rPr>
                  </w:pPr>
                  <w:r>
                    <w:rPr>
                      <w:color w:val="auto"/>
                      <w:sz w:val="21"/>
                    </w:rPr>
                    <w:t>达标</w:t>
                  </w:r>
                </w:p>
              </w:tc>
            </w:tr>
          </w:tbl>
          <w:p>
            <w:pPr>
              <w:adjustRightInd w:val="0"/>
              <w:snapToGrid w:val="0"/>
              <w:ind w:firstLine="472"/>
              <w:rPr>
                <w:color w:val="auto"/>
                <w:spacing w:val="-2"/>
              </w:rPr>
            </w:pPr>
            <w:r>
              <w:rPr>
                <w:rFonts w:hint="eastAsia" w:ascii="宋体" w:hAnsi="宋体" w:cs="宋体"/>
                <w:color w:val="auto"/>
                <w:spacing w:val="-2"/>
                <w:szCs w:val="22"/>
              </w:rPr>
              <w:t>由上表</w:t>
            </w:r>
            <w:r>
              <w:rPr>
                <w:rFonts w:hint="eastAsia" w:eastAsiaTheme="minorEastAsia"/>
                <w:color w:val="auto"/>
                <w:spacing w:val="-2"/>
                <w:szCs w:val="22"/>
              </w:rPr>
              <w:t>13</w:t>
            </w:r>
            <w:r>
              <w:rPr>
                <w:rFonts w:hint="eastAsia" w:ascii="宋体" w:hAnsi="宋体" w:cs="宋体"/>
                <w:color w:val="auto"/>
                <w:spacing w:val="-2"/>
                <w:szCs w:val="22"/>
              </w:rPr>
              <w:t>可知，</w:t>
            </w:r>
            <w:r>
              <w:rPr>
                <w:rFonts w:eastAsia="Times New Roman"/>
                <w:color w:val="auto"/>
                <w:spacing w:val="-2"/>
                <w:szCs w:val="22"/>
              </w:rPr>
              <w:t>2018</w:t>
            </w:r>
            <w:r>
              <w:rPr>
                <w:rFonts w:hint="eastAsia" w:ascii="宋体" w:hAnsi="宋体" w:cs="宋体"/>
                <w:color w:val="auto"/>
                <w:spacing w:val="-2"/>
                <w:szCs w:val="22"/>
              </w:rPr>
              <w:t>年环境空气污染物浓度均值</w:t>
            </w:r>
            <w:r>
              <w:rPr>
                <w:color w:val="auto"/>
                <w:spacing w:val="-2"/>
                <w:szCs w:val="22"/>
              </w:rPr>
              <w:t>中沅江市PM</w:t>
            </w:r>
            <w:r>
              <w:rPr>
                <w:color w:val="auto"/>
                <w:spacing w:val="-2"/>
                <w:szCs w:val="22"/>
                <w:vertAlign w:val="subscript"/>
              </w:rPr>
              <w:t>2.5</w:t>
            </w:r>
            <w:r>
              <w:rPr>
                <w:rFonts w:hint="eastAsia" w:ascii="宋体" w:hAnsi="宋体" w:cs="宋体"/>
                <w:color w:val="auto"/>
                <w:spacing w:val="-2"/>
                <w:szCs w:val="22"/>
              </w:rPr>
              <w:t>均值</w:t>
            </w:r>
            <w:r>
              <w:rPr>
                <w:color w:val="auto"/>
                <w:spacing w:val="-2"/>
                <w:szCs w:val="22"/>
              </w:rPr>
              <w:t>超标，则可确</w:t>
            </w:r>
            <w:r>
              <w:rPr>
                <w:color w:val="auto"/>
                <w:spacing w:val="-2"/>
              </w:rPr>
              <w:t>定沅江市为大气环境空气质量不达标区。</w:t>
            </w:r>
          </w:p>
          <w:p>
            <w:pPr>
              <w:adjustRightInd w:val="0"/>
              <w:snapToGrid w:val="0"/>
              <w:ind w:firstLine="472"/>
              <w:rPr>
                <w:color w:val="auto"/>
                <w:spacing w:val="-2"/>
                <w:u w:val="single"/>
              </w:rPr>
            </w:pPr>
            <w:r>
              <w:rPr>
                <w:rFonts w:hint="eastAsia"/>
                <w:color w:val="auto"/>
                <w:spacing w:val="-2"/>
                <w:u w:val="single"/>
              </w:rPr>
              <w:t>（2）大气环境现状监测结果</w:t>
            </w:r>
          </w:p>
          <w:p>
            <w:pPr>
              <w:adjustRightInd w:val="0"/>
              <w:snapToGrid w:val="0"/>
              <w:ind w:firstLine="470" w:firstLineChars="196"/>
              <w:jc w:val="both"/>
              <w:rPr>
                <w:color w:val="auto"/>
                <w:u w:val="single"/>
              </w:rPr>
            </w:pPr>
            <w:r>
              <w:rPr>
                <w:color w:val="auto"/>
                <w:u w:val="single"/>
              </w:rPr>
              <w:t>为了解项目地大气环境质量，本报告引用了</w:t>
            </w:r>
            <w:r>
              <w:rPr>
                <w:rFonts w:hint="eastAsia"/>
                <w:color w:val="auto"/>
                <w:u w:val="single"/>
              </w:rPr>
              <w:t>《湖南冠均木业有限公司年加工1万套实木家具建设项目环境影响报告表》中湖南昌旭环保科技有限公司于2019年12月10~16日对项目区域环境空气质量现状监测（与本项目处于同一厂区同一生产厂房不同楼层）。</w:t>
            </w:r>
            <w:r>
              <w:rPr>
                <w:color w:val="auto"/>
                <w:u w:val="single"/>
              </w:rPr>
              <w:t>监测项目主要有：</w:t>
            </w:r>
            <w:r>
              <w:rPr>
                <w:rFonts w:hint="eastAsia"/>
                <w:snapToGrid w:val="0"/>
                <w:color w:val="auto"/>
                <w:kern w:val="0"/>
                <w:u w:val="single"/>
              </w:rPr>
              <w:t>TVOC</w:t>
            </w:r>
            <w:r>
              <w:rPr>
                <w:snapToGrid w:val="0"/>
                <w:color w:val="auto"/>
                <w:kern w:val="0"/>
                <w:u w:val="single"/>
              </w:rPr>
              <w:t>。具体监测结果见下表。</w:t>
            </w:r>
          </w:p>
          <w:p>
            <w:pPr>
              <w:adjustRightInd w:val="0"/>
              <w:snapToGrid w:val="0"/>
              <w:spacing w:line="240" w:lineRule="auto"/>
              <w:ind w:firstLine="0" w:firstLineChars="0"/>
              <w:jc w:val="center"/>
              <w:rPr>
                <w:b/>
                <w:bCs/>
                <w:snapToGrid w:val="0"/>
                <w:color w:val="auto"/>
                <w:kern w:val="0"/>
                <w:u w:val="single"/>
              </w:rPr>
            </w:pPr>
            <w:r>
              <w:rPr>
                <w:rFonts w:hint="eastAsia"/>
                <w:b/>
                <w:bCs/>
                <w:snapToGrid w:val="0"/>
                <w:color w:val="auto"/>
                <w:kern w:val="0"/>
                <w:u w:val="single"/>
              </w:rPr>
              <w:t>表3-2   环境空气检测结果</w:t>
            </w:r>
          </w:p>
          <w:tbl>
            <w:tblPr>
              <w:tblStyle w:val="25"/>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
              <w:gridCol w:w="1986"/>
              <w:gridCol w:w="1843"/>
              <w:gridCol w:w="1678"/>
              <w:gridCol w:w="14"/>
              <w:gridCol w:w="1664"/>
              <w:gridCol w:w="14"/>
              <w:gridCol w:w="1773"/>
              <w:gridCol w:w="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97" w:type="dxa"/>
                  <w:gridSpan w:val="2"/>
                  <w:vMerge w:val="restart"/>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采样点</w:t>
                  </w:r>
                </w:p>
              </w:tc>
              <w:tc>
                <w:tcPr>
                  <w:tcW w:w="1843" w:type="dxa"/>
                  <w:vMerge w:val="restart"/>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坐标位置</w:t>
                  </w:r>
                </w:p>
              </w:tc>
              <w:tc>
                <w:tcPr>
                  <w:tcW w:w="1678" w:type="dxa"/>
                  <w:vMerge w:val="restart"/>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采样日期</w:t>
                  </w:r>
                </w:p>
              </w:tc>
              <w:tc>
                <w:tcPr>
                  <w:tcW w:w="3474" w:type="dxa"/>
                  <w:gridSpan w:val="5"/>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检测结果（ug/m</w:t>
                  </w:r>
                  <w:r>
                    <w:rPr>
                      <w:color w:val="auto"/>
                      <w:kern w:val="0"/>
                      <w:sz w:val="21"/>
                      <w:szCs w:val="21"/>
                      <w:u w:val="single"/>
                      <w:vertAlign w:val="superscript"/>
                    </w:rPr>
                    <w:t>3</w:t>
                  </w:r>
                  <w:r>
                    <w:rPr>
                      <w:color w:val="auto"/>
                      <w:kern w:val="0"/>
                      <w:sz w:val="21"/>
                      <w:szCs w:val="21"/>
                      <w:u w:val="singl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97" w:type="dxa"/>
                  <w:gridSpan w:val="2"/>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78"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78"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TSP</w:t>
                  </w:r>
                </w:p>
              </w:tc>
              <w:tc>
                <w:tcPr>
                  <w:tcW w:w="1796" w:type="dxa"/>
                  <w:gridSpan w:val="3"/>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TVOC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restart"/>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G1：项目东南侧约200m处的双凤安置小区</w:t>
                  </w:r>
                </w:p>
              </w:tc>
              <w:tc>
                <w:tcPr>
                  <w:tcW w:w="1843" w:type="dxa"/>
                  <w:vMerge w:val="restart"/>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东经：112.3517北纬：28.80486</w:t>
                  </w: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2019.12.10</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107</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2019.12.11</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110</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2019.12.12</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104</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2019.12.13</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111</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pStyle w:val="64"/>
                    <w:kinsoku w:val="0"/>
                    <w:overflowPunct w:val="0"/>
                    <w:adjustRightInd w:val="0"/>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2019.12.14</w:t>
                  </w:r>
                </w:p>
              </w:tc>
              <w:tc>
                <w:tcPr>
                  <w:tcW w:w="1678" w:type="dxa"/>
                  <w:gridSpan w:val="2"/>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113</w:t>
                  </w:r>
                </w:p>
              </w:tc>
              <w:tc>
                <w:tcPr>
                  <w:tcW w:w="1773" w:type="dxa"/>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pStyle w:val="64"/>
                    <w:kinsoku w:val="0"/>
                    <w:overflowPunct w:val="0"/>
                    <w:adjustRightInd w:val="0"/>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2019.12.15</w:t>
                  </w:r>
                </w:p>
              </w:tc>
              <w:tc>
                <w:tcPr>
                  <w:tcW w:w="1678" w:type="dxa"/>
                  <w:gridSpan w:val="2"/>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104</w:t>
                  </w:r>
                </w:p>
              </w:tc>
              <w:tc>
                <w:tcPr>
                  <w:tcW w:w="1773" w:type="dxa"/>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pStyle w:val="64"/>
                    <w:kinsoku w:val="0"/>
                    <w:overflowPunct w:val="0"/>
                    <w:adjustRightInd w:val="0"/>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2019.12.16</w:t>
                  </w:r>
                </w:p>
              </w:tc>
              <w:tc>
                <w:tcPr>
                  <w:tcW w:w="1678" w:type="dxa"/>
                  <w:gridSpan w:val="2"/>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102</w:t>
                  </w:r>
                </w:p>
              </w:tc>
              <w:tc>
                <w:tcPr>
                  <w:tcW w:w="1773" w:type="dxa"/>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restart"/>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G2：项目西北约250m处原益民学校</w:t>
                  </w:r>
                </w:p>
              </w:tc>
              <w:tc>
                <w:tcPr>
                  <w:tcW w:w="1843" w:type="dxa"/>
                  <w:vMerge w:val="restart"/>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东经：112.34964北纬：28.80804</w:t>
                  </w: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2019.12.10</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119</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2019.12.11</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102</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2019.12.12</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116</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pStyle w:val="64"/>
                    <w:kinsoku w:val="0"/>
                    <w:overflowPunct w:val="0"/>
                    <w:adjustRightInd w:val="0"/>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2019.12.13</w:t>
                  </w:r>
                </w:p>
              </w:tc>
              <w:tc>
                <w:tcPr>
                  <w:tcW w:w="1678" w:type="dxa"/>
                  <w:gridSpan w:val="2"/>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100</w:t>
                  </w:r>
                </w:p>
              </w:tc>
              <w:tc>
                <w:tcPr>
                  <w:tcW w:w="1773" w:type="dxa"/>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pStyle w:val="64"/>
                    <w:kinsoku w:val="0"/>
                    <w:overflowPunct w:val="0"/>
                    <w:adjustRightInd w:val="0"/>
                    <w:snapToGrid w:val="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2019.12.14</w:t>
                  </w:r>
                </w:p>
              </w:tc>
              <w:tc>
                <w:tcPr>
                  <w:tcW w:w="1678" w:type="dxa"/>
                  <w:gridSpan w:val="2"/>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106</w:t>
                  </w:r>
                </w:p>
              </w:tc>
              <w:tc>
                <w:tcPr>
                  <w:tcW w:w="1773" w:type="dxa"/>
                  <w:vAlign w:val="center"/>
                </w:tcPr>
                <w:p>
                  <w:pPr>
                    <w:pStyle w:val="64"/>
                    <w:kinsoku w:val="0"/>
                    <w:overflowPunct w:val="0"/>
                    <w:adjustRightInd w:val="0"/>
                    <w:snapToGrid w:val="0"/>
                    <w:ind w:firstLine="0" w:firstLineChars="0"/>
                    <w:jc w:val="center"/>
                    <w:rPr>
                      <w:rFonts w:ascii="Times New Roman" w:hAnsi="Times New Roman" w:cs="Times New Roman" w:eastAsiaTheme="minorEastAsia"/>
                      <w:color w:val="auto"/>
                      <w:kern w:val="0"/>
                      <w:sz w:val="21"/>
                      <w:szCs w:val="21"/>
                      <w:u w:val="single"/>
                      <w:lang w:val="en-US" w:eastAsia="en-US" w:bidi="ar-SA"/>
                    </w:rPr>
                  </w:pPr>
                  <w:r>
                    <w:rPr>
                      <w:rFonts w:ascii="Times New Roman" w:hAnsi="Times New Roman" w:cs="Times New Roman"/>
                      <w:color w:val="auto"/>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2019.12.15</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105</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1986"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843" w:type="dxa"/>
                  <w:vMerge w:val="continue"/>
                  <w:vAlign w:val="center"/>
                </w:tcPr>
                <w:p>
                  <w:pPr>
                    <w:adjustRightInd w:val="0"/>
                    <w:snapToGrid w:val="0"/>
                    <w:spacing w:line="240" w:lineRule="auto"/>
                    <w:ind w:firstLine="0" w:firstLineChars="0"/>
                    <w:jc w:val="center"/>
                    <w:rPr>
                      <w:color w:val="auto"/>
                      <w:kern w:val="0"/>
                      <w:sz w:val="21"/>
                      <w:szCs w:val="21"/>
                      <w:u w:val="single"/>
                    </w:rPr>
                  </w:pPr>
                </w:p>
              </w:tc>
              <w:tc>
                <w:tcPr>
                  <w:tcW w:w="1692"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2019.12.16</w:t>
                  </w:r>
                </w:p>
              </w:tc>
              <w:tc>
                <w:tcPr>
                  <w:tcW w:w="1678" w:type="dxa"/>
                  <w:gridSpan w:val="2"/>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112</w:t>
                  </w:r>
                </w:p>
              </w:tc>
              <w:tc>
                <w:tcPr>
                  <w:tcW w:w="1773" w:type="dxa"/>
                  <w:vAlign w:val="center"/>
                </w:tcPr>
                <w:p>
                  <w:pPr>
                    <w:adjustRightInd w:val="0"/>
                    <w:snapToGrid w:val="0"/>
                    <w:spacing w:line="240" w:lineRule="auto"/>
                    <w:ind w:firstLine="0" w:firstLineChars="0"/>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5521" w:type="dxa"/>
                  <w:gridSpan w:val="4"/>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标准值（TSP执行GB3095-2012二级、TVOC执行HJ2.1-2018附录D）</w:t>
                  </w:r>
                </w:p>
              </w:tc>
              <w:tc>
                <w:tcPr>
                  <w:tcW w:w="1678" w:type="dxa"/>
                  <w:gridSpan w:val="2"/>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300</w:t>
                  </w:r>
                </w:p>
              </w:tc>
              <w:tc>
                <w:tcPr>
                  <w:tcW w:w="1773" w:type="dxa"/>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1" w:type="dxa"/>
                <w:wAfter w:w="9" w:type="dxa"/>
                <w:trHeight w:val="340" w:hRule="atLeast"/>
                <w:jc w:val="center"/>
              </w:trPr>
              <w:tc>
                <w:tcPr>
                  <w:tcW w:w="5521" w:type="dxa"/>
                  <w:gridSpan w:val="4"/>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达标情况</w:t>
                  </w:r>
                </w:p>
              </w:tc>
              <w:tc>
                <w:tcPr>
                  <w:tcW w:w="3451" w:type="dxa"/>
                  <w:gridSpan w:val="3"/>
                  <w:vAlign w:val="center"/>
                </w:tcPr>
                <w:p>
                  <w:pPr>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达标</w:t>
                  </w:r>
                </w:p>
              </w:tc>
            </w:tr>
          </w:tbl>
          <w:p>
            <w:pPr>
              <w:adjustRightInd w:val="0"/>
              <w:snapToGrid w:val="0"/>
              <w:ind w:firstLine="480"/>
              <w:jc w:val="both"/>
              <w:rPr>
                <w:color w:val="auto"/>
              </w:rPr>
            </w:pPr>
            <w:r>
              <w:rPr>
                <w:color w:val="auto"/>
                <w:u w:val="single"/>
              </w:rPr>
              <w:t>根据现状监测结果可以看出：</w:t>
            </w:r>
            <w:r>
              <w:rPr>
                <w:rFonts w:hint="eastAsia"/>
                <w:color w:val="auto"/>
                <w:u w:val="single"/>
              </w:rPr>
              <w:t>TSP</w:t>
            </w:r>
            <w:r>
              <w:rPr>
                <w:color w:val="auto"/>
                <w:u w:val="single"/>
              </w:rPr>
              <w:t>监测值能满足</w:t>
            </w:r>
            <w:r>
              <w:rPr>
                <w:rFonts w:hint="eastAsia"/>
                <w:color w:val="auto"/>
                <w:u w:val="single"/>
              </w:rPr>
              <w:t>《环境空气质量标准》（GB3095-2012）及修改单中的二级标准</w:t>
            </w:r>
            <w:r>
              <w:rPr>
                <w:color w:val="auto"/>
                <w:u w:val="single"/>
              </w:rPr>
              <w:t>；TVOC监测值满足《环境影响评价技术导则大气环境》（HJ2.2-2018）附录D表D.1其他污染物空气质量浓度参考限值标准。</w:t>
            </w:r>
          </w:p>
          <w:p>
            <w:pPr>
              <w:snapToGrid w:val="0"/>
              <w:ind w:firstLine="470" w:firstLineChars="195"/>
              <w:jc w:val="both"/>
              <w:rPr>
                <w:b/>
                <w:color w:val="auto"/>
              </w:rPr>
            </w:pPr>
            <w:r>
              <w:rPr>
                <w:b/>
                <w:color w:val="auto"/>
              </w:rPr>
              <w:t>2、地表水环境质量现状评价</w:t>
            </w:r>
          </w:p>
          <w:p>
            <w:pPr>
              <w:adjustRightInd w:val="0"/>
              <w:snapToGrid w:val="0"/>
              <w:ind w:firstLine="480"/>
              <w:jc w:val="both"/>
              <w:rPr>
                <w:snapToGrid w:val="0"/>
                <w:color w:val="auto"/>
                <w:kern w:val="0"/>
              </w:rPr>
            </w:pPr>
            <w:r>
              <w:rPr>
                <w:snapToGrid w:val="0"/>
                <w:color w:val="auto"/>
                <w:kern w:val="0"/>
              </w:rPr>
              <w:t>为了解本项目区域地表水环境质量，本项目引用了《沅江市万子湖渔船码头建设项目环境影响报告书》中对</w:t>
            </w:r>
            <w:r>
              <w:rPr>
                <w:color w:val="auto"/>
              </w:rPr>
              <w:t>W</w:t>
            </w:r>
            <w:r>
              <w:rPr>
                <w:color w:val="auto"/>
                <w:vertAlign w:val="subscript"/>
              </w:rPr>
              <w:t>1</w:t>
            </w:r>
            <w:r>
              <w:rPr>
                <w:color w:val="auto"/>
              </w:rPr>
              <w:t>万子湖</w:t>
            </w:r>
            <w:r>
              <w:rPr>
                <w:color w:val="auto"/>
                <w:kern w:val="21"/>
              </w:rPr>
              <w:t>（万子湖与资江分河交汇口上游500m）和</w:t>
            </w:r>
            <w:r>
              <w:rPr>
                <w:color w:val="auto"/>
              </w:rPr>
              <w:t>W2资江分河（</w:t>
            </w:r>
            <w:r>
              <w:rPr>
                <w:color w:val="auto"/>
                <w:kern w:val="21"/>
              </w:rPr>
              <w:t>沅江污水处理厂排污口下游500m</w:t>
            </w:r>
            <w:r>
              <w:rPr>
                <w:color w:val="auto"/>
              </w:rPr>
              <w:t>）的监测数据，</w:t>
            </w:r>
            <w:r>
              <w:rPr>
                <w:snapToGrid w:val="0"/>
                <w:color w:val="auto"/>
                <w:kern w:val="0"/>
              </w:rPr>
              <w:t>监测时间为2018年1月8日~1月9日，本项目区域地表水质量现状监测结果详见表</w:t>
            </w:r>
            <w:r>
              <w:rPr>
                <w:rFonts w:hint="eastAsia"/>
                <w:snapToGrid w:val="0"/>
                <w:color w:val="auto"/>
                <w:kern w:val="0"/>
              </w:rPr>
              <w:t>3-3</w:t>
            </w:r>
            <w:r>
              <w:rPr>
                <w:snapToGrid w:val="0"/>
                <w:color w:val="auto"/>
                <w:kern w:val="0"/>
              </w:rPr>
              <w:t>。</w:t>
            </w: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snapToGrid w:val="0"/>
                <w:color w:val="auto"/>
                <w:kern w:val="0"/>
              </w:rPr>
            </w:pPr>
          </w:p>
          <w:p>
            <w:pPr>
              <w:adjustRightInd w:val="0"/>
              <w:snapToGrid w:val="0"/>
              <w:spacing w:line="240" w:lineRule="auto"/>
              <w:ind w:firstLine="482"/>
              <w:jc w:val="center"/>
              <w:rPr>
                <w:b/>
                <w:bCs/>
                <w:snapToGrid w:val="0"/>
                <w:color w:val="auto"/>
                <w:kern w:val="0"/>
              </w:rPr>
            </w:pPr>
            <w:r>
              <w:rPr>
                <w:b/>
                <w:snapToGrid w:val="0"/>
                <w:color w:val="auto"/>
                <w:kern w:val="0"/>
              </w:rPr>
              <w:t>表</w:t>
            </w:r>
            <w:r>
              <w:rPr>
                <w:rFonts w:hint="eastAsia"/>
                <w:b/>
                <w:snapToGrid w:val="0"/>
                <w:color w:val="auto"/>
                <w:kern w:val="0"/>
              </w:rPr>
              <w:t>3-3</w:t>
            </w:r>
            <w:r>
              <w:rPr>
                <w:rFonts w:hint="eastAsia"/>
                <w:b/>
                <w:snapToGrid w:val="0"/>
                <w:color w:val="auto"/>
                <w:kern w:val="0"/>
                <w:lang w:val="en-US" w:eastAsia="zh-CN"/>
              </w:rPr>
              <w:t xml:space="preserve">   </w:t>
            </w:r>
            <w:r>
              <w:rPr>
                <w:b/>
                <w:bCs/>
                <w:snapToGrid w:val="0"/>
                <w:color w:val="auto"/>
                <w:kern w:val="0"/>
              </w:rPr>
              <w:t>水质监测结果和水质标准指数</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833"/>
              <w:gridCol w:w="1054"/>
              <w:gridCol w:w="1174"/>
              <w:gridCol w:w="1218"/>
              <w:gridCol w:w="1251"/>
              <w:gridCol w:w="714"/>
              <w:gridCol w:w="6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38"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采样点位</w:t>
                  </w:r>
                </w:p>
              </w:tc>
              <w:tc>
                <w:tcPr>
                  <w:tcW w:w="1833"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检测项目</w:t>
                  </w:r>
                </w:p>
              </w:tc>
              <w:tc>
                <w:tcPr>
                  <w:tcW w:w="1054"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单位</w:t>
                  </w:r>
                </w:p>
              </w:tc>
              <w:tc>
                <w:tcPr>
                  <w:tcW w:w="2392" w:type="dxa"/>
                  <w:gridSpan w:val="2"/>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检测结果</w:t>
                  </w:r>
                </w:p>
              </w:tc>
              <w:tc>
                <w:tcPr>
                  <w:tcW w:w="1251" w:type="dxa"/>
                  <w:vMerge w:val="restart"/>
                  <w:tcBorders>
                    <w:tl2br w:val="nil"/>
                    <w:tr2bl w:val="nil"/>
                  </w:tcBorders>
                  <w:vAlign w:val="center"/>
                </w:tcPr>
                <w:p>
                  <w:pPr>
                    <w:adjustRightInd w:val="0"/>
                    <w:snapToGrid w:val="0"/>
                    <w:spacing w:line="240" w:lineRule="auto"/>
                    <w:ind w:firstLine="0" w:firstLineChars="0"/>
                    <w:jc w:val="center"/>
                    <w:rPr>
                      <w:rFonts w:hint="eastAsia" w:eastAsia="宋体"/>
                      <w:color w:val="auto"/>
                      <w:sz w:val="21"/>
                      <w:lang w:eastAsia="zh-CN"/>
                    </w:rPr>
                  </w:pPr>
                  <w:r>
                    <w:rPr>
                      <w:rFonts w:hint="eastAsia"/>
                      <w:color w:val="auto"/>
                      <w:sz w:val="21"/>
                      <w:lang w:eastAsia="zh-CN"/>
                    </w:rPr>
                    <w:t>均值</w:t>
                  </w:r>
                </w:p>
              </w:tc>
              <w:tc>
                <w:tcPr>
                  <w:tcW w:w="714"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最大超标倍数</w:t>
                  </w:r>
                </w:p>
              </w:tc>
              <w:tc>
                <w:tcPr>
                  <w:tcW w:w="675"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1月8日</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1月9日</w:t>
                  </w:r>
                </w:p>
              </w:tc>
              <w:tc>
                <w:tcPr>
                  <w:tcW w:w="1251"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71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675"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W1万子湖（万子湖与资江分河交汇口上游500m）</w:t>
                  </w: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pH</w:t>
                  </w:r>
                </w:p>
              </w:tc>
              <w:tc>
                <w:tcPr>
                  <w:tcW w:w="105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无量纲</w:t>
                  </w: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6.57</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6.69</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w:t>
                  </w: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化学需氧量</w:t>
                  </w:r>
                </w:p>
              </w:tc>
              <w:tc>
                <w:tcPr>
                  <w:tcW w:w="1054"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mg/L</w:t>
                  </w: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17.5</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16.6</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0.83-0.875</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五日生化需氧量</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3.4</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3.6</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0.85-0.9</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氨氮</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0.42</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0.431</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0.42-0.431</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rFonts w:hint="eastAsia" w:eastAsia="宋体"/>
                      <w:color w:val="auto"/>
                      <w:sz w:val="21"/>
                      <w:lang w:eastAsia="zh-CN"/>
                    </w:rPr>
                  </w:pPr>
                  <w:r>
                    <w:rPr>
                      <w:rFonts w:hint="eastAsia"/>
                      <w:color w:val="auto"/>
                      <w:sz w:val="21"/>
                      <w:lang w:eastAsia="zh-CN"/>
                    </w:rPr>
                    <w:t>总磷</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0.06</w:t>
                  </w:r>
                </w:p>
              </w:tc>
              <w:tc>
                <w:tcPr>
                  <w:tcW w:w="1218"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0.04</w:t>
                  </w:r>
                </w:p>
              </w:tc>
              <w:tc>
                <w:tcPr>
                  <w:tcW w:w="1251"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0.8-1.2</w:t>
                  </w:r>
                </w:p>
              </w:tc>
              <w:tc>
                <w:tcPr>
                  <w:tcW w:w="714"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0.2</w:t>
                  </w:r>
                </w:p>
              </w:tc>
              <w:tc>
                <w:tcPr>
                  <w:tcW w:w="675"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总氮</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0.76</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0.74</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0.185-0.19</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石油类</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0.03</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0.02</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0.4-0.</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W2资江分河（沅江市第二污水处理厂排污口下游500m）</w:t>
                  </w: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pH</w:t>
                  </w:r>
                </w:p>
              </w:tc>
              <w:tc>
                <w:tcPr>
                  <w:tcW w:w="105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无量纲</w:t>
                  </w: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6.84</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6.87</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化学需氧量</w:t>
                  </w:r>
                </w:p>
              </w:tc>
              <w:tc>
                <w:tcPr>
                  <w:tcW w:w="1054" w:type="dxa"/>
                  <w:vMerge w:val="restart"/>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mg/L</w:t>
                  </w: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18.6</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19.4</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0.9.3-0.97</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五日生化需氧量</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3.7</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3.8</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0.925-0.95</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氨氮</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0.535</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0.528</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0.535-0.528</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总磷</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0.13</w:t>
                  </w:r>
                </w:p>
              </w:tc>
              <w:tc>
                <w:tcPr>
                  <w:tcW w:w="1218"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0.11</w:t>
                  </w:r>
                </w:p>
              </w:tc>
              <w:tc>
                <w:tcPr>
                  <w:tcW w:w="1251"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2.2-2.6</w:t>
                  </w:r>
                </w:p>
              </w:tc>
              <w:tc>
                <w:tcPr>
                  <w:tcW w:w="714"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1.6</w:t>
                  </w:r>
                </w:p>
              </w:tc>
              <w:tc>
                <w:tcPr>
                  <w:tcW w:w="675"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总氮</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0.84</w:t>
                  </w:r>
                </w:p>
              </w:tc>
              <w:tc>
                <w:tcPr>
                  <w:tcW w:w="1218"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0.94</w:t>
                  </w:r>
                </w:p>
              </w:tc>
              <w:tc>
                <w:tcPr>
                  <w:tcW w:w="1251"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0.21-0.235</w:t>
                  </w:r>
                </w:p>
              </w:tc>
              <w:tc>
                <w:tcPr>
                  <w:tcW w:w="714"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0</w:t>
                  </w:r>
                </w:p>
              </w:tc>
              <w:tc>
                <w:tcPr>
                  <w:tcW w:w="675"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38"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833" w:type="dxa"/>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石油类</w:t>
                  </w:r>
                </w:p>
              </w:tc>
              <w:tc>
                <w:tcPr>
                  <w:tcW w:w="1054" w:type="dxa"/>
                  <w:vMerge w:val="continue"/>
                  <w:tcBorders>
                    <w:tl2br w:val="nil"/>
                    <w:tr2bl w:val="nil"/>
                  </w:tcBorders>
                  <w:vAlign w:val="center"/>
                </w:tcPr>
                <w:p>
                  <w:pPr>
                    <w:adjustRightInd w:val="0"/>
                    <w:snapToGrid w:val="0"/>
                    <w:spacing w:line="240" w:lineRule="auto"/>
                    <w:ind w:firstLine="0" w:firstLineChars="0"/>
                    <w:jc w:val="center"/>
                    <w:rPr>
                      <w:color w:val="auto"/>
                      <w:sz w:val="21"/>
                    </w:rPr>
                  </w:pPr>
                </w:p>
              </w:tc>
              <w:tc>
                <w:tcPr>
                  <w:tcW w:w="1174"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0.06</w:t>
                  </w:r>
                </w:p>
              </w:tc>
              <w:tc>
                <w:tcPr>
                  <w:tcW w:w="1218"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0.05</w:t>
                  </w:r>
                </w:p>
              </w:tc>
              <w:tc>
                <w:tcPr>
                  <w:tcW w:w="1251" w:type="dxa"/>
                  <w:tcBorders>
                    <w:tl2br w:val="nil"/>
                    <w:tr2bl w:val="nil"/>
                  </w:tcBorders>
                  <w:vAlign w:val="center"/>
                </w:tcPr>
                <w:p>
                  <w:pPr>
                    <w:adjustRightInd w:val="0"/>
                    <w:snapToGrid w:val="0"/>
                    <w:spacing w:line="240" w:lineRule="auto"/>
                    <w:ind w:firstLine="0" w:firstLineChars="0"/>
                    <w:jc w:val="center"/>
                    <w:rPr>
                      <w:bCs/>
                      <w:color w:val="auto"/>
                      <w:sz w:val="21"/>
                    </w:rPr>
                  </w:pPr>
                  <w:r>
                    <w:rPr>
                      <w:rFonts w:hint="eastAsia"/>
                      <w:bCs/>
                      <w:color w:val="auto"/>
                      <w:sz w:val="21"/>
                      <w:lang w:val="en-US" w:eastAsia="zh-CN"/>
                    </w:rPr>
                    <w:t>0.9</w:t>
                  </w:r>
                  <w:r>
                    <w:rPr>
                      <w:bCs/>
                      <w:color w:val="auto"/>
                      <w:sz w:val="21"/>
                    </w:rPr>
                    <w:t>-1.2</w:t>
                  </w:r>
                </w:p>
              </w:tc>
              <w:tc>
                <w:tcPr>
                  <w:tcW w:w="714"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0.2</w:t>
                  </w:r>
                </w:p>
              </w:tc>
              <w:tc>
                <w:tcPr>
                  <w:tcW w:w="675" w:type="dxa"/>
                  <w:tcBorders>
                    <w:tl2br w:val="nil"/>
                    <w:tr2bl w:val="nil"/>
                  </w:tcBorders>
                  <w:vAlign w:val="center"/>
                </w:tcPr>
                <w:p>
                  <w:pPr>
                    <w:adjustRightInd w:val="0"/>
                    <w:snapToGrid w:val="0"/>
                    <w:spacing w:line="240" w:lineRule="auto"/>
                    <w:ind w:firstLine="0" w:firstLineChars="0"/>
                    <w:jc w:val="center"/>
                    <w:rPr>
                      <w:bCs/>
                      <w:color w:val="auto"/>
                      <w:sz w:val="21"/>
                    </w:rPr>
                  </w:pPr>
                  <w:r>
                    <w:rPr>
                      <w:bCs/>
                      <w:color w:val="auto"/>
                      <w:sz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057" w:type="dxa"/>
                  <w:gridSpan w:val="8"/>
                  <w:tcBorders>
                    <w:tl2br w:val="nil"/>
                    <w:tr2bl w:val="nil"/>
                  </w:tcBorders>
                  <w:vAlign w:val="center"/>
                </w:tcPr>
                <w:p>
                  <w:pPr>
                    <w:adjustRightInd w:val="0"/>
                    <w:snapToGrid w:val="0"/>
                    <w:spacing w:line="240" w:lineRule="auto"/>
                    <w:ind w:firstLine="0" w:firstLineChars="0"/>
                    <w:jc w:val="center"/>
                    <w:rPr>
                      <w:color w:val="auto"/>
                      <w:sz w:val="21"/>
                    </w:rPr>
                  </w:pPr>
                  <w:r>
                    <w:rPr>
                      <w:color w:val="auto"/>
                      <w:sz w:val="21"/>
                    </w:rPr>
                    <w:t>《地表水环境质量标准》（GB3838-2002）中的III类</w:t>
                  </w:r>
                </w:p>
              </w:tc>
            </w:tr>
          </w:tbl>
          <w:p>
            <w:pPr>
              <w:adjustRightInd w:val="0"/>
              <w:snapToGrid w:val="0"/>
              <w:ind w:firstLine="480"/>
              <w:jc w:val="both"/>
              <w:rPr>
                <w:snapToGrid w:val="0"/>
                <w:color w:val="auto"/>
                <w:kern w:val="0"/>
              </w:rPr>
            </w:pPr>
            <w:r>
              <w:rPr>
                <w:snapToGrid w:val="0"/>
                <w:color w:val="auto"/>
                <w:kern w:val="0"/>
              </w:rPr>
              <w:t>根据上表数据可知，本项目所在区域地表水（万子湖、资江分河）监测因子总磷（执行湖泊标准）超标，最大超标倍数为1.6倍；资江分河的石油类超标0.2倍，其余监测因子均符合《地表水环境质量标准》（GB3838-2002）中</w:t>
            </w:r>
            <w:r>
              <w:rPr>
                <w:rFonts w:hint="eastAsia" w:ascii="宋体" w:hAnsi="宋体" w:cs="宋体"/>
                <w:snapToGrid w:val="0"/>
                <w:color w:val="auto"/>
                <w:kern w:val="0"/>
              </w:rPr>
              <w:t>Ⅲ</w:t>
            </w:r>
            <w:r>
              <w:rPr>
                <w:snapToGrid w:val="0"/>
                <w:color w:val="auto"/>
                <w:kern w:val="0"/>
              </w:rPr>
              <w:t>类水质标准。万子湖总磷超标的原因是沿岸生活污水未经处理排至万子湖或万子湖湖底的底泥遭受扰动；资江分河河岸周边的生活污水排放和渔船的油品泄露，导致资江分河总磷和石油类超标。</w:t>
            </w:r>
          </w:p>
          <w:p>
            <w:pPr>
              <w:spacing w:line="500" w:lineRule="exact"/>
              <w:ind w:firstLine="482"/>
              <w:jc w:val="both"/>
              <w:rPr>
                <w:b/>
                <w:bCs/>
                <w:color w:val="auto"/>
              </w:rPr>
            </w:pPr>
            <w:r>
              <w:rPr>
                <w:rFonts w:hint="eastAsia"/>
                <w:b/>
                <w:bCs/>
                <w:color w:val="auto"/>
              </w:rPr>
              <w:t>3</w:t>
            </w:r>
            <w:r>
              <w:rPr>
                <w:b/>
                <w:bCs/>
                <w:color w:val="auto"/>
              </w:rPr>
              <w:t>、声环境</w:t>
            </w:r>
          </w:p>
          <w:p>
            <w:pPr>
              <w:spacing w:line="500" w:lineRule="exact"/>
              <w:ind w:firstLine="480"/>
              <w:jc w:val="both"/>
              <w:rPr>
                <w:color w:val="auto"/>
              </w:rPr>
            </w:pPr>
            <w:r>
              <w:rPr>
                <w:color w:val="auto"/>
              </w:rPr>
              <w:t>项目周围区域环境噪声昼间、夜间均不超标，均能满足《声环境质量标准》（GB3096-2008）</w:t>
            </w:r>
            <w:r>
              <w:rPr>
                <w:rFonts w:hint="eastAsia"/>
                <w:color w:val="auto"/>
              </w:rPr>
              <w:t>3</w:t>
            </w:r>
            <w:r>
              <w:rPr>
                <w:color w:val="auto"/>
              </w:rPr>
              <w:t>类标准的要求，声环境质量较好。</w:t>
            </w:r>
          </w:p>
          <w:p>
            <w:pPr>
              <w:spacing w:line="500" w:lineRule="exact"/>
              <w:ind w:firstLine="480"/>
              <w:jc w:val="both"/>
              <w:rPr>
                <w:color w:val="auto"/>
              </w:rPr>
            </w:pPr>
            <w:r>
              <w:rPr>
                <w:rFonts w:hint="eastAsia"/>
                <w:color w:val="auto"/>
              </w:rPr>
              <w:t>为了解项目所在区域声环境质量状况，本次评价委托湖南精科检测有限公司，于2020年7月21~22日，在项目所在</w:t>
            </w:r>
            <w:r>
              <w:rPr>
                <w:rFonts w:hint="eastAsia"/>
                <w:color w:val="auto"/>
                <w:lang w:eastAsia="zh-CN"/>
              </w:rPr>
              <w:t>厂界</w:t>
            </w:r>
            <w:r>
              <w:rPr>
                <w:rFonts w:hint="eastAsia"/>
                <w:color w:val="auto"/>
              </w:rPr>
              <w:t>东、南、西、北界各设置一个监测点，进行了现场监测昼、夜等效声级 Leq(A)，监测时间 2 天。监测结果见表下表：</w:t>
            </w: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b/>
                <w:snapToGrid w:val="0"/>
                <w:color w:val="auto"/>
                <w:kern w:val="0"/>
              </w:rPr>
            </w:pPr>
            <w:r>
              <w:rPr>
                <w:rFonts w:hint="eastAsia"/>
                <w:b/>
                <w:snapToGrid w:val="0"/>
                <w:color w:val="auto"/>
                <w:kern w:val="0"/>
              </w:rPr>
              <w:t>表3-4   噪声监测结果</w:t>
            </w:r>
          </w:p>
          <w:tbl>
            <w:tblPr>
              <w:tblStyle w:val="2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644"/>
              <w:gridCol w:w="2349"/>
              <w:gridCol w:w="1999"/>
              <w:gridCol w:w="20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668" w:type="dxa"/>
                  <w:vMerge w:val="restart"/>
                  <w:vAlign w:val="center"/>
                </w:tcPr>
                <w:p>
                  <w:pPr>
                    <w:pStyle w:val="13"/>
                    <w:adjustRightInd w:val="0"/>
                    <w:snapToGrid w:val="0"/>
                    <w:jc w:val="center"/>
                    <w:rPr>
                      <w:rFonts w:ascii="Times New Roman" w:hAnsi="Times New Roman" w:cs="Times New Roman"/>
                      <w:b/>
                      <w:color w:val="auto"/>
                    </w:rPr>
                  </w:pPr>
                  <w:r>
                    <w:rPr>
                      <w:rFonts w:ascii="Times New Roman" w:hAnsi="Times New Roman" w:cs="Times New Roman"/>
                      <w:b/>
                      <w:color w:val="auto"/>
                    </w:rPr>
                    <w:t>检测点位</w:t>
                  </w:r>
                </w:p>
              </w:tc>
              <w:tc>
                <w:tcPr>
                  <w:tcW w:w="2370" w:type="dxa"/>
                  <w:vMerge w:val="restart"/>
                  <w:vAlign w:val="center"/>
                </w:tcPr>
                <w:p>
                  <w:pPr>
                    <w:pStyle w:val="13"/>
                    <w:adjustRightInd w:val="0"/>
                    <w:snapToGrid w:val="0"/>
                    <w:jc w:val="center"/>
                    <w:rPr>
                      <w:rFonts w:ascii="Times New Roman" w:hAnsi="Times New Roman" w:cs="Times New Roman"/>
                      <w:b/>
                      <w:color w:val="auto"/>
                    </w:rPr>
                  </w:pPr>
                  <w:r>
                    <w:rPr>
                      <w:rFonts w:ascii="Times New Roman" w:hAnsi="Times New Roman" w:cs="Times New Roman"/>
                      <w:b/>
                      <w:color w:val="auto"/>
                    </w:rPr>
                    <w:t>检测日期</w:t>
                  </w:r>
                </w:p>
              </w:tc>
              <w:tc>
                <w:tcPr>
                  <w:tcW w:w="4033" w:type="dxa"/>
                  <w:gridSpan w:val="2"/>
                  <w:vAlign w:val="center"/>
                </w:tcPr>
                <w:p>
                  <w:pPr>
                    <w:pStyle w:val="13"/>
                    <w:adjustRightInd w:val="0"/>
                    <w:snapToGrid w:val="0"/>
                    <w:jc w:val="center"/>
                    <w:rPr>
                      <w:rFonts w:ascii="Times New Roman" w:hAnsi="Times New Roman" w:cs="Times New Roman"/>
                      <w:b/>
                      <w:color w:val="auto"/>
                    </w:rPr>
                  </w:pPr>
                  <w:r>
                    <w:rPr>
                      <w:rFonts w:ascii="Times New Roman" w:hAnsi="Times New Roman" w:cs="Times New Roman"/>
                      <w:b/>
                      <w:color w:val="auto"/>
                    </w:rPr>
                    <w:t>检测结果Leq[dB(A)]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668" w:type="dxa"/>
                  <w:vMerge w:val="continue"/>
                  <w:vAlign w:val="center"/>
                </w:tcPr>
                <w:p>
                  <w:pPr>
                    <w:pStyle w:val="13"/>
                    <w:adjustRightInd w:val="0"/>
                    <w:snapToGrid w:val="0"/>
                    <w:jc w:val="center"/>
                    <w:rPr>
                      <w:rFonts w:ascii="Times New Roman" w:hAnsi="Times New Roman" w:cs="Times New Roman"/>
                      <w:b/>
                      <w:color w:val="auto"/>
                    </w:rPr>
                  </w:pPr>
                </w:p>
              </w:tc>
              <w:tc>
                <w:tcPr>
                  <w:tcW w:w="2370" w:type="dxa"/>
                  <w:vMerge w:val="continue"/>
                  <w:vAlign w:val="center"/>
                </w:tcPr>
                <w:p>
                  <w:pPr>
                    <w:pStyle w:val="13"/>
                    <w:adjustRightInd w:val="0"/>
                    <w:snapToGrid w:val="0"/>
                    <w:jc w:val="center"/>
                    <w:rPr>
                      <w:rFonts w:ascii="Times New Roman" w:hAnsi="Times New Roman" w:cs="Times New Roman"/>
                      <w:b/>
                      <w:color w:val="auto"/>
                    </w:rPr>
                  </w:pPr>
                </w:p>
              </w:tc>
              <w:tc>
                <w:tcPr>
                  <w:tcW w:w="2016" w:type="dxa"/>
                  <w:vAlign w:val="center"/>
                </w:tcPr>
                <w:p>
                  <w:pPr>
                    <w:pStyle w:val="13"/>
                    <w:adjustRightInd w:val="0"/>
                    <w:snapToGrid w:val="0"/>
                    <w:jc w:val="center"/>
                    <w:rPr>
                      <w:rFonts w:ascii="Times New Roman" w:hAnsi="Times New Roman" w:cs="Times New Roman"/>
                      <w:b/>
                      <w:color w:val="auto"/>
                    </w:rPr>
                  </w:pPr>
                  <w:r>
                    <w:rPr>
                      <w:rFonts w:ascii="Times New Roman" w:hAnsi="Times New Roman" w:cs="Times New Roman"/>
                      <w:b/>
                      <w:color w:val="auto"/>
                    </w:rPr>
                    <w:t>昼间</w:t>
                  </w:r>
                </w:p>
              </w:tc>
              <w:tc>
                <w:tcPr>
                  <w:tcW w:w="2017" w:type="dxa"/>
                  <w:vAlign w:val="center"/>
                </w:tcPr>
                <w:p>
                  <w:pPr>
                    <w:pStyle w:val="13"/>
                    <w:adjustRightInd w:val="0"/>
                    <w:snapToGrid w:val="0"/>
                    <w:jc w:val="center"/>
                    <w:rPr>
                      <w:rFonts w:ascii="Times New Roman" w:hAnsi="Times New Roman" w:cs="Times New Roman"/>
                      <w:b/>
                      <w:color w:val="auto"/>
                    </w:rPr>
                  </w:pPr>
                  <w:r>
                    <w:rPr>
                      <w:rFonts w:hint="eastAsia" w:cs="Times New Roman"/>
                      <w:b/>
                      <w:color w:val="auto"/>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68" w:type="dxa"/>
                  <w:vMerge w:val="restart"/>
                  <w:vAlign w:val="center"/>
                </w:tcPr>
                <w:p>
                  <w:pPr>
                    <w:pStyle w:val="13"/>
                    <w:adjustRightInd w:val="0"/>
                    <w:snapToGrid w:val="0"/>
                    <w:jc w:val="center"/>
                    <w:rPr>
                      <w:rFonts w:ascii="Times New Roman" w:hAnsi="Times New Roman" w:cs="Times New Roman"/>
                      <w:color w:val="auto"/>
                    </w:rPr>
                  </w:pPr>
                  <w:r>
                    <w:rPr>
                      <w:rFonts w:ascii="Times New Roman" w:hAnsi="Times New Roman" w:cs="Times New Roman"/>
                      <w:color w:val="auto"/>
                    </w:rPr>
                    <w:t>N1</w:t>
                  </w:r>
                  <w:r>
                    <w:rPr>
                      <w:rFonts w:hint="eastAsia"/>
                      <w:color w:val="auto"/>
                    </w:rPr>
                    <w:t>东厂界外1米处</w:t>
                  </w:r>
                </w:p>
              </w:tc>
              <w:tc>
                <w:tcPr>
                  <w:tcW w:w="2370"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2020.7.21</w:t>
                  </w:r>
                </w:p>
              </w:tc>
              <w:tc>
                <w:tcPr>
                  <w:tcW w:w="2016"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55.8</w:t>
                  </w:r>
                </w:p>
              </w:tc>
              <w:tc>
                <w:tcPr>
                  <w:tcW w:w="2017"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43.5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68" w:type="dxa"/>
                  <w:vMerge w:val="continue"/>
                  <w:vAlign w:val="center"/>
                </w:tcPr>
                <w:p>
                  <w:pPr>
                    <w:pStyle w:val="13"/>
                    <w:adjustRightInd w:val="0"/>
                    <w:snapToGrid w:val="0"/>
                    <w:jc w:val="center"/>
                    <w:rPr>
                      <w:rFonts w:ascii="Times New Roman" w:hAnsi="Times New Roman" w:cs="Times New Roman"/>
                      <w:color w:val="auto"/>
                    </w:rPr>
                  </w:pPr>
                </w:p>
              </w:tc>
              <w:tc>
                <w:tcPr>
                  <w:tcW w:w="2370"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2020.7.22</w:t>
                  </w:r>
                </w:p>
              </w:tc>
              <w:tc>
                <w:tcPr>
                  <w:tcW w:w="2016"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55.2</w:t>
                  </w:r>
                </w:p>
              </w:tc>
              <w:tc>
                <w:tcPr>
                  <w:tcW w:w="2017"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45.0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68" w:type="dxa"/>
                  <w:vMerge w:val="restart"/>
                  <w:vAlign w:val="center"/>
                </w:tcPr>
                <w:p>
                  <w:pPr>
                    <w:pStyle w:val="13"/>
                    <w:adjustRightInd w:val="0"/>
                    <w:snapToGrid w:val="0"/>
                    <w:jc w:val="center"/>
                    <w:rPr>
                      <w:rFonts w:ascii="Times New Roman" w:hAnsi="Times New Roman" w:cs="Times New Roman"/>
                      <w:color w:val="auto"/>
                    </w:rPr>
                  </w:pPr>
                  <w:r>
                    <w:rPr>
                      <w:rFonts w:ascii="Times New Roman" w:hAnsi="Times New Roman" w:cs="Times New Roman"/>
                      <w:color w:val="auto"/>
                    </w:rPr>
                    <w:t>N2</w:t>
                  </w:r>
                  <w:r>
                    <w:rPr>
                      <w:rFonts w:hint="eastAsia"/>
                      <w:color w:val="auto"/>
                    </w:rPr>
                    <w:t>南厂界外1米处</w:t>
                  </w:r>
                </w:p>
              </w:tc>
              <w:tc>
                <w:tcPr>
                  <w:tcW w:w="2370"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2020.7.21</w:t>
                  </w:r>
                </w:p>
              </w:tc>
              <w:tc>
                <w:tcPr>
                  <w:tcW w:w="2016"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55.5</w:t>
                  </w:r>
                </w:p>
              </w:tc>
              <w:tc>
                <w:tcPr>
                  <w:tcW w:w="2017"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43.1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68" w:type="dxa"/>
                  <w:vMerge w:val="continue"/>
                  <w:vAlign w:val="center"/>
                </w:tcPr>
                <w:p>
                  <w:pPr>
                    <w:pStyle w:val="13"/>
                    <w:adjustRightInd w:val="0"/>
                    <w:snapToGrid w:val="0"/>
                    <w:jc w:val="center"/>
                    <w:rPr>
                      <w:rFonts w:ascii="Times New Roman" w:hAnsi="Times New Roman" w:cs="Times New Roman"/>
                      <w:color w:val="auto"/>
                    </w:rPr>
                  </w:pPr>
                </w:p>
              </w:tc>
              <w:tc>
                <w:tcPr>
                  <w:tcW w:w="2370"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2020.7.22</w:t>
                  </w:r>
                </w:p>
              </w:tc>
              <w:tc>
                <w:tcPr>
                  <w:tcW w:w="2016"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56.0</w:t>
                  </w:r>
                </w:p>
              </w:tc>
              <w:tc>
                <w:tcPr>
                  <w:tcW w:w="2017"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44.6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68" w:type="dxa"/>
                  <w:vMerge w:val="restart"/>
                  <w:vAlign w:val="center"/>
                </w:tcPr>
                <w:p>
                  <w:pPr>
                    <w:pStyle w:val="13"/>
                    <w:adjustRightInd w:val="0"/>
                    <w:snapToGrid w:val="0"/>
                    <w:jc w:val="center"/>
                    <w:rPr>
                      <w:rFonts w:ascii="Times New Roman" w:hAnsi="Times New Roman" w:cs="Times New Roman"/>
                      <w:color w:val="auto"/>
                    </w:rPr>
                  </w:pPr>
                  <w:r>
                    <w:rPr>
                      <w:rFonts w:ascii="Times New Roman" w:hAnsi="Times New Roman" w:cs="Times New Roman"/>
                      <w:color w:val="auto"/>
                    </w:rPr>
                    <w:t>N3</w:t>
                  </w:r>
                  <w:r>
                    <w:rPr>
                      <w:rFonts w:hint="eastAsia"/>
                      <w:color w:val="auto"/>
                    </w:rPr>
                    <w:t>西厂界外1米处</w:t>
                  </w:r>
                </w:p>
              </w:tc>
              <w:tc>
                <w:tcPr>
                  <w:tcW w:w="2370"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2020.7.21</w:t>
                  </w:r>
                </w:p>
              </w:tc>
              <w:tc>
                <w:tcPr>
                  <w:tcW w:w="2016"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55.3</w:t>
                  </w:r>
                </w:p>
              </w:tc>
              <w:tc>
                <w:tcPr>
                  <w:tcW w:w="2017"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43.6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68" w:type="dxa"/>
                  <w:vMerge w:val="continue"/>
                  <w:vAlign w:val="center"/>
                </w:tcPr>
                <w:p>
                  <w:pPr>
                    <w:pStyle w:val="13"/>
                    <w:adjustRightInd w:val="0"/>
                    <w:snapToGrid w:val="0"/>
                    <w:jc w:val="center"/>
                    <w:rPr>
                      <w:rFonts w:ascii="Times New Roman" w:hAnsi="Times New Roman" w:cs="Times New Roman"/>
                      <w:color w:val="auto"/>
                    </w:rPr>
                  </w:pPr>
                </w:p>
              </w:tc>
              <w:tc>
                <w:tcPr>
                  <w:tcW w:w="2370"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2020.7.22</w:t>
                  </w:r>
                </w:p>
              </w:tc>
              <w:tc>
                <w:tcPr>
                  <w:tcW w:w="2016"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54.7</w:t>
                  </w:r>
                </w:p>
              </w:tc>
              <w:tc>
                <w:tcPr>
                  <w:tcW w:w="2017"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43.9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68" w:type="dxa"/>
                  <w:vMerge w:val="restart"/>
                  <w:vAlign w:val="center"/>
                </w:tcPr>
                <w:p>
                  <w:pPr>
                    <w:pStyle w:val="13"/>
                    <w:adjustRightInd w:val="0"/>
                    <w:snapToGrid w:val="0"/>
                    <w:jc w:val="center"/>
                    <w:rPr>
                      <w:rFonts w:ascii="Times New Roman" w:hAnsi="Times New Roman" w:cs="Times New Roman"/>
                      <w:color w:val="auto"/>
                    </w:rPr>
                  </w:pPr>
                  <w:r>
                    <w:rPr>
                      <w:rFonts w:ascii="Times New Roman" w:hAnsi="Times New Roman" w:cs="Times New Roman"/>
                      <w:color w:val="auto"/>
                    </w:rPr>
                    <w:t>N4</w:t>
                  </w:r>
                  <w:r>
                    <w:rPr>
                      <w:rFonts w:hint="eastAsia"/>
                      <w:color w:val="auto"/>
                    </w:rPr>
                    <w:t>北厂界外1米处</w:t>
                  </w:r>
                </w:p>
              </w:tc>
              <w:tc>
                <w:tcPr>
                  <w:tcW w:w="2370"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2020.7.21</w:t>
                  </w:r>
                </w:p>
              </w:tc>
              <w:tc>
                <w:tcPr>
                  <w:tcW w:w="2016"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55.9</w:t>
                  </w:r>
                </w:p>
              </w:tc>
              <w:tc>
                <w:tcPr>
                  <w:tcW w:w="2017"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44.1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68" w:type="dxa"/>
                  <w:vMerge w:val="continue"/>
                  <w:vAlign w:val="center"/>
                </w:tcPr>
                <w:p>
                  <w:pPr>
                    <w:pStyle w:val="13"/>
                    <w:adjustRightInd w:val="0"/>
                    <w:snapToGrid w:val="0"/>
                    <w:jc w:val="center"/>
                    <w:rPr>
                      <w:rFonts w:ascii="Times New Roman" w:hAnsi="Times New Roman" w:cs="Times New Roman"/>
                      <w:color w:val="auto"/>
                    </w:rPr>
                  </w:pPr>
                </w:p>
              </w:tc>
              <w:tc>
                <w:tcPr>
                  <w:tcW w:w="2370"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2020.7.22</w:t>
                  </w:r>
                </w:p>
              </w:tc>
              <w:tc>
                <w:tcPr>
                  <w:tcW w:w="2016"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56.2</w:t>
                  </w:r>
                </w:p>
              </w:tc>
              <w:tc>
                <w:tcPr>
                  <w:tcW w:w="2017" w:type="dxa"/>
                  <w:vAlign w:val="center"/>
                </w:tcPr>
                <w:p>
                  <w:pPr>
                    <w:widowControl/>
                    <w:adjustRightInd w:val="0"/>
                    <w:snapToGrid w:val="0"/>
                    <w:spacing w:line="240" w:lineRule="auto"/>
                    <w:ind w:firstLine="0" w:firstLineChars="0"/>
                    <w:jc w:val="center"/>
                    <w:textAlignment w:val="center"/>
                    <w:rPr>
                      <w:color w:val="auto"/>
                      <w:spacing w:val="-5"/>
                      <w:sz w:val="21"/>
                      <w:szCs w:val="21"/>
                    </w:rPr>
                  </w:pPr>
                  <w:r>
                    <w:rPr>
                      <w:color w:val="auto"/>
                      <w:spacing w:val="-5"/>
                      <w:kern w:val="0"/>
                      <w:sz w:val="21"/>
                      <w:szCs w:val="21"/>
                    </w:rPr>
                    <w:t>44.2</w:t>
                  </w:r>
                </w:p>
              </w:tc>
            </w:tr>
          </w:tbl>
          <w:p>
            <w:pPr>
              <w:spacing w:line="500" w:lineRule="exact"/>
              <w:ind w:firstLine="480"/>
              <w:jc w:val="both"/>
              <w:rPr>
                <w:color w:val="auto"/>
              </w:rPr>
            </w:pPr>
            <w:r>
              <w:rPr>
                <w:rFonts w:hint="eastAsia"/>
                <w:color w:val="auto"/>
              </w:rPr>
              <w:t>监测结果表明，项目所在地四周声环境现状符合《声环境质量标准》（GB 3096-2008） 中的3类标准，项目区域声环境总体质量较好。</w:t>
            </w:r>
          </w:p>
          <w:p>
            <w:pPr>
              <w:spacing w:line="500" w:lineRule="exact"/>
              <w:ind w:firstLine="482"/>
              <w:jc w:val="both"/>
              <w:rPr>
                <w:b/>
                <w:bCs/>
                <w:color w:val="auto"/>
              </w:rPr>
            </w:pPr>
            <w:r>
              <w:rPr>
                <w:rFonts w:hint="eastAsia"/>
                <w:b/>
                <w:bCs/>
                <w:color w:val="auto"/>
              </w:rPr>
              <w:t>4、地下水环境质量现状调查</w:t>
            </w:r>
          </w:p>
          <w:p>
            <w:pPr>
              <w:spacing w:line="500" w:lineRule="exact"/>
              <w:ind w:firstLine="480"/>
              <w:jc w:val="both"/>
              <w:rPr>
                <w:bCs/>
                <w:color w:val="auto"/>
              </w:rPr>
            </w:pPr>
            <w:r>
              <w:rPr>
                <w:rFonts w:hint="eastAsia"/>
                <w:bCs/>
                <w:color w:val="auto"/>
              </w:rPr>
              <w:t>为了解本项目区域地下水环境质量现状，本项目收集了《沅江市沅南成品油有限责任公司三眼塘中心加油站建设项目》地下水监测数据，其监测于2018年10月10日-12日委托湖南格林城院环境检测咨询有限公司进行。本项目位于三眼塘加油站东约1.1km，属于同一地下水。监测因子为 pH、高锰酸盐指数、氨氮、硝酸盐、硫酸盐、氯化物、总大肠菌群，监测内容如下：</w:t>
            </w: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rFonts w:hint="eastAsia"/>
                <w:b/>
                <w:snapToGrid w:val="0"/>
                <w:color w:val="auto"/>
                <w:kern w:val="0"/>
              </w:rPr>
            </w:pPr>
          </w:p>
          <w:p>
            <w:pPr>
              <w:adjustRightInd w:val="0"/>
              <w:snapToGrid w:val="0"/>
              <w:spacing w:line="240" w:lineRule="auto"/>
              <w:ind w:firstLine="482"/>
              <w:jc w:val="center"/>
              <w:rPr>
                <w:b/>
                <w:snapToGrid w:val="0"/>
                <w:color w:val="auto"/>
                <w:kern w:val="0"/>
              </w:rPr>
            </w:pPr>
            <w:r>
              <w:rPr>
                <w:rFonts w:hint="eastAsia"/>
                <w:b/>
                <w:snapToGrid w:val="0"/>
                <w:color w:val="auto"/>
                <w:kern w:val="0"/>
              </w:rPr>
              <w:t xml:space="preserve">表3-5  </w:t>
            </w:r>
            <w:r>
              <w:rPr>
                <w:rFonts w:hint="eastAsia"/>
                <w:b/>
                <w:snapToGrid w:val="0"/>
                <w:color w:val="auto"/>
                <w:kern w:val="0"/>
                <w:lang w:val="en-US" w:eastAsia="zh-CN"/>
              </w:rPr>
              <w:t xml:space="preserve"> </w:t>
            </w:r>
            <w:r>
              <w:rPr>
                <w:rFonts w:hint="eastAsia"/>
                <w:b/>
                <w:snapToGrid w:val="0"/>
                <w:color w:val="auto"/>
                <w:kern w:val="0"/>
              </w:rPr>
              <w:t>地下水监测结果一览表</w:t>
            </w:r>
          </w:p>
          <w:tbl>
            <w:tblPr>
              <w:tblStyle w:val="25"/>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8"/>
              <w:gridCol w:w="2202"/>
              <w:gridCol w:w="1499"/>
              <w:gridCol w:w="1469"/>
              <w:gridCol w:w="1445"/>
              <w:gridCol w:w="14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restart"/>
                  <w:vAlign w:val="center"/>
                </w:tcPr>
                <w:p>
                  <w:pPr>
                    <w:pStyle w:val="64"/>
                    <w:kinsoku w:val="0"/>
                    <w:overflowPunct w:val="0"/>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监测项目</w:t>
                  </w:r>
                </w:p>
              </w:tc>
              <w:tc>
                <w:tcPr>
                  <w:tcW w:w="7732" w:type="dxa"/>
                  <w:vMerge w:val="restart"/>
                  <w:vAlign w:val="center"/>
                </w:tcPr>
                <w:p>
                  <w:pPr>
                    <w:pStyle w:val="64"/>
                    <w:kinsoku w:val="0"/>
                    <w:overflowPunct w:val="0"/>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监测日期</w:t>
                  </w:r>
                </w:p>
              </w:tc>
              <w:tc>
                <w:tcPr>
                  <w:tcW w:w="10382" w:type="dxa"/>
                  <w:gridSpan w:val="2"/>
                  <w:vAlign w:val="center"/>
                </w:tcPr>
                <w:p>
                  <w:pPr>
                    <w:pStyle w:val="64"/>
                    <w:kinsoku w:val="0"/>
                    <w:overflowPunct w:val="0"/>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监测结果</w:t>
                  </w:r>
                </w:p>
              </w:tc>
              <w:tc>
                <w:tcPr>
                  <w:tcW w:w="5051" w:type="dxa"/>
                  <w:vMerge w:val="restart"/>
                  <w:vAlign w:val="center"/>
                </w:tcPr>
                <w:p>
                  <w:pPr>
                    <w:pStyle w:val="64"/>
                    <w:kinsoku w:val="0"/>
                    <w:overflowPunct w:val="0"/>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标准值</w:t>
                  </w:r>
                </w:p>
              </w:tc>
              <w:tc>
                <w:tcPr>
                  <w:tcW w:w="5138" w:type="dxa"/>
                  <w:vMerge w:val="restart"/>
                  <w:vAlign w:val="center"/>
                </w:tcPr>
                <w:p>
                  <w:pPr>
                    <w:pStyle w:val="64"/>
                    <w:kinsoku w:val="0"/>
                    <w:overflowPunct w:val="0"/>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评价结果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Merge w:val="continue"/>
                  <w:vAlign w:val="center"/>
                </w:tcPr>
                <w:p>
                  <w:pPr>
                    <w:adjustRightInd w:val="0"/>
                    <w:snapToGrid w:val="0"/>
                    <w:spacing w:line="240" w:lineRule="auto"/>
                    <w:ind w:firstLine="0" w:firstLineChars="0"/>
                    <w:jc w:val="center"/>
                    <w:rPr>
                      <w:b/>
                      <w:bCs/>
                      <w:color w:val="auto"/>
                      <w:sz w:val="21"/>
                      <w:szCs w:val="21"/>
                    </w:rPr>
                  </w:pPr>
                </w:p>
              </w:tc>
              <w:tc>
                <w:tcPr>
                  <w:tcW w:w="5244" w:type="dxa"/>
                  <w:vAlign w:val="center"/>
                </w:tcPr>
                <w:p>
                  <w:pPr>
                    <w:pStyle w:val="64"/>
                    <w:kinsoku w:val="0"/>
                    <w:overflowPunct w:val="0"/>
                    <w:adjustRightInd w:val="0"/>
                    <w:snapToGrid w:val="0"/>
                    <w:jc w:val="center"/>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三眼塘中心加油站北侧150m水井</w:t>
                  </w:r>
                </w:p>
              </w:tc>
              <w:tc>
                <w:tcPr>
                  <w:tcW w:w="5138" w:type="dxa"/>
                  <w:vAlign w:val="center"/>
                </w:tcPr>
                <w:p>
                  <w:pPr>
                    <w:pStyle w:val="64"/>
                    <w:kinsoku w:val="0"/>
                    <w:overflowPunct w:val="0"/>
                    <w:adjustRightInd w:val="0"/>
                    <w:snapToGrid w:val="0"/>
                    <w:jc w:val="center"/>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三眼塘中心加油站南侧250m水井</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P</w:t>
                  </w: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2018.10.10</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6.83</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7.27</w:t>
                  </w:r>
                </w:p>
              </w:tc>
              <w:tc>
                <w:tcPr>
                  <w:tcW w:w="5051"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6.5~8.5</w:t>
                  </w:r>
                </w:p>
              </w:tc>
              <w:tc>
                <w:tcPr>
                  <w:tcW w:w="5138"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2018.10.11</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6.85</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7.25</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2018.10.12</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6.85</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7.23</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氨氮</w:t>
                  </w: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2018.10.10</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0.025</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0.163</w:t>
                  </w:r>
                </w:p>
              </w:tc>
              <w:tc>
                <w:tcPr>
                  <w:tcW w:w="5051"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0.5</w:t>
                  </w:r>
                </w:p>
              </w:tc>
              <w:tc>
                <w:tcPr>
                  <w:tcW w:w="5138"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2018.10.11</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0.025</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0.158</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2018.10.12</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0.025</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0.152</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高锰酸盐指数</w:t>
                  </w: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2018.10.10</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0.9</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2.3</w:t>
                  </w:r>
                </w:p>
              </w:tc>
              <w:tc>
                <w:tcPr>
                  <w:tcW w:w="5051"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3.0</w:t>
                  </w:r>
                </w:p>
              </w:tc>
              <w:tc>
                <w:tcPr>
                  <w:tcW w:w="5138"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2018.10.11</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0.7</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2.1</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2018.10.12</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0.9</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2.1</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硝酸盐</w:t>
                  </w: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2018.10.10</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2.47</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2.95</w:t>
                  </w:r>
                </w:p>
              </w:tc>
              <w:tc>
                <w:tcPr>
                  <w:tcW w:w="5051"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w:t>
                  </w:r>
                </w:p>
              </w:tc>
              <w:tc>
                <w:tcPr>
                  <w:tcW w:w="5138"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2018.10.11</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2.43</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3.29</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2018.10.12</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2.45</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3.04</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硫酸</w:t>
                  </w: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2018.10.10</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32</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42</w:t>
                  </w:r>
                </w:p>
              </w:tc>
              <w:tc>
                <w:tcPr>
                  <w:tcW w:w="5051"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250</w:t>
                  </w:r>
                </w:p>
              </w:tc>
              <w:tc>
                <w:tcPr>
                  <w:tcW w:w="5138"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2018.10.11</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31</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40</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adjustRightInd w:val="0"/>
                    <w:snapToGrid w:val="0"/>
                    <w:spacing w:line="240" w:lineRule="auto"/>
                    <w:ind w:firstLine="0" w:firstLineChars="0"/>
                    <w:jc w:val="center"/>
                    <w:rPr>
                      <w:b/>
                      <w:bCs/>
                      <w:color w:val="auto"/>
                      <w:sz w:val="21"/>
                      <w:szCs w:val="21"/>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2018.10.12</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30</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43</w:t>
                  </w:r>
                </w:p>
              </w:tc>
              <w:tc>
                <w:tcPr>
                  <w:tcW w:w="5051" w:type="dxa"/>
                  <w:vMerge w:val="continue"/>
                  <w:vAlign w:val="center"/>
                </w:tcPr>
                <w:p>
                  <w:pPr>
                    <w:adjustRightInd w:val="0"/>
                    <w:snapToGrid w:val="0"/>
                    <w:spacing w:line="240" w:lineRule="auto"/>
                    <w:ind w:firstLine="0" w:firstLineChars="0"/>
                    <w:jc w:val="center"/>
                    <w:rPr>
                      <w:b/>
                      <w:bCs/>
                      <w:color w:val="auto"/>
                      <w:sz w:val="21"/>
                      <w:szCs w:val="21"/>
                    </w:rPr>
                  </w:pPr>
                </w:p>
              </w:tc>
              <w:tc>
                <w:tcPr>
                  <w:tcW w:w="5138" w:type="dxa"/>
                  <w:vMerge w:val="continue"/>
                  <w:vAlign w:val="center"/>
                </w:tcPr>
                <w:p>
                  <w:pPr>
                    <w:adjustRightInd w:val="0"/>
                    <w:snapToGrid w:val="0"/>
                    <w:spacing w:line="240" w:lineRule="auto"/>
                    <w:ind w:firstLine="0" w:firstLineChars="0"/>
                    <w:jc w:val="center"/>
                    <w:rPr>
                      <w:b/>
                      <w:bCs/>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氯化物</w:t>
                  </w: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2018.10.10</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10L</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23</w:t>
                  </w:r>
                </w:p>
              </w:tc>
              <w:tc>
                <w:tcPr>
                  <w:tcW w:w="5051"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250</w:t>
                  </w:r>
                </w:p>
              </w:tc>
              <w:tc>
                <w:tcPr>
                  <w:tcW w:w="5138"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2018.10.11</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10L</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25</w:t>
                  </w:r>
                </w:p>
              </w:tc>
              <w:tc>
                <w:tcPr>
                  <w:tcW w:w="5051"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c>
                <w:tcPr>
                  <w:tcW w:w="5138"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2018.10.12</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10L</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w:t>
                  </w:r>
                </w:p>
              </w:tc>
              <w:tc>
                <w:tcPr>
                  <w:tcW w:w="5051"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c>
                <w:tcPr>
                  <w:tcW w:w="5138"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总大肠菌群</w:t>
                  </w: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2018.10.10</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w:t>
                  </w:r>
                </w:p>
              </w:tc>
              <w:tc>
                <w:tcPr>
                  <w:tcW w:w="5051"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w:t>
                  </w:r>
                </w:p>
              </w:tc>
              <w:tc>
                <w:tcPr>
                  <w:tcW w:w="5138" w:type="dxa"/>
                  <w:vMerge w:val="restart"/>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2018.10.11</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w:t>
                  </w:r>
                </w:p>
              </w:tc>
              <w:tc>
                <w:tcPr>
                  <w:tcW w:w="5051"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c>
                <w:tcPr>
                  <w:tcW w:w="5138"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50"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c>
                <w:tcPr>
                  <w:tcW w:w="7732"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2018.10.12</w:t>
                  </w:r>
                </w:p>
              </w:tc>
              <w:tc>
                <w:tcPr>
                  <w:tcW w:w="5244"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w:t>
                  </w:r>
                </w:p>
              </w:tc>
              <w:tc>
                <w:tcPr>
                  <w:tcW w:w="5138" w:type="dxa"/>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＜3</w:t>
                  </w:r>
                </w:p>
              </w:tc>
              <w:tc>
                <w:tcPr>
                  <w:tcW w:w="5051"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c>
                <w:tcPr>
                  <w:tcW w:w="5138" w:type="dxa"/>
                  <w:vMerge w:val="continue"/>
                  <w:vAlign w:val="center"/>
                </w:tcPr>
                <w:p>
                  <w:pPr>
                    <w:pStyle w:val="64"/>
                    <w:kinsoku w:val="0"/>
                    <w:overflowPunct w:val="0"/>
                    <w:adjustRightInd w:val="0"/>
                    <w:snapToGrid w:val="0"/>
                    <w:jc w:val="center"/>
                    <w:rPr>
                      <w:rFonts w:ascii="Times New Roman" w:hAnsi="Times New Roman" w:cs="Times New Roman"/>
                      <w:color w:val="auto"/>
                      <w:sz w:val="21"/>
                      <w:szCs w:val="21"/>
                      <w:lang w:eastAsia="zh-CN"/>
                    </w:rPr>
                  </w:pPr>
                </w:p>
              </w:tc>
            </w:tr>
          </w:tbl>
          <w:p>
            <w:pPr>
              <w:spacing w:line="500" w:lineRule="exact"/>
              <w:ind w:firstLine="470" w:firstLineChars="196"/>
              <w:jc w:val="both"/>
              <w:rPr>
                <w:bCs/>
                <w:color w:val="auto"/>
              </w:rPr>
            </w:pPr>
            <w:r>
              <w:rPr>
                <w:rFonts w:hint="eastAsia"/>
                <w:bCs/>
                <w:color w:val="auto"/>
              </w:rPr>
              <w:t>上表中可知，项目所在区域地下水监测因子均能满足《地下水质量标准》（GB/T14848—2017）Ⅲ类标准，项目所在区域地下水水质状况良好。</w:t>
            </w:r>
          </w:p>
          <w:p>
            <w:pPr>
              <w:ind w:firstLine="482"/>
              <w:jc w:val="both"/>
              <w:rPr>
                <w:b/>
                <w:color w:val="auto"/>
                <w:u w:val="single"/>
              </w:rPr>
            </w:pPr>
            <w:r>
              <w:rPr>
                <w:rFonts w:hint="eastAsia"/>
                <w:b/>
                <w:color w:val="auto"/>
                <w:u w:val="single"/>
              </w:rPr>
              <w:t>6、土壤环境</w:t>
            </w:r>
          </w:p>
          <w:p>
            <w:pPr>
              <w:ind w:firstLine="480"/>
              <w:jc w:val="both"/>
              <w:rPr>
                <w:color w:val="auto"/>
              </w:rPr>
            </w:pPr>
            <w:r>
              <w:rPr>
                <w:rFonts w:hint="eastAsia"/>
                <w:color w:val="auto"/>
                <w:u w:val="single"/>
              </w:rPr>
              <w:t>项目为</w:t>
            </w:r>
            <w:r>
              <w:rPr>
                <w:rFonts w:hint="eastAsia"/>
                <w:bCs/>
                <w:color w:val="auto"/>
                <w:u w:val="single"/>
              </w:rPr>
              <w:t>C2319包装装潢及其他印刷</w:t>
            </w:r>
            <w:r>
              <w:rPr>
                <w:rFonts w:hint="eastAsia"/>
                <w:color w:val="auto"/>
                <w:u w:val="single"/>
              </w:rPr>
              <w:t>，对照《环境影响评价技术导则-土壤环境》（HJ964-2018）中附录A土壤环境影响评价项目类别，该项目所属行业类别“其他行业”中的“全部”，为Ⅳ类项目，可不开展土壤环境影响评价。</w:t>
            </w:r>
          </w:p>
          <w:p>
            <w:pPr>
              <w:pStyle w:val="14"/>
              <w:spacing w:line="360" w:lineRule="auto"/>
              <w:ind w:left="0" w:leftChars="0" w:firstLine="241" w:firstLineChars="100"/>
              <w:rPr>
                <w:rFonts w:hAnsi="宋体"/>
                <w:b/>
                <w:color w:val="auto"/>
                <w:sz w:val="24"/>
                <w:szCs w:val="24"/>
              </w:rPr>
            </w:pPr>
            <w:r>
              <w:rPr>
                <w:rFonts w:hint="eastAsia" w:hAnsi="宋体"/>
                <w:b/>
                <w:color w:val="auto"/>
                <w:sz w:val="24"/>
                <w:szCs w:val="24"/>
              </w:rPr>
              <w:t>7、</w:t>
            </w:r>
            <w:r>
              <w:rPr>
                <w:rFonts w:hAnsi="宋体"/>
                <w:b/>
                <w:color w:val="auto"/>
                <w:sz w:val="24"/>
                <w:szCs w:val="24"/>
              </w:rPr>
              <w:t>主要环境保护目标（列出名单及保护级别）</w:t>
            </w:r>
          </w:p>
          <w:p>
            <w:pPr>
              <w:ind w:firstLine="480"/>
              <w:jc w:val="both"/>
              <w:rPr>
                <w:color w:val="auto"/>
              </w:rPr>
            </w:pPr>
            <w:r>
              <w:rPr>
                <w:rFonts w:hAnsi="宋体"/>
                <w:color w:val="auto"/>
              </w:rPr>
              <w:t>环境空气：主要保护目标为项目周围村庄的居民、企事业单位职工，执行《环境空气质量标准》（</w:t>
            </w:r>
            <w:r>
              <w:rPr>
                <w:color w:val="auto"/>
              </w:rPr>
              <w:t>GB3095-</w:t>
            </w:r>
            <w:r>
              <w:rPr>
                <w:rFonts w:hint="eastAsia"/>
                <w:color w:val="auto"/>
              </w:rPr>
              <w:t>2012</w:t>
            </w:r>
            <w:r>
              <w:rPr>
                <w:rFonts w:hAnsi="宋体"/>
                <w:color w:val="auto"/>
              </w:rPr>
              <w:t>）</w:t>
            </w:r>
            <w:r>
              <w:rPr>
                <w:rFonts w:hint="eastAsia" w:hAnsi="宋体"/>
                <w:color w:val="auto"/>
              </w:rPr>
              <w:t>及修改单</w:t>
            </w:r>
            <w:r>
              <w:rPr>
                <w:rFonts w:hAnsi="宋体"/>
                <w:color w:val="auto"/>
              </w:rPr>
              <w:t>中的二级标准。</w:t>
            </w:r>
          </w:p>
          <w:p>
            <w:pPr>
              <w:ind w:firstLine="480"/>
              <w:jc w:val="both"/>
              <w:rPr>
                <w:color w:val="auto"/>
              </w:rPr>
            </w:pPr>
            <w:r>
              <w:rPr>
                <w:rFonts w:hAnsi="宋体"/>
                <w:color w:val="auto"/>
              </w:rPr>
              <w:t>地下水：主要保护项目区周围</w:t>
            </w:r>
            <w:r>
              <w:rPr>
                <w:color w:val="auto"/>
              </w:rPr>
              <w:t>2km</w:t>
            </w:r>
            <w:r>
              <w:rPr>
                <w:rFonts w:hAnsi="宋体"/>
                <w:color w:val="auto"/>
              </w:rPr>
              <w:t>范围内浅层地下水，</w:t>
            </w:r>
            <w:r>
              <w:rPr>
                <w:rFonts w:hint="eastAsia" w:hAnsi="宋体"/>
                <w:color w:val="auto"/>
              </w:rPr>
              <w:t>执行《地下水质量标准》（GB/T14848-2017）中的Ⅲ类</w:t>
            </w:r>
            <w:r>
              <w:rPr>
                <w:rFonts w:hAnsi="宋体"/>
                <w:color w:val="auto"/>
              </w:rPr>
              <w:t>标准。</w:t>
            </w:r>
          </w:p>
          <w:p>
            <w:pPr>
              <w:ind w:firstLine="480"/>
              <w:jc w:val="both"/>
              <w:rPr>
                <w:color w:val="auto"/>
              </w:rPr>
            </w:pPr>
            <w:r>
              <w:rPr>
                <w:rFonts w:hAnsi="宋体"/>
                <w:color w:val="auto"/>
              </w:rPr>
              <w:t>声环境：主要保护目标为项目周围</w:t>
            </w:r>
            <w:r>
              <w:rPr>
                <w:rFonts w:hint="eastAsia"/>
                <w:color w:val="auto"/>
              </w:rPr>
              <w:t>评价</w:t>
            </w:r>
            <w:r>
              <w:rPr>
                <w:rFonts w:hAnsi="宋体"/>
                <w:color w:val="auto"/>
              </w:rPr>
              <w:t>范围内村庄的居民、企事业单位职工，执行《声环境质量标准》</w:t>
            </w:r>
            <w:r>
              <w:rPr>
                <w:color w:val="auto"/>
              </w:rPr>
              <w:t>(GB3096-2008)</w:t>
            </w:r>
            <w:r>
              <w:rPr>
                <w:rFonts w:hAnsi="宋体"/>
                <w:color w:val="auto"/>
              </w:rPr>
              <w:t>中的</w:t>
            </w:r>
            <w:r>
              <w:rPr>
                <w:rFonts w:hint="eastAsia"/>
                <w:color w:val="auto"/>
                <w:lang w:val="en-US" w:eastAsia="zh-CN"/>
              </w:rPr>
              <w:t>2</w:t>
            </w:r>
            <w:r>
              <w:rPr>
                <w:rFonts w:hAnsi="宋体"/>
                <w:color w:val="auto"/>
              </w:rPr>
              <w:t>类标准</w:t>
            </w:r>
            <w:r>
              <w:rPr>
                <w:rFonts w:hint="eastAsia" w:hAnsi="宋体"/>
                <w:color w:val="auto"/>
                <w:lang w:eastAsia="zh-CN"/>
              </w:rPr>
              <w:t>，厂界噪声执行</w:t>
            </w:r>
            <w:r>
              <w:rPr>
                <w:rFonts w:hAnsi="宋体"/>
                <w:color w:val="auto"/>
              </w:rPr>
              <w:t>声环境质量标准》</w:t>
            </w:r>
            <w:r>
              <w:rPr>
                <w:color w:val="auto"/>
              </w:rPr>
              <w:t>(GB3096-2008)</w:t>
            </w:r>
            <w:r>
              <w:rPr>
                <w:rFonts w:hAnsi="宋体"/>
                <w:color w:val="auto"/>
              </w:rPr>
              <w:t>中的</w:t>
            </w:r>
            <w:r>
              <w:rPr>
                <w:rFonts w:hint="eastAsia"/>
                <w:color w:val="auto"/>
                <w:lang w:val="en-US" w:eastAsia="zh-CN"/>
              </w:rPr>
              <w:t>3</w:t>
            </w:r>
            <w:r>
              <w:rPr>
                <w:rFonts w:hAnsi="宋体"/>
                <w:color w:val="auto"/>
              </w:rPr>
              <w:t>类标准。</w:t>
            </w:r>
          </w:p>
          <w:p>
            <w:pPr>
              <w:ind w:firstLine="480"/>
              <w:jc w:val="both"/>
              <w:rPr>
                <w:b/>
                <w:bCs/>
                <w:color w:val="auto"/>
                <w:kern w:val="28"/>
                <w:szCs w:val="32"/>
              </w:rPr>
            </w:pPr>
            <w:r>
              <w:rPr>
                <w:rFonts w:hAnsi="宋体"/>
                <w:color w:val="auto"/>
              </w:rPr>
              <w:t>项目所在地周围无名胜古迹、自然保护区和风景名胜区。</w:t>
            </w:r>
            <w:r>
              <w:rPr>
                <w:rFonts w:hint="eastAsia"/>
                <w:bCs/>
                <w:color w:val="auto"/>
              </w:rPr>
              <w:t>主要环境保护目表3-6。</w:t>
            </w:r>
          </w:p>
          <w:p>
            <w:pPr>
              <w:ind w:firstLine="0" w:firstLineChars="0"/>
              <w:jc w:val="center"/>
              <w:rPr>
                <w:b/>
                <w:bCs/>
                <w:color w:val="auto"/>
                <w:kern w:val="28"/>
                <w:szCs w:val="32"/>
              </w:rPr>
            </w:pPr>
            <w:r>
              <w:rPr>
                <w:b/>
                <w:bCs/>
                <w:color w:val="auto"/>
                <w:kern w:val="28"/>
                <w:szCs w:val="32"/>
              </w:rPr>
              <w:t>表</w:t>
            </w:r>
            <w:r>
              <w:rPr>
                <w:rFonts w:hint="eastAsia"/>
                <w:b/>
                <w:bCs/>
                <w:color w:val="auto"/>
                <w:kern w:val="28"/>
                <w:szCs w:val="32"/>
              </w:rPr>
              <w:t xml:space="preserve">3-6   </w:t>
            </w:r>
            <w:r>
              <w:rPr>
                <w:b/>
                <w:bCs/>
                <w:color w:val="auto"/>
                <w:kern w:val="28"/>
                <w:szCs w:val="32"/>
              </w:rPr>
              <w:t>项目</w:t>
            </w:r>
            <w:r>
              <w:rPr>
                <w:rFonts w:hint="eastAsia"/>
                <w:b/>
                <w:bCs/>
                <w:color w:val="auto"/>
                <w:kern w:val="28"/>
                <w:szCs w:val="32"/>
              </w:rPr>
              <w:t>周边环境保护目标</w:t>
            </w:r>
            <w:r>
              <w:rPr>
                <w:b/>
                <w:bCs/>
                <w:color w:val="auto"/>
                <w:kern w:val="28"/>
                <w:szCs w:val="32"/>
              </w:rPr>
              <w:t>一览表</w:t>
            </w:r>
          </w:p>
          <w:tbl>
            <w:tblPr>
              <w:tblStyle w:val="25"/>
              <w:tblW w:w="90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3"/>
              <w:gridCol w:w="1466"/>
              <w:gridCol w:w="1061"/>
              <w:gridCol w:w="997"/>
              <w:gridCol w:w="802"/>
              <w:gridCol w:w="1307"/>
              <w:gridCol w:w="877"/>
              <w:gridCol w:w="976"/>
              <w:gridCol w:w="9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43"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类别</w:t>
                  </w:r>
                </w:p>
              </w:tc>
              <w:tc>
                <w:tcPr>
                  <w:tcW w:w="1466"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名称</w:t>
                  </w:r>
                </w:p>
              </w:tc>
              <w:tc>
                <w:tcPr>
                  <w:tcW w:w="2058" w:type="dxa"/>
                  <w:gridSpan w:val="2"/>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坐标</w:t>
                  </w:r>
                </w:p>
              </w:tc>
              <w:tc>
                <w:tcPr>
                  <w:tcW w:w="802"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保护</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对象</w:t>
                  </w:r>
                </w:p>
              </w:tc>
              <w:tc>
                <w:tcPr>
                  <w:tcW w:w="1307"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保护内容</w:t>
                  </w:r>
                </w:p>
              </w:tc>
              <w:tc>
                <w:tcPr>
                  <w:tcW w:w="877"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环境</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功能区</w:t>
                  </w:r>
                </w:p>
              </w:tc>
              <w:tc>
                <w:tcPr>
                  <w:tcW w:w="976"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相对厂址</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方位</w:t>
                  </w:r>
                </w:p>
              </w:tc>
              <w:tc>
                <w:tcPr>
                  <w:tcW w:w="978"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相对厂界</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距离m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466"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经度</w:t>
                  </w:r>
                </w:p>
              </w:tc>
              <w:tc>
                <w:tcPr>
                  <w:tcW w:w="99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纬度</w:t>
                  </w:r>
                </w:p>
              </w:tc>
              <w:tc>
                <w:tcPr>
                  <w:tcW w:w="802"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307"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877"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6"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8"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43"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大气环境</w:t>
                  </w: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实竹村</w:t>
                  </w:r>
                  <w:r>
                    <w:rPr>
                      <w:color w:val="auto"/>
                      <w:sz w:val="21"/>
                      <w:szCs w:val="21"/>
                      <w:u w:val="single"/>
                    </w:rPr>
                    <w:t>居</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民点</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112.357478</w:t>
                  </w:r>
                </w:p>
              </w:tc>
              <w:tc>
                <w:tcPr>
                  <w:tcW w:w="99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bookmarkStart w:id="0" w:name="28.8131"/>
                  <w:bookmarkEnd w:id="0"/>
                  <w:r>
                    <w:rPr>
                      <w:color w:val="auto"/>
                      <w:sz w:val="21"/>
                      <w:szCs w:val="21"/>
                      <w:u w:val="single"/>
                    </w:rPr>
                    <w:t>28.812077</w:t>
                  </w:r>
                </w:p>
              </w:tc>
              <w:tc>
                <w:tcPr>
                  <w:tcW w:w="802"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居民</w:t>
                  </w:r>
                </w:p>
              </w:tc>
              <w:tc>
                <w:tcPr>
                  <w:tcW w:w="130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约</w:t>
                  </w:r>
                  <w:r>
                    <w:rPr>
                      <w:color w:val="auto"/>
                      <w:sz w:val="21"/>
                      <w:szCs w:val="21"/>
                      <w:u w:val="single"/>
                    </w:rPr>
                    <w:t>500人</w:t>
                  </w:r>
                </w:p>
              </w:tc>
              <w:tc>
                <w:tcPr>
                  <w:tcW w:w="877"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GB3095</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二类区</w:t>
                  </w: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N</w:t>
                  </w:r>
                </w:p>
              </w:tc>
              <w:tc>
                <w:tcPr>
                  <w:tcW w:w="978"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十里坪</w:t>
                  </w:r>
                  <w:r>
                    <w:rPr>
                      <w:color w:val="auto"/>
                      <w:sz w:val="21"/>
                      <w:szCs w:val="21"/>
                      <w:u w:val="single"/>
                    </w:rPr>
                    <w:t>居</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民点</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112.358079</w:t>
                  </w:r>
                </w:p>
              </w:tc>
              <w:tc>
                <w:tcPr>
                  <w:tcW w:w="99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28.807903</w:t>
                  </w:r>
                </w:p>
              </w:tc>
              <w:tc>
                <w:tcPr>
                  <w:tcW w:w="802"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居民</w:t>
                  </w:r>
                </w:p>
              </w:tc>
              <w:tc>
                <w:tcPr>
                  <w:tcW w:w="130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约30</w:t>
                  </w:r>
                  <w:r>
                    <w:rPr>
                      <w:color w:val="auto"/>
                      <w:sz w:val="21"/>
                      <w:szCs w:val="21"/>
                      <w:u w:val="single"/>
                    </w:rPr>
                    <w:t>0人</w:t>
                  </w:r>
                </w:p>
              </w:tc>
              <w:tc>
                <w:tcPr>
                  <w:tcW w:w="877"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NE</w:t>
                  </w:r>
                </w:p>
              </w:tc>
              <w:tc>
                <w:tcPr>
                  <w:tcW w:w="978"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624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汾水村居</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民点</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112.358594</w:t>
                  </w:r>
                </w:p>
              </w:tc>
              <w:tc>
                <w:tcPr>
                  <w:tcW w:w="99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28.801962</w:t>
                  </w:r>
                </w:p>
              </w:tc>
              <w:tc>
                <w:tcPr>
                  <w:tcW w:w="802"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居民</w:t>
                  </w:r>
                </w:p>
              </w:tc>
              <w:tc>
                <w:tcPr>
                  <w:tcW w:w="130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约</w:t>
                  </w:r>
                  <w:r>
                    <w:rPr>
                      <w:color w:val="auto"/>
                      <w:sz w:val="21"/>
                      <w:szCs w:val="21"/>
                      <w:u w:val="single"/>
                    </w:rPr>
                    <w:t>80人</w:t>
                  </w:r>
                </w:p>
              </w:tc>
              <w:tc>
                <w:tcPr>
                  <w:tcW w:w="877"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E</w:t>
                  </w:r>
                </w:p>
              </w:tc>
              <w:tc>
                <w:tcPr>
                  <w:tcW w:w="978"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100</w:t>
                  </w:r>
                  <w:r>
                    <w:rPr>
                      <w:rFonts w:hint="eastAsia"/>
                      <w:color w:val="auto"/>
                      <w:sz w:val="21"/>
                      <w:szCs w:val="21"/>
                      <w:u w:val="single"/>
                      <w:lang w:val="en-US" w:eastAsia="zh-CN"/>
                    </w:rPr>
                    <w:t>-125m</w:t>
                  </w:r>
                  <w:r>
                    <w:rPr>
                      <w:rFonts w:hint="eastAsia"/>
                      <w:color w:val="auto"/>
                      <w:sz w:val="21"/>
                      <w:szCs w:val="21"/>
                      <w:u w:val="single"/>
                    </w:rPr>
                    <w:t>，楼高约20m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凤凰村居</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民点</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112.356319</w:t>
                  </w:r>
                </w:p>
              </w:tc>
              <w:tc>
                <w:tcPr>
                  <w:tcW w:w="99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28.797900</w:t>
                  </w:r>
                </w:p>
              </w:tc>
              <w:tc>
                <w:tcPr>
                  <w:tcW w:w="802"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居民</w:t>
                  </w:r>
                </w:p>
              </w:tc>
              <w:tc>
                <w:tcPr>
                  <w:tcW w:w="130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约</w:t>
                  </w:r>
                  <w:r>
                    <w:rPr>
                      <w:color w:val="auto"/>
                      <w:sz w:val="21"/>
                      <w:szCs w:val="21"/>
                      <w:u w:val="single"/>
                    </w:rPr>
                    <w:t>120人</w:t>
                  </w:r>
                </w:p>
              </w:tc>
              <w:tc>
                <w:tcPr>
                  <w:tcW w:w="877"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S</w:t>
                  </w:r>
                </w:p>
              </w:tc>
              <w:tc>
                <w:tcPr>
                  <w:tcW w:w="978"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和尚陂</w:t>
                  </w:r>
                  <w:r>
                    <w:rPr>
                      <w:color w:val="auto"/>
                      <w:sz w:val="21"/>
                      <w:szCs w:val="21"/>
                      <w:u w:val="single"/>
                    </w:rPr>
                    <w:t>居</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民点</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112.349710</w:t>
                  </w:r>
                </w:p>
              </w:tc>
              <w:tc>
                <w:tcPr>
                  <w:tcW w:w="99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28.809558</w:t>
                  </w:r>
                </w:p>
              </w:tc>
              <w:tc>
                <w:tcPr>
                  <w:tcW w:w="802"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居民</w:t>
                  </w:r>
                </w:p>
              </w:tc>
              <w:tc>
                <w:tcPr>
                  <w:tcW w:w="130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约</w:t>
                  </w:r>
                  <w:r>
                    <w:rPr>
                      <w:color w:val="auto"/>
                      <w:sz w:val="21"/>
                      <w:szCs w:val="21"/>
                      <w:u w:val="single"/>
                    </w:rPr>
                    <w:t>150人</w:t>
                  </w:r>
                </w:p>
              </w:tc>
              <w:tc>
                <w:tcPr>
                  <w:tcW w:w="877"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NW</w:t>
                  </w:r>
                </w:p>
              </w:tc>
              <w:tc>
                <w:tcPr>
                  <w:tcW w:w="978"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庞家村</w:t>
                  </w:r>
                  <w:r>
                    <w:rPr>
                      <w:color w:val="auto"/>
                      <w:sz w:val="21"/>
                      <w:szCs w:val="21"/>
                      <w:u w:val="single"/>
                    </w:rPr>
                    <w:t>居</w:t>
                  </w:r>
                </w:p>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民点</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112.350998</w:t>
                  </w:r>
                </w:p>
              </w:tc>
              <w:tc>
                <w:tcPr>
                  <w:tcW w:w="99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28.795117</w:t>
                  </w:r>
                </w:p>
              </w:tc>
              <w:tc>
                <w:tcPr>
                  <w:tcW w:w="802"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居民</w:t>
                  </w:r>
                </w:p>
              </w:tc>
              <w:tc>
                <w:tcPr>
                  <w:tcW w:w="130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约10</w:t>
                  </w:r>
                  <w:r>
                    <w:rPr>
                      <w:color w:val="auto"/>
                      <w:sz w:val="21"/>
                      <w:szCs w:val="21"/>
                      <w:u w:val="single"/>
                    </w:rPr>
                    <w:t>0人</w:t>
                  </w:r>
                </w:p>
              </w:tc>
              <w:tc>
                <w:tcPr>
                  <w:tcW w:w="877"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SW</w:t>
                  </w:r>
                </w:p>
              </w:tc>
              <w:tc>
                <w:tcPr>
                  <w:tcW w:w="978"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950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543"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噪声</w:t>
                  </w: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汾水村居民点</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112.358594</w:t>
                  </w:r>
                </w:p>
              </w:tc>
              <w:tc>
                <w:tcPr>
                  <w:tcW w:w="99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28.801962</w:t>
                  </w:r>
                </w:p>
              </w:tc>
              <w:tc>
                <w:tcPr>
                  <w:tcW w:w="802"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居民</w:t>
                  </w:r>
                </w:p>
              </w:tc>
              <w:tc>
                <w:tcPr>
                  <w:tcW w:w="130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约</w:t>
                  </w:r>
                  <w:r>
                    <w:rPr>
                      <w:color w:val="auto"/>
                      <w:sz w:val="21"/>
                      <w:szCs w:val="21"/>
                      <w:u w:val="single"/>
                    </w:rPr>
                    <w:t>80人</w:t>
                  </w:r>
                </w:p>
              </w:tc>
              <w:tc>
                <w:tcPr>
                  <w:tcW w:w="877"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GB3096-2008</w:t>
                  </w:r>
                  <w:r>
                    <w:rPr>
                      <w:rFonts w:hint="eastAsia"/>
                      <w:color w:val="auto"/>
                      <w:sz w:val="21"/>
                      <w:szCs w:val="21"/>
                      <w:u w:val="single"/>
                    </w:rPr>
                    <w:t>二类区</w:t>
                  </w: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E</w:t>
                  </w:r>
                </w:p>
              </w:tc>
              <w:tc>
                <w:tcPr>
                  <w:tcW w:w="978" w:type="dxa"/>
                  <w:vAlign w:val="center"/>
                </w:tcPr>
                <w:p>
                  <w:pPr>
                    <w:tabs>
                      <w:tab w:val="left" w:pos="1350"/>
                      <w:tab w:val="left" w:pos="1560"/>
                    </w:tabs>
                    <w:adjustRightInd w:val="0"/>
                    <w:snapToGrid w:val="0"/>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100-125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543" w:type="dxa"/>
                  <w:vMerge w:val="restart"/>
                  <w:vAlign w:val="center"/>
                </w:tcPr>
                <w:p>
                  <w:pPr>
                    <w:tabs>
                      <w:tab w:val="left" w:pos="1350"/>
                      <w:tab w:val="left" w:pos="1560"/>
                    </w:tabs>
                    <w:adjustRightInd w:val="0"/>
                    <w:snapToGrid w:val="0"/>
                    <w:spacing w:line="240" w:lineRule="auto"/>
                    <w:ind w:firstLine="0" w:firstLineChars="0"/>
                    <w:jc w:val="center"/>
                    <w:rPr>
                      <w:rFonts w:hint="eastAsia" w:eastAsia="宋体"/>
                      <w:color w:val="auto"/>
                      <w:sz w:val="21"/>
                      <w:szCs w:val="21"/>
                      <w:u w:val="single"/>
                      <w:lang w:eastAsia="zh-CN"/>
                    </w:rPr>
                  </w:pPr>
                  <w:r>
                    <w:rPr>
                      <w:rFonts w:hint="eastAsia"/>
                      <w:color w:val="auto"/>
                      <w:sz w:val="21"/>
                      <w:szCs w:val="21"/>
                      <w:u w:val="single"/>
                      <w:lang w:eastAsia="zh-CN"/>
                    </w:rPr>
                    <w:t>地表水</w:t>
                  </w: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琼湖</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w:t>
                  </w:r>
                </w:p>
              </w:tc>
              <w:tc>
                <w:tcPr>
                  <w:tcW w:w="997" w:type="dxa"/>
                  <w:vAlign w:val="center"/>
                </w:tcPr>
                <w:p>
                  <w:pPr>
                    <w:adjustRightInd w:val="0"/>
                    <w:snapToGrid w:val="0"/>
                    <w:spacing w:line="240" w:lineRule="auto"/>
                    <w:ind w:firstLine="420"/>
                    <w:jc w:val="center"/>
                    <w:rPr>
                      <w:color w:val="auto"/>
                      <w:sz w:val="21"/>
                      <w:szCs w:val="21"/>
                      <w:u w:val="single"/>
                    </w:rPr>
                  </w:pPr>
                  <w:r>
                    <w:rPr>
                      <w:rFonts w:hint="eastAsia"/>
                      <w:color w:val="auto"/>
                      <w:sz w:val="21"/>
                      <w:szCs w:val="21"/>
                      <w:u w:val="single"/>
                    </w:rPr>
                    <w:t>/</w:t>
                  </w:r>
                </w:p>
              </w:tc>
              <w:tc>
                <w:tcPr>
                  <w:tcW w:w="2986" w:type="dxa"/>
                  <w:gridSpan w:val="3"/>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NE</w:t>
                  </w:r>
                </w:p>
              </w:tc>
              <w:tc>
                <w:tcPr>
                  <w:tcW w:w="978"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2374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146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石矶湖</w:t>
                  </w:r>
                </w:p>
              </w:tc>
              <w:tc>
                <w:tcPr>
                  <w:tcW w:w="1061"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w:t>
                  </w:r>
                </w:p>
              </w:tc>
              <w:tc>
                <w:tcPr>
                  <w:tcW w:w="997" w:type="dxa"/>
                  <w:vAlign w:val="center"/>
                </w:tcPr>
                <w:p>
                  <w:pPr>
                    <w:adjustRightInd w:val="0"/>
                    <w:snapToGrid w:val="0"/>
                    <w:spacing w:line="240" w:lineRule="auto"/>
                    <w:ind w:firstLine="420"/>
                    <w:jc w:val="center"/>
                    <w:rPr>
                      <w:color w:val="auto"/>
                      <w:sz w:val="21"/>
                      <w:szCs w:val="21"/>
                      <w:u w:val="single"/>
                    </w:rPr>
                  </w:pPr>
                  <w:r>
                    <w:rPr>
                      <w:rFonts w:hint="eastAsia"/>
                      <w:color w:val="auto"/>
                      <w:sz w:val="21"/>
                      <w:szCs w:val="21"/>
                      <w:u w:val="single"/>
                    </w:rPr>
                    <w:t>/</w:t>
                  </w:r>
                </w:p>
              </w:tc>
              <w:tc>
                <w:tcPr>
                  <w:tcW w:w="2986" w:type="dxa"/>
                  <w:gridSpan w:val="3"/>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NE</w:t>
                  </w:r>
                </w:p>
              </w:tc>
              <w:tc>
                <w:tcPr>
                  <w:tcW w:w="978"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3000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543" w:type="dxa"/>
                  <w:vMerge w:val="restart"/>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生态环境目标</w:t>
                  </w:r>
                </w:p>
              </w:tc>
              <w:tc>
                <w:tcPr>
                  <w:tcW w:w="6510" w:type="dxa"/>
                  <w:gridSpan w:val="6"/>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沅江市琼湖湿地公园</w:t>
                  </w:r>
                </w:p>
              </w:tc>
              <w:tc>
                <w:tcPr>
                  <w:tcW w:w="976" w:type="dxa"/>
                  <w:vAlign w:val="center"/>
                </w:tcPr>
                <w:p>
                  <w:pPr>
                    <w:tabs>
                      <w:tab w:val="left" w:pos="1350"/>
                      <w:tab w:val="left" w:pos="1560"/>
                    </w:tabs>
                    <w:adjustRightInd w:val="0"/>
                    <w:snapToGrid w:val="0"/>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rPr>
                    <w:t>N</w:t>
                  </w:r>
                  <w:r>
                    <w:rPr>
                      <w:rFonts w:hint="eastAsia"/>
                      <w:color w:val="auto"/>
                      <w:sz w:val="21"/>
                      <w:szCs w:val="21"/>
                      <w:u w:val="single"/>
                      <w:lang w:val="en-US" w:eastAsia="zh-CN"/>
                    </w:rPr>
                    <w:t>W</w:t>
                  </w:r>
                </w:p>
              </w:tc>
              <w:tc>
                <w:tcPr>
                  <w:tcW w:w="978" w:type="dxa"/>
                  <w:vAlign w:val="center"/>
                </w:tcPr>
                <w:p>
                  <w:pPr>
                    <w:tabs>
                      <w:tab w:val="left" w:pos="1350"/>
                      <w:tab w:val="left" w:pos="1560"/>
                    </w:tabs>
                    <w:adjustRightInd w:val="0"/>
                    <w:snapToGrid w:val="0"/>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6510" w:type="dxa"/>
                  <w:gridSpan w:val="6"/>
                  <w:vAlign w:val="center"/>
                </w:tcPr>
                <w:p>
                  <w:pPr>
                    <w:tabs>
                      <w:tab w:val="left" w:pos="1350"/>
                      <w:tab w:val="left" w:pos="1560"/>
                    </w:tabs>
                    <w:adjustRightInd w:val="0"/>
                    <w:snapToGrid w:val="0"/>
                    <w:spacing w:line="240" w:lineRule="auto"/>
                    <w:ind w:firstLine="0" w:firstLineChars="0"/>
                    <w:jc w:val="center"/>
                    <w:rPr>
                      <w:rFonts w:hint="eastAsia" w:eastAsia="宋体"/>
                      <w:color w:val="auto"/>
                      <w:sz w:val="21"/>
                      <w:szCs w:val="21"/>
                      <w:u w:val="single"/>
                      <w:lang w:eastAsia="zh-CN"/>
                    </w:rPr>
                  </w:pPr>
                  <w:r>
                    <w:rPr>
                      <w:rFonts w:hint="eastAsia"/>
                      <w:color w:val="auto"/>
                      <w:sz w:val="21"/>
                      <w:szCs w:val="21"/>
                      <w:u w:val="single"/>
                      <w:lang w:eastAsia="zh-CN"/>
                    </w:rPr>
                    <w:t>湖南南洞庭自然保护区</w:t>
                  </w:r>
                </w:p>
              </w:tc>
              <w:tc>
                <w:tcPr>
                  <w:tcW w:w="976" w:type="dxa"/>
                  <w:vAlign w:val="center"/>
                </w:tcPr>
                <w:p>
                  <w:pPr>
                    <w:tabs>
                      <w:tab w:val="left" w:pos="1350"/>
                      <w:tab w:val="left" w:pos="1560"/>
                    </w:tabs>
                    <w:adjustRightInd w:val="0"/>
                    <w:snapToGrid w:val="0"/>
                    <w:spacing w:line="240" w:lineRule="auto"/>
                    <w:ind w:firstLine="0" w:firstLineChars="0"/>
                    <w:jc w:val="center"/>
                    <w:rPr>
                      <w:rFonts w:hint="eastAsia"/>
                      <w:color w:val="auto"/>
                      <w:sz w:val="21"/>
                      <w:szCs w:val="21"/>
                      <w:u w:val="single"/>
                    </w:rPr>
                  </w:pPr>
                  <w:r>
                    <w:rPr>
                      <w:rFonts w:hint="eastAsia"/>
                      <w:color w:val="auto"/>
                      <w:sz w:val="21"/>
                      <w:szCs w:val="21"/>
                      <w:u w:val="single"/>
                    </w:rPr>
                    <w:t>N</w:t>
                  </w:r>
                  <w:r>
                    <w:rPr>
                      <w:rFonts w:hint="eastAsia"/>
                      <w:color w:val="auto"/>
                      <w:sz w:val="21"/>
                      <w:szCs w:val="21"/>
                      <w:u w:val="single"/>
                      <w:lang w:val="en-US" w:eastAsia="zh-CN"/>
                    </w:rPr>
                    <w:t>W</w:t>
                  </w:r>
                </w:p>
              </w:tc>
              <w:tc>
                <w:tcPr>
                  <w:tcW w:w="978" w:type="dxa"/>
                  <w:vAlign w:val="center"/>
                </w:tcPr>
                <w:p>
                  <w:pPr>
                    <w:tabs>
                      <w:tab w:val="left" w:pos="1350"/>
                      <w:tab w:val="left" w:pos="1560"/>
                    </w:tabs>
                    <w:adjustRightInd w:val="0"/>
                    <w:snapToGrid w:val="0"/>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543" w:type="dxa"/>
                  <w:vMerge w:val="continue"/>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p>
              </w:tc>
              <w:tc>
                <w:tcPr>
                  <w:tcW w:w="6510" w:type="dxa"/>
                  <w:gridSpan w:val="6"/>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color w:val="auto"/>
                      <w:sz w:val="21"/>
                      <w:szCs w:val="21"/>
                      <w:u w:val="single"/>
                    </w:rPr>
                    <w:t>南洞庭湖银鱼三角帆蚌国家级水产种质资源保护区</w:t>
                  </w:r>
                </w:p>
              </w:tc>
              <w:tc>
                <w:tcPr>
                  <w:tcW w:w="976" w:type="dxa"/>
                  <w:vAlign w:val="center"/>
                </w:tcPr>
                <w:p>
                  <w:pPr>
                    <w:tabs>
                      <w:tab w:val="left" w:pos="1350"/>
                      <w:tab w:val="left" w:pos="1560"/>
                    </w:tabs>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N</w:t>
                  </w:r>
                  <w:r>
                    <w:rPr>
                      <w:rFonts w:hint="eastAsia"/>
                      <w:color w:val="auto"/>
                      <w:sz w:val="21"/>
                      <w:szCs w:val="21"/>
                      <w:u w:val="single"/>
                      <w:lang w:val="en-US" w:eastAsia="zh-CN"/>
                    </w:rPr>
                    <w:t>W</w:t>
                  </w:r>
                </w:p>
              </w:tc>
              <w:tc>
                <w:tcPr>
                  <w:tcW w:w="978" w:type="dxa"/>
                  <w:vAlign w:val="center"/>
                </w:tcPr>
                <w:p>
                  <w:pPr>
                    <w:tabs>
                      <w:tab w:val="left" w:pos="1350"/>
                      <w:tab w:val="left" w:pos="1560"/>
                    </w:tabs>
                    <w:adjustRightInd w:val="0"/>
                    <w:snapToGrid w:val="0"/>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5500</w:t>
                  </w:r>
                </w:p>
              </w:tc>
            </w:tr>
          </w:tbl>
          <w:p>
            <w:pPr>
              <w:ind w:firstLine="0" w:firstLineChars="0"/>
              <w:jc w:val="both"/>
              <w:rPr>
                <w:b/>
                <w:color w:val="auto"/>
                <w:u w:val="single"/>
              </w:rPr>
            </w:pPr>
            <w:r>
              <w:rPr>
                <w:rFonts w:hint="eastAsia"/>
                <w:b/>
                <w:color w:val="auto"/>
                <w:u w:val="single"/>
              </w:rPr>
              <w:t>8、区域污染源调查</w:t>
            </w:r>
          </w:p>
          <w:p>
            <w:pPr>
              <w:ind w:firstLine="480"/>
              <w:jc w:val="both"/>
              <w:rPr>
                <w:bCs/>
                <w:color w:val="auto"/>
              </w:rPr>
            </w:pPr>
            <w:r>
              <w:rPr>
                <w:rFonts w:hint="eastAsia"/>
                <w:bCs/>
                <w:color w:val="auto"/>
                <w:u w:val="single"/>
              </w:rPr>
              <w:t>本项目所在选址工业园区定位主要为机械加工和信息工业。根据现场勘查，本项目所在区域主要为机械加工企业，西侧和东侧分别为中涛起重科技有限公司和湖南科旺科技有限公司，均为机械加工企业。主要污染物为少量的金属粉尘和一般固废。南侧为农田，北侧为道路。项目选址厂房的二层为湖南冠均木业有限公司，为家具加工企业，主要污染物为粉尘和有机废气，均采取了相关的废气处理设施，可保证废气的有效处置和达标排放。</w:t>
            </w:r>
          </w:p>
        </w:tc>
      </w:tr>
    </w:tbl>
    <w:p>
      <w:pPr>
        <w:ind w:firstLine="480"/>
        <w:rPr>
          <w:color w:val="auto"/>
        </w:rPr>
      </w:pPr>
      <w:r>
        <w:rPr>
          <w:color w:val="auto"/>
        </w:rPr>
        <w:br w:type="page"/>
      </w:r>
    </w:p>
    <w:p>
      <w:pPr>
        <w:pStyle w:val="4"/>
        <w:rPr>
          <w:color w:val="auto"/>
        </w:rPr>
      </w:pPr>
      <w:r>
        <w:rPr>
          <w:color w:val="auto"/>
        </w:rPr>
        <w:t>评价适用标准</w:t>
      </w:r>
    </w:p>
    <w:tbl>
      <w:tblPr>
        <w:tblStyle w:val="25"/>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834" w:type="dxa"/>
            <w:vAlign w:val="center"/>
          </w:tcPr>
          <w:p>
            <w:pPr>
              <w:ind w:firstLine="0" w:firstLineChars="0"/>
              <w:jc w:val="center"/>
              <w:rPr>
                <w:color w:val="auto"/>
              </w:rPr>
            </w:pPr>
            <w:r>
              <w:rPr>
                <w:color w:val="auto"/>
              </w:rPr>
              <w:t>环</w:t>
            </w:r>
          </w:p>
          <w:p>
            <w:pPr>
              <w:ind w:firstLine="0" w:firstLineChars="0"/>
              <w:jc w:val="center"/>
              <w:rPr>
                <w:color w:val="auto"/>
              </w:rPr>
            </w:pPr>
            <w:r>
              <w:rPr>
                <w:color w:val="auto"/>
              </w:rPr>
              <w:t>境</w:t>
            </w:r>
          </w:p>
          <w:p>
            <w:pPr>
              <w:ind w:firstLine="0" w:firstLineChars="0"/>
              <w:jc w:val="center"/>
              <w:rPr>
                <w:color w:val="auto"/>
              </w:rPr>
            </w:pPr>
            <w:r>
              <w:rPr>
                <w:color w:val="auto"/>
              </w:rPr>
              <w:t>质</w:t>
            </w:r>
          </w:p>
          <w:p>
            <w:pPr>
              <w:ind w:firstLine="0" w:firstLineChars="0"/>
              <w:jc w:val="center"/>
              <w:rPr>
                <w:color w:val="auto"/>
              </w:rPr>
            </w:pPr>
            <w:r>
              <w:rPr>
                <w:color w:val="auto"/>
              </w:rPr>
              <w:t>量</w:t>
            </w:r>
          </w:p>
          <w:p>
            <w:pPr>
              <w:ind w:firstLine="0" w:firstLineChars="0"/>
              <w:jc w:val="center"/>
              <w:rPr>
                <w:color w:val="auto"/>
              </w:rPr>
            </w:pPr>
            <w:r>
              <w:rPr>
                <w:color w:val="auto"/>
              </w:rPr>
              <w:t>标</w:t>
            </w:r>
          </w:p>
          <w:p>
            <w:pPr>
              <w:ind w:firstLine="0" w:firstLineChars="0"/>
              <w:jc w:val="center"/>
              <w:rPr>
                <w:color w:val="auto"/>
              </w:rPr>
            </w:pPr>
            <w:r>
              <w:rPr>
                <w:color w:val="auto"/>
              </w:rPr>
              <w:t>准</w:t>
            </w:r>
          </w:p>
        </w:tc>
        <w:tc>
          <w:tcPr>
            <w:tcW w:w="8505" w:type="dxa"/>
            <w:vAlign w:val="center"/>
          </w:tcPr>
          <w:p>
            <w:pPr>
              <w:ind w:firstLine="472" w:firstLineChars="196"/>
              <w:jc w:val="both"/>
              <w:rPr>
                <w:b/>
                <w:color w:val="auto"/>
              </w:rPr>
            </w:pPr>
            <w:r>
              <w:rPr>
                <w:b/>
                <w:color w:val="auto"/>
              </w:rPr>
              <w:t>一、环境空气</w:t>
            </w:r>
          </w:p>
          <w:p>
            <w:pPr>
              <w:widowControl/>
              <w:ind w:firstLine="480" w:firstLineChars="0"/>
              <w:jc w:val="both"/>
              <w:rPr>
                <w:b/>
                <w:color w:val="auto"/>
              </w:rPr>
            </w:pPr>
            <w:r>
              <w:rPr>
                <w:color w:val="auto"/>
              </w:rPr>
              <w:t>项目所在地环境空气质量执行《环境空气质量标准》（GB3095-2012）</w:t>
            </w:r>
            <w:r>
              <w:rPr>
                <w:rFonts w:hint="eastAsia"/>
                <w:color w:val="auto"/>
              </w:rPr>
              <w:t>及修改单</w:t>
            </w:r>
            <w:r>
              <w:rPr>
                <w:color w:val="auto"/>
              </w:rPr>
              <w:t>中的二级标准</w:t>
            </w:r>
            <w:r>
              <w:rPr>
                <w:rFonts w:hint="eastAsia"/>
                <w:color w:val="auto"/>
                <w:lang w:eastAsia="zh-CN"/>
              </w:rPr>
              <w:t>；</w:t>
            </w:r>
            <w:r>
              <w:rPr>
                <w:color w:val="auto"/>
              </w:rPr>
              <w:t>特征污染物</w:t>
            </w:r>
            <w:r>
              <w:rPr>
                <w:rFonts w:hint="eastAsia"/>
                <w:color w:val="auto"/>
              </w:rPr>
              <w:t>TVOC</w:t>
            </w:r>
            <w:r>
              <w:rPr>
                <w:color w:val="auto"/>
              </w:rPr>
              <w:t>参照执行《环境影响评价技术导则大气环境》HJ 2.2-2018表D.1其他污染物空气质量浓度参考限值</w:t>
            </w:r>
            <w:r>
              <w:rPr>
                <w:rFonts w:hint="eastAsia"/>
                <w:color w:val="auto"/>
              </w:rPr>
              <w:t>；</w:t>
            </w:r>
            <w:r>
              <w:rPr>
                <w:color w:val="auto"/>
              </w:rPr>
              <w:t>非甲烷总烃执行《大气污染物综合排放标准详解》中推荐标准限值（一次值2.0mg/m³）。</w:t>
            </w:r>
          </w:p>
          <w:p>
            <w:pPr>
              <w:ind w:firstLine="472" w:firstLineChars="196"/>
              <w:jc w:val="both"/>
              <w:rPr>
                <w:b/>
                <w:color w:val="auto"/>
              </w:rPr>
            </w:pPr>
            <w:r>
              <w:rPr>
                <w:b/>
                <w:color w:val="auto"/>
              </w:rPr>
              <w:t>二、地表水</w:t>
            </w:r>
          </w:p>
          <w:p>
            <w:pPr>
              <w:widowControl/>
              <w:ind w:firstLineChars="0"/>
              <w:jc w:val="both"/>
              <w:rPr>
                <w:rFonts w:hint="eastAsia" w:eastAsia="宋体"/>
                <w:color w:val="auto"/>
                <w:lang w:eastAsia="zh-CN"/>
              </w:rPr>
            </w:pPr>
            <w:r>
              <w:rPr>
                <w:rFonts w:hint="eastAsia"/>
                <w:color w:val="auto"/>
              </w:rPr>
              <w:t>区域最终纳污水体为资江分河，根据《湖南省主要地表水系水环境功能区划》（DB43 023-2005），纳污水体划定为渔业灌溉用水功能，对应执行《地表水环境质量标准》（GB3838-2002）中的III类水质标准</w:t>
            </w:r>
            <w:r>
              <w:rPr>
                <w:rFonts w:hint="eastAsia"/>
                <w:color w:val="auto"/>
                <w:lang w:eastAsia="zh-CN"/>
              </w:rPr>
              <w:t>。</w:t>
            </w:r>
          </w:p>
          <w:p>
            <w:pPr>
              <w:tabs>
                <w:tab w:val="left" w:pos="-69"/>
              </w:tabs>
              <w:ind w:firstLine="482" w:firstLineChars="0"/>
              <w:jc w:val="both"/>
              <w:rPr>
                <w:b/>
                <w:color w:val="auto"/>
              </w:rPr>
            </w:pPr>
            <w:r>
              <w:rPr>
                <w:b/>
                <w:color w:val="auto"/>
              </w:rPr>
              <w:t>三、地下水</w:t>
            </w:r>
          </w:p>
          <w:p>
            <w:pPr>
              <w:ind w:firstLine="480"/>
              <w:jc w:val="both"/>
              <w:rPr>
                <w:rFonts w:hint="eastAsia" w:eastAsia="宋体"/>
                <w:color w:val="auto"/>
                <w:szCs w:val="21"/>
                <w:lang w:eastAsia="zh-CN"/>
              </w:rPr>
            </w:pPr>
            <w:r>
              <w:rPr>
                <w:color w:val="auto"/>
                <w:szCs w:val="21"/>
              </w:rPr>
              <w:t>地下水环境质量评价执行《地下水质量标准》（GB/T14848-2017）中的</w:t>
            </w:r>
            <w:r>
              <w:rPr>
                <w:rFonts w:hint="eastAsia" w:ascii="宋体" w:hAnsi="宋体" w:cs="宋体"/>
                <w:color w:val="auto"/>
                <w:szCs w:val="21"/>
              </w:rPr>
              <w:t>Ⅲ</w:t>
            </w:r>
            <w:r>
              <w:rPr>
                <w:color w:val="auto"/>
                <w:szCs w:val="21"/>
              </w:rPr>
              <w:t>类标准</w:t>
            </w:r>
            <w:r>
              <w:rPr>
                <w:rFonts w:hint="eastAsia"/>
                <w:color w:val="auto"/>
                <w:szCs w:val="21"/>
                <w:lang w:eastAsia="zh-CN"/>
              </w:rPr>
              <w:t>。</w:t>
            </w:r>
          </w:p>
          <w:p>
            <w:pPr>
              <w:widowControl/>
              <w:ind w:firstLine="482"/>
              <w:jc w:val="both"/>
              <w:rPr>
                <w:b/>
                <w:color w:val="auto"/>
              </w:rPr>
            </w:pPr>
            <w:r>
              <w:rPr>
                <w:b/>
                <w:color w:val="auto"/>
              </w:rPr>
              <w:t>四、声环境</w:t>
            </w:r>
          </w:p>
          <w:p>
            <w:pPr>
              <w:widowControl/>
              <w:ind w:firstLine="480"/>
              <w:jc w:val="both"/>
              <w:rPr>
                <w:color w:val="auto"/>
              </w:rPr>
            </w:pPr>
            <w:r>
              <w:rPr>
                <w:color w:val="auto"/>
                <w:szCs w:val="21"/>
              </w:rPr>
              <w:t>声环境质量执行《声环境质量标准》（GB3096-2008）</w:t>
            </w:r>
            <w:r>
              <w:rPr>
                <w:rFonts w:hint="eastAsia"/>
                <w:color w:val="auto"/>
                <w:szCs w:val="21"/>
              </w:rPr>
              <w:t>3</w:t>
            </w:r>
            <w:r>
              <w:rPr>
                <w:color w:val="auto"/>
                <w:szCs w:val="21"/>
              </w:rPr>
              <w:t>类标准（昼间6</w:t>
            </w:r>
            <w:r>
              <w:rPr>
                <w:rFonts w:hint="eastAsia"/>
                <w:color w:val="auto"/>
                <w:szCs w:val="21"/>
              </w:rPr>
              <w:t>5</w:t>
            </w:r>
            <w:r>
              <w:rPr>
                <w:color w:val="auto"/>
                <w:szCs w:val="21"/>
              </w:rPr>
              <w:t>dB(A)，夜间5</w:t>
            </w:r>
            <w:r>
              <w:rPr>
                <w:rFonts w:hint="eastAsia"/>
                <w:color w:val="auto"/>
                <w:szCs w:val="21"/>
              </w:rPr>
              <w:t>5</w:t>
            </w:r>
            <w:r>
              <w:rPr>
                <w:color w:val="auto"/>
                <w:szCs w:val="21"/>
              </w:rPr>
              <w:t>dB(A)）</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8" w:hRule="atLeast"/>
        </w:trPr>
        <w:tc>
          <w:tcPr>
            <w:tcW w:w="834" w:type="dxa"/>
            <w:vAlign w:val="center"/>
          </w:tcPr>
          <w:p>
            <w:pPr>
              <w:ind w:firstLine="480"/>
              <w:jc w:val="center"/>
              <w:rPr>
                <w:color w:val="auto"/>
              </w:rPr>
            </w:pPr>
          </w:p>
          <w:p>
            <w:pPr>
              <w:ind w:firstLine="0" w:firstLineChars="0"/>
              <w:jc w:val="center"/>
              <w:rPr>
                <w:color w:val="auto"/>
              </w:rPr>
            </w:pPr>
            <w:r>
              <w:rPr>
                <w:color w:val="auto"/>
              </w:rPr>
              <w:t>污</w:t>
            </w:r>
          </w:p>
          <w:p>
            <w:pPr>
              <w:ind w:firstLine="0" w:firstLineChars="0"/>
              <w:jc w:val="center"/>
              <w:rPr>
                <w:color w:val="auto"/>
              </w:rPr>
            </w:pPr>
            <w:r>
              <w:rPr>
                <w:color w:val="auto"/>
              </w:rPr>
              <w:t>染</w:t>
            </w:r>
          </w:p>
          <w:p>
            <w:pPr>
              <w:ind w:firstLine="0" w:firstLineChars="0"/>
              <w:jc w:val="center"/>
              <w:rPr>
                <w:color w:val="auto"/>
              </w:rPr>
            </w:pPr>
            <w:r>
              <w:rPr>
                <w:color w:val="auto"/>
              </w:rPr>
              <w:t>物</w:t>
            </w:r>
          </w:p>
          <w:p>
            <w:pPr>
              <w:ind w:firstLine="0" w:firstLineChars="0"/>
              <w:jc w:val="center"/>
              <w:rPr>
                <w:color w:val="auto"/>
              </w:rPr>
            </w:pPr>
            <w:r>
              <w:rPr>
                <w:color w:val="auto"/>
              </w:rPr>
              <w:t>排</w:t>
            </w:r>
          </w:p>
          <w:p>
            <w:pPr>
              <w:ind w:firstLine="0" w:firstLineChars="0"/>
              <w:jc w:val="center"/>
              <w:rPr>
                <w:color w:val="auto"/>
              </w:rPr>
            </w:pPr>
            <w:r>
              <w:rPr>
                <w:color w:val="auto"/>
              </w:rPr>
              <w:t>放</w:t>
            </w:r>
          </w:p>
          <w:p>
            <w:pPr>
              <w:ind w:firstLine="0" w:firstLineChars="0"/>
              <w:jc w:val="center"/>
              <w:rPr>
                <w:color w:val="auto"/>
              </w:rPr>
            </w:pPr>
            <w:r>
              <w:rPr>
                <w:color w:val="auto"/>
              </w:rPr>
              <w:t>标</w:t>
            </w:r>
          </w:p>
          <w:p>
            <w:pPr>
              <w:ind w:firstLine="0" w:firstLineChars="0"/>
              <w:jc w:val="center"/>
              <w:rPr>
                <w:color w:val="auto"/>
              </w:rPr>
            </w:pPr>
            <w:r>
              <w:rPr>
                <w:color w:val="auto"/>
              </w:rPr>
              <w:t>准</w:t>
            </w:r>
          </w:p>
          <w:p>
            <w:pPr>
              <w:ind w:firstLine="480"/>
              <w:jc w:val="center"/>
              <w:rPr>
                <w:color w:val="auto"/>
              </w:rPr>
            </w:pPr>
          </w:p>
        </w:tc>
        <w:tc>
          <w:tcPr>
            <w:tcW w:w="8505" w:type="dxa"/>
            <w:vAlign w:val="center"/>
          </w:tcPr>
          <w:p>
            <w:pPr>
              <w:pStyle w:val="61"/>
              <w:adjustRightInd w:val="0"/>
              <w:snapToGrid w:val="0"/>
              <w:ind w:firstLine="0" w:firstLineChars="0"/>
              <w:jc w:val="both"/>
              <w:rPr>
                <w:color w:val="auto"/>
              </w:rPr>
            </w:pPr>
            <w:r>
              <w:rPr>
                <w:rFonts w:hint="eastAsia"/>
                <w:color w:val="auto"/>
              </w:rPr>
              <w:t>一、</w:t>
            </w:r>
            <w:r>
              <w:rPr>
                <w:color w:val="auto"/>
              </w:rPr>
              <w:t>废气</w:t>
            </w:r>
          </w:p>
          <w:p>
            <w:pPr>
              <w:adjustRightInd w:val="0"/>
              <w:snapToGrid w:val="0"/>
              <w:ind w:firstLine="0" w:firstLineChars="0"/>
              <w:jc w:val="both"/>
              <w:rPr>
                <w:color w:val="auto"/>
              </w:rPr>
            </w:pPr>
            <w:r>
              <w:rPr>
                <w:rFonts w:hint="eastAsia"/>
                <w:color w:val="auto"/>
                <w:sz w:val="21"/>
                <w:szCs w:val="20"/>
              </w:rPr>
              <w:t>TVOC</w:t>
            </w:r>
            <w:r>
              <w:rPr>
                <w:rFonts w:hint="eastAsia"/>
                <w:color w:val="auto"/>
                <w:kern w:val="0"/>
              </w:rPr>
              <w:t>参考执行湖南省地方标准《印刷业挥发性有机物排放标准》（DB43/1357-2017）表1和表2中排放限值</w:t>
            </w:r>
            <w:r>
              <w:rPr>
                <w:color w:val="auto"/>
              </w:rPr>
              <w:t>。</w:t>
            </w:r>
          </w:p>
          <w:p>
            <w:pPr>
              <w:pStyle w:val="61"/>
              <w:adjustRightInd w:val="0"/>
              <w:snapToGrid w:val="0"/>
              <w:ind w:firstLine="0" w:firstLineChars="0"/>
              <w:jc w:val="both"/>
              <w:rPr>
                <w:color w:val="auto"/>
              </w:rPr>
            </w:pPr>
            <w:r>
              <w:rPr>
                <w:rFonts w:hint="eastAsia"/>
                <w:color w:val="auto"/>
              </w:rPr>
              <w:t>二、</w:t>
            </w:r>
            <w:r>
              <w:rPr>
                <w:color w:val="auto"/>
              </w:rPr>
              <w:t>废水</w:t>
            </w:r>
          </w:p>
          <w:p>
            <w:pPr>
              <w:adjustRightInd w:val="0"/>
              <w:snapToGrid w:val="0"/>
              <w:ind w:firstLine="240" w:firstLineChars="100"/>
              <w:jc w:val="both"/>
              <w:rPr>
                <w:rFonts w:hint="eastAsia" w:eastAsia="宋体"/>
                <w:color w:val="auto"/>
                <w:lang w:eastAsia="zh-CN"/>
              </w:rPr>
            </w:pPr>
            <w:r>
              <w:rPr>
                <w:bCs/>
                <w:color w:val="auto"/>
              </w:rPr>
              <w:t>本项目生活污水经化粪池</w:t>
            </w:r>
            <w:r>
              <w:rPr>
                <w:rFonts w:hint="eastAsia"/>
                <w:bCs/>
                <w:color w:val="auto"/>
              </w:rPr>
              <w:t>预处理后达到《污水排入城镇下水道水质标准》（GB/T31962-2015）表1中B等级标准</w:t>
            </w:r>
            <w:r>
              <w:rPr>
                <w:bCs/>
                <w:color w:val="auto"/>
              </w:rPr>
              <w:t>要求，进入</w:t>
            </w:r>
            <w:r>
              <w:rPr>
                <w:rFonts w:hint="eastAsia"/>
                <w:bCs/>
                <w:color w:val="auto"/>
              </w:rPr>
              <w:t>园区污水管网</w:t>
            </w:r>
            <w:r>
              <w:rPr>
                <w:bCs/>
                <w:color w:val="auto"/>
              </w:rPr>
              <w:t>，由</w:t>
            </w:r>
            <w:r>
              <w:rPr>
                <w:color w:val="auto"/>
              </w:rPr>
              <w:t>沅江市第二污水处理厂</w:t>
            </w:r>
            <w:r>
              <w:rPr>
                <w:bCs/>
                <w:color w:val="auto"/>
              </w:rPr>
              <w:t>集中处理达《城镇污水处理厂污染物排放标准》（GB18918-2002）一级A标准后</w:t>
            </w:r>
            <w:r>
              <w:rPr>
                <w:rFonts w:hint="eastAsia"/>
                <w:color w:val="auto"/>
              </w:rPr>
              <w:t>排入资江分河</w:t>
            </w:r>
            <w:r>
              <w:rPr>
                <w:bCs/>
                <w:color w:val="auto"/>
              </w:rPr>
              <w:t>。</w:t>
            </w:r>
          </w:p>
          <w:p>
            <w:pPr>
              <w:pStyle w:val="61"/>
              <w:adjustRightInd w:val="0"/>
              <w:snapToGrid w:val="0"/>
              <w:ind w:firstLine="0" w:firstLineChars="0"/>
              <w:jc w:val="both"/>
              <w:rPr>
                <w:color w:val="auto"/>
              </w:rPr>
            </w:pPr>
            <w:r>
              <w:rPr>
                <w:rFonts w:hint="eastAsia"/>
                <w:color w:val="auto"/>
              </w:rPr>
              <w:t>三、</w:t>
            </w:r>
            <w:r>
              <w:rPr>
                <w:color w:val="auto"/>
              </w:rPr>
              <w:t>噪声</w:t>
            </w:r>
          </w:p>
          <w:p>
            <w:pPr>
              <w:adjustRightInd w:val="0"/>
              <w:snapToGrid w:val="0"/>
              <w:ind w:firstLine="480"/>
              <w:jc w:val="both"/>
              <w:rPr>
                <w:color w:val="auto"/>
              </w:rPr>
            </w:pPr>
            <w:r>
              <w:rPr>
                <w:color w:val="auto"/>
              </w:rPr>
              <w:t>营运期</w:t>
            </w:r>
            <w:r>
              <w:rPr>
                <w:rFonts w:hint="eastAsia"/>
                <w:color w:val="auto"/>
                <w:lang w:eastAsia="zh-CN"/>
              </w:rPr>
              <w:t>厂界</w:t>
            </w:r>
            <w:r>
              <w:rPr>
                <w:color w:val="auto"/>
              </w:rPr>
              <w:t>噪声执行《工业企业厂界环境噪声排放标准》（GB12348-2008）</w:t>
            </w:r>
            <w:r>
              <w:rPr>
                <w:rFonts w:hint="eastAsia"/>
                <w:color w:val="auto"/>
              </w:rPr>
              <w:t>3</w:t>
            </w:r>
            <w:r>
              <w:rPr>
                <w:color w:val="auto"/>
              </w:rPr>
              <w:t>类</w:t>
            </w:r>
            <w:r>
              <w:rPr>
                <w:rFonts w:hint="eastAsia"/>
                <w:color w:val="auto"/>
              </w:rPr>
              <w:t>区</w:t>
            </w:r>
            <w:r>
              <w:rPr>
                <w:color w:val="auto"/>
              </w:rPr>
              <w:t>标准。</w:t>
            </w:r>
          </w:p>
          <w:p>
            <w:pPr>
              <w:pStyle w:val="61"/>
              <w:ind w:firstLine="0" w:firstLineChars="0"/>
              <w:jc w:val="both"/>
              <w:rPr>
                <w:color w:val="auto"/>
                <w:kern w:val="0"/>
              </w:rPr>
            </w:pPr>
            <w:r>
              <w:rPr>
                <w:rFonts w:hint="eastAsia"/>
                <w:color w:val="auto"/>
              </w:rPr>
              <w:t>四、</w:t>
            </w:r>
            <w:r>
              <w:rPr>
                <w:color w:val="auto"/>
              </w:rPr>
              <w:t>固体废物</w:t>
            </w:r>
          </w:p>
          <w:p>
            <w:pPr>
              <w:ind w:firstLine="480"/>
              <w:jc w:val="both"/>
              <w:rPr>
                <w:color w:val="auto"/>
              </w:rPr>
            </w:pPr>
            <w:r>
              <w:rPr>
                <w:color w:val="auto"/>
                <w:kern w:val="0"/>
              </w:rPr>
              <w:t>一般工业固废执行《一般工业固体废物贮存、处置场污染控制标准》（GB18599-2001）及修改单；危险废物收集、暂存、转运和处置执行《危险废物贮存污染物控制标准》（GB18597-2001）及修改单</w:t>
            </w:r>
            <w:r>
              <w:rPr>
                <w:rFonts w:hint="eastAsia"/>
                <w:color w:val="auto"/>
                <w:kern w:val="0"/>
              </w:rPr>
              <w:t>中的相关要求</w:t>
            </w:r>
            <w:r>
              <w:rPr>
                <w:color w:val="auto"/>
              </w:rPr>
              <w:t>；生活垃圾</w:t>
            </w:r>
            <w:r>
              <w:rPr>
                <w:rFonts w:hint="eastAsia"/>
                <w:color w:val="auto"/>
              </w:rPr>
              <w:t>近期</w:t>
            </w:r>
            <w:r>
              <w:rPr>
                <w:color w:val="auto"/>
              </w:rPr>
              <w:t>执行《生活垃圾</w:t>
            </w:r>
            <w:r>
              <w:rPr>
                <w:rFonts w:hint="eastAsia"/>
                <w:color w:val="auto"/>
              </w:rPr>
              <w:t>填埋场</w:t>
            </w:r>
            <w:r>
              <w:rPr>
                <w:color w:val="auto"/>
              </w:rPr>
              <w:t>污染控制标准》（GB1</w:t>
            </w:r>
            <w:r>
              <w:rPr>
                <w:rFonts w:hint="eastAsia"/>
                <w:color w:val="auto"/>
              </w:rPr>
              <w:t>6889-2008</w:t>
            </w:r>
            <w:r>
              <w:rPr>
                <w:color w:val="auto"/>
              </w:rPr>
              <w:t>）</w:t>
            </w:r>
            <w:r>
              <w:rPr>
                <w:rFonts w:hint="eastAsia"/>
                <w:color w:val="auto"/>
              </w:rPr>
              <w:t>，远期</w:t>
            </w:r>
            <w:r>
              <w:rPr>
                <w:color w:val="auto"/>
              </w:rPr>
              <w:t>执行《生活垃圾焚烧污染控制标准》（GB18485-2014）。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34" w:type="dxa"/>
            <w:vAlign w:val="center"/>
          </w:tcPr>
          <w:p>
            <w:pPr>
              <w:pStyle w:val="11"/>
              <w:rPr>
                <w:color w:val="auto"/>
              </w:rPr>
            </w:pPr>
            <w:r>
              <w:rPr>
                <w:color w:val="auto"/>
              </w:rPr>
              <w:t>总</w:t>
            </w:r>
          </w:p>
          <w:p>
            <w:pPr>
              <w:pStyle w:val="11"/>
              <w:rPr>
                <w:color w:val="auto"/>
              </w:rPr>
            </w:pPr>
            <w:r>
              <w:rPr>
                <w:color w:val="auto"/>
              </w:rPr>
              <w:t>量</w:t>
            </w:r>
          </w:p>
          <w:p>
            <w:pPr>
              <w:pStyle w:val="11"/>
              <w:rPr>
                <w:color w:val="auto"/>
              </w:rPr>
            </w:pPr>
            <w:r>
              <w:rPr>
                <w:color w:val="auto"/>
              </w:rPr>
              <w:t>控</w:t>
            </w:r>
          </w:p>
          <w:p>
            <w:pPr>
              <w:pStyle w:val="11"/>
              <w:rPr>
                <w:color w:val="auto"/>
              </w:rPr>
            </w:pPr>
            <w:r>
              <w:rPr>
                <w:color w:val="auto"/>
              </w:rPr>
              <w:t>制</w:t>
            </w:r>
          </w:p>
          <w:p>
            <w:pPr>
              <w:pStyle w:val="11"/>
              <w:rPr>
                <w:color w:val="auto"/>
              </w:rPr>
            </w:pPr>
            <w:r>
              <w:rPr>
                <w:color w:val="auto"/>
              </w:rPr>
              <w:t>指</w:t>
            </w:r>
          </w:p>
          <w:p>
            <w:pPr>
              <w:pStyle w:val="11"/>
              <w:rPr>
                <w:color w:val="auto"/>
              </w:rPr>
            </w:pPr>
            <w:r>
              <w:rPr>
                <w:color w:val="auto"/>
              </w:rPr>
              <w:t>标</w:t>
            </w:r>
          </w:p>
          <w:p>
            <w:pPr>
              <w:pStyle w:val="11"/>
              <w:rPr>
                <w:color w:val="auto"/>
              </w:rPr>
            </w:pPr>
          </w:p>
        </w:tc>
        <w:tc>
          <w:tcPr>
            <w:tcW w:w="8505" w:type="dxa"/>
            <w:vAlign w:val="center"/>
          </w:tcPr>
          <w:p>
            <w:pPr>
              <w:snapToGrid w:val="0"/>
              <w:ind w:firstLine="470" w:firstLineChars="196"/>
              <w:jc w:val="both"/>
              <w:rPr>
                <w:color w:val="auto"/>
                <w:szCs w:val="20"/>
              </w:rPr>
            </w:pPr>
            <w:r>
              <w:rPr>
                <w:rFonts w:hint="eastAsia"/>
                <w:color w:val="auto"/>
                <w:szCs w:val="20"/>
              </w:rPr>
              <w:t>本项目无生产废水产生和外排，生活污水经化粪池处理后由园区污水管网进入沅江市第二污水处理厂进行处理，因此无需设置废水总量控制指标。</w:t>
            </w:r>
          </w:p>
          <w:p>
            <w:pPr>
              <w:snapToGrid w:val="0"/>
              <w:ind w:firstLine="470" w:firstLineChars="196"/>
              <w:jc w:val="both"/>
              <w:rPr>
                <w:color w:val="auto"/>
                <w:szCs w:val="22"/>
              </w:rPr>
            </w:pPr>
            <w:r>
              <w:rPr>
                <w:rFonts w:hint="eastAsia"/>
                <w:color w:val="auto"/>
                <w:szCs w:val="22"/>
              </w:rPr>
              <w:t>建议大气污染物控制总量指标为：</w:t>
            </w:r>
            <w:r>
              <w:rPr>
                <w:rFonts w:hint="eastAsia"/>
                <w:color w:val="auto"/>
                <w:szCs w:val="22"/>
                <w:lang w:val="en-US" w:eastAsia="zh-CN"/>
              </w:rPr>
              <w:t>0.63</w:t>
            </w:r>
            <w:r>
              <w:rPr>
                <w:rFonts w:hint="eastAsia"/>
                <w:color w:val="auto"/>
                <w:szCs w:val="22"/>
              </w:rPr>
              <w:t>t/a。</w:t>
            </w:r>
          </w:p>
        </w:tc>
      </w:tr>
    </w:tbl>
    <w:p>
      <w:pPr>
        <w:ind w:firstLine="0" w:firstLineChars="0"/>
        <w:rPr>
          <w:rFonts w:eastAsia="黑体"/>
          <w:color w:val="auto"/>
          <w:sz w:val="28"/>
        </w:rPr>
        <w:sectPr>
          <w:pgSz w:w="11906" w:h="16838"/>
          <w:pgMar w:top="1304" w:right="1418" w:bottom="1304" w:left="1418" w:header="851" w:footer="794" w:gutter="0"/>
          <w:cols w:space="425" w:num="1"/>
          <w:docGrid w:type="lines" w:linePitch="312" w:charSpace="0"/>
        </w:sectPr>
      </w:pPr>
    </w:p>
    <w:p>
      <w:pPr>
        <w:pStyle w:val="4"/>
        <w:rPr>
          <w:color w:val="auto"/>
        </w:rPr>
      </w:pPr>
      <w:r>
        <w:rPr>
          <w:color w:val="auto"/>
        </w:rPr>
        <w:t>建设项目工程分析</w:t>
      </w:r>
    </w:p>
    <w:tbl>
      <w:tblPr>
        <w:tblStyle w:val="25"/>
        <w:tblW w:w="9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4" w:hRule="atLeast"/>
          <w:jc w:val="center"/>
        </w:trPr>
        <w:tc>
          <w:tcPr>
            <w:tcW w:w="9347" w:type="dxa"/>
          </w:tcPr>
          <w:p>
            <w:pPr>
              <w:ind w:firstLine="0" w:firstLineChars="0"/>
              <w:rPr>
                <w:rFonts w:eastAsia="黑体"/>
                <w:color w:val="auto"/>
              </w:rPr>
            </w:pPr>
            <w:r>
              <w:rPr>
                <w:rFonts w:eastAsia="黑体"/>
                <w:bCs/>
                <w:color w:val="auto"/>
              </w:rPr>
              <w:pict>
                <v:line id="Line 216" o:spid="_x0000_s1026" o:spt="20" style="position:absolute;left:0pt;margin-left:261.65pt;margin-top:-119.95pt;height:16.3pt;width:0.05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">
                  <v:path arrowok="t"/>
                  <v:fill focussize="0,0"/>
                  <v:stroke/>
                  <v:imagedata o:title=""/>
                  <o:lock v:ext="edit"/>
                </v:line>
              </w:pict>
            </w:r>
            <w:r>
              <w:rPr>
                <w:rFonts w:eastAsia="黑体"/>
                <w:bCs/>
                <w:color w:val="auto"/>
              </w:rPr>
              <w:pict>
                <v:line id="Line 215" o:spid="_x0000_s1047" o:spt="20" style="position:absolute;left:0pt;margin-left:207.65pt;margin-top:-119.95pt;height:16.3pt;width:0.05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">
                  <v:path arrowok="t"/>
                  <v:fill focussize="0,0"/>
                  <v:stroke/>
                  <v:imagedata o:title=""/>
                  <o:lock v:ext="edit"/>
                </v:line>
              </w:pict>
            </w:r>
            <w:r>
              <w:rPr>
                <w:rFonts w:eastAsia="黑体"/>
                <w:bCs/>
                <w:color w:val="auto"/>
              </w:rPr>
              <w:pict>
                <v:line id="Line 213" o:spid="_x0000_s1046" o:spt="20" style="position:absolute;left:0pt;margin-left:207.65pt;margin-top:-103.65pt;height:0.05pt;width:54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TFQIAACw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">
                  <v:path arrowok="t"/>
                  <v:fill focussize="0,0"/>
                  <v:stroke/>
                  <v:imagedata o:title=""/>
                  <o:lock v:ext="edit"/>
                </v:line>
              </w:pict>
            </w:r>
            <w:r>
              <w:rPr>
                <w:rFonts w:eastAsia="黑体"/>
                <w:bCs/>
                <w:color w:val="auto"/>
              </w:rPr>
              <w:pict>
                <v:line id="Line 212" o:spid="_x0000_s1045" o:spt="20" style="position:absolute;left:0pt;margin-left:387.65pt;margin-top:-128.1pt;height:16.3pt;width:0pt;z-index:2516582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WJwIAAEw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">
                  <v:path arrowok="t"/>
                  <v:fill focussize="0,0"/>
                  <v:stroke endarrow="block"/>
                  <v:imagedata o:title=""/>
                  <o:lock v:ext="edit"/>
                </v:line>
              </w:pict>
            </w:r>
            <w:r>
              <w:rPr>
                <w:rFonts w:eastAsia="黑体"/>
                <w:bCs/>
                <w:color w:val="auto"/>
              </w:rPr>
              <w:pict>
                <v:line id="Line 211" o:spid="_x0000_s1044" o:spt="20" style="position:absolute;left:0pt;margin-left:387.65pt;margin-top:-168.85pt;height:16.3pt;width:0pt;z-index:2516582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97JgIAAEw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">
                  <v:path arrowok="t"/>
                  <v:fill focussize="0,0"/>
                  <v:stroke endarrow="block"/>
                  <v:imagedata o:title=""/>
                  <o:lock v:ext="edit"/>
                </v:line>
              </w:pict>
            </w:r>
            <w:r>
              <w:rPr>
                <w:rFonts w:eastAsia="黑体"/>
                <w:bCs/>
                <w:color w:val="auto"/>
              </w:rPr>
              <w:pict>
                <v:shape id="Text Box 209" o:spid="_x0000_s1043" o:spt="202" type="#_x0000_t202" style="position:absolute;left:0pt;margin-left:249.65pt;margin-top:-144.4pt;height:24.45pt;width:96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&#1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焊接</w:t>
                        </w:r>
                      </w:p>
                    </w:txbxContent>
                  </v:textbox>
                </v:shape>
              </w:pict>
            </w:r>
            <w:r>
              <w:rPr>
                <w:rFonts w:eastAsia="黑体"/>
                <w:bCs/>
                <w:color w:val="auto"/>
              </w:rPr>
              <w:pict>
                <v:line id="Line 206" o:spid="_x0000_s1042" o:spt="20" style="position:absolute;left:0pt;flip:y;margin-left:387.65pt;margin-top:-209.6pt;height:16.3pt;width:0.0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">
                  <v:path arrowok="t"/>
                  <v:fill focussize="0,0"/>
                  <v:stroke endarrow="block"/>
                  <v:imagedata o:title=""/>
                  <o:lock v:ext="edit"/>
                </v:line>
              </w:pict>
            </w:r>
            <w:r>
              <w:rPr>
                <w:rFonts w:eastAsia="黑体"/>
                <w:bCs/>
                <w:color w:val="auto"/>
              </w:rPr>
              <w:pict>
                <v:shape id="Text Box 205" o:spid="_x0000_s1027" o:spt="202" type="#_x0000_t202" style="position:absolute;left:0pt;margin-left:369.65pt;margin-top:-234.05pt;height:24.45pt;width:42pt;z-index:251655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YXuw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">
                  <v:path/>
                  <v:fill on="f" focussize="0,0"/>
                  <v:stroke on="f" joinstyle="miter"/>
                  <v:imagedata o:title=""/>
                  <o:lock v:ext="edit"/>
                  <v:textbox>
                    <w:txbxContent>
                      <w:p>
                        <w:pPr>
                          <w:spacing w:line="240" w:lineRule="auto"/>
                          <w:ind w:firstLine="0" w:firstLineChars="0"/>
                          <w:jc w:val="center"/>
                          <w:rPr>
                            <w:sz w:val="21"/>
                            <w:szCs w:val="21"/>
                          </w:rPr>
                        </w:pPr>
                        <w:r>
                          <w:rPr>
                            <w:rFonts w:hint="eastAsia"/>
                            <w:sz w:val="21"/>
                            <w:szCs w:val="21"/>
                          </w:rPr>
                          <w:t>噪声</w:t>
                        </w:r>
                      </w:p>
                    </w:txbxContent>
                  </v:textbox>
                </v:shape>
              </w:pict>
            </w:r>
            <w:r>
              <w:rPr>
                <w:rFonts w:eastAsia="黑体"/>
                <w:bCs/>
                <w:color w:val="auto"/>
              </w:rPr>
              <w:pict>
                <v:line id="Line 204" o:spid="_x0000_s1041" o:spt="20" style="position:absolute;left:0pt;margin-left:219.65pt;margin-top:-128.1pt;height:0.05pt;width:30pt;z-index:2516541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CdKwIAAE4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">
                  <v:path arrowok="t"/>
                  <v:fill focussize="0,0"/>
                  <v:stroke endarrow="block"/>
                  <v:imagedata o:title=""/>
                  <o:lock v:ext="edit"/>
                </v:line>
              </w:pict>
            </w:r>
            <w:r>
              <w:rPr>
                <w:rFonts w:eastAsia="黑体"/>
                <w:bCs/>
                <w:color w:val="auto"/>
              </w:rPr>
              <w:pict>
                <v:shape id="Text Box 202" o:spid="_x0000_s1028" o:spt="202" type="#_x0000_t202" style="position:absolute;left:0pt;margin-left:279.65pt;margin-top:-234.05pt;height:24.45pt;width:42pt;z-index:2516531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43uAIAAMI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">
                  <v:path/>
                  <v:fill on="f" focussize="0,0"/>
                  <v:stroke on="f" joinstyle="miter"/>
                  <v:imagedata o:title=""/>
                  <o:lock v:ext="edit"/>
                  <v:textbox>
                    <w:txbxContent>
                      <w:p>
                        <w:pPr>
                          <w:spacing w:line="240" w:lineRule="auto"/>
                          <w:ind w:firstLine="0" w:firstLineChars="0"/>
                          <w:jc w:val="center"/>
                          <w:rPr>
                            <w:sz w:val="21"/>
                            <w:szCs w:val="21"/>
                          </w:rPr>
                        </w:pPr>
                        <w:r>
                          <w:rPr>
                            <w:rFonts w:hint="eastAsia"/>
                            <w:sz w:val="21"/>
                            <w:szCs w:val="21"/>
                          </w:rPr>
                          <w:t>噪声</w:t>
                        </w:r>
                      </w:p>
                    </w:txbxContent>
                  </v:textbox>
                </v:shape>
              </w:pict>
            </w:r>
            <w:r>
              <w:rPr>
                <w:rFonts w:eastAsia="黑体"/>
                <w:bCs/>
                <w:color w:val="auto"/>
              </w:rPr>
              <w:pict>
                <v:line id="Line 201" o:spid="_x0000_s1040" o:spt="20" style="position:absolute;left:0pt;flip:y;margin-left:297.65pt;margin-top:-209.6pt;height:16.3pt;width:0.05pt;z-index:2516520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">
                  <v:path arrowok="t"/>
                  <v:fill focussize="0,0"/>
                  <v:stroke endarrow="block"/>
                  <v:imagedata o:title=""/>
                  <o:lock v:ext="edit"/>
                </v:line>
              </w:pict>
            </w:r>
            <w:r>
              <w:rPr>
                <w:rFonts w:eastAsia="黑体"/>
                <w:bCs/>
                <w:color w:val="auto"/>
              </w:rPr>
              <w:pict>
                <v:shape id="Text Box 199" o:spid="_x0000_s1029" o:spt="202" type="#_x0000_t202" style="position:absolute;left:0pt;margin-left:369.65pt;margin-top:-152.55pt;height:24.45pt;width:42pt;z-index:2516510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&#1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成品</w:t>
                        </w:r>
                      </w:p>
                    </w:txbxContent>
                  </v:textbox>
                </v:shape>
              </w:pict>
            </w:r>
            <w:r>
              <w:rPr>
                <w:rFonts w:eastAsia="黑体"/>
                <w:bCs/>
                <w:color w:val="auto"/>
              </w:rPr>
              <w:pict>
                <v:shape id="Text Box 198" o:spid="_x0000_s1030" o:spt="202" type="#_x0000_t202" style="position:absolute;left:0pt;margin-left:369.65pt;margin-top:-193.3pt;height:24.45pt;width:42pt;z-index:2516500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&#1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调试</w:t>
                        </w:r>
                      </w:p>
                    </w:txbxContent>
                  </v:textbox>
                </v:shape>
              </w:pict>
            </w:r>
            <w:r>
              <w:rPr>
                <w:rFonts w:eastAsia="黑体"/>
                <w:bCs/>
                <w:color w:val="auto"/>
              </w:rPr>
              <w:pict>
                <v:line id="Line 197" o:spid="_x0000_s1039" o:spt="20" style="position:absolute;left:0pt;margin-left:123.65pt;margin-top:-128.1pt;height:0.05pt;width:36pt;z-index:251649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EKwIAAE4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">
                  <v:path arrowok="t"/>
                  <v:fill focussize="0,0"/>
                  <v:stroke endarrow="block"/>
                  <v:imagedata o:title=""/>
                  <o:lock v:ext="edit"/>
                </v:line>
              </w:pict>
            </w:r>
            <w:r>
              <w:rPr>
                <w:rFonts w:eastAsia="黑体"/>
                <w:bCs/>
                <w:color w:val="auto"/>
              </w:rPr>
              <w:pict>
                <v:line id="Line 196" o:spid="_x0000_s1038" o:spt="20" style="position:absolute;left:0pt;margin-left:123.65pt;margin-top:-177pt;height:48.9pt;width:0.05pt;z-index:2516480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">
                  <v:path arrowok="t"/>
                  <v:fill focussize="0,0"/>
                  <v:stroke/>
                  <v:imagedata o:title=""/>
                  <o:lock v:ext="edit"/>
                </v:line>
              </w:pict>
            </w:r>
            <w:r>
              <w:rPr>
                <w:rFonts w:eastAsia="黑体"/>
                <w:bCs/>
                <w:color w:val="auto"/>
              </w:rPr>
              <w:pict>
                <v:line id="Line 195" o:spid="_x0000_s1037" o:spt="20" style="position:absolute;left:0pt;margin-left:321.65pt;margin-top:-177pt;height:0.05pt;width:48pt;z-index:2516469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xqLQIAAE4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">
                  <v:path arrowok="t"/>
                  <v:fill focussize="0,0"/>
                  <v:stroke endarrow="block"/>
                  <v:imagedata o:title=""/>
                  <o:lock v:ext="edit"/>
                </v:line>
              </w:pict>
            </w:r>
            <w:r>
              <w:rPr>
                <w:rFonts w:eastAsia="黑体"/>
                <w:bCs/>
                <w:color w:val="auto"/>
              </w:rPr>
              <w:pict>
                <v:line id="Line 194" o:spid="_x0000_s1036" o:spt="20" style="position:absolute;left:0pt;flip:y;margin-left:297.65pt;margin-top:-168.85pt;height:24.45pt;width:0.05pt;z-index:2516459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">
                  <v:path arrowok="t"/>
                  <v:fill focussize="0,0"/>
                  <v:stroke endarrow="block"/>
                  <v:imagedata o:title=""/>
                  <o:lock v:ext="edit"/>
                </v:line>
              </w:pict>
            </w:r>
            <w:r>
              <w:rPr>
                <w:rFonts w:eastAsia="黑体"/>
                <w:bCs/>
                <w:color w:val="auto"/>
              </w:rPr>
              <w:pict>
                <v:shape id="Text Box 193" o:spid="_x0000_s1031" o:spt="202" type="#_x0000_t202" style="position:absolute;left:0pt;margin-left:159.65pt;margin-top:-144.4pt;height:24.45pt;width:60pt;z-index:2516449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&#1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切割</w:t>
                        </w:r>
                      </w:p>
                    </w:txbxContent>
                  </v:textbox>
                </v:shape>
              </w:pict>
            </w:r>
            <w:r>
              <w:rPr>
                <w:rFonts w:eastAsia="黑体"/>
                <w:bCs/>
                <w:color w:val="auto"/>
              </w:rPr>
              <w:pict>
                <v:shape id="Text Box 192" o:spid="_x0000_s1032" o:spt="202" type="#_x0000_t202" style="position:absolute;left:0pt;margin-left:279.65pt;margin-top:-193.3pt;height:24.45pt;width:42pt;z-index:2516439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CRLgIAAFkEAAAOAAAAZHJzL2Uyb0RvYy54bWysVNtu2zAMfR+wfxD0vviSpGu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&#1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组装</w:t>
                        </w:r>
                      </w:p>
                    </w:txbxContent>
                  </v:textbox>
                </v:shape>
              </w:pict>
            </w:r>
            <w:r>
              <w:rPr>
                <w:rFonts w:eastAsia="黑体"/>
                <w:bCs/>
                <w:color w:val="auto"/>
              </w:rPr>
              <w:pict>
                <v:line id="Line 191" o:spid="_x0000_s1035" o:spt="20" style="position:absolute;left:0pt;margin-left:93.65pt;margin-top:-177pt;height:0.05pt;width:186pt;z-index:2516428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RAKwIAAE8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">
                  <v:path arrowok="t"/>
                  <v:fill focussize="0,0"/>
                  <v:stroke endarrow="block"/>
                  <v:imagedata o:title=""/>
                  <o:lock v:ext="edit"/>
                </v:line>
              </w:pict>
            </w:r>
            <w:r>
              <w:rPr>
                <w:rFonts w:eastAsia="黑体"/>
                <w:bCs/>
                <w:color w:val="auto"/>
              </w:rPr>
              <w:pict>
                <v:shape id="Text Box 190" o:spid="_x0000_s1033" o:spt="202" type="#_x0000_t202" style="position:absolute;left:0pt;margin-left:45.65pt;margin-top:-225.9pt;height:105.95pt;width:48pt;z-index:2516418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&#1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电机</w:t>
                        </w:r>
                      </w:p>
                      <w:p>
                        <w:pPr>
                          <w:spacing w:line="240" w:lineRule="auto"/>
                          <w:ind w:firstLine="0" w:firstLineChars="0"/>
                          <w:jc w:val="center"/>
                          <w:rPr>
                            <w:sz w:val="21"/>
                            <w:szCs w:val="21"/>
                          </w:rPr>
                        </w:pPr>
                        <w:r>
                          <w:rPr>
                            <w:rFonts w:hint="eastAsia"/>
                            <w:sz w:val="21"/>
                            <w:szCs w:val="21"/>
                          </w:rPr>
                          <w:t>油泵</w:t>
                        </w:r>
                      </w:p>
                      <w:p>
                        <w:pPr>
                          <w:spacing w:line="240" w:lineRule="auto"/>
                          <w:ind w:firstLine="0" w:firstLineChars="0"/>
                          <w:jc w:val="center"/>
                          <w:rPr>
                            <w:sz w:val="21"/>
                            <w:szCs w:val="21"/>
                          </w:rPr>
                        </w:pPr>
                        <w:r>
                          <w:rPr>
                            <w:rFonts w:hint="eastAsia"/>
                            <w:sz w:val="21"/>
                            <w:szCs w:val="21"/>
                          </w:rPr>
                          <w:t>阀</w:t>
                        </w:r>
                      </w:p>
                      <w:p>
                        <w:pPr>
                          <w:spacing w:line="240" w:lineRule="auto"/>
                          <w:ind w:firstLine="0" w:firstLineChars="0"/>
                          <w:jc w:val="center"/>
                          <w:rPr>
                            <w:sz w:val="21"/>
                            <w:szCs w:val="21"/>
                          </w:rPr>
                        </w:pPr>
                        <w:r>
                          <w:rPr>
                            <w:rFonts w:hint="eastAsia"/>
                            <w:sz w:val="21"/>
                            <w:szCs w:val="21"/>
                          </w:rPr>
                          <w:t>料缸</w:t>
                        </w:r>
                      </w:p>
                      <w:p>
                        <w:pPr>
                          <w:spacing w:line="240" w:lineRule="auto"/>
                          <w:ind w:firstLine="0" w:firstLineChars="0"/>
                          <w:jc w:val="center"/>
                          <w:rPr>
                            <w:sz w:val="21"/>
                            <w:szCs w:val="21"/>
                          </w:rPr>
                        </w:pPr>
                        <w:r>
                          <w:rPr>
                            <w:rFonts w:hint="eastAsia"/>
                            <w:sz w:val="21"/>
                            <w:szCs w:val="21"/>
                          </w:rPr>
                          <w:t>油缸</w:t>
                        </w:r>
                      </w:p>
                      <w:p>
                        <w:pPr>
                          <w:spacing w:line="240" w:lineRule="auto"/>
                          <w:ind w:firstLine="0" w:firstLineChars="0"/>
                          <w:jc w:val="center"/>
                          <w:rPr>
                            <w:sz w:val="21"/>
                            <w:szCs w:val="21"/>
                          </w:rPr>
                        </w:pPr>
                        <w:r>
                          <w:rPr>
                            <w:rFonts w:hint="eastAsia"/>
                            <w:sz w:val="21"/>
                            <w:szCs w:val="21"/>
                            <w:highlight w:val="yellow"/>
                          </w:rPr>
                          <w:t>架</w:t>
                        </w:r>
                      </w:p>
                    </w:txbxContent>
                  </v:textbox>
                </v:shape>
              </w:pict>
            </w:r>
            <w:r>
              <w:rPr>
                <w:rFonts w:eastAsia="黑体"/>
                <w:bCs/>
                <w:color w:val="auto"/>
              </w:rPr>
              <w:t>工艺流程简述（图示）：</w:t>
            </w:r>
          </w:p>
          <w:p>
            <w:pPr>
              <w:adjustRightInd w:val="0"/>
              <w:snapToGrid w:val="0"/>
              <w:ind w:firstLine="470" w:firstLineChars="196"/>
              <w:jc w:val="both"/>
              <w:rPr>
                <w:color w:val="auto"/>
                <w:szCs w:val="20"/>
              </w:rPr>
            </w:pPr>
            <w:r>
              <w:rPr>
                <w:rFonts w:eastAsia="黑体"/>
                <w:bCs/>
                <w:color w:val="auto"/>
              </w:rPr>
              <w:pict>
                <v:rect id="Rectangle 110" o:spid="_x0000_s1080" o:spt="1" style="position:absolute;left:0pt;margin-left:170.1pt;margin-top:45.25pt;height:22.9pt;width:101pt;z-index:251662336;mso-width-relative:page;mso-height-relative:page;" filled="f" coordsize="21600,21600">
                  <v:path/>
                  <v:fill on="f" focussize="0,0"/>
                  <v:stroke weight="1.25pt"/>
                  <v:imagedata o:title=""/>
                  <o:lock v:ext="edit"/>
                  <v:textbox>
                    <w:txbxContent>
                      <w:p>
                        <w:pPr>
                          <w:spacing w:line="240" w:lineRule="auto"/>
                          <w:ind w:firstLine="0" w:firstLineChars="0"/>
                          <w:rPr>
                            <w:szCs w:val="21"/>
                          </w:rPr>
                        </w:pPr>
                        <w:r>
                          <w:rPr>
                            <w:rFonts w:hint="eastAsia"/>
                            <w:szCs w:val="21"/>
                          </w:rPr>
                          <w:t>装修、设备安装</w:t>
                        </w:r>
                      </w:p>
                    </w:txbxContent>
                  </v:textbox>
                </v:rect>
              </w:pict>
            </w:r>
            <w:r>
              <w:rPr>
                <w:color w:val="auto"/>
                <w:szCs w:val="20"/>
              </w:rPr>
              <w:t>根据建设项目的特点，项目对周围环境的影响大致可分为两个阶段：建设阶段（即施工期）和投入使用阶段（即营运期），工艺流程如下：</w:t>
            </w:r>
          </w:p>
          <w:p>
            <w:pPr>
              <w:adjustRightInd w:val="0"/>
              <w:snapToGrid w:val="0"/>
              <w:ind w:firstLine="472" w:firstLineChars="196"/>
              <w:jc w:val="both"/>
              <w:rPr>
                <w:color w:val="auto"/>
                <w:szCs w:val="20"/>
              </w:rPr>
            </w:pPr>
            <w:r>
              <w:rPr>
                <w:b/>
                <w:color w:val="auto"/>
                <w:szCs w:val="20"/>
              </w:rPr>
              <w:pict>
                <v:shape id="_x0000_s1081" o:spid="_x0000_s1081" o:spt="202" type="#_x0000_t202" style="position:absolute;left:0pt;margin-left:163.35pt;margin-top:15.15pt;height:23.2pt;width:107.75pt;z-index:251663360;mso-width-relative:page;mso-height-relative:page;" filled="f" stroked="f" coordsize="21600,21600">
                  <v:path/>
                  <v:fill on="f" focussize="0,0"/>
                  <v:stroke on="f" joinstyle="miter"/>
                  <v:imagedata o:title=""/>
                  <o:lock v:ext="edit"/>
                  <v:textbox>
                    <w:txbxContent>
                      <w:p>
                        <w:pPr>
                          <w:spacing w:line="240" w:lineRule="auto"/>
                          <w:ind w:firstLine="0" w:firstLineChars="0"/>
                        </w:pPr>
                        <w:r>
                          <w:rPr>
                            <w:rFonts w:hint="eastAsia"/>
                          </w:rPr>
                          <w:t>噪声、固废、废气</w:t>
                        </w:r>
                      </w:p>
                      <w:p>
                        <w:pPr>
                          <w:spacing w:line="240" w:lineRule="auto"/>
                          <w:ind w:firstLine="0" w:firstLineChars="0"/>
                        </w:pPr>
                      </w:p>
                    </w:txbxContent>
                  </v:textbox>
                </v:shape>
              </w:pict>
            </w:r>
          </w:p>
          <w:p>
            <w:pPr>
              <w:snapToGrid w:val="0"/>
              <w:ind w:firstLine="0" w:firstLineChars="0"/>
              <w:jc w:val="both"/>
              <w:rPr>
                <w:b/>
                <w:color w:val="auto"/>
                <w:szCs w:val="20"/>
              </w:rPr>
            </w:pPr>
          </w:p>
          <w:p>
            <w:pPr>
              <w:snapToGrid w:val="0"/>
              <w:ind w:firstLine="0" w:firstLineChars="0"/>
              <w:jc w:val="center"/>
              <w:rPr>
                <w:b/>
                <w:color w:val="auto"/>
                <w:szCs w:val="20"/>
              </w:rPr>
            </w:pPr>
            <w:r>
              <w:rPr>
                <w:rFonts w:hint="eastAsia"/>
                <w:b/>
                <w:color w:val="auto"/>
                <w:szCs w:val="20"/>
              </w:rPr>
              <w:t>图5-1 施工期</w:t>
            </w:r>
            <w:r>
              <w:rPr>
                <w:rFonts w:eastAsia="黑体"/>
                <w:bCs/>
                <w:color w:val="auto"/>
              </w:rPr>
              <w:t>工艺流程</w:t>
            </w:r>
            <w:r>
              <w:rPr>
                <w:rFonts w:hint="eastAsia" w:eastAsia="黑体"/>
                <w:bCs/>
                <w:color w:val="auto"/>
              </w:rPr>
              <w:t>图</w:t>
            </w:r>
          </w:p>
          <w:p>
            <w:pPr>
              <w:snapToGrid w:val="0"/>
              <w:ind w:firstLine="0" w:firstLineChars="0"/>
              <w:jc w:val="both"/>
              <w:rPr>
                <w:b/>
                <w:color w:val="auto"/>
                <w:szCs w:val="20"/>
              </w:rPr>
            </w:pPr>
            <w:r>
              <w:rPr>
                <w:rFonts w:hint="eastAsia"/>
                <w:b/>
                <w:color w:val="auto"/>
                <w:szCs w:val="20"/>
              </w:rPr>
              <w:t>一、</w:t>
            </w:r>
            <w:r>
              <w:rPr>
                <w:b/>
                <w:color w:val="auto"/>
                <w:szCs w:val="20"/>
              </w:rPr>
              <w:t>施工期</w:t>
            </w:r>
          </w:p>
          <w:p>
            <w:pPr>
              <w:adjustRightInd w:val="0"/>
              <w:snapToGrid w:val="0"/>
              <w:ind w:firstLine="480"/>
              <w:rPr>
                <w:color w:val="auto"/>
                <w:szCs w:val="22"/>
              </w:rPr>
            </w:pPr>
            <w:r>
              <w:rPr>
                <w:rFonts w:hint="eastAsia"/>
                <w:color w:val="auto"/>
                <w:szCs w:val="22"/>
              </w:rPr>
              <w:t>拟建项目采用租赁经开区标准厂房进行建设，现场勘查可知标准厂房结构完整，建筑质量可靠，地板平整，已通水、通电，无需进行大的修缮改造工作，施工期主要工作内容和基本建设流程如下：</w:t>
            </w:r>
          </w:p>
          <w:p>
            <w:pPr>
              <w:pStyle w:val="61"/>
              <w:adjustRightInd w:val="0"/>
              <w:snapToGrid w:val="0"/>
              <w:ind w:left="480" w:firstLine="0" w:firstLineChars="0"/>
              <w:rPr>
                <w:color w:val="auto"/>
                <w:szCs w:val="22"/>
              </w:rPr>
            </w:pPr>
            <w:r>
              <w:rPr>
                <w:color w:val="auto"/>
                <w:szCs w:val="22"/>
              </w:rPr>
              <w:t>1、室内修整。</w:t>
            </w:r>
          </w:p>
          <w:p>
            <w:pPr>
              <w:adjustRightInd w:val="0"/>
              <w:snapToGrid w:val="0"/>
              <w:ind w:firstLine="480"/>
              <w:rPr>
                <w:color w:val="auto"/>
                <w:szCs w:val="22"/>
              </w:rPr>
            </w:pPr>
            <w:r>
              <w:rPr>
                <w:color w:val="auto"/>
                <w:szCs w:val="22"/>
              </w:rPr>
              <w:t>2、设备安装。将所有生产设备、环保设备按指定的安装单元与位置，按生产布局进行组织安装。</w:t>
            </w:r>
          </w:p>
          <w:p>
            <w:pPr>
              <w:adjustRightInd w:val="0"/>
              <w:snapToGrid w:val="0"/>
              <w:ind w:firstLine="480"/>
              <w:rPr>
                <w:color w:val="auto"/>
                <w:szCs w:val="22"/>
              </w:rPr>
            </w:pPr>
            <w:r>
              <w:rPr>
                <w:color w:val="auto"/>
                <w:szCs w:val="22"/>
              </w:rPr>
              <w:t>3、调试</w:t>
            </w:r>
            <w:r>
              <w:rPr>
                <w:rFonts w:hint="eastAsia"/>
                <w:color w:val="auto"/>
                <w:szCs w:val="22"/>
              </w:rPr>
              <w:t>运行。</w:t>
            </w:r>
          </w:p>
          <w:p>
            <w:pPr>
              <w:adjustRightInd w:val="0"/>
              <w:snapToGrid w:val="0"/>
              <w:ind w:firstLine="480"/>
              <w:rPr>
                <w:color w:val="auto"/>
                <w:szCs w:val="22"/>
              </w:rPr>
            </w:pPr>
            <w:r>
              <w:rPr>
                <w:rFonts w:hint="eastAsia"/>
                <w:color w:val="auto"/>
                <w:szCs w:val="22"/>
              </w:rPr>
              <w:t>从上述施工期主要工程建设内容及规模分析可知，项目工程量较小，预计施工建设期为1个月，最大施工人员约10人，施工期间不设施工营地。主要污染源简析如下：</w:t>
            </w:r>
          </w:p>
          <w:p>
            <w:pPr>
              <w:adjustRightInd w:val="0"/>
              <w:snapToGrid w:val="0"/>
              <w:ind w:firstLine="480"/>
              <w:rPr>
                <w:color w:val="auto"/>
                <w:szCs w:val="22"/>
              </w:rPr>
            </w:pPr>
            <w:r>
              <w:rPr>
                <w:rFonts w:hint="eastAsia"/>
                <w:color w:val="auto"/>
                <w:szCs w:val="22"/>
              </w:rPr>
              <w:t>●</w:t>
            </w:r>
            <w:r>
              <w:rPr>
                <w:rFonts w:hint="eastAsia"/>
                <w:color w:val="auto"/>
                <w:szCs w:val="22"/>
              </w:rPr>
              <w:tab/>
            </w:r>
            <w:r>
              <w:rPr>
                <w:rFonts w:hint="eastAsia"/>
                <w:color w:val="auto"/>
                <w:szCs w:val="22"/>
              </w:rPr>
              <w:t>施工固废。主要为废弃的复合板材、钢板钢管等金属边角余料、包装材料，以及少量的生活垃圾和废油漆桶等，因施工工程量少，产生量也小。</w:t>
            </w:r>
          </w:p>
          <w:p>
            <w:pPr>
              <w:adjustRightInd w:val="0"/>
              <w:snapToGrid w:val="0"/>
              <w:ind w:firstLine="480"/>
              <w:rPr>
                <w:color w:val="auto"/>
                <w:szCs w:val="22"/>
              </w:rPr>
            </w:pPr>
            <w:r>
              <w:rPr>
                <w:rFonts w:hint="eastAsia"/>
                <w:color w:val="auto"/>
                <w:szCs w:val="22"/>
              </w:rPr>
              <w:t>●</w:t>
            </w:r>
            <w:r>
              <w:rPr>
                <w:rFonts w:hint="eastAsia"/>
                <w:color w:val="auto"/>
                <w:szCs w:val="22"/>
              </w:rPr>
              <w:tab/>
            </w:r>
            <w:r>
              <w:rPr>
                <w:rFonts w:hint="eastAsia"/>
                <w:color w:val="auto"/>
                <w:szCs w:val="22"/>
              </w:rPr>
              <w:t>施工废气。施工期间无土建，室内修整作业产生少量板材切割粉尘，以及钢结构焊接、防腐装修废气。</w:t>
            </w:r>
          </w:p>
          <w:p>
            <w:pPr>
              <w:adjustRightInd w:val="0"/>
              <w:snapToGrid w:val="0"/>
              <w:ind w:firstLine="480"/>
              <w:rPr>
                <w:color w:val="auto"/>
                <w:szCs w:val="22"/>
              </w:rPr>
            </w:pPr>
            <w:r>
              <w:rPr>
                <w:rFonts w:hint="eastAsia"/>
                <w:color w:val="auto"/>
                <w:szCs w:val="22"/>
              </w:rPr>
              <w:t>●</w:t>
            </w:r>
            <w:r>
              <w:rPr>
                <w:rFonts w:hint="eastAsia"/>
                <w:color w:val="auto"/>
                <w:szCs w:val="22"/>
              </w:rPr>
              <w:tab/>
            </w:r>
            <w:r>
              <w:rPr>
                <w:rFonts w:hint="eastAsia"/>
                <w:color w:val="auto"/>
                <w:szCs w:val="22"/>
              </w:rPr>
              <w:t>施工废水。施工期除施工人员洗刷、如厕等生活废水外，无其它废水产生。</w:t>
            </w:r>
          </w:p>
          <w:p>
            <w:pPr>
              <w:adjustRightInd w:val="0"/>
              <w:snapToGrid w:val="0"/>
              <w:ind w:firstLine="480"/>
              <w:rPr>
                <w:color w:val="auto"/>
                <w:szCs w:val="22"/>
              </w:rPr>
            </w:pPr>
            <w:r>
              <w:rPr>
                <w:rFonts w:hint="eastAsia"/>
                <w:color w:val="auto"/>
                <w:szCs w:val="22"/>
              </w:rPr>
              <w:t>●</w:t>
            </w:r>
            <w:r>
              <w:rPr>
                <w:rFonts w:hint="eastAsia"/>
                <w:color w:val="auto"/>
                <w:szCs w:val="22"/>
              </w:rPr>
              <w:tab/>
            </w:r>
            <w:r>
              <w:rPr>
                <w:rFonts w:hint="eastAsia"/>
                <w:color w:val="auto"/>
                <w:szCs w:val="22"/>
              </w:rPr>
              <w:t>施工噪声。施工期不涉及土建，不使用大型施工设备，主要声源为室内修整时产生的间歇性敲打、锤击、钻孔、切割噪声。</w:t>
            </w:r>
          </w:p>
          <w:p>
            <w:pPr>
              <w:adjustRightInd w:val="0"/>
              <w:snapToGrid w:val="0"/>
              <w:ind w:firstLine="480"/>
              <w:rPr>
                <w:color w:val="auto"/>
                <w:szCs w:val="20"/>
              </w:rPr>
            </w:pPr>
            <w:r>
              <w:rPr>
                <w:rFonts w:hint="eastAsia"/>
                <w:color w:val="auto"/>
                <w:szCs w:val="22"/>
              </w:rPr>
              <w:t>总体来讲，由于施工期短、施工工程量小、施工作业的非连续性等特点，施工期各污染源及污染物的产排情况都十分轻微，施工期污染物排放源强只进行上述定性分析。对周围的环境影响较小，</w:t>
            </w:r>
            <w:r>
              <w:rPr>
                <w:color w:val="auto"/>
                <w:szCs w:val="22"/>
              </w:rPr>
              <w:t>本次环评不对施工期进行</w:t>
            </w:r>
            <w:r>
              <w:rPr>
                <w:rFonts w:hint="eastAsia"/>
                <w:color w:val="auto"/>
                <w:szCs w:val="22"/>
              </w:rPr>
              <w:t>影响预测</w:t>
            </w:r>
            <w:r>
              <w:rPr>
                <w:color w:val="auto"/>
                <w:szCs w:val="22"/>
              </w:rPr>
              <w:t>分析。</w:t>
            </w:r>
          </w:p>
          <w:p>
            <w:pPr>
              <w:snapToGrid w:val="0"/>
              <w:ind w:firstLine="0" w:firstLineChars="0"/>
              <w:jc w:val="both"/>
              <w:rPr>
                <w:b/>
                <w:color w:val="auto"/>
                <w:szCs w:val="20"/>
              </w:rPr>
            </w:pPr>
            <w:r>
              <w:rPr>
                <w:rFonts w:hint="eastAsia"/>
                <w:b/>
                <w:color w:val="auto"/>
                <w:szCs w:val="20"/>
              </w:rPr>
              <w:t>二、</w:t>
            </w:r>
            <w:r>
              <w:rPr>
                <w:b/>
                <w:color w:val="auto"/>
                <w:szCs w:val="20"/>
              </w:rPr>
              <w:t>营运期</w:t>
            </w:r>
          </w:p>
          <w:p>
            <w:pPr>
              <w:snapToGrid w:val="0"/>
              <w:ind w:firstLine="0" w:firstLineChars="0"/>
              <w:jc w:val="center"/>
              <w:rPr>
                <w:b/>
                <w:color w:val="auto"/>
                <w:szCs w:val="20"/>
                <w:u w:val="single"/>
              </w:rPr>
            </w:pPr>
            <w:r>
              <w:rPr>
                <w:color w:val="auto"/>
                <w:u w:val="single"/>
              </w:rPr>
              <w:drawing>
                <wp:inline distT="0" distB="0" distL="114300" distR="114300">
                  <wp:extent cx="5429885" cy="1123950"/>
                  <wp:effectExtent l="0" t="0" r="1841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cstate="print"/>
                          <a:stretch>
                            <a:fillRect/>
                          </a:stretch>
                        </pic:blipFill>
                        <pic:spPr>
                          <a:xfrm>
                            <a:off x="0" y="0"/>
                            <a:ext cx="5429885" cy="1123950"/>
                          </a:xfrm>
                          <a:prstGeom prst="rect">
                            <a:avLst/>
                          </a:prstGeom>
                          <a:noFill/>
                          <a:ln>
                            <a:noFill/>
                          </a:ln>
                        </pic:spPr>
                      </pic:pic>
                    </a:graphicData>
                  </a:graphic>
                </wp:inline>
              </w:drawing>
            </w:r>
          </w:p>
          <w:p>
            <w:pPr>
              <w:spacing w:line="240" w:lineRule="auto"/>
              <w:ind w:firstLine="0" w:firstLineChars="0"/>
              <w:jc w:val="center"/>
              <w:rPr>
                <w:b/>
                <w:bCs/>
                <w:color w:val="auto"/>
                <w:szCs w:val="20"/>
                <w:u w:val="single"/>
              </w:rPr>
            </w:pPr>
            <w:r>
              <w:rPr>
                <w:rFonts w:hint="eastAsia"/>
                <w:b/>
                <w:bCs/>
                <w:color w:val="auto"/>
                <w:szCs w:val="20"/>
                <w:u w:val="single"/>
              </w:rPr>
              <w:t>（注：G为废气；N为噪声；S为固废）</w:t>
            </w:r>
          </w:p>
          <w:p>
            <w:pPr>
              <w:spacing w:line="240" w:lineRule="auto"/>
              <w:ind w:firstLine="0" w:firstLineChars="0"/>
              <w:jc w:val="center"/>
              <w:rPr>
                <w:color w:val="auto"/>
                <w:szCs w:val="20"/>
                <w:u w:val="single"/>
              </w:rPr>
            </w:pPr>
            <w:r>
              <w:rPr>
                <w:rFonts w:hint="eastAsia"/>
                <w:b/>
                <w:bCs/>
                <w:color w:val="auto"/>
                <w:szCs w:val="20"/>
                <w:u w:val="single"/>
              </w:rPr>
              <w:t>图5-2  项目生产工艺流程及产污图</w:t>
            </w:r>
          </w:p>
          <w:p>
            <w:pPr>
              <w:snapToGrid w:val="0"/>
              <w:spacing w:beforeLines="50"/>
              <w:ind w:firstLine="0" w:firstLineChars="0"/>
              <w:jc w:val="both"/>
              <w:rPr>
                <w:rFonts w:hAnsi="宋体"/>
                <w:b/>
                <w:color w:val="auto"/>
                <w:szCs w:val="20"/>
                <w:u w:val="single"/>
              </w:rPr>
            </w:pPr>
            <w:r>
              <w:rPr>
                <w:rFonts w:hint="eastAsia" w:hAnsi="宋体"/>
                <w:b/>
                <w:color w:val="auto"/>
                <w:szCs w:val="20"/>
                <w:u w:val="single"/>
              </w:rPr>
              <w:t>1、生产工艺流程简述：</w:t>
            </w:r>
          </w:p>
          <w:p>
            <w:pPr>
              <w:snapToGrid w:val="0"/>
              <w:ind w:firstLine="470" w:firstLineChars="196"/>
              <w:jc w:val="both"/>
              <w:rPr>
                <w:rFonts w:hAnsi="宋体"/>
                <w:color w:val="auto"/>
                <w:szCs w:val="20"/>
                <w:u w:val="single"/>
              </w:rPr>
            </w:pPr>
            <w:r>
              <w:rPr>
                <w:rFonts w:hint="eastAsia" w:hAnsi="宋体"/>
                <w:color w:val="auto"/>
                <w:szCs w:val="20"/>
                <w:u w:val="single"/>
              </w:rPr>
              <w:t>（1）制版由厂外委托第三方处理。</w:t>
            </w:r>
          </w:p>
          <w:p>
            <w:pPr>
              <w:snapToGrid w:val="0"/>
              <w:ind w:firstLine="470" w:firstLineChars="196"/>
              <w:jc w:val="both"/>
              <w:rPr>
                <w:rFonts w:hAnsi="宋体"/>
                <w:color w:val="auto"/>
                <w:szCs w:val="20"/>
                <w:u w:val="single"/>
              </w:rPr>
            </w:pPr>
            <w:r>
              <w:rPr>
                <w:rFonts w:hint="eastAsia" w:hAnsi="宋体"/>
                <w:color w:val="auto"/>
                <w:szCs w:val="20"/>
                <w:u w:val="single"/>
              </w:rPr>
              <w:t>（2）原材料检验</w:t>
            </w:r>
          </w:p>
          <w:p>
            <w:pPr>
              <w:snapToGrid w:val="0"/>
              <w:ind w:firstLine="470" w:firstLineChars="196"/>
              <w:jc w:val="both"/>
              <w:rPr>
                <w:rFonts w:hAnsi="宋体"/>
                <w:color w:val="auto"/>
                <w:szCs w:val="20"/>
                <w:u w:val="single"/>
              </w:rPr>
            </w:pPr>
            <w:r>
              <w:rPr>
                <w:rFonts w:hint="eastAsia" w:hAnsi="宋体"/>
                <w:color w:val="auto"/>
                <w:szCs w:val="20"/>
                <w:u w:val="single"/>
              </w:rPr>
              <w:t>项目原材料入场后，应首先检验原材料品质，观察原材料的颜色是否跟样版一致，透明度是否达标，检查原材料里是否有杂质，粉尘是否超标，原材料是否附有法定检验机构的合格检验报告。</w:t>
            </w:r>
          </w:p>
          <w:p>
            <w:pPr>
              <w:snapToGrid w:val="0"/>
              <w:ind w:firstLine="470" w:firstLineChars="196"/>
              <w:jc w:val="both"/>
              <w:rPr>
                <w:rFonts w:hAnsi="宋体"/>
                <w:color w:val="auto"/>
                <w:szCs w:val="20"/>
                <w:u w:val="single"/>
              </w:rPr>
            </w:pPr>
            <w:r>
              <w:rPr>
                <w:rFonts w:hint="eastAsia" w:hAnsi="宋体"/>
                <w:color w:val="auto"/>
                <w:szCs w:val="20"/>
                <w:u w:val="single"/>
              </w:rPr>
              <w:t>（3）印刷</w:t>
            </w:r>
          </w:p>
          <w:p>
            <w:pPr>
              <w:snapToGrid w:val="0"/>
              <w:ind w:firstLine="470" w:firstLineChars="196"/>
              <w:jc w:val="both"/>
              <w:rPr>
                <w:rFonts w:hAnsi="宋体"/>
                <w:color w:val="auto"/>
                <w:szCs w:val="20"/>
                <w:u w:val="single"/>
              </w:rPr>
            </w:pPr>
            <w:r>
              <w:rPr>
                <w:rFonts w:hint="eastAsia" w:hAnsi="宋体"/>
                <w:color w:val="auto"/>
                <w:szCs w:val="20"/>
                <w:u w:val="single"/>
              </w:rPr>
              <w:t>根据产品要求备好原材料、油墨和稀释溶剂并核准其数量，按工艺要求配备相应型号的油墨与溶剂，机台调墨工将所配好的油墨上机，测好粘度，核对后再微调校准色相。项目采用多次连续印刷方式，每套版辊对应一套色系，先印刷一种色系，再进入下一版辊印刷另一种色系。各需印刷区域按照相应要求完成印刷后收卷。在此过程中，会因油墨中物质挥发而产生一定量的挥发性有机废气，设备运转会产生一定量的噪声。</w:t>
            </w:r>
          </w:p>
          <w:p>
            <w:pPr>
              <w:snapToGrid w:val="0"/>
              <w:ind w:firstLine="470" w:firstLineChars="196"/>
              <w:jc w:val="both"/>
              <w:rPr>
                <w:rFonts w:hAnsi="宋体"/>
                <w:color w:val="auto"/>
                <w:szCs w:val="20"/>
                <w:u w:val="single"/>
              </w:rPr>
            </w:pPr>
            <w:r>
              <w:rPr>
                <w:rFonts w:hint="eastAsia" w:hAnsi="宋体"/>
                <w:color w:val="auto"/>
                <w:szCs w:val="20"/>
                <w:u w:val="single"/>
              </w:rPr>
              <w:t>（4）复合</w:t>
            </w:r>
          </w:p>
          <w:p>
            <w:pPr>
              <w:snapToGrid w:val="0"/>
              <w:ind w:firstLine="470" w:firstLineChars="196"/>
              <w:jc w:val="both"/>
              <w:rPr>
                <w:rFonts w:hAnsi="宋体"/>
                <w:color w:val="auto"/>
                <w:szCs w:val="20"/>
                <w:u w:val="single"/>
              </w:rPr>
            </w:pPr>
            <w:r>
              <w:rPr>
                <w:rFonts w:hint="eastAsia" w:hAnsi="宋体"/>
                <w:color w:val="auto"/>
                <w:szCs w:val="20"/>
                <w:u w:val="single"/>
              </w:rPr>
              <w:t>复合工序主要是将不同材料的膜复合在一起，两两之间通过胶水粘结，反复两两复合可生产出多层复合膜。根据客户不同需求，可以实现两层或三层铝塑复合膜，外层为印刷酯。内层为热塑粘合层，制品可通过热熔封口。两层中间夹着的镀铝薄膜，厚度约为0.8丝，三层复合膜的厚度约为12丝。铝塑复合膜可以起到遮光、防潮等作用。</w:t>
            </w:r>
          </w:p>
          <w:p>
            <w:pPr>
              <w:snapToGrid w:val="0"/>
              <w:ind w:firstLine="470" w:firstLineChars="196"/>
              <w:jc w:val="both"/>
              <w:rPr>
                <w:rFonts w:hAnsi="宋体"/>
                <w:color w:val="auto"/>
                <w:szCs w:val="20"/>
                <w:u w:val="single"/>
              </w:rPr>
            </w:pPr>
            <w:r>
              <w:rPr>
                <w:rFonts w:hint="eastAsia" w:hAnsi="宋体"/>
                <w:color w:val="auto"/>
                <w:szCs w:val="20"/>
                <w:u w:val="single"/>
              </w:rPr>
              <w:t>（5）熟化</w:t>
            </w:r>
          </w:p>
          <w:p>
            <w:pPr>
              <w:snapToGrid w:val="0"/>
              <w:ind w:firstLine="470" w:firstLineChars="196"/>
              <w:jc w:val="both"/>
              <w:rPr>
                <w:rFonts w:hAnsi="宋体"/>
                <w:color w:val="auto"/>
                <w:szCs w:val="20"/>
                <w:u w:val="single"/>
              </w:rPr>
            </w:pPr>
            <w:r>
              <w:rPr>
                <w:rFonts w:hint="eastAsia" w:hAnsi="宋体"/>
                <w:color w:val="auto"/>
                <w:szCs w:val="20"/>
                <w:u w:val="single"/>
              </w:rPr>
              <w:t>熟化是指复合后的包装袋半成品经过一定的温度与时间，在特定的条件下充分交联反应，达到最佳复合强化，也常常被称为固化，使复合膜牢固，还可以去除低沸点的残留溶剂，减少异味。项目设置三个熟化间，设置熟化温度为50~55℃，控制时间为24~30小时，采用电加热。</w:t>
            </w:r>
          </w:p>
          <w:p>
            <w:pPr>
              <w:snapToGrid w:val="0"/>
              <w:ind w:firstLine="470" w:firstLineChars="196"/>
              <w:jc w:val="both"/>
              <w:rPr>
                <w:rFonts w:hAnsi="宋体"/>
                <w:color w:val="auto"/>
                <w:szCs w:val="20"/>
                <w:u w:val="single"/>
              </w:rPr>
            </w:pPr>
            <w:r>
              <w:rPr>
                <w:rFonts w:hint="eastAsia" w:hAnsi="宋体"/>
                <w:color w:val="auto"/>
                <w:szCs w:val="20"/>
                <w:u w:val="single"/>
              </w:rPr>
              <w:t>（7）分割</w:t>
            </w:r>
          </w:p>
          <w:p>
            <w:pPr>
              <w:snapToGrid w:val="0"/>
              <w:ind w:firstLine="470" w:firstLineChars="196"/>
              <w:jc w:val="both"/>
              <w:rPr>
                <w:rFonts w:hAnsi="宋体"/>
                <w:color w:val="auto"/>
                <w:szCs w:val="20"/>
                <w:u w:val="single"/>
              </w:rPr>
            </w:pPr>
            <w:r>
              <w:rPr>
                <w:rFonts w:hint="eastAsia" w:hAnsi="宋体"/>
                <w:color w:val="auto"/>
                <w:szCs w:val="20"/>
                <w:u w:val="single"/>
              </w:rPr>
              <w:t>利用分割机将熟化后的产品进行分割，此过程会产生边角料。</w:t>
            </w:r>
          </w:p>
          <w:p>
            <w:pPr>
              <w:snapToGrid w:val="0"/>
              <w:ind w:firstLine="470" w:firstLineChars="196"/>
              <w:jc w:val="both"/>
              <w:rPr>
                <w:rFonts w:hAnsi="宋体"/>
                <w:color w:val="auto"/>
                <w:szCs w:val="20"/>
                <w:u w:val="single"/>
              </w:rPr>
            </w:pPr>
            <w:r>
              <w:rPr>
                <w:rFonts w:hint="eastAsia" w:hAnsi="宋体"/>
                <w:color w:val="auto"/>
                <w:szCs w:val="20"/>
                <w:u w:val="single"/>
              </w:rPr>
              <w:t>（8）制袋</w:t>
            </w:r>
          </w:p>
          <w:p>
            <w:pPr>
              <w:snapToGrid w:val="0"/>
              <w:ind w:firstLine="470" w:firstLineChars="196"/>
              <w:jc w:val="both"/>
              <w:rPr>
                <w:rFonts w:hAnsi="宋体"/>
                <w:color w:val="auto"/>
                <w:szCs w:val="20"/>
                <w:u w:val="single"/>
              </w:rPr>
            </w:pPr>
            <w:r>
              <w:rPr>
                <w:rFonts w:hint="eastAsia" w:hAnsi="宋体"/>
                <w:color w:val="auto"/>
                <w:szCs w:val="20"/>
                <w:u w:val="single"/>
              </w:rPr>
              <w:t>将经复合、熟化后的成卷包装袋半成品采用制袋机制袋，通过微机电脑数控，步进电机拖料，电脑定长，步长光电跟踪，准确、平稳、双面热封切刀制袋，最终形成复合袋成品。在该过程中，会产生一定量的噪声。</w:t>
            </w:r>
          </w:p>
          <w:p>
            <w:pPr>
              <w:snapToGrid w:val="0"/>
              <w:ind w:firstLine="470" w:firstLineChars="196"/>
              <w:jc w:val="both"/>
              <w:rPr>
                <w:rFonts w:hAnsi="宋体"/>
                <w:color w:val="auto"/>
                <w:szCs w:val="20"/>
                <w:u w:val="single"/>
              </w:rPr>
            </w:pPr>
            <w:r>
              <w:rPr>
                <w:rFonts w:hint="eastAsia" w:hAnsi="宋体"/>
                <w:color w:val="auto"/>
                <w:szCs w:val="20"/>
                <w:u w:val="single"/>
              </w:rPr>
              <w:t>（9）检验入库</w:t>
            </w:r>
          </w:p>
          <w:p>
            <w:pPr>
              <w:snapToGrid w:val="0"/>
              <w:ind w:firstLine="470" w:firstLineChars="196"/>
              <w:jc w:val="both"/>
              <w:rPr>
                <w:rFonts w:hAnsi="宋体"/>
                <w:color w:val="auto"/>
                <w:szCs w:val="20"/>
              </w:rPr>
            </w:pPr>
            <w:r>
              <w:rPr>
                <w:rFonts w:hint="eastAsia" w:hAnsi="宋体"/>
                <w:color w:val="auto"/>
                <w:szCs w:val="20"/>
                <w:u w:val="single"/>
              </w:rPr>
              <w:t>包装好的成品，由工作人员物理检测产品尺寸、外观、物理机械性能、耐压性能、跌落性能、印刷质量、溶剂残留量等要求后，合格产品执行入库；不合格产品放入废料间，定期由塑料再生造粒企业收购处理。</w:t>
            </w:r>
          </w:p>
          <w:p>
            <w:pPr>
              <w:snapToGrid w:val="0"/>
              <w:ind w:firstLine="0" w:firstLineChars="0"/>
              <w:jc w:val="both"/>
              <w:rPr>
                <w:b/>
                <w:bCs/>
                <w:color w:val="auto"/>
                <w:szCs w:val="21"/>
              </w:rPr>
            </w:pPr>
            <w:r>
              <w:rPr>
                <w:rFonts w:hint="eastAsia"/>
                <w:b/>
                <w:bCs/>
                <w:color w:val="auto"/>
                <w:szCs w:val="21"/>
              </w:rPr>
              <w:t>2、</w:t>
            </w:r>
            <w:r>
              <w:rPr>
                <w:b/>
                <w:bCs/>
                <w:color w:val="auto"/>
                <w:szCs w:val="21"/>
              </w:rPr>
              <w:t>项目</w:t>
            </w:r>
            <w:r>
              <w:rPr>
                <w:rFonts w:hint="eastAsia"/>
                <w:b/>
                <w:bCs/>
                <w:color w:val="auto"/>
                <w:szCs w:val="21"/>
              </w:rPr>
              <w:t>有机成分物料平衡</w:t>
            </w:r>
          </w:p>
          <w:p>
            <w:pPr>
              <w:ind w:firstLine="482"/>
              <w:rPr>
                <w:b/>
                <w:color w:val="auto"/>
                <w:szCs w:val="21"/>
                <w:u w:val="single"/>
              </w:rPr>
            </w:pPr>
            <w:r>
              <w:rPr>
                <w:b/>
                <w:color w:val="auto"/>
                <w:szCs w:val="21"/>
                <w:u w:val="single"/>
              </w:rPr>
              <w:t>本项目</w:t>
            </w:r>
            <w:r>
              <w:rPr>
                <w:rFonts w:hint="eastAsia"/>
                <w:b/>
                <w:bCs/>
                <w:color w:val="auto"/>
                <w:szCs w:val="21"/>
                <w:u w:val="single"/>
              </w:rPr>
              <w:t>有机成分物料平衡</w:t>
            </w:r>
            <w:r>
              <w:rPr>
                <w:b/>
                <w:color w:val="auto"/>
                <w:szCs w:val="21"/>
                <w:u w:val="single"/>
              </w:rPr>
              <w:t>见表</w:t>
            </w:r>
            <w:r>
              <w:rPr>
                <w:rFonts w:hint="eastAsia"/>
                <w:b/>
                <w:color w:val="auto"/>
                <w:szCs w:val="21"/>
                <w:u w:val="single"/>
              </w:rPr>
              <w:t>27</w:t>
            </w:r>
            <w:r>
              <w:rPr>
                <w:b/>
                <w:color w:val="auto"/>
                <w:szCs w:val="21"/>
                <w:u w:val="single"/>
              </w:rPr>
              <w:t>。</w:t>
            </w:r>
          </w:p>
          <w:p>
            <w:pPr>
              <w:snapToGrid w:val="0"/>
              <w:ind w:firstLine="482"/>
              <w:jc w:val="center"/>
              <w:rPr>
                <w:b/>
                <w:bCs/>
                <w:color w:val="auto"/>
                <w:szCs w:val="21"/>
                <w:u w:val="single"/>
              </w:rPr>
            </w:pPr>
            <w:r>
              <w:rPr>
                <w:b/>
                <w:bCs/>
                <w:color w:val="auto"/>
                <w:szCs w:val="21"/>
                <w:u w:val="single"/>
              </w:rPr>
              <w:t>表</w:t>
            </w:r>
            <w:r>
              <w:rPr>
                <w:rFonts w:hint="eastAsia"/>
                <w:b/>
                <w:bCs/>
                <w:color w:val="auto"/>
                <w:szCs w:val="21"/>
                <w:u w:val="single"/>
              </w:rPr>
              <w:t xml:space="preserve">5-1   </w:t>
            </w:r>
            <w:r>
              <w:rPr>
                <w:b/>
                <w:color w:val="auto"/>
                <w:szCs w:val="21"/>
                <w:u w:val="single"/>
              </w:rPr>
              <w:t>本项目</w:t>
            </w:r>
            <w:r>
              <w:rPr>
                <w:rFonts w:hint="eastAsia"/>
                <w:b/>
                <w:bCs/>
                <w:color w:val="auto"/>
                <w:szCs w:val="21"/>
                <w:u w:val="single"/>
              </w:rPr>
              <w:t>有机成分物料平衡</w:t>
            </w:r>
            <w:r>
              <w:rPr>
                <w:b/>
                <w:bCs/>
                <w:color w:val="auto"/>
                <w:szCs w:val="21"/>
                <w:u w:val="single"/>
              </w:rPr>
              <w:t>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6" w:space="0"/>
              </w:tblBorders>
              <w:tblLayout w:type="autofit"/>
              <w:tblCellMar>
                <w:top w:w="0" w:type="dxa"/>
                <w:left w:w="108" w:type="dxa"/>
                <w:bottom w:w="0" w:type="dxa"/>
                <w:right w:w="108" w:type="dxa"/>
              </w:tblCellMar>
            </w:tblPr>
            <w:tblGrid>
              <w:gridCol w:w="2401"/>
              <w:gridCol w:w="1910"/>
              <w:gridCol w:w="2759"/>
              <w:gridCol w:w="205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2363" w:type="pct"/>
                  <w:gridSpan w:val="2"/>
                  <w:tcBorders>
                    <w:bottom w:val="single" w:color="auto" w:sz="4" w:space="0"/>
                    <w:tl2br w:val="nil"/>
                    <w:tr2bl w:val="nil"/>
                  </w:tcBorders>
                  <w:tcMar>
                    <w:left w:w="28" w:type="dxa"/>
                    <w:right w:w="28" w:type="dxa"/>
                  </w:tcMar>
                  <w:vAlign w:val="center"/>
                </w:tcPr>
                <w:p>
                  <w:pPr>
                    <w:adjustRightInd w:val="0"/>
                    <w:snapToGrid w:val="0"/>
                    <w:ind w:firstLine="0" w:firstLineChars="0"/>
                    <w:jc w:val="center"/>
                    <w:rPr>
                      <w:color w:val="auto"/>
                      <w:sz w:val="21"/>
                      <w:szCs w:val="21"/>
                      <w:u w:val="single"/>
                    </w:rPr>
                  </w:pPr>
                  <w:r>
                    <w:rPr>
                      <w:rFonts w:hint="eastAsia"/>
                      <w:color w:val="auto"/>
                      <w:sz w:val="21"/>
                      <w:szCs w:val="21"/>
                      <w:u w:val="single"/>
                    </w:rPr>
                    <w:t>投入量（t/a）</w:t>
                  </w:r>
                </w:p>
              </w:tc>
              <w:tc>
                <w:tcPr>
                  <w:tcW w:w="2636" w:type="pct"/>
                  <w:gridSpan w:val="2"/>
                  <w:tcBorders>
                    <w:tl2br w:val="nil"/>
                    <w:tr2bl w:val="nil"/>
                  </w:tcBorders>
                </w:tcPr>
                <w:p>
                  <w:pPr>
                    <w:ind w:firstLine="0" w:firstLineChars="0"/>
                    <w:jc w:val="center"/>
                    <w:rPr>
                      <w:color w:val="auto"/>
                      <w:szCs w:val="21"/>
                      <w:u w:val="single"/>
                    </w:rPr>
                  </w:pPr>
                  <w:r>
                    <w:rPr>
                      <w:rFonts w:hint="eastAsia"/>
                      <w:color w:val="auto"/>
                      <w:szCs w:val="21"/>
                      <w:u w:val="single"/>
                    </w:rPr>
                    <w:t>产出量（</w:t>
                  </w:r>
                  <w:r>
                    <w:rPr>
                      <w:rFonts w:hint="eastAsia"/>
                      <w:color w:val="auto"/>
                      <w:sz w:val="21"/>
                      <w:szCs w:val="21"/>
                      <w:u w:val="single"/>
                    </w:rPr>
                    <w:t>t/a</w:t>
                  </w:r>
                  <w:r>
                    <w:rPr>
                      <w:rFonts w:hint="eastAsia"/>
                      <w:color w:val="auto"/>
                      <w:szCs w:val="21"/>
                      <w:u w:val="single"/>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1316" w:type="pct"/>
                  <w:tcBorders>
                    <w:bottom w:val="single" w:color="auto" w:sz="4" w:space="0"/>
                    <w:tl2br w:val="nil"/>
                    <w:tr2bl w:val="nil"/>
                  </w:tcBorders>
                  <w:tcMar>
                    <w:left w:w="28" w:type="dxa"/>
                    <w:right w:w="28" w:type="dxa"/>
                  </w:tcMar>
                  <w:vAlign w:val="center"/>
                </w:tcPr>
                <w:p>
                  <w:pPr>
                    <w:adjustRightInd w:val="0"/>
                    <w:snapToGrid w:val="0"/>
                    <w:ind w:firstLine="0" w:firstLineChars="0"/>
                    <w:jc w:val="center"/>
                    <w:rPr>
                      <w:rFonts w:hint="eastAsia" w:eastAsia="宋体"/>
                      <w:color w:val="auto"/>
                      <w:sz w:val="21"/>
                      <w:szCs w:val="21"/>
                      <w:u w:val="single"/>
                      <w:lang w:eastAsia="zh-CN"/>
                    </w:rPr>
                  </w:pPr>
                  <w:r>
                    <w:rPr>
                      <w:rFonts w:hint="eastAsia"/>
                      <w:color w:val="auto"/>
                      <w:sz w:val="21"/>
                      <w:szCs w:val="21"/>
                      <w:u w:val="single"/>
                    </w:rPr>
                    <w:t>油墨</w:t>
                  </w:r>
                  <w:r>
                    <w:rPr>
                      <w:rFonts w:hint="eastAsia"/>
                      <w:color w:val="auto"/>
                      <w:sz w:val="21"/>
                      <w:szCs w:val="21"/>
                      <w:u w:val="single"/>
                      <w:lang w:eastAsia="zh-CN"/>
                    </w:rPr>
                    <w:t>挥发量</w:t>
                  </w:r>
                </w:p>
              </w:tc>
              <w:tc>
                <w:tcPr>
                  <w:tcW w:w="1047" w:type="pct"/>
                  <w:tcBorders>
                    <w:bottom w:val="single" w:color="auto" w:sz="4" w:space="0"/>
                    <w:tl2br w:val="nil"/>
                    <w:tr2bl w:val="nil"/>
                  </w:tcBorders>
                  <w:vAlign w:val="center"/>
                </w:tcPr>
                <w:p>
                  <w:pPr>
                    <w:adjustRightInd w:val="0"/>
                    <w:snapToGrid w:val="0"/>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1.8</w:t>
                  </w:r>
                </w:p>
              </w:tc>
              <w:tc>
                <w:tcPr>
                  <w:tcW w:w="1512" w:type="pct"/>
                  <w:tcBorders>
                    <w:tl2br w:val="nil"/>
                    <w:tr2bl w:val="nil"/>
                  </w:tcBorders>
                  <w:vAlign w:val="top"/>
                </w:tcPr>
                <w:p>
                  <w:pPr>
                    <w:adjustRightInd w:val="0"/>
                    <w:snapToGrid w:val="0"/>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color w:val="auto"/>
                      <w:sz w:val="21"/>
                      <w:szCs w:val="21"/>
                      <w:u w:val="single"/>
                    </w:rPr>
                    <w:t>废气有组织排放量</w:t>
                  </w:r>
                </w:p>
              </w:tc>
              <w:tc>
                <w:tcPr>
                  <w:tcW w:w="1124" w:type="pct"/>
                  <w:tcBorders>
                    <w:tl2br w:val="nil"/>
                    <w:tr2bl w:val="nil"/>
                  </w:tcBorders>
                  <w:vAlign w:val="center"/>
                </w:tcPr>
                <w:p>
                  <w:pPr>
                    <w:adjustRightInd w:val="0"/>
                    <w:snapToGrid w:val="0"/>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color w:val="auto"/>
                      <w:sz w:val="21"/>
                      <w:szCs w:val="21"/>
                      <w:u w:val="single"/>
                      <w:lang w:val="en-US" w:eastAsia="zh-CN"/>
                    </w:rPr>
                    <w:t>0.621</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1316" w:type="pct"/>
                  <w:tcBorders>
                    <w:top w:val="single" w:color="auto" w:sz="4" w:space="0"/>
                    <w:bottom w:val="single" w:color="auto" w:sz="4" w:space="0"/>
                    <w:tl2br w:val="nil"/>
                    <w:tr2bl w:val="nil"/>
                  </w:tcBorders>
                  <w:tcMar>
                    <w:left w:w="28" w:type="dxa"/>
                    <w:right w:w="28" w:type="dxa"/>
                  </w:tcMar>
                  <w:vAlign w:val="center"/>
                </w:tcPr>
                <w:p>
                  <w:pPr>
                    <w:adjustRightInd w:val="0"/>
                    <w:snapToGrid w:val="0"/>
                    <w:ind w:firstLine="0" w:firstLineChars="0"/>
                    <w:jc w:val="center"/>
                    <w:rPr>
                      <w:rFonts w:hint="eastAsia" w:eastAsia="宋体"/>
                      <w:color w:val="auto"/>
                      <w:sz w:val="21"/>
                      <w:szCs w:val="21"/>
                      <w:u w:val="single"/>
                      <w:lang w:eastAsia="zh-CN"/>
                    </w:rPr>
                  </w:pPr>
                  <w:r>
                    <w:rPr>
                      <w:rFonts w:hint="eastAsia"/>
                      <w:color w:val="auto"/>
                      <w:sz w:val="21"/>
                      <w:szCs w:val="21"/>
                      <w:u w:val="single"/>
                    </w:rPr>
                    <w:t>胶水</w:t>
                  </w:r>
                  <w:r>
                    <w:rPr>
                      <w:rFonts w:hint="eastAsia"/>
                      <w:color w:val="auto"/>
                      <w:sz w:val="21"/>
                      <w:szCs w:val="21"/>
                      <w:u w:val="single"/>
                      <w:lang w:eastAsia="zh-CN"/>
                    </w:rPr>
                    <w:t>挥发量</w:t>
                  </w:r>
                </w:p>
              </w:tc>
              <w:tc>
                <w:tcPr>
                  <w:tcW w:w="1047" w:type="pct"/>
                  <w:tcBorders>
                    <w:top w:val="single" w:color="auto" w:sz="4" w:space="0"/>
                    <w:bottom w:val="single" w:color="auto" w:sz="4" w:space="0"/>
                    <w:tl2br w:val="nil"/>
                    <w:tr2bl w:val="nil"/>
                  </w:tcBorders>
                  <w:vAlign w:val="center"/>
                </w:tcPr>
                <w:p>
                  <w:pPr>
                    <w:adjustRightInd w:val="0"/>
                    <w:snapToGrid w:val="0"/>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0.6</w:t>
                  </w:r>
                </w:p>
              </w:tc>
              <w:tc>
                <w:tcPr>
                  <w:tcW w:w="1512" w:type="pct"/>
                  <w:tcBorders>
                    <w:tl2br w:val="nil"/>
                    <w:tr2bl w:val="nil"/>
                  </w:tcBorders>
                  <w:vAlign w:val="top"/>
                </w:tcPr>
                <w:p>
                  <w:pPr>
                    <w:adjustRightInd w:val="0"/>
                    <w:snapToGrid w:val="0"/>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color w:val="auto"/>
                      <w:sz w:val="21"/>
                      <w:szCs w:val="21"/>
                      <w:u w:val="single"/>
                    </w:rPr>
                    <w:t>废气无组织排放量</w:t>
                  </w:r>
                </w:p>
              </w:tc>
              <w:tc>
                <w:tcPr>
                  <w:tcW w:w="1124" w:type="pct"/>
                  <w:tcBorders>
                    <w:tl2br w:val="nil"/>
                    <w:tr2bl w:val="nil"/>
                  </w:tcBorders>
                  <w:vAlign w:val="center"/>
                </w:tcPr>
                <w:p>
                  <w:pPr>
                    <w:adjustRightInd w:val="0"/>
                    <w:snapToGrid w:val="0"/>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color w:val="auto"/>
                      <w:sz w:val="21"/>
                      <w:szCs w:val="21"/>
                      <w:u w:val="single"/>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1316" w:type="pct"/>
                  <w:tcBorders>
                    <w:top w:val="single" w:color="auto" w:sz="4" w:space="0"/>
                    <w:bottom w:val="single" w:color="auto" w:sz="4" w:space="0"/>
                    <w:tl2br w:val="nil"/>
                    <w:tr2bl w:val="nil"/>
                  </w:tcBorders>
                  <w:tcMar>
                    <w:left w:w="28" w:type="dxa"/>
                    <w:right w:w="28" w:type="dxa"/>
                  </w:tcMar>
                  <w:vAlign w:val="center"/>
                </w:tcPr>
                <w:p>
                  <w:pPr>
                    <w:adjustRightInd w:val="0"/>
                    <w:snapToGrid w:val="0"/>
                    <w:ind w:firstLine="0" w:firstLineChars="0"/>
                    <w:jc w:val="center"/>
                    <w:rPr>
                      <w:rFonts w:hint="eastAsia" w:eastAsia="宋体"/>
                      <w:color w:val="auto"/>
                      <w:sz w:val="21"/>
                      <w:szCs w:val="21"/>
                      <w:u w:val="single"/>
                      <w:lang w:eastAsia="zh-CN"/>
                    </w:rPr>
                  </w:pPr>
                  <w:r>
                    <w:rPr>
                      <w:rFonts w:hint="eastAsia"/>
                      <w:color w:val="auto"/>
                      <w:sz w:val="21"/>
                      <w:szCs w:val="21"/>
                      <w:u w:val="single"/>
                    </w:rPr>
                    <w:t>稀释剂</w:t>
                  </w:r>
                  <w:r>
                    <w:rPr>
                      <w:rFonts w:hint="eastAsia"/>
                      <w:color w:val="auto"/>
                      <w:sz w:val="21"/>
                      <w:szCs w:val="21"/>
                      <w:u w:val="single"/>
                      <w:lang w:eastAsia="zh-CN"/>
                    </w:rPr>
                    <w:t>挥发量</w:t>
                  </w:r>
                </w:p>
              </w:tc>
              <w:tc>
                <w:tcPr>
                  <w:tcW w:w="1047" w:type="pct"/>
                  <w:tcBorders>
                    <w:top w:val="single" w:color="auto" w:sz="4" w:space="0"/>
                    <w:bottom w:val="single" w:color="auto" w:sz="4" w:space="0"/>
                    <w:tl2br w:val="nil"/>
                    <w:tr2bl w:val="nil"/>
                  </w:tcBorders>
                  <w:vAlign w:val="center"/>
                </w:tcPr>
                <w:p>
                  <w:pPr>
                    <w:adjustRightInd w:val="0"/>
                    <w:snapToGrid w:val="0"/>
                    <w:ind w:firstLine="0" w:firstLineChars="0"/>
                    <w:jc w:val="center"/>
                    <w:rPr>
                      <w:rFonts w:hint="eastAsia" w:eastAsia="宋体"/>
                      <w:color w:val="auto"/>
                      <w:sz w:val="21"/>
                      <w:szCs w:val="21"/>
                      <w:u w:val="single"/>
                      <w:lang w:eastAsia="zh-CN"/>
                    </w:rPr>
                  </w:pPr>
                  <w:r>
                    <w:rPr>
                      <w:rFonts w:hint="eastAsia"/>
                      <w:color w:val="auto"/>
                      <w:sz w:val="21"/>
                      <w:szCs w:val="21"/>
                      <w:u w:val="single"/>
                      <w:lang w:val="en-US" w:eastAsia="zh-CN"/>
                    </w:rPr>
                    <w:t>2</w:t>
                  </w:r>
                </w:p>
              </w:tc>
              <w:tc>
                <w:tcPr>
                  <w:tcW w:w="1512" w:type="pct"/>
                  <w:tcBorders>
                    <w:bottom w:val="single" w:color="auto" w:sz="4" w:space="0"/>
                    <w:tl2br w:val="nil"/>
                    <w:tr2bl w:val="nil"/>
                  </w:tcBorders>
                  <w:vAlign w:val="center"/>
                </w:tcPr>
                <w:p>
                  <w:pPr>
                    <w:adjustRightInd w:val="0"/>
                    <w:snapToGrid w:val="0"/>
                    <w:ind w:firstLine="0" w:firstLineChars="0"/>
                    <w:jc w:val="center"/>
                    <w:rPr>
                      <w:rFonts w:ascii="Times New Roman" w:hAnsi="Times New Roman" w:eastAsia="宋体" w:cs="Times New Roman"/>
                      <w:color w:val="auto"/>
                      <w:kern w:val="2"/>
                      <w:sz w:val="21"/>
                      <w:szCs w:val="21"/>
                      <w:u w:val="single"/>
                      <w:lang w:val="en-US" w:eastAsia="zh-CN" w:bidi="ar-SA"/>
                    </w:rPr>
                  </w:pPr>
                  <w:r>
                    <w:rPr>
                      <w:rFonts w:hint="eastAsia"/>
                      <w:color w:val="auto"/>
                      <w:sz w:val="21"/>
                      <w:szCs w:val="21"/>
                      <w:u w:val="single"/>
                    </w:rPr>
                    <w:t>RCO处理量</w:t>
                  </w:r>
                </w:p>
              </w:tc>
              <w:tc>
                <w:tcPr>
                  <w:tcW w:w="1124" w:type="pct"/>
                  <w:tcBorders>
                    <w:bottom w:val="single" w:color="auto" w:sz="4" w:space="0"/>
                    <w:tl2br w:val="nil"/>
                    <w:tr2bl w:val="nil"/>
                  </w:tcBorders>
                  <w:vAlign w:val="center"/>
                </w:tcPr>
                <w:p>
                  <w:pPr>
                    <w:adjustRightInd w:val="0"/>
                    <w:snapToGrid w:val="0"/>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color w:val="auto"/>
                      <w:sz w:val="21"/>
                      <w:szCs w:val="21"/>
                      <w:u w:val="single"/>
                      <w:lang w:val="en-US" w:eastAsia="zh-CN"/>
                    </w:rPr>
                    <w:t>3.519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1316" w:type="pct"/>
                  <w:tcBorders>
                    <w:top w:val="single" w:color="auto" w:sz="4" w:space="0"/>
                    <w:bottom w:val="single" w:color="auto" w:sz="4" w:space="0"/>
                    <w:tl2br w:val="nil"/>
                    <w:tr2bl w:val="nil"/>
                  </w:tcBorders>
                  <w:tcMar>
                    <w:left w:w="28" w:type="dxa"/>
                    <w:right w:w="28" w:type="dxa"/>
                  </w:tcMar>
                  <w:vAlign w:val="center"/>
                </w:tcPr>
                <w:p>
                  <w:pPr>
                    <w:adjustRightInd w:val="0"/>
                    <w:snapToGrid w:val="0"/>
                    <w:ind w:firstLine="0" w:firstLineChars="0"/>
                    <w:jc w:val="center"/>
                    <w:rPr>
                      <w:rFonts w:hint="eastAsia" w:eastAsia="宋体"/>
                      <w:color w:val="auto"/>
                      <w:sz w:val="21"/>
                      <w:szCs w:val="21"/>
                      <w:u w:val="single"/>
                      <w:lang w:eastAsia="zh-CN"/>
                    </w:rPr>
                  </w:pPr>
                  <w:r>
                    <w:rPr>
                      <w:rFonts w:hint="eastAsia"/>
                      <w:color w:val="auto"/>
                      <w:sz w:val="21"/>
                      <w:szCs w:val="21"/>
                      <w:u w:val="single"/>
                    </w:rPr>
                    <w:t>清洗剂</w:t>
                  </w:r>
                </w:p>
              </w:tc>
              <w:tc>
                <w:tcPr>
                  <w:tcW w:w="1047" w:type="pct"/>
                  <w:tcBorders>
                    <w:top w:val="single" w:color="auto" w:sz="4" w:space="0"/>
                    <w:bottom w:val="single" w:color="auto" w:sz="4" w:space="0"/>
                    <w:tl2br w:val="nil"/>
                    <w:tr2bl w:val="nil"/>
                  </w:tcBorders>
                  <w:vAlign w:val="center"/>
                </w:tcPr>
                <w:p>
                  <w:pPr>
                    <w:adjustRightInd w:val="0"/>
                    <w:snapToGrid w:val="0"/>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1.17</w:t>
                  </w:r>
                </w:p>
              </w:tc>
              <w:tc>
                <w:tcPr>
                  <w:tcW w:w="1512" w:type="pct"/>
                  <w:tcBorders>
                    <w:top w:val="single" w:color="auto" w:sz="4" w:space="0"/>
                    <w:bottom w:val="single" w:color="auto" w:sz="4" w:space="0"/>
                    <w:tl2br w:val="nil"/>
                    <w:tr2bl w:val="nil"/>
                  </w:tcBorders>
                  <w:vAlign w:val="center"/>
                </w:tcPr>
                <w:p>
                  <w:pPr>
                    <w:adjustRightInd w:val="0"/>
                    <w:snapToGrid w:val="0"/>
                    <w:ind w:firstLine="0" w:firstLineChars="0"/>
                    <w:jc w:val="center"/>
                    <w:rPr>
                      <w:rFonts w:hint="eastAsia" w:eastAsia="宋体"/>
                      <w:color w:val="auto"/>
                      <w:sz w:val="21"/>
                      <w:szCs w:val="21"/>
                      <w:u w:val="single"/>
                      <w:lang w:eastAsia="zh-CN"/>
                    </w:rPr>
                  </w:pPr>
                  <w:r>
                    <w:rPr>
                      <w:rFonts w:hint="eastAsia"/>
                      <w:color w:val="auto"/>
                      <w:sz w:val="21"/>
                      <w:szCs w:val="21"/>
                      <w:u w:val="single"/>
                      <w:lang w:eastAsia="zh-CN"/>
                    </w:rPr>
                    <w:t>洗版废液</w:t>
                  </w:r>
                </w:p>
              </w:tc>
              <w:tc>
                <w:tcPr>
                  <w:tcW w:w="1124" w:type="pct"/>
                  <w:tcBorders>
                    <w:top w:val="single" w:color="auto" w:sz="4" w:space="0"/>
                    <w:bottom w:val="single" w:color="auto" w:sz="4" w:space="0"/>
                    <w:tl2br w:val="nil"/>
                    <w:tr2bl w:val="nil"/>
                  </w:tcBorders>
                  <w:vAlign w:val="center"/>
                </w:tcPr>
                <w:p>
                  <w:pPr>
                    <w:adjustRightInd w:val="0"/>
                    <w:snapToGrid w:val="0"/>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1316" w:type="pct"/>
                  <w:tcBorders>
                    <w:top w:val="single" w:color="auto" w:sz="4" w:space="0"/>
                    <w:tl2br w:val="nil"/>
                    <w:tr2bl w:val="nil"/>
                  </w:tcBorders>
                  <w:tcMar>
                    <w:left w:w="28" w:type="dxa"/>
                    <w:right w:w="28" w:type="dxa"/>
                  </w:tcMar>
                  <w:vAlign w:val="center"/>
                </w:tcPr>
                <w:p>
                  <w:pPr>
                    <w:adjustRightInd w:val="0"/>
                    <w:snapToGrid w:val="0"/>
                    <w:ind w:firstLine="0" w:firstLineChars="0"/>
                    <w:jc w:val="center"/>
                    <w:rPr>
                      <w:color w:val="auto"/>
                      <w:sz w:val="21"/>
                      <w:szCs w:val="21"/>
                      <w:u w:val="single"/>
                    </w:rPr>
                  </w:pPr>
                  <w:r>
                    <w:rPr>
                      <w:rFonts w:hint="eastAsia"/>
                      <w:color w:val="auto"/>
                      <w:sz w:val="21"/>
                      <w:szCs w:val="21"/>
                      <w:u w:val="single"/>
                    </w:rPr>
                    <w:t>合计</w:t>
                  </w:r>
                </w:p>
              </w:tc>
              <w:tc>
                <w:tcPr>
                  <w:tcW w:w="1047" w:type="pct"/>
                  <w:tcBorders>
                    <w:top w:val="single" w:color="auto" w:sz="4" w:space="0"/>
                    <w:tl2br w:val="nil"/>
                    <w:tr2bl w:val="nil"/>
                  </w:tcBorders>
                  <w:vAlign w:val="center"/>
                </w:tcPr>
                <w:p>
                  <w:pPr>
                    <w:adjustRightInd w:val="0"/>
                    <w:snapToGrid w:val="0"/>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5.57</w:t>
                  </w:r>
                </w:p>
              </w:tc>
              <w:tc>
                <w:tcPr>
                  <w:tcW w:w="1512" w:type="pct"/>
                  <w:tcBorders>
                    <w:top w:val="single" w:color="auto" w:sz="4" w:space="0"/>
                    <w:tl2br w:val="nil"/>
                    <w:tr2bl w:val="nil"/>
                  </w:tcBorders>
                  <w:vAlign w:val="center"/>
                </w:tcPr>
                <w:p>
                  <w:pPr>
                    <w:adjustRightInd w:val="0"/>
                    <w:snapToGrid w:val="0"/>
                    <w:ind w:firstLine="0" w:firstLineChars="0"/>
                    <w:jc w:val="center"/>
                    <w:rPr>
                      <w:color w:val="auto"/>
                      <w:sz w:val="21"/>
                      <w:szCs w:val="21"/>
                      <w:u w:val="single"/>
                    </w:rPr>
                  </w:pPr>
                  <w:r>
                    <w:rPr>
                      <w:rFonts w:hint="eastAsia"/>
                      <w:color w:val="auto"/>
                      <w:sz w:val="21"/>
                      <w:szCs w:val="21"/>
                      <w:u w:val="single"/>
                    </w:rPr>
                    <w:t>合计</w:t>
                  </w:r>
                </w:p>
              </w:tc>
              <w:tc>
                <w:tcPr>
                  <w:tcW w:w="1124" w:type="pct"/>
                  <w:tcBorders>
                    <w:top w:val="single" w:color="auto" w:sz="4" w:space="0"/>
                    <w:tl2br w:val="nil"/>
                    <w:tr2bl w:val="nil"/>
                  </w:tcBorders>
                  <w:vAlign w:val="center"/>
                </w:tcPr>
                <w:p>
                  <w:pPr>
                    <w:adjustRightInd w:val="0"/>
                    <w:snapToGrid w:val="0"/>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5.57</w:t>
                  </w:r>
                </w:p>
              </w:tc>
            </w:tr>
          </w:tbl>
          <w:p>
            <w:pPr>
              <w:ind w:firstLine="0" w:firstLineChars="0"/>
              <w:rPr>
                <w:rFonts w:eastAsia="黑体"/>
                <w:bCs/>
                <w:color w:val="auto"/>
              </w:rPr>
            </w:pPr>
            <w:r>
              <w:rPr>
                <w:rFonts w:eastAsia="黑体"/>
                <w:bCs/>
                <w:color w:val="auto"/>
              </w:rPr>
              <w:t>3、主要污染工序</w:t>
            </w:r>
          </w:p>
          <w:p>
            <w:pPr>
              <w:pStyle w:val="61"/>
              <w:numPr>
                <w:ilvl w:val="0"/>
                <w:numId w:val="4"/>
              </w:numPr>
              <w:snapToGrid w:val="0"/>
              <w:ind w:firstLineChars="0"/>
              <w:jc w:val="both"/>
              <w:rPr>
                <w:color w:val="auto"/>
                <w:szCs w:val="20"/>
              </w:rPr>
            </w:pPr>
            <w:r>
              <w:rPr>
                <w:rFonts w:hint="eastAsia"/>
                <w:color w:val="auto"/>
                <w:szCs w:val="20"/>
              </w:rPr>
              <w:t>施工期</w:t>
            </w:r>
          </w:p>
          <w:p>
            <w:pPr>
              <w:adjustRightInd w:val="0"/>
              <w:snapToGrid w:val="0"/>
              <w:ind w:firstLine="480"/>
              <w:rPr>
                <w:color w:val="auto"/>
                <w:szCs w:val="20"/>
              </w:rPr>
            </w:pPr>
            <w:r>
              <w:rPr>
                <w:rFonts w:hint="eastAsia"/>
                <w:color w:val="auto"/>
                <w:szCs w:val="20"/>
              </w:rPr>
              <w:t>根据施工期施工工作内容分析，由于施工期短、施工工程量小、施工作业的非连续性等特点，施工期各污染源及污染物的产排情况都十分轻微，施工期污染物排放源强只进行上述定性分析，总体如下：</w:t>
            </w:r>
          </w:p>
          <w:p>
            <w:pPr>
              <w:adjustRightInd w:val="0"/>
              <w:snapToGrid w:val="0"/>
              <w:ind w:firstLine="480"/>
              <w:rPr>
                <w:color w:val="auto"/>
                <w:szCs w:val="20"/>
              </w:rPr>
            </w:pPr>
            <w:r>
              <w:rPr>
                <w:rFonts w:hint="eastAsia"/>
                <w:color w:val="auto"/>
                <w:szCs w:val="20"/>
              </w:rPr>
              <w:t>（1）施工固废。主要为废弃的复合板材、钢板钢管等金属边角余料、包装材料，以及少量的生活垃圾和废油漆桶等，因施工工程量少，产生量也小。</w:t>
            </w:r>
          </w:p>
          <w:p>
            <w:pPr>
              <w:adjustRightInd w:val="0"/>
              <w:snapToGrid w:val="0"/>
              <w:ind w:firstLine="480"/>
              <w:rPr>
                <w:color w:val="auto"/>
                <w:szCs w:val="20"/>
              </w:rPr>
            </w:pPr>
            <w:r>
              <w:rPr>
                <w:rFonts w:hint="eastAsia"/>
                <w:color w:val="auto"/>
                <w:szCs w:val="20"/>
              </w:rPr>
              <w:t>（2）施工废气。施工期间无土建，室内修整作业产生少量板材切割粉尘，以及钢结构焊接、防腐装修废气。</w:t>
            </w:r>
          </w:p>
          <w:p>
            <w:pPr>
              <w:adjustRightInd w:val="0"/>
              <w:snapToGrid w:val="0"/>
              <w:ind w:firstLine="480"/>
              <w:rPr>
                <w:color w:val="auto"/>
                <w:szCs w:val="20"/>
              </w:rPr>
            </w:pPr>
            <w:r>
              <w:rPr>
                <w:rFonts w:hint="eastAsia"/>
                <w:color w:val="auto"/>
                <w:szCs w:val="20"/>
              </w:rPr>
              <w:t>（3）施工废水。施工期除施工人员洗刷、如厕等生活废水外，无其它废水产生。</w:t>
            </w:r>
          </w:p>
          <w:p>
            <w:pPr>
              <w:adjustRightInd w:val="0"/>
              <w:snapToGrid w:val="0"/>
              <w:ind w:firstLine="480"/>
              <w:rPr>
                <w:color w:val="auto"/>
                <w:szCs w:val="20"/>
              </w:rPr>
            </w:pPr>
            <w:r>
              <w:rPr>
                <w:rFonts w:hint="eastAsia"/>
                <w:color w:val="auto"/>
                <w:szCs w:val="20"/>
              </w:rPr>
              <w:t>（4）施工噪声。施工期不涉及土建，不使用大型施工设备，主要声源为室内修整时产生的间歇性敲打、锤击、钻孔、切割噪声。</w:t>
            </w:r>
          </w:p>
          <w:p>
            <w:pPr>
              <w:adjustRightInd w:val="0"/>
              <w:snapToGrid w:val="0"/>
              <w:ind w:firstLine="480"/>
              <w:rPr>
                <w:color w:val="auto"/>
                <w:szCs w:val="20"/>
              </w:rPr>
            </w:pPr>
            <w:r>
              <w:rPr>
                <w:rFonts w:hint="eastAsia"/>
                <w:color w:val="auto"/>
                <w:szCs w:val="20"/>
              </w:rPr>
              <w:t>（二）运营期</w:t>
            </w:r>
          </w:p>
          <w:p>
            <w:pPr>
              <w:snapToGrid w:val="0"/>
              <w:ind w:firstLine="470" w:firstLineChars="196"/>
              <w:jc w:val="both"/>
              <w:rPr>
                <w:color w:val="auto"/>
                <w:szCs w:val="20"/>
              </w:rPr>
            </w:pPr>
            <w:r>
              <w:rPr>
                <w:color w:val="auto"/>
                <w:szCs w:val="20"/>
              </w:rPr>
              <w:t>1、废水</w:t>
            </w:r>
          </w:p>
          <w:p>
            <w:pPr>
              <w:snapToGrid w:val="0"/>
              <w:ind w:firstLine="470" w:firstLineChars="196"/>
              <w:jc w:val="both"/>
              <w:rPr>
                <w:b/>
                <w:color w:val="auto"/>
                <w:szCs w:val="20"/>
              </w:rPr>
            </w:pPr>
            <w:r>
              <w:rPr>
                <w:bCs/>
                <w:color w:val="auto"/>
                <w:szCs w:val="20"/>
              </w:rPr>
              <w:t>本项目营运期产生的废水主要为</w:t>
            </w:r>
            <w:r>
              <w:rPr>
                <w:rFonts w:hint="eastAsia"/>
                <w:bCs/>
                <w:color w:val="auto"/>
                <w:szCs w:val="20"/>
              </w:rPr>
              <w:t>员工的</w:t>
            </w:r>
            <w:r>
              <w:rPr>
                <w:bCs/>
                <w:color w:val="auto"/>
                <w:szCs w:val="20"/>
              </w:rPr>
              <w:t>生活污水</w:t>
            </w:r>
            <w:r>
              <w:rPr>
                <w:rFonts w:hint="eastAsia"/>
                <w:bCs/>
                <w:color w:val="auto"/>
                <w:szCs w:val="20"/>
              </w:rPr>
              <w:t>。</w:t>
            </w:r>
          </w:p>
          <w:p>
            <w:pPr>
              <w:snapToGrid w:val="0"/>
              <w:ind w:firstLine="470" w:firstLineChars="196"/>
              <w:jc w:val="both"/>
              <w:rPr>
                <w:color w:val="auto"/>
                <w:szCs w:val="20"/>
              </w:rPr>
            </w:pPr>
            <w:r>
              <w:rPr>
                <w:color w:val="auto"/>
                <w:szCs w:val="20"/>
              </w:rPr>
              <w:t>2、废气</w:t>
            </w:r>
          </w:p>
          <w:p>
            <w:pPr>
              <w:snapToGrid w:val="0"/>
              <w:ind w:firstLine="470" w:firstLineChars="196"/>
              <w:jc w:val="both"/>
              <w:rPr>
                <w:b/>
                <w:color w:val="auto"/>
                <w:szCs w:val="20"/>
                <w:u w:val="single"/>
              </w:rPr>
            </w:pPr>
            <w:r>
              <w:rPr>
                <w:color w:val="auto"/>
                <w:szCs w:val="20"/>
              </w:rPr>
              <w:t>本项目营运期大气污染物主要是</w:t>
            </w:r>
            <w:r>
              <w:rPr>
                <w:rFonts w:hint="eastAsia"/>
                <w:color w:val="auto"/>
                <w:szCs w:val="20"/>
              </w:rPr>
              <w:t>：</w:t>
            </w:r>
            <w:r>
              <w:rPr>
                <w:bCs/>
                <w:color w:val="auto"/>
              </w:rPr>
              <w:t>印刷</w:t>
            </w:r>
            <w:r>
              <w:rPr>
                <w:rFonts w:hint="eastAsia"/>
                <w:bCs/>
                <w:color w:val="auto"/>
              </w:rPr>
              <w:t>产生的</w:t>
            </w:r>
            <w:r>
              <w:rPr>
                <w:rFonts w:hint="eastAsia"/>
                <w:color w:val="auto"/>
                <w:szCs w:val="20"/>
              </w:rPr>
              <w:t>有机废气</w:t>
            </w:r>
            <w:r>
              <w:rPr>
                <w:bCs/>
                <w:color w:val="auto"/>
              </w:rPr>
              <w:t>、清洗剂</w:t>
            </w:r>
            <w:r>
              <w:rPr>
                <w:rFonts w:hint="eastAsia"/>
                <w:bCs/>
                <w:color w:val="auto"/>
              </w:rPr>
              <w:t>产生的</w:t>
            </w:r>
            <w:r>
              <w:rPr>
                <w:rFonts w:hint="eastAsia"/>
                <w:color w:val="auto"/>
                <w:szCs w:val="20"/>
              </w:rPr>
              <w:t>有机废气、润版液产生的有机废气、覆膜产生的有机废气。</w:t>
            </w:r>
          </w:p>
          <w:p>
            <w:pPr>
              <w:snapToGrid w:val="0"/>
              <w:ind w:firstLine="470" w:firstLineChars="196"/>
              <w:jc w:val="both"/>
              <w:rPr>
                <w:color w:val="auto"/>
                <w:szCs w:val="20"/>
              </w:rPr>
            </w:pPr>
            <w:r>
              <w:rPr>
                <w:color w:val="auto"/>
                <w:szCs w:val="20"/>
              </w:rPr>
              <w:t>3、噪声</w:t>
            </w:r>
          </w:p>
          <w:p>
            <w:pPr>
              <w:snapToGrid w:val="0"/>
              <w:ind w:firstLine="470" w:firstLineChars="196"/>
              <w:jc w:val="both"/>
              <w:rPr>
                <w:color w:val="auto"/>
                <w:szCs w:val="20"/>
              </w:rPr>
            </w:pPr>
            <w:r>
              <w:rPr>
                <w:color w:val="auto"/>
                <w:szCs w:val="20"/>
              </w:rPr>
              <w:t>本项目营运期主要噪声源为</w:t>
            </w:r>
            <w:r>
              <w:rPr>
                <w:bCs/>
                <w:color w:val="auto"/>
              </w:rPr>
              <w:t>生产设备运行过程产生的机械噪声</w:t>
            </w:r>
            <w:r>
              <w:rPr>
                <w:color w:val="auto"/>
                <w:szCs w:val="20"/>
              </w:rPr>
              <w:t>。</w:t>
            </w:r>
          </w:p>
          <w:p>
            <w:pPr>
              <w:numPr>
                <w:ilvl w:val="0"/>
                <w:numId w:val="5"/>
              </w:numPr>
              <w:adjustRightInd w:val="0"/>
              <w:snapToGrid w:val="0"/>
              <w:ind w:firstLine="480"/>
              <w:jc w:val="both"/>
              <w:rPr>
                <w:color w:val="auto"/>
                <w:szCs w:val="20"/>
              </w:rPr>
            </w:pPr>
            <w:r>
              <w:rPr>
                <w:color w:val="auto"/>
                <w:szCs w:val="22"/>
              </w:rPr>
              <w:t>固废</w:t>
            </w:r>
          </w:p>
          <w:p>
            <w:pPr>
              <w:adjustRightInd w:val="0"/>
              <w:snapToGrid w:val="0"/>
              <w:ind w:firstLine="480"/>
              <w:rPr>
                <w:color w:val="auto"/>
                <w:szCs w:val="20"/>
              </w:rPr>
            </w:pPr>
            <w:r>
              <w:rPr>
                <w:rFonts w:hint="eastAsia"/>
                <w:color w:val="auto"/>
                <w:szCs w:val="20"/>
              </w:rPr>
              <w:t>本项目固体废物主要有废弃的油墨桶、设备清洗产生的废抹布、制袋产生的废边角料、定期更换产生的废催化剂以及职工生活垃圾等。</w:t>
            </w:r>
          </w:p>
          <w:p>
            <w:pPr>
              <w:adjustRightInd w:val="0"/>
              <w:snapToGrid w:val="0"/>
              <w:ind w:firstLine="0" w:firstLineChars="0"/>
              <w:rPr>
                <w:b/>
                <w:bCs/>
                <w:color w:val="auto"/>
                <w:sz w:val="28"/>
                <w:szCs w:val="28"/>
              </w:rPr>
            </w:pPr>
            <w:r>
              <w:rPr>
                <w:rFonts w:hint="eastAsia"/>
                <w:b/>
                <w:bCs/>
                <w:color w:val="auto"/>
                <w:sz w:val="28"/>
                <w:szCs w:val="28"/>
              </w:rPr>
              <w:t>4、</w:t>
            </w:r>
            <w:r>
              <w:rPr>
                <w:b/>
                <w:bCs/>
                <w:color w:val="auto"/>
                <w:sz w:val="28"/>
                <w:szCs w:val="28"/>
              </w:rPr>
              <w:t>污染源强核算：</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1、</w:t>
            </w:r>
            <w:r>
              <w:rPr>
                <w:rFonts w:hAnsi="宋体" w:eastAsia="宋体"/>
                <w:color w:val="auto"/>
                <w:sz w:val="24"/>
                <w:szCs w:val="24"/>
                <w:u w:val="single"/>
              </w:rPr>
              <w:t>废气：</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（1）印刷废气</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本项目印刷过程中使用的环保型聚氨酯型复合油墨，其主要组成为酯溶性聚氨酯树脂，在印刷时不会产生甲苯、二甲苯类污染物。油墨使用量为</w:t>
            </w:r>
            <w:r>
              <w:rPr>
                <w:rFonts w:hint="eastAsia" w:hAnsi="宋体" w:eastAsia="宋体"/>
                <w:color w:val="auto"/>
                <w:sz w:val="24"/>
                <w:szCs w:val="24"/>
                <w:u w:val="single"/>
                <w:lang w:val="en-US" w:eastAsia="zh-CN"/>
              </w:rPr>
              <w:t>3</w:t>
            </w:r>
            <w:r>
              <w:rPr>
                <w:rFonts w:hint="eastAsia" w:hAnsi="宋体" w:eastAsia="宋体"/>
                <w:color w:val="auto"/>
                <w:sz w:val="24"/>
                <w:szCs w:val="24"/>
                <w:u w:val="single"/>
              </w:rPr>
              <w:t>t/a，采用塑料表印的方式，因此根据《湖南省印刷业VOCs排放量测算技术指南》（试行）（以下简称《技术指南》），油墨的VOCs质量含量为60%，此次环评核算按油墨中VOCs全部挥发进行计算，则印刷废气VOCs的产生量为</w:t>
            </w:r>
            <w:r>
              <w:rPr>
                <w:rFonts w:hint="eastAsia" w:hAnsi="宋体" w:eastAsia="宋体"/>
                <w:color w:val="auto"/>
                <w:sz w:val="24"/>
                <w:szCs w:val="24"/>
                <w:u w:val="single"/>
                <w:lang w:val="en-US" w:eastAsia="zh-CN"/>
              </w:rPr>
              <w:t>1.8</w:t>
            </w:r>
            <w:r>
              <w:rPr>
                <w:rFonts w:hint="eastAsia" w:hAnsi="宋体" w:eastAsia="宋体"/>
                <w:color w:val="auto"/>
                <w:sz w:val="24"/>
                <w:szCs w:val="24"/>
                <w:u w:val="single"/>
              </w:rPr>
              <w:t>t/a。</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（2）溶剂产生的废气</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①调和废气</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本项目使用的油墨需要使用溶剂进行稀释调和，使用量约为</w:t>
            </w:r>
            <w:r>
              <w:rPr>
                <w:rFonts w:hint="eastAsia" w:hAnsi="宋体" w:eastAsia="宋体"/>
                <w:color w:val="auto"/>
                <w:sz w:val="24"/>
                <w:szCs w:val="24"/>
                <w:u w:val="single"/>
                <w:lang w:val="en-US" w:eastAsia="zh-CN"/>
              </w:rPr>
              <w:t>2</w:t>
            </w:r>
            <w:r>
              <w:rPr>
                <w:rFonts w:hint="eastAsia" w:hAnsi="宋体" w:eastAsia="宋体"/>
                <w:color w:val="auto"/>
                <w:sz w:val="24"/>
                <w:szCs w:val="24"/>
                <w:u w:val="single"/>
              </w:rPr>
              <w:t>t/a，因此在使用过程中有有机废气VOCs产生，根据《技术指南》，VOCs的挥发量按100%计算，则VOCs产生量为</w:t>
            </w:r>
            <w:r>
              <w:rPr>
                <w:rFonts w:hint="eastAsia" w:hAnsi="宋体" w:eastAsia="宋体"/>
                <w:color w:val="auto"/>
                <w:sz w:val="24"/>
                <w:szCs w:val="24"/>
                <w:u w:val="single"/>
                <w:lang w:val="en-US" w:eastAsia="zh-CN"/>
              </w:rPr>
              <w:t>2</w:t>
            </w:r>
            <w:r>
              <w:rPr>
                <w:rFonts w:hint="eastAsia" w:hAnsi="宋体" w:eastAsia="宋体"/>
                <w:color w:val="auto"/>
                <w:sz w:val="24"/>
                <w:szCs w:val="24"/>
                <w:u w:val="single"/>
              </w:rPr>
              <w:t>t/a。</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②清洗废气</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在工序完成后的设备需要用溶剂对设备进行擦拭清洗，使用量约为</w:t>
            </w:r>
            <w:r>
              <w:rPr>
                <w:rFonts w:hint="eastAsia" w:hAnsi="宋体" w:eastAsia="宋体"/>
                <w:color w:val="auto"/>
                <w:sz w:val="24"/>
                <w:szCs w:val="24"/>
                <w:u w:val="single"/>
                <w:lang w:val="en-US" w:eastAsia="zh-CN"/>
              </w:rPr>
              <w:t>1.17</w:t>
            </w:r>
            <w:r>
              <w:rPr>
                <w:rFonts w:hint="eastAsia" w:hAnsi="宋体" w:eastAsia="宋体"/>
                <w:color w:val="auto"/>
                <w:sz w:val="24"/>
                <w:szCs w:val="24"/>
                <w:u w:val="single"/>
              </w:rPr>
              <w:t>t/a。溶剂在使用过程中也会有有机废气（以VOCs表征）产生，根据《技术指南》可知，稀释剂中的VOCs质量含量为</w:t>
            </w:r>
            <w:r>
              <w:rPr>
                <w:rFonts w:hint="eastAsia" w:hAnsi="宋体" w:eastAsia="宋体"/>
                <w:color w:val="auto"/>
                <w:sz w:val="24"/>
                <w:szCs w:val="24"/>
                <w:u w:val="single"/>
                <w:lang w:val="en-US" w:eastAsia="zh-CN"/>
              </w:rPr>
              <w:t>17</w:t>
            </w:r>
            <w:r>
              <w:rPr>
                <w:rFonts w:hint="eastAsia" w:hAnsi="宋体" w:eastAsia="宋体"/>
                <w:color w:val="auto"/>
                <w:sz w:val="24"/>
                <w:szCs w:val="24"/>
                <w:u w:val="single"/>
              </w:rPr>
              <w:t>%，因本项目的溶剂主要用于调和油墨和对设备的擦拭清洗，因此溶剂擦拭过程中产生的废气量为0.2t/a。</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（3）复合废气</w:t>
            </w:r>
          </w:p>
          <w:p>
            <w:pPr>
              <w:snapToGrid w:val="0"/>
              <w:ind w:firstLine="470" w:firstLineChars="196"/>
              <w:jc w:val="both"/>
              <w:rPr>
                <w:color w:val="auto"/>
                <w:szCs w:val="20"/>
                <w:u w:val="single"/>
              </w:rPr>
            </w:pPr>
            <w:r>
              <w:rPr>
                <w:rFonts w:hint="eastAsia"/>
                <w:color w:val="auto"/>
                <w:szCs w:val="20"/>
                <w:u w:val="single"/>
              </w:rPr>
              <w:t>项目在复合工序中，会使用胶水将塑胶层粘合，胶黏剂使用量为</w:t>
            </w:r>
            <w:r>
              <w:rPr>
                <w:rFonts w:hint="eastAsia"/>
                <w:color w:val="auto"/>
                <w:szCs w:val="20"/>
                <w:u w:val="single"/>
                <w:lang w:val="en-US" w:eastAsia="zh-CN"/>
              </w:rPr>
              <w:t>2</w:t>
            </w:r>
            <w:r>
              <w:rPr>
                <w:rFonts w:hint="eastAsia"/>
                <w:color w:val="auto"/>
                <w:szCs w:val="20"/>
                <w:u w:val="single"/>
              </w:rPr>
              <w:t>t/a。在此过程中会产生一定量的废气，挥发产生的有机物以VOCs计，根据《技术指南》可知，胶黏剂中VOCs中的含量为30%，则废气产生量为</w:t>
            </w:r>
            <w:r>
              <w:rPr>
                <w:rFonts w:hint="eastAsia"/>
                <w:color w:val="auto"/>
                <w:szCs w:val="20"/>
                <w:u w:val="single"/>
                <w:lang w:val="en-US" w:eastAsia="zh-CN"/>
              </w:rPr>
              <w:t>0.6</w:t>
            </w:r>
            <w:r>
              <w:rPr>
                <w:rFonts w:hint="eastAsia"/>
                <w:color w:val="auto"/>
                <w:szCs w:val="20"/>
                <w:u w:val="single"/>
              </w:rPr>
              <w:t>t/a。</w:t>
            </w:r>
          </w:p>
          <w:p>
            <w:pPr>
              <w:pStyle w:val="2"/>
              <w:ind w:left="0" w:leftChars="0" w:firstLine="480"/>
              <w:rPr>
                <w:color w:val="auto"/>
                <w:u w:val="single"/>
              </w:rPr>
            </w:pPr>
            <w:r>
              <w:rPr>
                <w:rFonts w:hint="eastAsia"/>
                <w:color w:val="auto"/>
                <w:u w:val="single"/>
              </w:rPr>
              <w:t>（4）熟化废气</w:t>
            </w:r>
          </w:p>
          <w:p>
            <w:pPr>
              <w:pStyle w:val="2"/>
              <w:ind w:left="0" w:leftChars="0" w:firstLine="480"/>
              <w:rPr>
                <w:color w:val="auto"/>
                <w:u w:val="single"/>
              </w:rPr>
            </w:pPr>
            <w:r>
              <w:rPr>
                <w:rFonts w:hint="eastAsia"/>
                <w:color w:val="auto"/>
                <w:u w:val="single"/>
              </w:rPr>
              <w:t>熟化工序主要为用电加热将胶黏后的半成品进行烘干熟化，有少量有机废气产生，在复合工序中将胶水中的VOCs以全部含量挥发计算，因此不对熟化废气进行定量计算。</w:t>
            </w:r>
          </w:p>
          <w:p>
            <w:pPr>
              <w:pStyle w:val="51"/>
              <w:spacing w:line="360" w:lineRule="auto"/>
              <w:ind w:firstLine="482"/>
              <w:rPr>
                <w:rFonts w:hAnsi="宋体" w:eastAsia="宋体"/>
                <w:color w:val="auto"/>
                <w:sz w:val="24"/>
                <w:szCs w:val="24"/>
                <w:u w:val="single"/>
              </w:rPr>
            </w:pPr>
            <w:r>
              <w:rPr>
                <w:rFonts w:hint="eastAsia" w:hAnsi="宋体" w:eastAsia="宋体"/>
                <w:color w:val="auto"/>
                <w:sz w:val="24"/>
                <w:szCs w:val="24"/>
                <w:u w:val="single"/>
              </w:rPr>
              <w:t>综上，本项目营运过程中的有机废气产生量为</w:t>
            </w:r>
            <w:r>
              <w:rPr>
                <w:rFonts w:hint="eastAsia" w:hAnsi="宋体" w:eastAsia="宋体"/>
                <w:color w:val="auto"/>
                <w:sz w:val="24"/>
                <w:szCs w:val="24"/>
                <w:u w:val="single"/>
                <w:lang w:val="en-US" w:eastAsia="zh-CN"/>
              </w:rPr>
              <w:t>4.6</w:t>
            </w:r>
            <w:r>
              <w:rPr>
                <w:rFonts w:hint="eastAsia" w:hAnsi="宋体" w:eastAsia="宋体"/>
                <w:color w:val="auto"/>
                <w:sz w:val="24"/>
                <w:szCs w:val="24"/>
                <w:u w:val="single"/>
              </w:rPr>
              <w:t>t/a。</w:t>
            </w:r>
          </w:p>
          <w:p>
            <w:pPr>
              <w:pStyle w:val="51"/>
              <w:spacing w:line="360" w:lineRule="auto"/>
              <w:ind w:firstLine="482"/>
              <w:rPr>
                <w:rFonts w:hAnsi="宋体" w:eastAsia="宋体"/>
                <w:color w:val="auto"/>
                <w:sz w:val="24"/>
                <w:szCs w:val="24"/>
                <w:u w:val="single"/>
              </w:rPr>
            </w:pPr>
            <w:r>
              <w:rPr>
                <w:rFonts w:hint="eastAsia" w:hAnsi="宋体" w:eastAsia="宋体"/>
                <w:color w:val="auto"/>
                <w:sz w:val="24"/>
                <w:szCs w:val="24"/>
                <w:u w:val="single"/>
              </w:rPr>
              <w:t>根据工程分析中计算的废气产生量，本项目拟对废气产生的各个节点安装集气罩进行收集，然后通过管道引至废气处理设施处理后由1根25m高排气筒进行有组织排放。为保证生产工序的流畅性，因此建设单位拟在各个节点上方安装集气罩对废气进行</w:t>
            </w:r>
            <w:r>
              <w:rPr>
                <w:rFonts w:hint="eastAsia" w:hAnsi="宋体" w:eastAsia="宋体"/>
                <w:color w:val="auto"/>
                <w:sz w:val="24"/>
                <w:szCs w:val="24"/>
                <w:u w:val="single"/>
                <w:lang w:eastAsia="zh-CN"/>
              </w:rPr>
              <w:t>单独</w:t>
            </w:r>
            <w:r>
              <w:rPr>
                <w:rFonts w:hint="eastAsia" w:hAnsi="宋体" w:eastAsia="宋体"/>
                <w:color w:val="auto"/>
                <w:sz w:val="24"/>
                <w:szCs w:val="24"/>
                <w:u w:val="single"/>
              </w:rPr>
              <w:t>收集，则收集效率按</w:t>
            </w:r>
            <w:r>
              <w:rPr>
                <w:rFonts w:hint="eastAsia" w:hAnsi="宋体" w:eastAsia="宋体"/>
                <w:color w:val="auto"/>
                <w:sz w:val="24"/>
                <w:szCs w:val="24"/>
                <w:u w:val="single"/>
                <w:lang w:val="en-US" w:eastAsia="zh-CN"/>
              </w:rPr>
              <w:t>90</w:t>
            </w:r>
            <w:r>
              <w:rPr>
                <w:rFonts w:hint="eastAsia" w:hAnsi="宋体" w:eastAsia="宋体"/>
                <w:color w:val="auto"/>
                <w:sz w:val="24"/>
                <w:szCs w:val="24"/>
                <w:u w:val="single"/>
              </w:rPr>
              <w:t>%计算。废气处理方式采用催化燃烧装置（以下简称RCO）进行处理，根据《技术指南》表2中的处理效率为85%，风机风量为20000m</w:t>
            </w:r>
            <w:r>
              <w:rPr>
                <w:rFonts w:hint="eastAsia" w:hAnsi="宋体" w:eastAsia="宋体"/>
                <w:color w:val="auto"/>
                <w:sz w:val="24"/>
                <w:szCs w:val="24"/>
                <w:u w:val="single"/>
                <w:vertAlign w:val="superscript"/>
              </w:rPr>
              <w:t>3</w:t>
            </w:r>
            <w:r>
              <w:rPr>
                <w:rFonts w:hint="eastAsia" w:hAnsi="宋体" w:eastAsia="宋体"/>
                <w:color w:val="auto"/>
                <w:sz w:val="24"/>
                <w:szCs w:val="24"/>
                <w:u w:val="single"/>
              </w:rPr>
              <w:t>/h。</w:t>
            </w:r>
          </w:p>
          <w:p>
            <w:pPr>
              <w:pStyle w:val="51"/>
              <w:spacing w:line="360" w:lineRule="auto"/>
              <w:ind w:firstLine="482"/>
              <w:rPr>
                <w:rFonts w:hAnsi="宋体" w:eastAsia="宋体"/>
                <w:color w:val="auto"/>
                <w:sz w:val="24"/>
                <w:szCs w:val="24"/>
              </w:rPr>
            </w:pPr>
            <w:r>
              <w:rPr>
                <w:rFonts w:hint="eastAsia" w:hAnsi="宋体" w:eastAsia="宋体"/>
                <w:color w:val="auto"/>
                <w:sz w:val="24"/>
                <w:szCs w:val="24"/>
                <w:u w:val="single"/>
              </w:rPr>
              <w:t>则本项目有机废气的有组织产生量为</w:t>
            </w:r>
            <w:r>
              <w:rPr>
                <w:rFonts w:hint="eastAsia" w:hAnsi="宋体" w:eastAsia="宋体"/>
                <w:color w:val="auto"/>
                <w:sz w:val="24"/>
                <w:szCs w:val="24"/>
                <w:u w:val="single"/>
                <w:lang w:val="en-US" w:eastAsia="zh-CN"/>
              </w:rPr>
              <w:t>4.14</w:t>
            </w:r>
            <w:r>
              <w:rPr>
                <w:rFonts w:hint="eastAsia" w:hAnsi="宋体" w:eastAsia="宋体"/>
                <w:color w:val="auto"/>
                <w:sz w:val="24"/>
                <w:szCs w:val="24"/>
                <w:u w:val="single"/>
              </w:rPr>
              <w:t>t/a（</w:t>
            </w:r>
            <w:r>
              <w:rPr>
                <w:rFonts w:hint="eastAsia" w:hAnsi="宋体" w:eastAsia="宋体"/>
                <w:color w:val="auto"/>
                <w:sz w:val="24"/>
                <w:szCs w:val="24"/>
                <w:u w:val="single"/>
                <w:lang w:val="en-US" w:eastAsia="zh-CN"/>
              </w:rPr>
              <w:t>1.725</w:t>
            </w:r>
            <w:r>
              <w:rPr>
                <w:rFonts w:hint="eastAsia" w:hAnsi="宋体" w:eastAsia="宋体"/>
                <w:color w:val="auto"/>
                <w:sz w:val="24"/>
                <w:szCs w:val="24"/>
                <w:u w:val="single"/>
              </w:rPr>
              <w:t>kg/h），有组织产生浓度为</w:t>
            </w:r>
            <w:r>
              <w:rPr>
                <w:rFonts w:hint="eastAsia" w:hAnsi="宋体" w:eastAsia="宋体"/>
                <w:color w:val="auto"/>
                <w:sz w:val="24"/>
                <w:szCs w:val="24"/>
                <w:u w:val="single"/>
                <w:lang w:val="en-US" w:eastAsia="zh-CN"/>
              </w:rPr>
              <w:t>86.25</w:t>
            </w:r>
            <w:r>
              <w:rPr>
                <w:rFonts w:hint="eastAsia" w:hAnsi="宋体" w:eastAsia="宋体"/>
                <w:color w:val="auto"/>
                <w:sz w:val="24"/>
                <w:szCs w:val="24"/>
                <w:u w:val="single"/>
              </w:rPr>
              <w:t>mg/m</w:t>
            </w:r>
            <w:r>
              <w:rPr>
                <w:rFonts w:hint="eastAsia" w:hAnsi="宋体" w:eastAsia="宋体"/>
                <w:color w:val="auto"/>
                <w:sz w:val="24"/>
                <w:szCs w:val="24"/>
                <w:u w:val="single"/>
                <w:vertAlign w:val="superscript"/>
              </w:rPr>
              <w:t>3</w:t>
            </w:r>
            <w:r>
              <w:rPr>
                <w:rFonts w:hint="eastAsia" w:hAnsi="宋体" w:eastAsia="宋体"/>
                <w:color w:val="auto"/>
                <w:sz w:val="24"/>
                <w:szCs w:val="24"/>
                <w:u w:val="single"/>
              </w:rPr>
              <w:t>，无组织产生量为</w:t>
            </w:r>
            <w:r>
              <w:rPr>
                <w:rFonts w:hint="eastAsia" w:hAnsi="宋体" w:eastAsia="宋体"/>
                <w:color w:val="auto"/>
                <w:sz w:val="24"/>
                <w:szCs w:val="24"/>
                <w:u w:val="single"/>
                <w:lang w:val="en-US" w:eastAsia="zh-CN"/>
              </w:rPr>
              <w:t>0.46</w:t>
            </w:r>
            <w:r>
              <w:rPr>
                <w:rFonts w:hint="eastAsia" w:hAnsi="宋体" w:eastAsia="宋体"/>
                <w:color w:val="auto"/>
                <w:sz w:val="24"/>
                <w:szCs w:val="24"/>
                <w:u w:val="single"/>
              </w:rPr>
              <w:t>t/a，有组织排放量为</w:t>
            </w:r>
            <w:r>
              <w:rPr>
                <w:rFonts w:hint="eastAsia" w:hAnsi="宋体" w:eastAsia="宋体"/>
                <w:color w:val="auto"/>
                <w:sz w:val="24"/>
                <w:szCs w:val="24"/>
                <w:u w:val="single"/>
                <w:lang w:val="en-US" w:eastAsia="zh-CN"/>
              </w:rPr>
              <w:t>0.621</w:t>
            </w:r>
            <w:r>
              <w:rPr>
                <w:rFonts w:hint="eastAsia" w:hAnsi="宋体" w:eastAsia="宋体"/>
                <w:color w:val="auto"/>
                <w:sz w:val="24"/>
                <w:szCs w:val="24"/>
                <w:u w:val="single"/>
              </w:rPr>
              <w:t>t/a（</w:t>
            </w:r>
            <w:r>
              <w:rPr>
                <w:rFonts w:hint="eastAsia" w:hAnsi="宋体" w:eastAsia="宋体"/>
                <w:color w:val="auto"/>
                <w:sz w:val="24"/>
                <w:szCs w:val="24"/>
                <w:u w:val="single"/>
                <w:lang w:val="en-US" w:eastAsia="zh-CN"/>
              </w:rPr>
              <w:t>0.26</w:t>
            </w:r>
            <w:r>
              <w:rPr>
                <w:rFonts w:hint="eastAsia" w:hAnsi="宋体" w:eastAsia="宋体"/>
                <w:color w:val="auto"/>
                <w:sz w:val="24"/>
                <w:szCs w:val="24"/>
                <w:u w:val="single"/>
              </w:rPr>
              <w:t>kg/h），排放浓度为</w:t>
            </w:r>
            <w:r>
              <w:rPr>
                <w:rFonts w:hint="eastAsia" w:hAnsi="宋体" w:eastAsia="宋体"/>
                <w:color w:val="auto"/>
                <w:sz w:val="24"/>
                <w:szCs w:val="24"/>
                <w:u w:val="single"/>
                <w:lang w:val="en-US" w:eastAsia="zh-CN"/>
              </w:rPr>
              <w:t>12.93</w:t>
            </w:r>
            <w:r>
              <w:rPr>
                <w:rFonts w:hint="eastAsia" w:hAnsi="宋体" w:eastAsia="宋体"/>
                <w:color w:val="auto"/>
                <w:sz w:val="24"/>
                <w:szCs w:val="24"/>
                <w:u w:val="single"/>
              </w:rPr>
              <w:t>mg/m</w:t>
            </w:r>
            <w:r>
              <w:rPr>
                <w:rFonts w:hint="eastAsia" w:hAnsi="宋体" w:eastAsia="宋体"/>
                <w:color w:val="auto"/>
                <w:sz w:val="24"/>
                <w:szCs w:val="24"/>
                <w:u w:val="single"/>
                <w:vertAlign w:val="superscript"/>
              </w:rPr>
              <w:t>3</w:t>
            </w:r>
            <w:r>
              <w:rPr>
                <w:rFonts w:hint="eastAsia" w:hAnsi="宋体" w:eastAsia="宋体"/>
                <w:color w:val="auto"/>
                <w:sz w:val="24"/>
                <w:szCs w:val="24"/>
                <w:u w:val="single"/>
              </w:rPr>
              <w:t>。</w:t>
            </w:r>
          </w:p>
          <w:p>
            <w:pPr>
              <w:pStyle w:val="61"/>
              <w:numPr>
                <w:ilvl w:val="0"/>
                <w:numId w:val="2"/>
              </w:numPr>
              <w:ind w:firstLineChars="0"/>
              <w:rPr>
                <w:rFonts w:hAnsi="宋体"/>
                <w:color w:val="auto"/>
              </w:rPr>
            </w:pPr>
            <w:r>
              <w:rPr>
                <w:color w:val="auto"/>
              </w:rPr>
              <w:t>废水：</w:t>
            </w:r>
          </w:p>
          <w:p>
            <w:pPr>
              <w:snapToGrid w:val="0"/>
              <w:ind w:firstLine="470" w:firstLineChars="196"/>
              <w:rPr>
                <w:bCs/>
                <w:color w:val="auto"/>
              </w:rPr>
            </w:pPr>
            <w:r>
              <w:rPr>
                <w:bCs/>
                <w:color w:val="auto"/>
              </w:rPr>
              <w:t>本项目营运期产生的废水主要为</w:t>
            </w:r>
            <w:r>
              <w:rPr>
                <w:rFonts w:hint="eastAsia"/>
                <w:bCs/>
                <w:color w:val="auto"/>
              </w:rPr>
              <w:t>员工的</w:t>
            </w:r>
            <w:r>
              <w:rPr>
                <w:bCs/>
                <w:color w:val="auto"/>
              </w:rPr>
              <w:t>生活污水。</w:t>
            </w:r>
          </w:p>
          <w:p>
            <w:pPr>
              <w:snapToGrid w:val="0"/>
              <w:ind w:firstLine="470" w:firstLineChars="196"/>
              <w:rPr>
                <w:bCs/>
                <w:color w:val="auto"/>
              </w:rPr>
            </w:pPr>
            <w:r>
              <w:rPr>
                <w:rFonts w:hint="eastAsia"/>
                <w:bCs/>
                <w:color w:val="auto"/>
              </w:rPr>
              <w:t>本项目不设食堂，劳动定员</w:t>
            </w:r>
            <w:r>
              <w:rPr>
                <w:bCs/>
                <w:color w:val="auto"/>
              </w:rPr>
              <w:t>为</w:t>
            </w:r>
            <w:r>
              <w:rPr>
                <w:rFonts w:hint="eastAsia"/>
                <w:bCs/>
                <w:color w:val="auto"/>
              </w:rPr>
              <w:t>20</w:t>
            </w:r>
            <w:r>
              <w:rPr>
                <w:bCs/>
                <w:color w:val="auto"/>
              </w:rPr>
              <w:t>人，根据《湖南省用水定额》（DB43T388-20</w:t>
            </w:r>
            <w:r>
              <w:rPr>
                <w:rFonts w:hint="eastAsia"/>
                <w:bCs/>
                <w:color w:val="auto"/>
              </w:rPr>
              <w:t>20</w:t>
            </w:r>
            <w:r>
              <w:rPr>
                <w:bCs/>
                <w:color w:val="auto"/>
              </w:rPr>
              <w:t>）的规定，员工生活用水量按50L/人•d计，用水量为</w:t>
            </w:r>
            <w:r>
              <w:rPr>
                <w:rFonts w:hint="eastAsia"/>
                <w:bCs/>
                <w:color w:val="auto"/>
              </w:rPr>
              <w:t>1m³</w:t>
            </w:r>
            <w:r>
              <w:rPr>
                <w:bCs/>
                <w:color w:val="auto"/>
              </w:rPr>
              <w:t xml:space="preserve">/d，年用水量为 </w:t>
            </w:r>
            <w:r>
              <w:rPr>
                <w:rFonts w:hint="eastAsia"/>
                <w:bCs/>
                <w:color w:val="auto"/>
              </w:rPr>
              <w:t>300m³</w:t>
            </w:r>
            <w:r>
              <w:rPr>
                <w:bCs/>
                <w:color w:val="auto"/>
              </w:rPr>
              <w:t>/a。其废水</w:t>
            </w:r>
            <w:r>
              <w:rPr>
                <w:rFonts w:hint="eastAsia"/>
                <w:bCs/>
                <w:color w:val="auto"/>
              </w:rPr>
              <w:t>产生量按用水量的0.8计算，生活</w:t>
            </w:r>
            <w:r>
              <w:rPr>
                <w:bCs/>
                <w:color w:val="auto"/>
              </w:rPr>
              <w:t>废水产生量</w:t>
            </w:r>
            <w:r>
              <w:rPr>
                <w:rFonts w:hint="eastAsia"/>
                <w:bCs/>
                <w:color w:val="auto"/>
              </w:rPr>
              <w:t>0.8m³</w:t>
            </w:r>
            <w:r>
              <w:rPr>
                <w:bCs/>
                <w:color w:val="auto"/>
              </w:rPr>
              <w:t>/d</w:t>
            </w:r>
            <w:r>
              <w:rPr>
                <w:rFonts w:hint="eastAsia"/>
                <w:bCs/>
                <w:color w:val="auto"/>
              </w:rPr>
              <w:t>，240m³/a</w:t>
            </w:r>
            <w:r>
              <w:rPr>
                <w:bCs/>
                <w:color w:val="auto"/>
              </w:rPr>
              <w:t>。主要污染物是COD、BOD</w:t>
            </w:r>
            <w:r>
              <w:rPr>
                <w:bCs/>
                <w:color w:val="auto"/>
                <w:vertAlign w:val="subscript"/>
              </w:rPr>
              <w:t>5</w:t>
            </w:r>
            <w:r>
              <w:rPr>
                <w:bCs/>
                <w:color w:val="auto"/>
              </w:rPr>
              <w:t>、NH</w:t>
            </w:r>
            <w:r>
              <w:rPr>
                <w:bCs/>
                <w:color w:val="auto"/>
                <w:vertAlign w:val="subscript"/>
              </w:rPr>
              <w:t>3</w:t>
            </w:r>
            <w:r>
              <w:rPr>
                <w:bCs/>
                <w:color w:val="auto"/>
              </w:rPr>
              <w:t>-N等，据类比分析，其中COD浓度为3</w:t>
            </w:r>
            <w:r>
              <w:rPr>
                <w:rFonts w:hint="eastAsia"/>
                <w:bCs/>
                <w:color w:val="auto"/>
              </w:rPr>
              <w:t>5</w:t>
            </w:r>
            <w:r>
              <w:rPr>
                <w:bCs/>
                <w:color w:val="auto"/>
              </w:rPr>
              <w:t>0mgL，BOD</w:t>
            </w:r>
            <w:r>
              <w:rPr>
                <w:bCs/>
                <w:color w:val="auto"/>
                <w:vertAlign w:val="subscript"/>
              </w:rPr>
              <w:t>5</w:t>
            </w:r>
            <w:r>
              <w:rPr>
                <w:bCs/>
                <w:color w:val="auto"/>
              </w:rPr>
              <w:t>浓度为</w:t>
            </w:r>
            <w:r>
              <w:rPr>
                <w:rFonts w:hint="eastAsia"/>
                <w:bCs/>
                <w:color w:val="auto"/>
              </w:rPr>
              <w:t>35</w:t>
            </w:r>
            <w:r>
              <w:rPr>
                <w:bCs/>
                <w:color w:val="auto"/>
              </w:rPr>
              <w:t>0mg/L，SS浓度为</w:t>
            </w:r>
            <w:r>
              <w:rPr>
                <w:rFonts w:hint="eastAsia"/>
                <w:bCs/>
                <w:color w:val="auto"/>
              </w:rPr>
              <w:t>3</w:t>
            </w:r>
            <w:r>
              <w:rPr>
                <w:bCs/>
                <w:color w:val="auto"/>
              </w:rPr>
              <w:t>00mgL，NH</w:t>
            </w:r>
            <w:r>
              <w:rPr>
                <w:bCs/>
                <w:color w:val="auto"/>
                <w:vertAlign w:val="subscript"/>
              </w:rPr>
              <w:t>3</w:t>
            </w:r>
            <w:r>
              <w:rPr>
                <w:bCs/>
                <w:color w:val="auto"/>
              </w:rPr>
              <w:t>-N浓度为</w:t>
            </w:r>
            <w:r>
              <w:rPr>
                <w:rFonts w:hint="eastAsia"/>
                <w:bCs/>
                <w:color w:val="auto"/>
              </w:rPr>
              <w:t>45</w:t>
            </w:r>
            <w:r>
              <w:rPr>
                <w:bCs/>
                <w:color w:val="auto"/>
              </w:rPr>
              <w:t>mg/L。</w:t>
            </w:r>
          </w:p>
          <w:p>
            <w:pPr>
              <w:snapToGrid w:val="0"/>
              <w:ind w:firstLine="470" w:firstLineChars="196"/>
              <w:rPr>
                <w:rFonts w:hint="eastAsia"/>
                <w:bCs/>
                <w:color w:val="auto"/>
              </w:rPr>
            </w:pPr>
            <w:r>
              <w:rPr>
                <w:rFonts w:hint="eastAsia"/>
                <w:bCs/>
                <w:color w:val="auto"/>
              </w:rPr>
              <w:t>本项目废水产生和排放情况见表5-2。</w:t>
            </w:r>
          </w:p>
          <w:p>
            <w:pPr>
              <w:pStyle w:val="32"/>
              <w:rPr>
                <w:rFonts w:hint="eastAsia"/>
                <w:bCs/>
                <w:color w:val="auto"/>
              </w:rPr>
            </w:pPr>
          </w:p>
          <w:p>
            <w:pPr>
              <w:pStyle w:val="32"/>
              <w:rPr>
                <w:rFonts w:hint="eastAsia"/>
                <w:bCs/>
                <w:color w:val="auto"/>
              </w:rPr>
            </w:pPr>
          </w:p>
          <w:p>
            <w:pPr>
              <w:pStyle w:val="32"/>
              <w:rPr>
                <w:rFonts w:hint="eastAsia"/>
                <w:bCs/>
                <w:color w:val="auto"/>
              </w:rPr>
            </w:pPr>
          </w:p>
          <w:p>
            <w:pPr>
              <w:pStyle w:val="32"/>
              <w:rPr>
                <w:rFonts w:hint="eastAsia"/>
                <w:bCs/>
                <w:color w:val="auto"/>
              </w:rPr>
            </w:pPr>
          </w:p>
          <w:p>
            <w:pPr>
              <w:pStyle w:val="32"/>
              <w:rPr>
                <w:rFonts w:hint="eastAsia"/>
                <w:bCs/>
                <w:color w:val="auto"/>
              </w:rPr>
            </w:pPr>
          </w:p>
          <w:p>
            <w:pPr>
              <w:pStyle w:val="32"/>
              <w:rPr>
                <w:rFonts w:hint="eastAsia"/>
                <w:bCs/>
                <w:color w:val="auto"/>
              </w:rPr>
            </w:pPr>
          </w:p>
          <w:p>
            <w:pPr>
              <w:pStyle w:val="32"/>
              <w:rPr>
                <w:rFonts w:hint="eastAsia"/>
                <w:bCs/>
                <w:color w:val="auto"/>
              </w:rPr>
            </w:pPr>
          </w:p>
          <w:p>
            <w:pPr>
              <w:pStyle w:val="32"/>
              <w:rPr>
                <w:rFonts w:hint="eastAsia"/>
                <w:bCs/>
                <w:color w:val="auto"/>
              </w:rPr>
            </w:pPr>
          </w:p>
          <w:p>
            <w:pPr>
              <w:pStyle w:val="32"/>
              <w:rPr>
                <w:rFonts w:hint="eastAsia"/>
                <w:bCs/>
                <w:color w:val="auto"/>
              </w:rPr>
            </w:pPr>
          </w:p>
          <w:p>
            <w:pPr>
              <w:pStyle w:val="32"/>
              <w:rPr>
                <w:rFonts w:hint="eastAsia"/>
                <w:bCs/>
                <w:color w:val="auto"/>
              </w:rPr>
            </w:pPr>
          </w:p>
          <w:p>
            <w:pPr>
              <w:pStyle w:val="32"/>
              <w:rPr>
                <w:rFonts w:hint="eastAsia"/>
                <w:bCs/>
                <w:color w:val="auto"/>
              </w:rPr>
            </w:pPr>
          </w:p>
          <w:p>
            <w:pPr>
              <w:pStyle w:val="71"/>
              <w:ind w:firstLine="480"/>
              <w:rPr>
                <w:color w:val="auto"/>
              </w:rPr>
            </w:pPr>
            <w:r>
              <w:rPr>
                <w:color w:val="auto"/>
              </w:rPr>
              <w:t>表</w:t>
            </w:r>
            <w:r>
              <w:rPr>
                <w:rFonts w:hint="eastAsia"/>
                <w:color w:val="auto"/>
              </w:rPr>
              <w:t xml:space="preserve">5-2   </w:t>
            </w:r>
            <w:r>
              <w:rPr>
                <w:color w:val="auto"/>
              </w:rPr>
              <w:t>项目营运期</w:t>
            </w:r>
            <w:r>
              <w:rPr>
                <w:rFonts w:hint="eastAsia"/>
                <w:color w:val="auto"/>
              </w:rPr>
              <w:t>废水</w:t>
            </w:r>
            <w:r>
              <w:rPr>
                <w:color w:val="auto"/>
              </w:rPr>
              <w:t>产生及排放情况一览表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1951"/>
              <w:gridCol w:w="1510"/>
              <w:gridCol w:w="1650"/>
              <w:gridCol w:w="1096"/>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7" w:type="pct"/>
                  <w:gridSpan w:val="2"/>
                  <w:vAlign w:val="center"/>
                </w:tcPr>
                <w:p>
                  <w:pPr>
                    <w:adjustRightInd w:val="0"/>
                    <w:snapToGrid w:val="0"/>
                    <w:spacing w:line="240" w:lineRule="auto"/>
                    <w:ind w:firstLine="0" w:firstLineChars="0"/>
                    <w:jc w:val="center"/>
                    <w:rPr>
                      <w:b/>
                      <w:bCs/>
                      <w:color w:val="auto"/>
                      <w:sz w:val="21"/>
                      <w:szCs w:val="21"/>
                    </w:rPr>
                  </w:pPr>
                  <w:r>
                    <w:rPr>
                      <w:b/>
                      <w:bCs/>
                      <w:color w:val="auto"/>
                      <w:sz w:val="21"/>
                      <w:szCs w:val="21"/>
                    </w:rPr>
                    <w:t>项目</w:t>
                  </w:r>
                </w:p>
              </w:tc>
              <w:tc>
                <w:tcPr>
                  <w:tcW w:w="828" w:type="pct"/>
                  <w:vAlign w:val="center"/>
                </w:tcPr>
                <w:p>
                  <w:pPr>
                    <w:adjustRightInd w:val="0"/>
                    <w:snapToGrid w:val="0"/>
                    <w:spacing w:line="240" w:lineRule="auto"/>
                    <w:ind w:firstLine="0" w:firstLineChars="0"/>
                    <w:jc w:val="center"/>
                    <w:rPr>
                      <w:b/>
                      <w:bCs/>
                      <w:color w:val="auto"/>
                      <w:sz w:val="21"/>
                      <w:szCs w:val="21"/>
                    </w:rPr>
                  </w:pPr>
                  <w:r>
                    <w:rPr>
                      <w:b/>
                      <w:bCs/>
                      <w:color w:val="auto"/>
                      <w:sz w:val="21"/>
                      <w:szCs w:val="21"/>
                    </w:rPr>
                    <w:t>CO</w:t>
                  </w:r>
                  <w:r>
                    <w:rPr>
                      <w:rFonts w:hint="eastAsia"/>
                      <w:b/>
                      <w:bCs/>
                      <w:color w:val="auto"/>
                      <w:sz w:val="21"/>
                      <w:szCs w:val="21"/>
                    </w:rPr>
                    <w:t>D</w:t>
                  </w:r>
                </w:p>
              </w:tc>
              <w:tc>
                <w:tcPr>
                  <w:tcW w:w="905" w:type="pct"/>
                  <w:vAlign w:val="center"/>
                </w:tcPr>
                <w:p>
                  <w:pPr>
                    <w:adjustRightInd w:val="0"/>
                    <w:snapToGrid w:val="0"/>
                    <w:spacing w:line="240" w:lineRule="auto"/>
                    <w:ind w:firstLine="0" w:firstLineChars="0"/>
                    <w:jc w:val="center"/>
                    <w:rPr>
                      <w:b/>
                      <w:bCs/>
                      <w:color w:val="auto"/>
                      <w:sz w:val="21"/>
                      <w:szCs w:val="21"/>
                    </w:rPr>
                  </w:pPr>
                  <w:r>
                    <w:rPr>
                      <w:b/>
                      <w:bCs/>
                      <w:color w:val="auto"/>
                      <w:sz w:val="21"/>
                      <w:szCs w:val="21"/>
                    </w:rPr>
                    <w:t>BOD</w:t>
                  </w:r>
                  <w:r>
                    <w:rPr>
                      <w:b/>
                      <w:bCs/>
                      <w:color w:val="auto"/>
                      <w:sz w:val="21"/>
                      <w:szCs w:val="21"/>
                      <w:vertAlign w:val="subscript"/>
                    </w:rPr>
                    <w:t>5</w:t>
                  </w:r>
                </w:p>
              </w:tc>
              <w:tc>
                <w:tcPr>
                  <w:tcW w:w="601" w:type="pct"/>
                  <w:vAlign w:val="center"/>
                </w:tcPr>
                <w:p>
                  <w:pPr>
                    <w:adjustRightInd w:val="0"/>
                    <w:snapToGrid w:val="0"/>
                    <w:spacing w:line="240" w:lineRule="auto"/>
                    <w:ind w:firstLine="0" w:firstLineChars="0"/>
                    <w:jc w:val="center"/>
                    <w:rPr>
                      <w:b/>
                      <w:bCs/>
                      <w:color w:val="auto"/>
                      <w:sz w:val="21"/>
                      <w:szCs w:val="21"/>
                    </w:rPr>
                  </w:pPr>
                  <w:r>
                    <w:rPr>
                      <w:b/>
                      <w:bCs/>
                      <w:color w:val="auto"/>
                      <w:sz w:val="21"/>
                      <w:szCs w:val="21"/>
                    </w:rPr>
                    <w:t>SS</w:t>
                  </w:r>
                </w:p>
              </w:tc>
              <w:tc>
                <w:tcPr>
                  <w:tcW w:w="546" w:type="pct"/>
                  <w:vAlign w:val="center"/>
                </w:tcPr>
                <w:p>
                  <w:pPr>
                    <w:adjustRightInd w:val="0"/>
                    <w:snapToGrid w:val="0"/>
                    <w:spacing w:line="240" w:lineRule="auto"/>
                    <w:ind w:firstLine="0" w:firstLineChars="0"/>
                    <w:jc w:val="center"/>
                    <w:rPr>
                      <w:b/>
                      <w:bCs/>
                      <w:color w:val="auto"/>
                      <w:sz w:val="21"/>
                      <w:szCs w:val="21"/>
                    </w:rPr>
                  </w:pPr>
                  <w:r>
                    <w:rPr>
                      <w:b/>
                      <w:bCs/>
                      <w:color w:val="auto"/>
                      <w:sz w:val="21"/>
                      <w:szCs w:val="21"/>
                    </w:rPr>
                    <w:t>NH</w:t>
                  </w:r>
                  <w:r>
                    <w:rPr>
                      <w:b/>
                      <w:bCs/>
                      <w:color w:val="auto"/>
                      <w:sz w:val="21"/>
                      <w:szCs w:val="21"/>
                      <w:vertAlign w:val="subscript"/>
                    </w:rPr>
                    <w:t>3</w:t>
                  </w:r>
                  <w:r>
                    <w:rPr>
                      <w:b/>
                      <w:bCs/>
                      <w:color w:val="auto"/>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restart"/>
                  <w:vAlign w:val="center"/>
                </w:tcPr>
                <w:p>
                  <w:pPr>
                    <w:adjustRightInd w:val="0"/>
                    <w:snapToGrid w:val="0"/>
                    <w:spacing w:line="240" w:lineRule="auto"/>
                    <w:ind w:firstLine="0" w:firstLineChars="0"/>
                    <w:jc w:val="center"/>
                    <w:rPr>
                      <w:color w:val="auto"/>
                      <w:sz w:val="21"/>
                      <w:szCs w:val="21"/>
                    </w:rPr>
                  </w:pPr>
                  <w:r>
                    <w:rPr>
                      <w:color w:val="auto"/>
                      <w:sz w:val="21"/>
                      <w:szCs w:val="21"/>
                    </w:rPr>
                    <w:t>产生情况</w:t>
                  </w: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废水量</w:t>
                  </w:r>
                </w:p>
              </w:tc>
              <w:tc>
                <w:tcPr>
                  <w:tcW w:w="2882" w:type="pct"/>
                  <w:gridSpan w:val="4"/>
                  <w:vAlign w:val="center"/>
                </w:tcPr>
                <w:p>
                  <w:pPr>
                    <w:adjustRightInd w:val="0"/>
                    <w:snapToGrid w:val="0"/>
                    <w:spacing w:line="240" w:lineRule="auto"/>
                    <w:ind w:firstLine="0" w:firstLineChars="0"/>
                    <w:jc w:val="center"/>
                    <w:rPr>
                      <w:color w:val="auto"/>
                      <w:sz w:val="21"/>
                      <w:szCs w:val="21"/>
                    </w:rPr>
                  </w:pPr>
                  <w:r>
                    <w:rPr>
                      <w:color w:val="auto"/>
                      <w:sz w:val="21"/>
                      <w:szCs w:val="21"/>
                    </w:rPr>
                    <w:t>240m³/a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continue"/>
                  <w:vAlign w:val="center"/>
                </w:tcPr>
                <w:p>
                  <w:pPr>
                    <w:adjustRightInd w:val="0"/>
                    <w:snapToGrid w:val="0"/>
                    <w:spacing w:line="240" w:lineRule="auto"/>
                    <w:ind w:firstLine="0" w:firstLineChars="0"/>
                    <w:jc w:val="center"/>
                    <w:rPr>
                      <w:color w:val="auto"/>
                      <w:sz w:val="21"/>
                      <w:szCs w:val="21"/>
                    </w:rPr>
                  </w:pP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浓度mg/L</w:t>
                  </w:r>
                </w:p>
              </w:tc>
              <w:tc>
                <w:tcPr>
                  <w:tcW w:w="828" w:type="pc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350</w:t>
                  </w:r>
                </w:p>
              </w:tc>
              <w:tc>
                <w:tcPr>
                  <w:tcW w:w="905" w:type="pc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35</w:t>
                  </w:r>
                  <w:r>
                    <w:rPr>
                      <w:color w:val="auto"/>
                      <w:sz w:val="21"/>
                      <w:szCs w:val="21"/>
                    </w:rPr>
                    <w:t>0</w:t>
                  </w:r>
                </w:p>
              </w:tc>
              <w:tc>
                <w:tcPr>
                  <w:tcW w:w="601" w:type="pc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3</w:t>
                  </w:r>
                  <w:r>
                    <w:rPr>
                      <w:color w:val="auto"/>
                      <w:sz w:val="21"/>
                      <w:szCs w:val="21"/>
                    </w:rPr>
                    <w:t>00</w:t>
                  </w:r>
                </w:p>
              </w:tc>
              <w:tc>
                <w:tcPr>
                  <w:tcW w:w="546" w:type="pc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continue"/>
                  <w:vAlign w:val="center"/>
                </w:tcPr>
                <w:p>
                  <w:pPr>
                    <w:adjustRightInd w:val="0"/>
                    <w:snapToGrid w:val="0"/>
                    <w:spacing w:line="240" w:lineRule="auto"/>
                    <w:ind w:firstLine="0" w:firstLineChars="0"/>
                    <w:jc w:val="center"/>
                    <w:rPr>
                      <w:color w:val="auto"/>
                      <w:sz w:val="21"/>
                      <w:szCs w:val="21"/>
                    </w:rPr>
                  </w:pP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产生量t/a</w:t>
                  </w:r>
                </w:p>
              </w:tc>
              <w:tc>
                <w:tcPr>
                  <w:tcW w:w="828" w:type="pc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0.084</w:t>
                  </w:r>
                </w:p>
              </w:tc>
              <w:tc>
                <w:tcPr>
                  <w:tcW w:w="905" w:type="pc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0.084</w:t>
                  </w:r>
                </w:p>
              </w:tc>
              <w:tc>
                <w:tcPr>
                  <w:tcW w:w="601" w:type="pc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0.072</w:t>
                  </w:r>
                </w:p>
              </w:tc>
              <w:tc>
                <w:tcPr>
                  <w:tcW w:w="546" w:type="pct"/>
                  <w:vAlign w:val="center"/>
                </w:tcPr>
                <w:p>
                  <w:pPr>
                    <w:adjustRightInd w:val="0"/>
                    <w:snapToGrid w:val="0"/>
                    <w:spacing w:line="240" w:lineRule="auto"/>
                    <w:ind w:firstLine="0" w:firstLineChars="0"/>
                    <w:jc w:val="center"/>
                    <w:rPr>
                      <w:color w:val="auto"/>
                      <w:sz w:val="21"/>
                      <w:szCs w:val="21"/>
                    </w:rPr>
                  </w:pPr>
                  <w:r>
                    <w:rPr>
                      <w:color w:val="auto"/>
                      <w:sz w:val="21"/>
                      <w:szCs w:val="21"/>
                    </w:rPr>
                    <w:t>0.0</w:t>
                  </w:r>
                  <w:r>
                    <w:rPr>
                      <w:rFonts w:hint="eastAsia"/>
                      <w:color w:val="auto"/>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restar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化粪池处理后排放情况</w:t>
                  </w: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废水量</w:t>
                  </w:r>
                </w:p>
              </w:tc>
              <w:tc>
                <w:tcPr>
                  <w:tcW w:w="2882" w:type="pct"/>
                  <w:gridSpan w:val="4"/>
                  <w:vAlign w:val="center"/>
                </w:tcPr>
                <w:p>
                  <w:pPr>
                    <w:adjustRightInd w:val="0"/>
                    <w:snapToGrid w:val="0"/>
                    <w:spacing w:line="240" w:lineRule="auto"/>
                    <w:ind w:firstLine="0" w:firstLineChars="0"/>
                    <w:jc w:val="center"/>
                    <w:rPr>
                      <w:color w:val="auto"/>
                      <w:sz w:val="21"/>
                      <w:szCs w:val="21"/>
                    </w:rPr>
                  </w:pPr>
                  <w:r>
                    <w:rPr>
                      <w:color w:val="auto"/>
                      <w:sz w:val="21"/>
                      <w:szCs w:val="21"/>
                    </w:rPr>
                    <w:t>240m³/a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continue"/>
                  <w:vAlign w:val="center"/>
                </w:tcPr>
                <w:p>
                  <w:pPr>
                    <w:adjustRightInd w:val="0"/>
                    <w:snapToGrid w:val="0"/>
                    <w:spacing w:line="240" w:lineRule="auto"/>
                    <w:ind w:firstLine="0" w:firstLineChars="0"/>
                    <w:jc w:val="center"/>
                    <w:rPr>
                      <w:color w:val="auto"/>
                      <w:sz w:val="21"/>
                      <w:szCs w:val="21"/>
                    </w:rPr>
                  </w:pP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浓度mg/L</w:t>
                  </w:r>
                </w:p>
              </w:tc>
              <w:tc>
                <w:tcPr>
                  <w:tcW w:w="828" w:type="pct"/>
                  <w:vAlign w:val="center"/>
                </w:tcPr>
                <w:p>
                  <w:pPr>
                    <w:pStyle w:val="9"/>
                    <w:snapToGrid w:val="0"/>
                    <w:jc w:val="center"/>
                    <w:rPr>
                      <w:rFonts w:cs="宋体"/>
                      <w:color w:val="auto"/>
                      <w:kern w:val="0"/>
                      <w:szCs w:val="21"/>
                    </w:rPr>
                  </w:pPr>
                  <w:r>
                    <w:rPr>
                      <w:rStyle w:val="82"/>
                      <w:rFonts w:ascii="Times New Roman" w:hAnsi="Times New Roman"/>
                      <w:color w:val="auto"/>
                      <w:kern w:val="0"/>
                      <w:sz w:val="21"/>
                      <w:szCs w:val="21"/>
                    </w:rPr>
                    <w:t>300</w:t>
                  </w:r>
                </w:p>
              </w:tc>
              <w:tc>
                <w:tcPr>
                  <w:tcW w:w="905" w:type="pct"/>
                  <w:vAlign w:val="center"/>
                </w:tcPr>
                <w:p>
                  <w:pPr>
                    <w:pStyle w:val="9"/>
                    <w:snapToGrid w:val="0"/>
                    <w:jc w:val="center"/>
                    <w:rPr>
                      <w:rFonts w:cs="宋体"/>
                      <w:color w:val="auto"/>
                      <w:kern w:val="0"/>
                      <w:szCs w:val="21"/>
                    </w:rPr>
                  </w:pPr>
                  <w:r>
                    <w:rPr>
                      <w:rStyle w:val="82"/>
                      <w:rFonts w:ascii="Times New Roman" w:hAnsi="Times New Roman"/>
                      <w:color w:val="auto"/>
                      <w:kern w:val="0"/>
                      <w:sz w:val="21"/>
                      <w:szCs w:val="21"/>
                    </w:rPr>
                    <w:t>200</w:t>
                  </w:r>
                </w:p>
              </w:tc>
              <w:tc>
                <w:tcPr>
                  <w:tcW w:w="601" w:type="pct"/>
                  <w:vAlign w:val="center"/>
                </w:tcPr>
                <w:p>
                  <w:pPr>
                    <w:pStyle w:val="9"/>
                    <w:snapToGrid w:val="0"/>
                    <w:jc w:val="center"/>
                    <w:rPr>
                      <w:rFonts w:cs="宋体"/>
                      <w:color w:val="auto"/>
                      <w:kern w:val="0"/>
                      <w:szCs w:val="21"/>
                    </w:rPr>
                  </w:pPr>
                  <w:r>
                    <w:rPr>
                      <w:rStyle w:val="82"/>
                      <w:rFonts w:ascii="Times New Roman" w:hAnsi="Times New Roman"/>
                      <w:color w:val="auto"/>
                      <w:kern w:val="0"/>
                      <w:sz w:val="21"/>
                      <w:szCs w:val="21"/>
                    </w:rPr>
                    <w:t>200</w:t>
                  </w:r>
                </w:p>
              </w:tc>
              <w:tc>
                <w:tcPr>
                  <w:tcW w:w="546" w:type="pct"/>
                  <w:vAlign w:val="center"/>
                </w:tcPr>
                <w:p>
                  <w:pPr>
                    <w:pStyle w:val="9"/>
                    <w:snapToGrid w:val="0"/>
                    <w:jc w:val="center"/>
                    <w:rPr>
                      <w:rFonts w:cs="宋体"/>
                      <w:color w:val="auto"/>
                      <w:kern w:val="0"/>
                      <w:szCs w:val="21"/>
                    </w:rPr>
                  </w:pPr>
                  <w:r>
                    <w:rPr>
                      <w:rStyle w:val="82"/>
                      <w:rFonts w:ascii="Times New Roman" w:hAnsi="Times New Roman"/>
                      <w:color w:val="auto"/>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continue"/>
                  <w:vAlign w:val="center"/>
                </w:tcPr>
                <w:p>
                  <w:pPr>
                    <w:adjustRightInd w:val="0"/>
                    <w:snapToGrid w:val="0"/>
                    <w:spacing w:line="240" w:lineRule="auto"/>
                    <w:ind w:firstLine="0" w:firstLineChars="0"/>
                    <w:jc w:val="center"/>
                    <w:rPr>
                      <w:color w:val="auto"/>
                      <w:sz w:val="21"/>
                      <w:szCs w:val="21"/>
                    </w:rPr>
                  </w:pP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产生量t/a</w:t>
                  </w:r>
                </w:p>
              </w:tc>
              <w:tc>
                <w:tcPr>
                  <w:tcW w:w="828" w:type="pct"/>
                  <w:vAlign w:val="center"/>
                </w:tcPr>
                <w:p>
                  <w:pPr>
                    <w:adjustRightInd w:val="0"/>
                    <w:snapToGrid w:val="0"/>
                    <w:spacing w:line="240" w:lineRule="auto"/>
                    <w:ind w:firstLine="0" w:firstLineChars="0"/>
                    <w:jc w:val="center"/>
                    <w:rPr>
                      <w:color w:val="auto"/>
                      <w:sz w:val="21"/>
                      <w:szCs w:val="21"/>
                    </w:rPr>
                  </w:pPr>
                  <w:r>
                    <w:rPr>
                      <w:color w:val="auto"/>
                      <w:sz w:val="21"/>
                      <w:szCs w:val="21"/>
                    </w:rPr>
                    <w:t>0.072</w:t>
                  </w:r>
                </w:p>
              </w:tc>
              <w:tc>
                <w:tcPr>
                  <w:tcW w:w="905" w:type="pct"/>
                  <w:vAlign w:val="center"/>
                </w:tcPr>
                <w:p>
                  <w:pPr>
                    <w:adjustRightInd w:val="0"/>
                    <w:snapToGrid w:val="0"/>
                    <w:spacing w:line="240" w:lineRule="auto"/>
                    <w:ind w:firstLine="0" w:firstLineChars="0"/>
                    <w:jc w:val="center"/>
                    <w:rPr>
                      <w:color w:val="auto"/>
                      <w:sz w:val="21"/>
                      <w:szCs w:val="21"/>
                    </w:rPr>
                  </w:pPr>
                  <w:r>
                    <w:rPr>
                      <w:color w:val="auto"/>
                      <w:sz w:val="21"/>
                      <w:szCs w:val="21"/>
                    </w:rPr>
                    <w:t>0.048</w:t>
                  </w:r>
                </w:p>
              </w:tc>
              <w:tc>
                <w:tcPr>
                  <w:tcW w:w="601" w:type="pct"/>
                  <w:vAlign w:val="center"/>
                </w:tcPr>
                <w:p>
                  <w:pPr>
                    <w:adjustRightInd w:val="0"/>
                    <w:snapToGrid w:val="0"/>
                    <w:spacing w:line="240" w:lineRule="auto"/>
                    <w:ind w:firstLine="0" w:firstLineChars="0"/>
                    <w:jc w:val="center"/>
                    <w:rPr>
                      <w:color w:val="auto"/>
                      <w:sz w:val="21"/>
                      <w:szCs w:val="21"/>
                    </w:rPr>
                  </w:pPr>
                  <w:r>
                    <w:rPr>
                      <w:color w:val="auto"/>
                      <w:sz w:val="21"/>
                      <w:szCs w:val="21"/>
                    </w:rPr>
                    <w:t>0.048</w:t>
                  </w:r>
                </w:p>
              </w:tc>
              <w:tc>
                <w:tcPr>
                  <w:tcW w:w="546" w:type="pct"/>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restart"/>
                  <w:vAlign w:val="center"/>
                </w:tcPr>
                <w:p>
                  <w:pPr>
                    <w:adjustRightInd w:val="0"/>
                    <w:snapToGrid w:val="0"/>
                    <w:spacing w:line="240" w:lineRule="auto"/>
                    <w:ind w:firstLine="0" w:firstLineChars="0"/>
                    <w:jc w:val="center"/>
                    <w:rPr>
                      <w:color w:val="auto"/>
                      <w:sz w:val="21"/>
                      <w:szCs w:val="21"/>
                    </w:rPr>
                  </w:pPr>
                  <w:r>
                    <w:rPr>
                      <w:color w:val="auto"/>
                      <w:sz w:val="21"/>
                      <w:szCs w:val="21"/>
                    </w:rPr>
                    <w:t>经沅江市第二污水处理厂处理后排放情况</w:t>
                  </w: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废水量</w:t>
                  </w:r>
                </w:p>
              </w:tc>
              <w:tc>
                <w:tcPr>
                  <w:tcW w:w="2882" w:type="pct"/>
                  <w:gridSpan w:val="4"/>
                  <w:vAlign w:val="center"/>
                </w:tcPr>
                <w:p>
                  <w:pPr>
                    <w:adjustRightInd w:val="0"/>
                    <w:snapToGrid w:val="0"/>
                    <w:spacing w:line="240" w:lineRule="auto"/>
                    <w:ind w:firstLine="0" w:firstLineChars="0"/>
                    <w:jc w:val="center"/>
                    <w:rPr>
                      <w:color w:val="auto"/>
                      <w:sz w:val="21"/>
                      <w:szCs w:val="21"/>
                    </w:rPr>
                  </w:pPr>
                  <w:r>
                    <w:rPr>
                      <w:color w:val="auto"/>
                      <w:sz w:val="21"/>
                      <w:szCs w:val="21"/>
                    </w:rPr>
                    <w:t>240m³/a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continue"/>
                  <w:vAlign w:val="center"/>
                </w:tcPr>
                <w:p>
                  <w:pPr>
                    <w:adjustRightInd w:val="0"/>
                    <w:snapToGrid w:val="0"/>
                    <w:spacing w:line="240" w:lineRule="auto"/>
                    <w:ind w:firstLine="0" w:firstLineChars="0"/>
                    <w:jc w:val="center"/>
                    <w:rPr>
                      <w:color w:val="auto"/>
                      <w:sz w:val="21"/>
                      <w:szCs w:val="21"/>
                    </w:rPr>
                  </w:pP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浓度mg/L</w:t>
                  </w:r>
                </w:p>
              </w:tc>
              <w:tc>
                <w:tcPr>
                  <w:tcW w:w="828" w:type="pct"/>
                  <w:vAlign w:val="center"/>
                </w:tcPr>
                <w:p>
                  <w:pPr>
                    <w:adjustRightInd w:val="0"/>
                    <w:snapToGrid w:val="0"/>
                    <w:spacing w:line="240" w:lineRule="auto"/>
                    <w:ind w:firstLine="0" w:firstLineChars="0"/>
                    <w:jc w:val="center"/>
                    <w:rPr>
                      <w:color w:val="auto"/>
                      <w:sz w:val="21"/>
                      <w:szCs w:val="21"/>
                    </w:rPr>
                  </w:pPr>
                  <w:r>
                    <w:rPr>
                      <w:color w:val="auto"/>
                      <w:sz w:val="21"/>
                      <w:szCs w:val="21"/>
                    </w:rPr>
                    <w:t>50</w:t>
                  </w:r>
                </w:p>
              </w:tc>
              <w:tc>
                <w:tcPr>
                  <w:tcW w:w="905" w:type="pct"/>
                  <w:vAlign w:val="center"/>
                </w:tcPr>
                <w:p>
                  <w:pPr>
                    <w:adjustRightInd w:val="0"/>
                    <w:snapToGrid w:val="0"/>
                    <w:spacing w:line="240" w:lineRule="auto"/>
                    <w:ind w:firstLine="0" w:firstLineChars="0"/>
                    <w:jc w:val="center"/>
                    <w:rPr>
                      <w:color w:val="auto"/>
                      <w:sz w:val="21"/>
                      <w:szCs w:val="21"/>
                    </w:rPr>
                  </w:pPr>
                  <w:r>
                    <w:rPr>
                      <w:color w:val="auto"/>
                      <w:sz w:val="21"/>
                      <w:szCs w:val="21"/>
                    </w:rPr>
                    <w:t>10</w:t>
                  </w:r>
                </w:p>
              </w:tc>
              <w:tc>
                <w:tcPr>
                  <w:tcW w:w="601" w:type="pct"/>
                  <w:vAlign w:val="center"/>
                </w:tcPr>
                <w:p>
                  <w:pPr>
                    <w:adjustRightInd w:val="0"/>
                    <w:snapToGrid w:val="0"/>
                    <w:spacing w:line="240" w:lineRule="auto"/>
                    <w:ind w:firstLine="0" w:firstLineChars="0"/>
                    <w:jc w:val="center"/>
                    <w:rPr>
                      <w:color w:val="auto"/>
                      <w:sz w:val="21"/>
                      <w:szCs w:val="21"/>
                    </w:rPr>
                  </w:pPr>
                  <w:r>
                    <w:rPr>
                      <w:color w:val="auto"/>
                      <w:sz w:val="21"/>
                      <w:szCs w:val="21"/>
                    </w:rPr>
                    <w:t>10</w:t>
                  </w:r>
                </w:p>
              </w:tc>
              <w:tc>
                <w:tcPr>
                  <w:tcW w:w="546" w:type="pct"/>
                  <w:vAlign w:val="center"/>
                </w:tcPr>
                <w:p>
                  <w:pPr>
                    <w:adjustRightInd w:val="0"/>
                    <w:snapToGrid w:val="0"/>
                    <w:spacing w:line="240"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continue"/>
                  <w:vAlign w:val="center"/>
                </w:tcPr>
                <w:p>
                  <w:pPr>
                    <w:adjustRightInd w:val="0"/>
                    <w:snapToGrid w:val="0"/>
                    <w:spacing w:line="240" w:lineRule="auto"/>
                    <w:ind w:firstLine="0" w:firstLineChars="0"/>
                    <w:jc w:val="center"/>
                    <w:rPr>
                      <w:color w:val="auto"/>
                      <w:sz w:val="21"/>
                      <w:szCs w:val="21"/>
                    </w:rPr>
                  </w:pP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排放量t/a</w:t>
                  </w:r>
                </w:p>
              </w:tc>
              <w:tc>
                <w:tcPr>
                  <w:tcW w:w="828" w:type="pct"/>
                  <w:vAlign w:val="center"/>
                </w:tcPr>
                <w:p>
                  <w:pPr>
                    <w:adjustRightInd w:val="0"/>
                    <w:snapToGrid w:val="0"/>
                    <w:spacing w:line="240" w:lineRule="auto"/>
                    <w:ind w:firstLine="0" w:firstLineChars="0"/>
                    <w:jc w:val="center"/>
                    <w:rPr>
                      <w:color w:val="auto"/>
                      <w:sz w:val="21"/>
                      <w:szCs w:val="21"/>
                    </w:rPr>
                  </w:pPr>
                  <w:r>
                    <w:rPr>
                      <w:color w:val="auto"/>
                      <w:sz w:val="21"/>
                      <w:szCs w:val="21"/>
                    </w:rPr>
                    <w:t>0.012</w:t>
                  </w:r>
                </w:p>
              </w:tc>
              <w:tc>
                <w:tcPr>
                  <w:tcW w:w="905" w:type="pct"/>
                  <w:vAlign w:val="center"/>
                </w:tcPr>
                <w:p>
                  <w:pPr>
                    <w:adjustRightInd w:val="0"/>
                    <w:snapToGrid w:val="0"/>
                    <w:spacing w:line="240" w:lineRule="auto"/>
                    <w:ind w:firstLine="0" w:firstLineChars="0"/>
                    <w:jc w:val="center"/>
                    <w:rPr>
                      <w:color w:val="auto"/>
                      <w:sz w:val="21"/>
                      <w:szCs w:val="21"/>
                    </w:rPr>
                  </w:pPr>
                  <w:r>
                    <w:rPr>
                      <w:color w:val="auto"/>
                      <w:sz w:val="21"/>
                      <w:szCs w:val="21"/>
                    </w:rPr>
                    <w:t>0.002</w:t>
                  </w:r>
                </w:p>
              </w:tc>
              <w:tc>
                <w:tcPr>
                  <w:tcW w:w="601" w:type="pct"/>
                  <w:vAlign w:val="center"/>
                </w:tcPr>
                <w:p>
                  <w:pPr>
                    <w:adjustRightInd w:val="0"/>
                    <w:snapToGrid w:val="0"/>
                    <w:spacing w:line="240" w:lineRule="auto"/>
                    <w:ind w:firstLine="0" w:firstLineChars="0"/>
                    <w:jc w:val="center"/>
                    <w:rPr>
                      <w:color w:val="auto"/>
                      <w:sz w:val="21"/>
                      <w:szCs w:val="21"/>
                    </w:rPr>
                  </w:pPr>
                  <w:r>
                    <w:rPr>
                      <w:color w:val="auto"/>
                      <w:sz w:val="21"/>
                      <w:szCs w:val="21"/>
                    </w:rPr>
                    <w:t>0.002</w:t>
                  </w:r>
                </w:p>
              </w:tc>
              <w:tc>
                <w:tcPr>
                  <w:tcW w:w="546" w:type="pct"/>
                  <w:vAlign w:val="center"/>
                </w:tcPr>
                <w:p>
                  <w:pPr>
                    <w:adjustRightInd w:val="0"/>
                    <w:snapToGrid w:val="0"/>
                    <w:spacing w:line="240" w:lineRule="auto"/>
                    <w:ind w:firstLine="0" w:firstLineChars="0"/>
                    <w:jc w:val="center"/>
                    <w:rPr>
                      <w:color w:val="auto"/>
                      <w:sz w:val="21"/>
                      <w:szCs w:val="21"/>
                    </w:rPr>
                  </w:pPr>
                  <w:r>
                    <w:rPr>
                      <w:color w:val="auto"/>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7" w:type="pct"/>
                  <w:vMerge w:val="continue"/>
                  <w:vAlign w:val="center"/>
                </w:tcPr>
                <w:p>
                  <w:pPr>
                    <w:adjustRightInd w:val="0"/>
                    <w:snapToGrid w:val="0"/>
                    <w:spacing w:line="240" w:lineRule="auto"/>
                    <w:ind w:firstLine="0" w:firstLineChars="0"/>
                    <w:jc w:val="center"/>
                    <w:rPr>
                      <w:color w:val="auto"/>
                      <w:sz w:val="21"/>
                      <w:szCs w:val="21"/>
                    </w:rPr>
                  </w:pPr>
                </w:p>
              </w:tc>
              <w:tc>
                <w:tcPr>
                  <w:tcW w:w="1070" w:type="pct"/>
                  <w:vAlign w:val="center"/>
                </w:tcPr>
                <w:p>
                  <w:pPr>
                    <w:adjustRightInd w:val="0"/>
                    <w:snapToGrid w:val="0"/>
                    <w:spacing w:line="240" w:lineRule="auto"/>
                    <w:ind w:firstLine="0" w:firstLineChars="0"/>
                    <w:jc w:val="center"/>
                    <w:rPr>
                      <w:color w:val="auto"/>
                      <w:sz w:val="21"/>
                      <w:szCs w:val="21"/>
                    </w:rPr>
                  </w:pPr>
                  <w:r>
                    <w:rPr>
                      <w:color w:val="auto"/>
                      <w:sz w:val="21"/>
                      <w:szCs w:val="21"/>
                    </w:rPr>
                    <w:t>排放标准</w:t>
                  </w:r>
                </w:p>
              </w:tc>
              <w:tc>
                <w:tcPr>
                  <w:tcW w:w="828" w:type="pct"/>
                  <w:vAlign w:val="center"/>
                </w:tcPr>
                <w:p>
                  <w:pPr>
                    <w:adjustRightInd w:val="0"/>
                    <w:snapToGrid w:val="0"/>
                    <w:spacing w:line="240" w:lineRule="auto"/>
                    <w:ind w:firstLine="0" w:firstLineChars="0"/>
                    <w:jc w:val="center"/>
                    <w:rPr>
                      <w:color w:val="auto"/>
                      <w:sz w:val="21"/>
                      <w:szCs w:val="21"/>
                    </w:rPr>
                  </w:pPr>
                  <w:r>
                    <w:rPr>
                      <w:color w:val="auto"/>
                      <w:sz w:val="21"/>
                      <w:szCs w:val="21"/>
                    </w:rPr>
                    <w:t>50</w:t>
                  </w:r>
                </w:p>
              </w:tc>
              <w:tc>
                <w:tcPr>
                  <w:tcW w:w="905" w:type="pct"/>
                  <w:vAlign w:val="center"/>
                </w:tcPr>
                <w:p>
                  <w:pPr>
                    <w:adjustRightInd w:val="0"/>
                    <w:snapToGrid w:val="0"/>
                    <w:spacing w:line="240" w:lineRule="auto"/>
                    <w:ind w:firstLine="0" w:firstLineChars="0"/>
                    <w:jc w:val="center"/>
                    <w:rPr>
                      <w:color w:val="auto"/>
                      <w:sz w:val="21"/>
                      <w:szCs w:val="21"/>
                    </w:rPr>
                  </w:pPr>
                  <w:r>
                    <w:rPr>
                      <w:color w:val="auto"/>
                      <w:sz w:val="21"/>
                      <w:szCs w:val="21"/>
                    </w:rPr>
                    <w:t>10</w:t>
                  </w:r>
                </w:p>
              </w:tc>
              <w:tc>
                <w:tcPr>
                  <w:tcW w:w="601" w:type="pct"/>
                  <w:vAlign w:val="center"/>
                </w:tcPr>
                <w:p>
                  <w:pPr>
                    <w:adjustRightInd w:val="0"/>
                    <w:snapToGrid w:val="0"/>
                    <w:spacing w:line="240" w:lineRule="auto"/>
                    <w:ind w:firstLine="0" w:firstLineChars="0"/>
                    <w:jc w:val="center"/>
                    <w:rPr>
                      <w:color w:val="auto"/>
                      <w:sz w:val="21"/>
                      <w:szCs w:val="21"/>
                    </w:rPr>
                  </w:pPr>
                  <w:r>
                    <w:rPr>
                      <w:color w:val="auto"/>
                      <w:sz w:val="21"/>
                      <w:szCs w:val="21"/>
                    </w:rPr>
                    <w:t>10</w:t>
                  </w:r>
                </w:p>
              </w:tc>
              <w:tc>
                <w:tcPr>
                  <w:tcW w:w="546" w:type="pct"/>
                  <w:vAlign w:val="center"/>
                </w:tcPr>
                <w:p>
                  <w:pPr>
                    <w:adjustRightInd w:val="0"/>
                    <w:snapToGrid w:val="0"/>
                    <w:spacing w:line="240" w:lineRule="auto"/>
                    <w:ind w:firstLine="0" w:firstLineChars="0"/>
                    <w:jc w:val="center"/>
                    <w:rPr>
                      <w:color w:val="auto"/>
                      <w:sz w:val="21"/>
                      <w:szCs w:val="21"/>
                    </w:rPr>
                  </w:pPr>
                  <w:r>
                    <w:rPr>
                      <w:color w:val="auto"/>
                      <w:sz w:val="21"/>
                      <w:szCs w:val="21"/>
                    </w:rPr>
                    <w:t>5</w:t>
                  </w:r>
                </w:p>
              </w:tc>
            </w:tr>
          </w:tbl>
          <w:p>
            <w:pPr>
              <w:ind w:firstLine="480"/>
              <w:jc w:val="both"/>
              <w:rPr>
                <w:color w:val="auto"/>
              </w:rPr>
            </w:pPr>
            <w:r>
              <w:rPr>
                <w:color w:val="auto"/>
              </w:rPr>
              <w:t>（3）噪声：噪声来源于</w:t>
            </w:r>
            <w:r>
              <w:rPr>
                <w:rFonts w:hint="eastAsia"/>
                <w:color w:val="auto"/>
              </w:rPr>
              <w:t>新增生产设备的运行，噪声源在60</w:t>
            </w:r>
            <w:r>
              <w:rPr>
                <w:color w:val="auto"/>
              </w:rPr>
              <w:t>—</w:t>
            </w:r>
            <w:r>
              <w:rPr>
                <w:rFonts w:hint="eastAsia"/>
                <w:color w:val="auto"/>
              </w:rPr>
              <w:t>90dB(A)。</w:t>
            </w:r>
          </w:p>
          <w:p>
            <w:pPr>
              <w:spacing w:line="240" w:lineRule="auto"/>
              <w:ind w:firstLine="0" w:firstLineChars="0"/>
              <w:jc w:val="center"/>
              <w:rPr>
                <w:b/>
                <w:color w:val="auto"/>
              </w:rPr>
            </w:pPr>
            <w:r>
              <w:rPr>
                <w:b/>
                <w:color w:val="auto"/>
              </w:rPr>
              <w:t>表</w:t>
            </w:r>
            <w:r>
              <w:rPr>
                <w:rFonts w:hint="eastAsia"/>
                <w:b/>
                <w:color w:val="auto"/>
              </w:rPr>
              <w:t xml:space="preserve">5-3   </w:t>
            </w:r>
            <w:r>
              <w:rPr>
                <w:b/>
                <w:color w:val="auto"/>
              </w:rPr>
              <w:t>设备噪声源强一览表</w:t>
            </w:r>
          </w:p>
          <w:tbl>
            <w:tblPr>
              <w:tblStyle w:val="2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22"/>
              <w:gridCol w:w="2802"/>
              <w:gridCol w:w="1526"/>
              <w:gridCol w:w="35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0" w:type="pct"/>
                  <w:shd w:val="clear" w:color="auto" w:fill="auto"/>
                  <w:vAlign w:val="center"/>
                </w:tcPr>
                <w:p>
                  <w:pPr>
                    <w:adjustRightInd w:val="0"/>
                    <w:snapToGrid w:val="0"/>
                    <w:spacing w:line="240" w:lineRule="auto"/>
                    <w:ind w:firstLine="0" w:firstLineChars="0"/>
                    <w:jc w:val="center"/>
                    <w:rPr>
                      <w:b/>
                      <w:color w:val="auto"/>
                      <w:sz w:val="21"/>
                      <w:szCs w:val="21"/>
                    </w:rPr>
                  </w:pPr>
                  <w:r>
                    <w:rPr>
                      <w:b/>
                      <w:color w:val="auto"/>
                      <w:sz w:val="21"/>
                      <w:szCs w:val="21"/>
                    </w:rPr>
                    <w:t>序号</w:t>
                  </w:r>
                </w:p>
              </w:tc>
              <w:tc>
                <w:tcPr>
                  <w:tcW w:w="1537" w:type="pct"/>
                  <w:shd w:val="clear" w:color="auto" w:fill="auto"/>
                  <w:vAlign w:val="center"/>
                </w:tcPr>
                <w:p>
                  <w:pPr>
                    <w:adjustRightInd w:val="0"/>
                    <w:snapToGrid w:val="0"/>
                    <w:spacing w:line="240" w:lineRule="auto"/>
                    <w:ind w:firstLine="0" w:firstLineChars="0"/>
                    <w:jc w:val="center"/>
                    <w:rPr>
                      <w:b/>
                      <w:color w:val="auto"/>
                      <w:sz w:val="21"/>
                      <w:szCs w:val="21"/>
                    </w:rPr>
                  </w:pPr>
                  <w:r>
                    <w:rPr>
                      <w:b/>
                      <w:color w:val="auto"/>
                      <w:sz w:val="21"/>
                      <w:szCs w:val="21"/>
                    </w:rPr>
                    <w:t>设备名称</w:t>
                  </w:r>
                </w:p>
              </w:tc>
              <w:tc>
                <w:tcPr>
                  <w:tcW w:w="837" w:type="pct"/>
                  <w:shd w:val="clear" w:color="auto" w:fill="auto"/>
                  <w:vAlign w:val="center"/>
                </w:tcPr>
                <w:p>
                  <w:pPr>
                    <w:adjustRightInd w:val="0"/>
                    <w:snapToGrid w:val="0"/>
                    <w:spacing w:line="240" w:lineRule="auto"/>
                    <w:ind w:firstLine="0" w:firstLineChars="0"/>
                    <w:jc w:val="center"/>
                    <w:rPr>
                      <w:b/>
                      <w:color w:val="auto"/>
                      <w:sz w:val="21"/>
                      <w:szCs w:val="21"/>
                    </w:rPr>
                  </w:pPr>
                  <w:r>
                    <w:rPr>
                      <w:b/>
                      <w:color w:val="auto"/>
                      <w:sz w:val="21"/>
                      <w:szCs w:val="21"/>
                    </w:rPr>
                    <w:t>噪声源</w:t>
                  </w:r>
                </w:p>
              </w:tc>
              <w:tc>
                <w:tcPr>
                  <w:tcW w:w="1956" w:type="pct"/>
                  <w:shd w:val="clear" w:color="auto" w:fill="auto"/>
                  <w:vAlign w:val="center"/>
                </w:tcPr>
                <w:p>
                  <w:pPr>
                    <w:adjustRightInd w:val="0"/>
                    <w:snapToGrid w:val="0"/>
                    <w:spacing w:line="240" w:lineRule="auto"/>
                    <w:ind w:firstLine="0" w:firstLineChars="0"/>
                    <w:jc w:val="center"/>
                    <w:rPr>
                      <w:b/>
                      <w:color w:val="auto"/>
                      <w:sz w:val="21"/>
                      <w:szCs w:val="21"/>
                    </w:rPr>
                  </w:pPr>
                  <w:r>
                    <w:rPr>
                      <w:b/>
                      <w:color w:val="auto"/>
                      <w:sz w:val="21"/>
                      <w:szCs w:val="21"/>
                    </w:rPr>
                    <w:t>源强位置和方式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0" w:type="pct"/>
                  <w:vAlign w:val="center"/>
                </w:tcPr>
                <w:p>
                  <w:pPr>
                    <w:adjustRightInd w:val="0"/>
                    <w:snapToGrid w:val="0"/>
                    <w:spacing w:line="240" w:lineRule="auto"/>
                    <w:ind w:firstLine="0" w:firstLineChars="0"/>
                    <w:jc w:val="center"/>
                    <w:rPr>
                      <w:color w:val="auto"/>
                      <w:sz w:val="21"/>
                      <w:szCs w:val="21"/>
                    </w:rPr>
                  </w:pPr>
                  <w:r>
                    <w:rPr>
                      <w:color w:val="auto"/>
                      <w:sz w:val="21"/>
                      <w:szCs w:val="21"/>
                    </w:rPr>
                    <w:t>1</w:t>
                  </w:r>
                </w:p>
              </w:tc>
              <w:tc>
                <w:tcPr>
                  <w:tcW w:w="15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印刷机</w:t>
                  </w:r>
                </w:p>
              </w:tc>
              <w:tc>
                <w:tcPr>
                  <w:tcW w:w="8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80</w:t>
                  </w:r>
                </w:p>
              </w:tc>
              <w:tc>
                <w:tcPr>
                  <w:tcW w:w="1956" w:type="pct"/>
                  <w:vAlign w:val="center"/>
                </w:tcPr>
                <w:p>
                  <w:pPr>
                    <w:adjustRightInd w:val="0"/>
                    <w:snapToGrid w:val="0"/>
                    <w:spacing w:line="240" w:lineRule="auto"/>
                    <w:ind w:firstLine="0" w:firstLineChars="0"/>
                    <w:jc w:val="center"/>
                    <w:rPr>
                      <w:color w:val="auto"/>
                      <w:sz w:val="21"/>
                      <w:szCs w:val="21"/>
                    </w:rPr>
                  </w:pPr>
                  <w:r>
                    <w:rPr>
                      <w:color w:val="auto"/>
                      <w:sz w:val="21"/>
                      <w:szCs w:val="21"/>
                    </w:rPr>
                    <w:t>生产车间，连续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0" w:type="pct"/>
                  <w:vAlign w:val="center"/>
                </w:tcPr>
                <w:p>
                  <w:pPr>
                    <w:adjustRightInd w:val="0"/>
                    <w:snapToGrid w:val="0"/>
                    <w:spacing w:line="240" w:lineRule="auto"/>
                    <w:ind w:firstLine="0" w:firstLineChars="0"/>
                    <w:jc w:val="center"/>
                    <w:rPr>
                      <w:color w:val="auto"/>
                      <w:sz w:val="21"/>
                      <w:szCs w:val="21"/>
                    </w:rPr>
                  </w:pPr>
                  <w:r>
                    <w:rPr>
                      <w:color w:val="auto"/>
                      <w:sz w:val="21"/>
                      <w:szCs w:val="21"/>
                    </w:rPr>
                    <w:t>2</w:t>
                  </w:r>
                </w:p>
              </w:tc>
              <w:tc>
                <w:tcPr>
                  <w:tcW w:w="15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复合机</w:t>
                  </w:r>
                </w:p>
              </w:tc>
              <w:tc>
                <w:tcPr>
                  <w:tcW w:w="8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70</w:t>
                  </w:r>
                </w:p>
              </w:tc>
              <w:tc>
                <w:tcPr>
                  <w:tcW w:w="1956" w:type="pct"/>
                  <w:vAlign w:val="center"/>
                </w:tcPr>
                <w:p>
                  <w:pPr>
                    <w:adjustRightInd w:val="0"/>
                    <w:snapToGrid w:val="0"/>
                    <w:spacing w:line="240" w:lineRule="auto"/>
                    <w:ind w:firstLine="0" w:firstLineChars="0"/>
                    <w:jc w:val="center"/>
                    <w:rPr>
                      <w:color w:val="auto"/>
                      <w:sz w:val="21"/>
                      <w:szCs w:val="21"/>
                    </w:rPr>
                  </w:pPr>
                  <w:r>
                    <w:rPr>
                      <w:color w:val="auto"/>
                      <w:sz w:val="21"/>
                      <w:szCs w:val="21"/>
                    </w:rPr>
                    <w:t>生产车间，连续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0" w:type="pct"/>
                  <w:vAlign w:val="center"/>
                </w:tcPr>
                <w:p>
                  <w:pPr>
                    <w:adjustRightInd w:val="0"/>
                    <w:snapToGrid w:val="0"/>
                    <w:spacing w:line="240" w:lineRule="auto"/>
                    <w:ind w:firstLine="0" w:firstLineChars="0"/>
                    <w:jc w:val="center"/>
                    <w:rPr>
                      <w:color w:val="auto"/>
                      <w:sz w:val="21"/>
                      <w:szCs w:val="21"/>
                    </w:rPr>
                  </w:pPr>
                  <w:r>
                    <w:rPr>
                      <w:color w:val="auto"/>
                      <w:sz w:val="21"/>
                      <w:szCs w:val="21"/>
                    </w:rPr>
                    <w:t>3</w:t>
                  </w:r>
                </w:p>
              </w:tc>
              <w:tc>
                <w:tcPr>
                  <w:tcW w:w="15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制袋机</w:t>
                  </w:r>
                </w:p>
              </w:tc>
              <w:tc>
                <w:tcPr>
                  <w:tcW w:w="8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80</w:t>
                  </w:r>
                </w:p>
              </w:tc>
              <w:tc>
                <w:tcPr>
                  <w:tcW w:w="1956" w:type="pct"/>
                  <w:vAlign w:val="center"/>
                </w:tcPr>
                <w:p>
                  <w:pPr>
                    <w:adjustRightInd w:val="0"/>
                    <w:snapToGrid w:val="0"/>
                    <w:spacing w:line="240" w:lineRule="auto"/>
                    <w:ind w:firstLine="0" w:firstLineChars="0"/>
                    <w:jc w:val="center"/>
                    <w:rPr>
                      <w:color w:val="auto"/>
                      <w:sz w:val="21"/>
                      <w:szCs w:val="21"/>
                    </w:rPr>
                  </w:pPr>
                  <w:r>
                    <w:rPr>
                      <w:color w:val="auto"/>
                      <w:sz w:val="21"/>
                      <w:szCs w:val="21"/>
                    </w:rPr>
                    <w:t>生产车间，连续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0" w:type="pct"/>
                  <w:vAlign w:val="center"/>
                </w:tcPr>
                <w:p>
                  <w:pPr>
                    <w:adjustRightInd w:val="0"/>
                    <w:snapToGrid w:val="0"/>
                    <w:spacing w:line="240" w:lineRule="auto"/>
                    <w:ind w:firstLine="0" w:firstLineChars="0"/>
                    <w:jc w:val="center"/>
                    <w:rPr>
                      <w:color w:val="auto"/>
                      <w:sz w:val="21"/>
                      <w:szCs w:val="21"/>
                    </w:rPr>
                  </w:pPr>
                  <w:r>
                    <w:rPr>
                      <w:color w:val="auto"/>
                      <w:sz w:val="21"/>
                      <w:szCs w:val="21"/>
                    </w:rPr>
                    <w:t>4</w:t>
                  </w:r>
                </w:p>
              </w:tc>
              <w:tc>
                <w:tcPr>
                  <w:tcW w:w="15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风机</w:t>
                  </w:r>
                </w:p>
              </w:tc>
              <w:tc>
                <w:tcPr>
                  <w:tcW w:w="8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75~90</w:t>
                  </w:r>
                </w:p>
              </w:tc>
              <w:tc>
                <w:tcPr>
                  <w:tcW w:w="1956" w:type="pct"/>
                  <w:vAlign w:val="center"/>
                </w:tcPr>
                <w:p>
                  <w:pPr>
                    <w:adjustRightInd w:val="0"/>
                    <w:snapToGrid w:val="0"/>
                    <w:spacing w:line="240" w:lineRule="auto"/>
                    <w:ind w:firstLine="0" w:firstLineChars="0"/>
                    <w:jc w:val="center"/>
                    <w:rPr>
                      <w:color w:val="auto"/>
                      <w:sz w:val="21"/>
                      <w:szCs w:val="21"/>
                    </w:rPr>
                  </w:pPr>
                  <w:r>
                    <w:rPr>
                      <w:color w:val="auto"/>
                      <w:sz w:val="21"/>
                      <w:szCs w:val="21"/>
                    </w:rPr>
                    <w:t>生产车间，连续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0" w:type="pct"/>
                  <w:vAlign w:val="center"/>
                </w:tcPr>
                <w:p>
                  <w:pPr>
                    <w:adjustRightInd w:val="0"/>
                    <w:snapToGrid w:val="0"/>
                    <w:spacing w:line="240" w:lineRule="auto"/>
                    <w:ind w:firstLine="0" w:firstLineChars="0"/>
                    <w:jc w:val="center"/>
                    <w:rPr>
                      <w:color w:val="auto"/>
                      <w:sz w:val="21"/>
                      <w:szCs w:val="21"/>
                    </w:rPr>
                  </w:pPr>
                  <w:r>
                    <w:rPr>
                      <w:color w:val="auto"/>
                      <w:sz w:val="21"/>
                      <w:szCs w:val="21"/>
                    </w:rPr>
                    <w:t>5</w:t>
                  </w:r>
                </w:p>
              </w:tc>
              <w:tc>
                <w:tcPr>
                  <w:tcW w:w="15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车辆</w:t>
                  </w:r>
                </w:p>
              </w:tc>
              <w:tc>
                <w:tcPr>
                  <w:tcW w:w="83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60~80</w:t>
                  </w:r>
                </w:p>
              </w:tc>
              <w:tc>
                <w:tcPr>
                  <w:tcW w:w="1956" w:type="pct"/>
                  <w:vAlign w:val="center"/>
                </w:tcPr>
                <w:p>
                  <w:pPr>
                    <w:adjustRightInd w:val="0"/>
                    <w:snapToGrid w:val="0"/>
                    <w:spacing w:line="240" w:lineRule="auto"/>
                    <w:ind w:firstLine="0" w:firstLineChars="0"/>
                    <w:jc w:val="center"/>
                    <w:rPr>
                      <w:color w:val="auto"/>
                      <w:sz w:val="21"/>
                      <w:szCs w:val="21"/>
                    </w:rPr>
                  </w:pPr>
                  <w:r>
                    <w:rPr>
                      <w:color w:val="auto"/>
                      <w:sz w:val="21"/>
                      <w:szCs w:val="21"/>
                    </w:rPr>
                    <w:t>停车场，非连续</w:t>
                  </w:r>
                </w:p>
              </w:tc>
            </w:tr>
          </w:tbl>
          <w:p>
            <w:pPr>
              <w:ind w:firstLine="480" w:firstLineChars="0"/>
              <w:rPr>
                <w:color w:val="auto"/>
              </w:rPr>
            </w:pPr>
            <w:r>
              <w:rPr>
                <w:color w:val="auto"/>
              </w:rPr>
              <w:t>（4）固体废物：</w:t>
            </w:r>
          </w:p>
          <w:p>
            <w:pPr>
              <w:snapToGrid w:val="0"/>
              <w:ind w:firstLine="470" w:firstLineChars="196"/>
              <w:jc w:val="both"/>
              <w:rPr>
                <w:rFonts w:hAnsi="宋体"/>
                <w:color w:val="auto"/>
                <w:szCs w:val="20"/>
              </w:rPr>
            </w:pPr>
            <w:r>
              <w:rPr>
                <w:rFonts w:hint="eastAsia" w:hAnsi="宋体"/>
                <w:color w:val="auto"/>
                <w:szCs w:val="20"/>
              </w:rPr>
              <w:t>本项目固体废物主要有废弃的油墨桶、设备清洗产生的废抹布、制袋产生的废边角料、定期更换产生的废催化剂以及职工生活垃圾等。</w:t>
            </w:r>
          </w:p>
          <w:p>
            <w:pPr>
              <w:snapToGrid w:val="0"/>
              <w:ind w:firstLine="470" w:firstLineChars="196"/>
              <w:jc w:val="both"/>
              <w:rPr>
                <w:rFonts w:hAnsi="宋体"/>
                <w:color w:val="auto"/>
                <w:szCs w:val="20"/>
                <w:u w:val="single"/>
              </w:rPr>
            </w:pPr>
            <w:r>
              <w:rPr>
                <w:rFonts w:hint="eastAsia" w:hAnsi="宋体"/>
                <w:color w:val="auto"/>
                <w:szCs w:val="20"/>
                <w:u w:val="single"/>
              </w:rPr>
              <w:t>1）废油墨桶与废胶桶</w:t>
            </w:r>
          </w:p>
          <w:p>
            <w:pPr>
              <w:snapToGrid w:val="0"/>
              <w:ind w:firstLine="470" w:firstLineChars="196"/>
              <w:jc w:val="both"/>
              <w:rPr>
                <w:rFonts w:hAnsi="宋体"/>
                <w:color w:val="auto"/>
                <w:szCs w:val="20"/>
                <w:u w:val="single"/>
              </w:rPr>
            </w:pPr>
            <w:r>
              <w:rPr>
                <w:rFonts w:hint="eastAsia" w:hAnsi="宋体"/>
                <w:color w:val="auto"/>
                <w:szCs w:val="20"/>
                <w:u w:val="single"/>
              </w:rPr>
              <w:t>本项目采用的聚氨酯油墨年耗量为</w:t>
            </w:r>
            <w:r>
              <w:rPr>
                <w:rFonts w:hint="eastAsia" w:hAnsi="宋体"/>
                <w:color w:val="auto"/>
                <w:szCs w:val="20"/>
                <w:u w:val="single"/>
                <w:lang w:val="en-US" w:eastAsia="zh-CN"/>
              </w:rPr>
              <w:t>3</w:t>
            </w:r>
            <w:r>
              <w:rPr>
                <w:rFonts w:hint="eastAsia" w:hAnsi="宋体"/>
                <w:color w:val="auto"/>
                <w:szCs w:val="20"/>
                <w:u w:val="single"/>
              </w:rPr>
              <w:t>t，为25kg的桶装；溶剂</w:t>
            </w:r>
            <w:r>
              <w:rPr>
                <w:rFonts w:hint="eastAsia" w:hAnsi="宋体"/>
                <w:color w:val="auto"/>
                <w:szCs w:val="20"/>
                <w:u w:val="single"/>
                <w:lang w:val="en-US" w:eastAsia="zh-CN"/>
              </w:rPr>
              <w:t>2</w:t>
            </w:r>
            <w:r>
              <w:rPr>
                <w:rFonts w:hint="eastAsia" w:hAnsi="宋体"/>
                <w:color w:val="auto"/>
                <w:szCs w:val="20"/>
                <w:u w:val="single"/>
              </w:rPr>
              <w:t>吨，一般为20kg和3kg桶装；消耗的胶水为</w:t>
            </w:r>
            <w:r>
              <w:rPr>
                <w:rFonts w:hint="eastAsia" w:hAnsi="宋体"/>
                <w:color w:val="auto"/>
                <w:szCs w:val="20"/>
                <w:u w:val="single"/>
                <w:lang w:val="en-US" w:eastAsia="zh-CN"/>
              </w:rPr>
              <w:t>2</w:t>
            </w:r>
            <w:r>
              <w:rPr>
                <w:rFonts w:hint="eastAsia" w:hAnsi="宋体"/>
                <w:color w:val="auto"/>
                <w:szCs w:val="20"/>
                <w:u w:val="single"/>
              </w:rPr>
              <w:t>吨，一般为20kg和3kg桶装。在油墨使用完后，废弃油墨桶（约1.0t/a）。装溶剂和胶水的废弃桶共计约0.7t/a。经查《国家危险废物名录》（2016.8.1实施），废包装桶属于危险废物，类别为HW49其他废物，废物代码为900-041-49 含有或沾染毒性、感染性危险废物的废弃包装物、容器、过滤吸附介质，经收集后暂存于危废暂存间后交由有资质的单位进行安全处置。</w:t>
            </w:r>
          </w:p>
          <w:p>
            <w:pPr>
              <w:snapToGrid w:val="0"/>
              <w:ind w:firstLine="470" w:firstLineChars="196"/>
              <w:jc w:val="both"/>
              <w:rPr>
                <w:rFonts w:hAnsi="宋体"/>
                <w:color w:val="auto"/>
                <w:szCs w:val="20"/>
                <w:u w:val="single"/>
              </w:rPr>
            </w:pPr>
            <w:r>
              <w:rPr>
                <w:rFonts w:hint="eastAsia" w:hAnsi="宋体"/>
                <w:color w:val="auto"/>
                <w:szCs w:val="20"/>
                <w:u w:val="single"/>
              </w:rPr>
              <w:t>2）废抹布</w:t>
            </w:r>
          </w:p>
          <w:p>
            <w:pPr>
              <w:snapToGrid w:val="0"/>
              <w:ind w:firstLine="470" w:firstLineChars="196"/>
              <w:jc w:val="both"/>
              <w:rPr>
                <w:rFonts w:hint="eastAsia" w:hAnsi="宋体"/>
                <w:color w:val="auto"/>
                <w:szCs w:val="20"/>
                <w:u w:val="single"/>
              </w:rPr>
            </w:pPr>
            <w:r>
              <w:rPr>
                <w:rFonts w:hint="eastAsia" w:hAnsi="宋体"/>
                <w:color w:val="auto"/>
                <w:szCs w:val="20"/>
                <w:u w:val="single"/>
              </w:rPr>
              <w:t>印刷机的墨辊、墨槽等部件必须经常清洗，以防积聚干涸的油墨和粉尘，常用的清洁溶剂主要由水和乙醇按照一定比例调配而成。在清洗的过程中，采用废弃布料沾取一定量的清洗剂进行清洗，清洗完成后的布料因沾染油墨和清洗剂而成为危险废物，年产生量为20kg（干重）。属于危险废物，废物类别为HW49其他废物，废物代码900-041-49，应暂存于危废暂存间，定期委托有资质的单位处置。</w:t>
            </w:r>
          </w:p>
          <w:p>
            <w:pPr>
              <w:pStyle w:val="2"/>
              <w:ind w:left="0" w:leftChars="0" w:firstLine="480"/>
              <w:rPr>
                <w:rFonts w:hAnsi="宋体"/>
                <w:color w:val="auto"/>
                <w:szCs w:val="20"/>
                <w:u w:val="single"/>
              </w:rPr>
            </w:pPr>
            <w:r>
              <w:rPr>
                <w:rFonts w:hint="eastAsia" w:hAnsi="宋体"/>
                <w:color w:val="auto"/>
                <w:szCs w:val="20"/>
                <w:u w:val="single"/>
                <w:lang w:val="en-US" w:eastAsia="zh-CN"/>
              </w:rPr>
              <w:t>3</w:t>
            </w:r>
            <w:r>
              <w:rPr>
                <w:rFonts w:hint="eastAsia" w:hAnsi="宋体"/>
                <w:color w:val="auto"/>
                <w:szCs w:val="20"/>
                <w:u w:val="single"/>
              </w:rPr>
              <w:t>）洗版废液</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rPr>
            </w:pPr>
            <w:r>
              <w:rPr>
                <w:rFonts w:hint="eastAsia"/>
                <w:bCs/>
                <w:color w:val="auto"/>
                <w:u w:val="single"/>
              </w:rPr>
              <w:t>本项目的清洗工序会有少量废液产生，产生量约为</w:t>
            </w:r>
            <w:r>
              <w:rPr>
                <w:rFonts w:hint="eastAsia"/>
                <w:bCs/>
                <w:color w:val="auto"/>
                <w:u w:val="single"/>
                <w:lang w:val="en-US" w:eastAsia="zh-CN"/>
              </w:rPr>
              <w:t>0.97</w:t>
            </w:r>
            <w:r>
              <w:rPr>
                <w:rFonts w:hint="eastAsia"/>
                <w:bCs/>
                <w:color w:val="auto"/>
                <w:u w:val="single"/>
              </w:rPr>
              <w:t>t/a，属于危险废物（危废类别为HW06废有机溶剂与含有机溶剂废物，危废代码为900-403-06），应收集由交由有资质的单位进行处置。</w:t>
            </w:r>
          </w:p>
          <w:p>
            <w:pPr>
              <w:snapToGrid w:val="0"/>
              <w:ind w:firstLine="470" w:firstLineChars="196"/>
              <w:jc w:val="both"/>
              <w:rPr>
                <w:rFonts w:hAnsi="宋体"/>
                <w:color w:val="auto"/>
                <w:szCs w:val="20"/>
              </w:rPr>
            </w:pPr>
            <w:r>
              <w:rPr>
                <w:rFonts w:hint="eastAsia" w:hAnsi="宋体"/>
                <w:color w:val="auto"/>
                <w:szCs w:val="20"/>
                <w:lang w:val="en-US" w:eastAsia="zh-CN"/>
              </w:rPr>
              <w:t>4</w:t>
            </w:r>
            <w:r>
              <w:rPr>
                <w:rFonts w:hint="eastAsia" w:hAnsi="宋体"/>
                <w:color w:val="auto"/>
                <w:szCs w:val="20"/>
              </w:rPr>
              <w:t>）</w:t>
            </w:r>
            <w:r>
              <w:rPr>
                <w:color w:val="auto"/>
                <w:szCs w:val="21"/>
              </w:rPr>
              <w:t>废催化剂</w:t>
            </w:r>
          </w:p>
          <w:p>
            <w:pPr>
              <w:ind w:firstLine="480"/>
              <w:jc w:val="both"/>
              <w:rPr>
                <w:color w:val="auto"/>
                <w:szCs w:val="21"/>
              </w:rPr>
            </w:pPr>
            <w:r>
              <w:rPr>
                <w:color w:val="auto"/>
                <w:szCs w:val="21"/>
              </w:rPr>
              <w:t>废气拟收集后由一套蓄热式催化氧化(RCO)处理系统处理后达标排放，该系统采用铂、钯贵金属催化剂，运行过程中会产生一定量的废催化剂，催化剂一般两年更换一次，每次产生废催化剂量2.6m</w:t>
            </w:r>
            <w:r>
              <w:rPr>
                <w:color w:val="auto"/>
                <w:szCs w:val="21"/>
                <w:vertAlign w:val="superscript"/>
              </w:rPr>
              <w:t>3</w:t>
            </w:r>
            <w:r>
              <w:rPr>
                <w:color w:val="auto"/>
                <w:szCs w:val="21"/>
              </w:rPr>
              <w:t>(600kg/m</w:t>
            </w:r>
            <w:r>
              <w:rPr>
                <w:color w:val="auto"/>
                <w:szCs w:val="21"/>
                <w:vertAlign w:val="superscript"/>
              </w:rPr>
              <w:t>3</w:t>
            </w:r>
            <w:r>
              <w:rPr>
                <w:color w:val="auto"/>
                <w:szCs w:val="21"/>
              </w:rPr>
              <w:t>)，一次更换量约0.8t(0.4t/a)，</w:t>
            </w:r>
            <w:r>
              <w:rPr>
                <w:rFonts w:hint="eastAsia"/>
                <w:color w:val="auto"/>
                <w:szCs w:val="21"/>
              </w:rPr>
              <w:t>统一收集置于危废暂存间后交由有资质的单位处置</w:t>
            </w:r>
            <w:r>
              <w:rPr>
                <w:color w:val="auto"/>
                <w:szCs w:val="21"/>
              </w:rPr>
              <w:t>。</w:t>
            </w:r>
          </w:p>
          <w:p>
            <w:pPr>
              <w:snapToGrid w:val="0"/>
              <w:ind w:firstLine="470" w:firstLineChars="196"/>
              <w:jc w:val="both"/>
              <w:rPr>
                <w:rFonts w:hAnsi="宋体"/>
                <w:color w:val="auto"/>
                <w:szCs w:val="20"/>
              </w:rPr>
            </w:pPr>
            <w:r>
              <w:rPr>
                <w:rFonts w:hint="eastAsia" w:hAnsi="宋体"/>
                <w:color w:val="auto"/>
                <w:szCs w:val="20"/>
                <w:lang w:val="en-US" w:eastAsia="zh-CN"/>
              </w:rPr>
              <w:t>5</w:t>
            </w:r>
            <w:r>
              <w:rPr>
                <w:rFonts w:hint="eastAsia" w:hAnsi="宋体"/>
                <w:color w:val="auto"/>
                <w:szCs w:val="20"/>
              </w:rPr>
              <w:t>）废边角料</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rPr>
            </w:pPr>
            <w:r>
              <w:rPr>
                <w:rFonts w:hint="eastAsia" w:hAnsi="宋体"/>
                <w:color w:val="auto"/>
                <w:szCs w:val="20"/>
              </w:rPr>
              <w:t>在制袋和分切过程中，均需要按照设计尺寸对半成品塑料袋进行切割，切割产生的废边角料量约为7t。该部分边角料全部收集、打捆后外卖，由废塑料收购企业定期回收再利用。</w:t>
            </w:r>
          </w:p>
          <w:p>
            <w:pPr>
              <w:snapToGrid w:val="0"/>
              <w:ind w:firstLine="470" w:firstLineChars="196"/>
              <w:jc w:val="both"/>
              <w:rPr>
                <w:rFonts w:hAnsi="宋体"/>
                <w:color w:val="auto"/>
                <w:szCs w:val="20"/>
              </w:rPr>
            </w:pPr>
            <w:r>
              <w:rPr>
                <w:rFonts w:hint="eastAsia" w:hAnsi="宋体"/>
                <w:color w:val="auto"/>
                <w:szCs w:val="20"/>
                <w:lang w:val="en-US" w:eastAsia="zh-CN"/>
              </w:rPr>
              <w:t>6</w:t>
            </w:r>
            <w:r>
              <w:rPr>
                <w:rFonts w:hint="eastAsia" w:hAnsi="宋体"/>
                <w:color w:val="auto"/>
                <w:szCs w:val="20"/>
              </w:rPr>
              <w:t>）生活垃圾</w:t>
            </w:r>
          </w:p>
          <w:p>
            <w:pPr>
              <w:snapToGrid w:val="0"/>
              <w:ind w:firstLine="470" w:firstLineChars="196"/>
              <w:jc w:val="both"/>
              <w:rPr>
                <w:color w:val="auto"/>
                <w:szCs w:val="20"/>
              </w:rPr>
            </w:pPr>
            <w:r>
              <w:rPr>
                <w:rFonts w:hint="eastAsia" w:hAnsi="宋体"/>
                <w:color w:val="auto"/>
                <w:szCs w:val="20"/>
              </w:rPr>
              <w:t>项目营运期拟用职工20人</w:t>
            </w:r>
            <w:r>
              <w:rPr>
                <w:rFonts w:hint="eastAsia"/>
                <w:color w:val="auto"/>
                <w:szCs w:val="20"/>
              </w:rPr>
              <w:t>，按照每人每天产生垃圾0.5kg计算，年工作日300天，则生活垃圾的产生量为3t/a。</w:t>
            </w:r>
          </w:p>
          <w:p>
            <w:pPr>
              <w:ind w:firstLine="480"/>
              <w:rPr>
                <w:rFonts w:hint="eastAsia"/>
                <w:bCs/>
                <w:color w:val="auto"/>
                <w:u w:val="single"/>
                <w:lang w:eastAsia="zh-CN"/>
              </w:rPr>
            </w:pPr>
            <w:r>
              <w:rPr>
                <w:rFonts w:hint="eastAsia"/>
                <w:bCs/>
                <w:color w:val="auto"/>
                <w:u w:val="single"/>
                <w:lang w:eastAsia="zh-CN"/>
              </w:rPr>
              <w:t>本项目营运期间固体废物产量如下表：</w:t>
            </w: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32"/>
              <w:rPr>
                <w:rFonts w:hint="eastAsia"/>
                <w:bCs/>
                <w:color w:val="auto"/>
                <w:u w:val="single"/>
                <w:lang w:eastAsia="zh-CN"/>
              </w:rPr>
            </w:pPr>
          </w:p>
          <w:p>
            <w:pPr>
              <w:pStyle w:val="2"/>
              <w:ind w:left="0" w:leftChars="0" w:firstLine="0" w:firstLineChars="0"/>
              <w:jc w:val="center"/>
              <w:rPr>
                <w:rFonts w:hint="eastAsia"/>
                <w:color w:val="auto"/>
                <w:lang w:val="en-US" w:eastAsia="zh-CN"/>
              </w:rPr>
            </w:pPr>
            <w:r>
              <w:rPr>
                <w:rFonts w:hint="eastAsia"/>
                <w:b/>
                <w:bCs/>
                <w:color w:val="auto"/>
                <w:u w:val="single"/>
                <w:lang w:eastAsia="zh-CN"/>
              </w:rPr>
              <w:t>表</w:t>
            </w:r>
            <w:r>
              <w:rPr>
                <w:rFonts w:hint="eastAsia"/>
                <w:b/>
                <w:bCs/>
                <w:color w:val="auto"/>
                <w:u w:val="single"/>
                <w:lang w:val="en-US" w:eastAsia="zh-CN"/>
              </w:rPr>
              <w:t>5-4   营运期固废产生去向一览表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338"/>
              <w:gridCol w:w="850"/>
              <w:gridCol w:w="1100"/>
              <w:gridCol w:w="1362"/>
              <w:gridCol w:w="1375"/>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序号</w:t>
                  </w:r>
                </w:p>
              </w:tc>
              <w:tc>
                <w:tcPr>
                  <w:tcW w:w="13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名称</w:t>
                  </w:r>
                </w:p>
              </w:tc>
              <w:tc>
                <w:tcPr>
                  <w:tcW w:w="85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状态</w:t>
                  </w:r>
                </w:p>
              </w:tc>
              <w:tc>
                <w:tcPr>
                  <w:tcW w:w="11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类别</w:t>
                  </w:r>
                </w:p>
              </w:tc>
              <w:tc>
                <w:tcPr>
                  <w:tcW w:w="1362"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代码</w:t>
                  </w:r>
                </w:p>
              </w:tc>
              <w:tc>
                <w:tcPr>
                  <w:tcW w:w="137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产生量（t/a）</w:t>
                  </w:r>
                </w:p>
              </w:tc>
              <w:tc>
                <w:tcPr>
                  <w:tcW w:w="2386"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去向或处理措施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w:t>
                  </w:r>
                </w:p>
              </w:tc>
              <w:tc>
                <w:tcPr>
                  <w:tcW w:w="13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废油墨桶与胶桶</w:t>
                  </w:r>
                </w:p>
              </w:tc>
              <w:tc>
                <w:tcPr>
                  <w:tcW w:w="850"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固态</w:t>
                  </w:r>
                </w:p>
              </w:tc>
              <w:tc>
                <w:tcPr>
                  <w:tcW w:w="1100"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HW49</w:t>
                  </w:r>
                </w:p>
              </w:tc>
              <w:tc>
                <w:tcPr>
                  <w:tcW w:w="1362"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hAnsi="宋体"/>
                      <w:color w:val="auto"/>
                      <w:sz w:val="21"/>
                      <w:szCs w:val="21"/>
                      <w:u w:val="single"/>
                    </w:rPr>
                    <w:t>900-041-49</w:t>
                  </w:r>
                </w:p>
              </w:tc>
              <w:tc>
                <w:tcPr>
                  <w:tcW w:w="137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1.7</w:t>
                  </w:r>
                </w:p>
              </w:tc>
              <w:tc>
                <w:tcPr>
                  <w:tcW w:w="2386"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分类暂存于危废暂存间后交由有资质的单位进行处置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2</w:t>
                  </w:r>
                </w:p>
              </w:tc>
              <w:tc>
                <w:tcPr>
                  <w:tcW w:w="13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废抹布</w:t>
                  </w:r>
                </w:p>
              </w:tc>
              <w:tc>
                <w:tcPr>
                  <w:tcW w:w="850"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p>
              </w:tc>
              <w:tc>
                <w:tcPr>
                  <w:tcW w:w="1100"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p>
              </w:tc>
              <w:tc>
                <w:tcPr>
                  <w:tcW w:w="13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p>
              </w:tc>
              <w:tc>
                <w:tcPr>
                  <w:tcW w:w="137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0.02</w:t>
                  </w:r>
                </w:p>
              </w:tc>
              <w:tc>
                <w:tcPr>
                  <w:tcW w:w="238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3</w:t>
                  </w:r>
                </w:p>
              </w:tc>
              <w:tc>
                <w:tcPr>
                  <w:tcW w:w="13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洗版废液</w:t>
                  </w:r>
                </w:p>
              </w:tc>
              <w:tc>
                <w:tcPr>
                  <w:tcW w:w="85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液态</w:t>
                  </w:r>
                </w:p>
              </w:tc>
              <w:tc>
                <w:tcPr>
                  <w:tcW w:w="11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HW06</w:t>
                  </w:r>
                </w:p>
              </w:tc>
              <w:tc>
                <w:tcPr>
                  <w:tcW w:w="1362"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bCs/>
                      <w:color w:val="auto"/>
                      <w:sz w:val="21"/>
                      <w:szCs w:val="21"/>
                      <w:u w:val="single"/>
                    </w:rPr>
                    <w:t>900-403-06</w:t>
                  </w:r>
                </w:p>
              </w:tc>
              <w:tc>
                <w:tcPr>
                  <w:tcW w:w="137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0.97</w:t>
                  </w:r>
                </w:p>
              </w:tc>
              <w:tc>
                <w:tcPr>
                  <w:tcW w:w="238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4</w:t>
                  </w:r>
                </w:p>
              </w:tc>
              <w:tc>
                <w:tcPr>
                  <w:tcW w:w="13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废催化剂</w:t>
                  </w:r>
                </w:p>
              </w:tc>
              <w:tc>
                <w:tcPr>
                  <w:tcW w:w="85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固态</w:t>
                  </w:r>
                </w:p>
              </w:tc>
              <w:tc>
                <w:tcPr>
                  <w:tcW w:w="11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HW50</w:t>
                  </w:r>
                </w:p>
              </w:tc>
              <w:tc>
                <w:tcPr>
                  <w:tcW w:w="1362"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hAnsi="宋体"/>
                      <w:color w:val="auto"/>
                      <w:sz w:val="21"/>
                      <w:szCs w:val="21"/>
                      <w:u w:val="single"/>
                      <w:lang w:val="en-US" w:eastAsia="zh-CN"/>
                    </w:rPr>
                    <w:t>772-007-50</w:t>
                  </w:r>
                </w:p>
              </w:tc>
              <w:tc>
                <w:tcPr>
                  <w:tcW w:w="137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0.8</w:t>
                  </w:r>
                </w:p>
              </w:tc>
              <w:tc>
                <w:tcPr>
                  <w:tcW w:w="238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5</w:t>
                  </w:r>
                </w:p>
              </w:tc>
              <w:tc>
                <w:tcPr>
                  <w:tcW w:w="13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废边角料</w:t>
                  </w:r>
                </w:p>
              </w:tc>
              <w:tc>
                <w:tcPr>
                  <w:tcW w:w="85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2"/>
                      <w:sz w:val="21"/>
                      <w:szCs w:val="21"/>
                      <w:u w:val="single"/>
                      <w:vertAlign w:val="baseline"/>
                      <w:lang w:val="en-US" w:eastAsia="zh-CN" w:bidi="ar-SA"/>
                    </w:rPr>
                  </w:pPr>
                  <w:r>
                    <w:rPr>
                      <w:rFonts w:hint="eastAsia" w:ascii="Times New Roman" w:hAnsi="Times New Roman" w:eastAsia="宋体" w:cs="Times New Roman"/>
                      <w:color w:val="auto"/>
                      <w:kern w:val="2"/>
                      <w:sz w:val="21"/>
                      <w:szCs w:val="21"/>
                      <w:u w:val="single"/>
                      <w:vertAlign w:val="baseline"/>
                      <w:lang w:val="en-US" w:eastAsia="zh-CN" w:bidi="ar-SA"/>
                    </w:rPr>
                    <w:t>固态</w:t>
                  </w:r>
                </w:p>
              </w:tc>
              <w:tc>
                <w:tcPr>
                  <w:tcW w:w="11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w:t>
                  </w:r>
                </w:p>
              </w:tc>
              <w:tc>
                <w:tcPr>
                  <w:tcW w:w="1362"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w:t>
                  </w:r>
                </w:p>
              </w:tc>
              <w:tc>
                <w:tcPr>
                  <w:tcW w:w="137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7</w:t>
                  </w:r>
                </w:p>
              </w:tc>
              <w:tc>
                <w:tcPr>
                  <w:tcW w:w="2386"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外售进行综合利用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6</w:t>
                  </w:r>
                </w:p>
              </w:tc>
              <w:tc>
                <w:tcPr>
                  <w:tcW w:w="13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生活垃圾</w:t>
                  </w:r>
                </w:p>
              </w:tc>
              <w:tc>
                <w:tcPr>
                  <w:tcW w:w="85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2"/>
                      <w:sz w:val="21"/>
                      <w:szCs w:val="21"/>
                      <w:u w:val="single"/>
                      <w:vertAlign w:val="baseline"/>
                      <w:lang w:val="en-US" w:eastAsia="zh-CN" w:bidi="ar-SA"/>
                    </w:rPr>
                  </w:pPr>
                  <w:r>
                    <w:rPr>
                      <w:rFonts w:hint="eastAsia" w:ascii="Times New Roman" w:hAnsi="Times New Roman" w:eastAsia="宋体" w:cs="Times New Roman"/>
                      <w:color w:val="auto"/>
                      <w:kern w:val="2"/>
                      <w:sz w:val="21"/>
                      <w:szCs w:val="21"/>
                      <w:u w:val="single"/>
                      <w:vertAlign w:val="baseline"/>
                      <w:lang w:val="en-US" w:eastAsia="zh-CN" w:bidi="ar-SA"/>
                    </w:rPr>
                    <w:t>固态</w:t>
                  </w:r>
                </w:p>
              </w:tc>
              <w:tc>
                <w:tcPr>
                  <w:tcW w:w="11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w:t>
                  </w:r>
                </w:p>
              </w:tc>
              <w:tc>
                <w:tcPr>
                  <w:tcW w:w="1362"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w:t>
                  </w:r>
                </w:p>
              </w:tc>
              <w:tc>
                <w:tcPr>
                  <w:tcW w:w="137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3</w:t>
                  </w:r>
                </w:p>
              </w:tc>
              <w:tc>
                <w:tcPr>
                  <w:tcW w:w="2386"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olor w:val="auto"/>
                      <w:sz w:val="21"/>
                      <w:szCs w:val="21"/>
                      <w:u w:val="single"/>
                      <w:vertAlign w:val="baseline"/>
                      <w:lang w:val="en-US" w:eastAsia="zh-CN"/>
                    </w:rPr>
                  </w:pPr>
                  <w:r>
                    <w:rPr>
                      <w:rFonts w:hint="eastAsia"/>
                      <w:color w:val="auto"/>
                      <w:sz w:val="21"/>
                      <w:szCs w:val="21"/>
                      <w:u w:val="single"/>
                      <w:vertAlign w:val="baseline"/>
                      <w:lang w:val="en-US" w:eastAsia="zh-CN"/>
                    </w:rPr>
                    <w:t>委托环卫部门统一清运</w:t>
                  </w:r>
                </w:p>
              </w:tc>
            </w:tr>
          </w:tbl>
          <w:p>
            <w:pPr>
              <w:pStyle w:val="2"/>
              <w:ind w:left="0" w:leftChars="0" w:firstLine="0" w:firstLineChars="0"/>
              <w:jc w:val="center"/>
              <w:rPr>
                <w:rFonts w:hint="default"/>
                <w:color w:val="auto"/>
                <w:lang w:val="en-US" w:eastAsia="zh-CN"/>
              </w:rPr>
            </w:pPr>
          </w:p>
          <w:p>
            <w:pPr>
              <w:ind w:firstLine="0" w:firstLineChars="0"/>
              <w:rPr>
                <w:bCs/>
                <w:color w:val="auto"/>
              </w:rPr>
            </w:pPr>
          </w:p>
        </w:tc>
      </w:tr>
    </w:tbl>
    <w:p>
      <w:pPr>
        <w:ind w:firstLine="480"/>
        <w:rPr>
          <w:color w:val="auto"/>
        </w:rPr>
      </w:pPr>
      <w:r>
        <w:rPr>
          <w:color w:val="auto"/>
        </w:rPr>
        <w:br w:type="page"/>
      </w:r>
    </w:p>
    <w:p>
      <w:pPr>
        <w:pStyle w:val="4"/>
        <w:rPr>
          <w:color w:val="auto"/>
        </w:rPr>
      </w:pPr>
      <w:r>
        <w:rPr>
          <w:color w:val="auto"/>
        </w:rPr>
        <w:t>项目主要污染物产生及预计排放情况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731"/>
        <w:gridCol w:w="1400"/>
        <w:gridCol w:w="2734"/>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451" w:type="pct"/>
            <w:tcBorders>
              <w:tl2br w:val="single" w:color="auto" w:sz="4" w:space="0"/>
            </w:tcBorders>
            <w:vAlign w:val="center"/>
          </w:tcPr>
          <w:p>
            <w:pPr>
              <w:spacing w:line="400" w:lineRule="exact"/>
              <w:ind w:firstLine="0" w:firstLineChars="0"/>
              <w:jc w:val="both"/>
              <w:rPr>
                <w:rFonts w:eastAsiaTheme="minorEastAsia"/>
                <w:b/>
                <w:bCs/>
                <w:color w:val="auto"/>
                <w:sz w:val="21"/>
                <w:szCs w:val="21"/>
              </w:rPr>
            </w:pPr>
            <w:r>
              <w:rPr>
                <w:rFonts w:hAnsiTheme="minorEastAsia" w:eastAsiaTheme="minorEastAsia"/>
                <w:b/>
                <w:bCs/>
                <w:color w:val="auto"/>
                <w:sz w:val="21"/>
                <w:szCs w:val="21"/>
              </w:rPr>
              <w:t>内容</w:t>
            </w:r>
          </w:p>
          <w:p>
            <w:pPr>
              <w:spacing w:line="400" w:lineRule="exact"/>
              <w:ind w:firstLine="0" w:firstLineChars="0"/>
              <w:jc w:val="both"/>
              <w:rPr>
                <w:rFonts w:eastAsiaTheme="minorEastAsia"/>
                <w:b/>
                <w:bCs/>
                <w:color w:val="auto"/>
                <w:sz w:val="21"/>
                <w:szCs w:val="21"/>
              </w:rPr>
            </w:pPr>
            <w:r>
              <w:rPr>
                <w:rFonts w:hAnsiTheme="minorEastAsia" w:eastAsiaTheme="minorEastAsia"/>
                <w:b/>
                <w:bCs/>
                <w:color w:val="auto"/>
                <w:sz w:val="21"/>
                <w:szCs w:val="21"/>
              </w:rPr>
              <w:t>类型</w:t>
            </w:r>
          </w:p>
        </w:tc>
        <w:tc>
          <w:tcPr>
            <w:tcW w:w="932" w:type="pct"/>
            <w:vAlign w:val="center"/>
          </w:tcPr>
          <w:p>
            <w:pPr>
              <w:spacing w:line="400" w:lineRule="exact"/>
              <w:ind w:firstLine="0" w:firstLineChars="0"/>
              <w:jc w:val="both"/>
              <w:rPr>
                <w:rFonts w:eastAsiaTheme="minorEastAsia"/>
                <w:b/>
                <w:bCs/>
                <w:color w:val="auto"/>
                <w:sz w:val="21"/>
                <w:szCs w:val="21"/>
              </w:rPr>
            </w:pPr>
            <w:r>
              <w:rPr>
                <w:rFonts w:hAnsiTheme="minorEastAsia" w:eastAsiaTheme="minorEastAsia"/>
                <w:b/>
                <w:bCs/>
                <w:color w:val="auto"/>
                <w:sz w:val="21"/>
                <w:szCs w:val="21"/>
              </w:rPr>
              <w:t>排放源（编号）</w:t>
            </w:r>
          </w:p>
        </w:tc>
        <w:tc>
          <w:tcPr>
            <w:tcW w:w="754" w:type="pct"/>
            <w:vAlign w:val="center"/>
          </w:tcPr>
          <w:p>
            <w:pPr>
              <w:spacing w:line="400" w:lineRule="exact"/>
              <w:ind w:firstLine="0" w:firstLineChars="0"/>
              <w:jc w:val="both"/>
              <w:rPr>
                <w:rFonts w:eastAsiaTheme="minorEastAsia"/>
                <w:b/>
                <w:bCs/>
                <w:color w:val="auto"/>
                <w:sz w:val="21"/>
                <w:szCs w:val="21"/>
              </w:rPr>
            </w:pPr>
            <w:r>
              <w:rPr>
                <w:rFonts w:hAnsiTheme="minorEastAsia" w:eastAsiaTheme="minorEastAsia"/>
                <w:b/>
                <w:bCs/>
                <w:color w:val="auto"/>
                <w:sz w:val="21"/>
                <w:szCs w:val="21"/>
              </w:rPr>
              <w:t>污染物名称</w:t>
            </w:r>
          </w:p>
        </w:tc>
        <w:tc>
          <w:tcPr>
            <w:tcW w:w="1472" w:type="pct"/>
            <w:vAlign w:val="center"/>
          </w:tcPr>
          <w:p>
            <w:pPr>
              <w:spacing w:line="400" w:lineRule="exact"/>
              <w:ind w:firstLine="0" w:firstLineChars="0"/>
              <w:jc w:val="center"/>
              <w:rPr>
                <w:rFonts w:eastAsiaTheme="minorEastAsia"/>
                <w:b/>
                <w:bCs/>
                <w:color w:val="auto"/>
                <w:sz w:val="21"/>
                <w:szCs w:val="21"/>
              </w:rPr>
            </w:pPr>
            <w:r>
              <w:rPr>
                <w:rFonts w:hAnsiTheme="minorEastAsia" w:eastAsiaTheme="minorEastAsia"/>
                <w:b/>
                <w:bCs/>
                <w:color w:val="auto"/>
                <w:sz w:val="21"/>
                <w:szCs w:val="21"/>
              </w:rPr>
              <w:t>处理前产生浓度及产生量（单位）</w:t>
            </w:r>
          </w:p>
        </w:tc>
        <w:tc>
          <w:tcPr>
            <w:tcW w:w="1389" w:type="pct"/>
            <w:vAlign w:val="center"/>
          </w:tcPr>
          <w:p>
            <w:pPr>
              <w:spacing w:line="400" w:lineRule="exact"/>
              <w:ind w:firstLine="0" w:firstLineChars="0"/>
              <w:jc w:val="both"/>
              <w:rPr>
                <w:rFonts w:eastAsiaTheme="minorEastAsia"/>
                <w:b/>
                <w:bCs/>
                <w:color w:val="auto"/>
                <w:sz w:val="21"/>
                <w:szCs w:val="21"/>
              </w:rPr>
            </w:pPr>
            <w:r>
              <w:rPr>
                <w:rFonts w:hAnsiTheme="minorEastAsia" w:eastAsiaTheme="minorEastAsia"/>
                <w:b/>
                <w:bCs/>
                <w:color w:val="auto"/>
                <w:sz w:val="21"/>
                <w:szCs w:val="21"/>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451" w:type="pct"/>
            <w:vMerge w:val="restar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大</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气</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污</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染</w:t>
            </w:r>
          </w:p>
          <w:p>
            <w:pPr>
              <w:spacing w:line="400" w:lineRule="exact"/>
              <w:ind w:firstLine="199" w:firstLineChars="95"/>
              <w:jc w:val="center"/>
              <w:rPr>
                <w:rFonts w:eastAsiaTheme="minorEastAsia"/>
                <w:bCs/>
                <w:color w:val="auto"/>
                <w:sz w:val="21"/>
                <w:szCs w:val="21"/>
              </w:rPr>
            </w:pPr>
            <w:r>
              <w:rPr>
                <w:rFonts w:hAnsiTheme="minorEastAsia" w:eastAsiaTheme="minorEastAsia"/>
                <w:bCs/>
                <w:color w:val="auto"/>
                <w:sz w:val="21"/>
                <w:szCs w:val="21"/>
              </w:rPr>
              <w:t>物</w:t>
            </w:r>
          </w:p>
        </w:tc>
        <w:tc>
          <w:tcPr>
            <w:tcW w:w="932" w:type="pct"/>
            <w:vAlign w:val="center"/>
          </w:tcPr>
          <w:p>
            <w:pPr>
              <w:pStyle w:val="33"/>
              <w:widowControl w:val="0"/>
              <w:pBdr>
                <w:bottom w:val="none" w:color="auto" w:sz="0" w:space="0"/>
                <w:right w:val="none" w:color="auto" w:sz="0" w:space="0"/>
              </w:pBdr>
              <w:spacing w:before="0" w:beforeAutospacing="0" w:after="0" w:afterAutospacing="0" w:line="400" w:lineRule="exact"/>
              <w:rPr>
                <w:rFonts w:eastAsiaTheme="minorEastAsia"/>
                <w:color w:val="auto"/>
                <w:u w:val="single"/>
              </w:rPr>
            </w:pPr>
            <w:r>
              <w:rPr>
                <w:rFonts w:hAnsiTheme="minorEastAsia" w:eastAsiaTheme="minorEastAsia"/>
                <w:color w:val="auto"/>
                <w:u w:val="single"/>
              </w:rPr>
              <w:t>印刷</w:t>
            </w:r>
          </w:p>
        </w:tc>
        <w:tc>
          <w:tcPr>
            <w:tcW w:w="754" w:type="pct"/>
            <w:vMerge w:val="restart"/>
            <w:shd w:val="clear" w:color="auto" w:fill="auto"/>
            <w:vAlign w:val="center"/>
          </w:tcPr>
          <w:p>
            <w:pPr>
              <w:spacing w:line="240" w:lineRule="auto"/>
              <w:ind w:firstLine="0" w:firstLineChars="0"/>
              <w:jc w:val="center"/>
              <w:rPr>
                <w:rFonts w:eastAsiaTheme="minorEastAsia"/>
                <w:color w:val="auto"/>
                <w:sz w:val="21"/>
                <w:szCs w:val="21"/>
                <w:u w:val="single"/>
              </w:rPr>
            </w:pPr>
            <w:r>
              <w:rPr>
                <w:rFonts w:eastAsiaTheme="minorEastAsia"/>
                <w:color w:val="auto"/>
                <w:sz w:val="21"/>
                <w:szCs w:val="21"/>
                <w:u w:val="single"/>
              </w:rPr>
              <w:t>VOCs</w:t>
            </w:r>
          </w:p>
        </w:tc>
        <w:tc>
          <w:tcPr>
            <w:tcW w:w="1472" w:type="pct"/>
            <w:vMerge w:val="restart"/>
            <w:shd w:val="clear" w:color="auto" w:fill="auto"/>
            <w:vAlign w:val="center"/>
          </w:tcPr>
          <w:p>
            <w:pPr>
              <w:spacing w:line="240" w:lineRule="auto"/>
              <w:ind w:firstLine="0" w:firstLineChars="0"/>
              <w:jc w:val="center"/>
              <w:rPr>
                <w:rFonts w:eastAsiaTheme="minorEastAsia"/>
                <w:color w:val="auto"/>
                <w:sz w:val="21"/>
                <w:szCs w:val="21"/>
                <w:u w:val="single"/>
              </w:rPr>
            </w:pPr>
            <w:r>
              <w:rPr>
                <w:rFonts w:hint="eastAsia" w:eastAsiaTheme="minorEastAsia"/>
                <w:color w:val="auto"/>
                <w:sz w:val="21"/>
                <w:szCs w:val="21"/>
                <w:u w:val="single"/>
                <w:lang w:val="en-US" w:eastAsia="zh-CN"/>
              </w:rPr>
              <w:t>4.6</w:t>
            </w:r>
            <w:r>
              <w:rPr>
                <w:rFonts w:eastAsiaTheme="minorEastAsia"/>
                <w:color w:val="auto"/>
                <w:sz w:val="21"/>
                <w:szCs w:val="21"/>
                <w:u w:val="single"/>
              </w:rPr>
              <w:t>t/a</w:t>
            </w:r>
            <w:r>
              <w:rPr>
                <w:rFonts w:hint="eastAsia" w:eastAsiaTheme="minorEastAsia"/>
                <w:color w:val="auto"/>
                <w:sz w:val="21"/>
                <w:szCs w:val="21"/>
                <w:u w:val="single"/>
              </w:rPr>
              <w:t>，</w:t>
            </w:r>
            <w:r>
              <w:rPr>
                <w:rFonts w:hint="eastAsia" w:eastAsiaTheme="minorEastAsia"/>
                <w:color w:val="auto"/>
                <w:sz w:val="21"/>
                <w:szCs w:val="21"/>
                <w:u w:val="single"/>
                <w:lang w:val="en-US" w:eastAsia="zh-CN"/>
              </w:rPr>
              <w:t>86.25</w:t>
            </w:r>
            <w:r>
              <w:rPr>
                <w:rFonts w:eastAsiaTheme="minorEastAsia"/>
                <w:color w:val="auto"/>
                <w:sz w:val="21"/>
                <w:szCs w:val="21"/>
                <w:u w:val="single"/>
              </w:rPr>
              <w:t>mg/m</w:t>
            </w:r>
            <w:r>
              <w:rPr>
                <w:rFonts w:eastAsiaTheme="minorEastAsia"/>
                <w:color w:val="auto"/>
                <w:sz w:val="21"/>
                <w:szCs w:val="21"/>
                <w:u w:val="single"/>
                <w:vertAlign w:val="superscript"/>
              </w:rPr>
              <w:t>3</w:t>
            </w:r>
          </w:p>
        </w:tc>
        <w:tc>
          <w:tcPr>
            <w:tcW w:w="1389" w:type="pct"/>
            <w:vMerge w:val="restart"/>
            <w:shd w:val="clear" w:color="auto" w:fill="auto"/>
            <w:vAlign w:val="center"/>
          </w:tcPr>
          <w:p>
            <w:pPr>
              <w:spacing w:line="240" w:lineRule="auto"/>
              <w:ind w:firstLine="0" w:firstLineChars="0"/>
              <w:jc w:val="center"/>
              <w:rPr>
                <w:rFonts w:eastAsiaTheme="minorEastAsia"/>
                <w:color w:val="auto"/>
                <w:sz w:val="21"/>
                <w:szCs w:val="21"/>
                <w:u w:val="single"/>
              </w:rPr>
            </w:pPr>
            <w:r>
              <w:rPr>
                <w:rFonts w:hint="eastAsia" w:hAnsiTheme="minorEastAsia" w:eastAsiaTheme="minorEastAsia"/>
                <w:color w:val="auto"/>
                <w:sz w:val="21"/>
                <w:szCs w:val="21"/>
                <w:u w:val="single"/>
                <w:lang w:val="en-US" w:eastAsia="zh-CN"/>
              </w:rPr>
              <w:t>0.621</w:t>
            </w:r>
            <w:r>
              <w:rPr>
                <w:rFonts w:eastAsiaTheme="minorEastAsia"/>
                <w:color w:val="auto"/>
                <w:sz w:val="21"/>
                <w:szCs w:val="21"/>
                <w:u w:val="single"/>
              </w:rPr>
              <w:t>t/a</w:t>
            </w:r>
            <w:r>
              <w:rPr>
                <w:rFonts w:hAnsiTheme="minorEastAsia" w:eastAsiaTheme="minorEastAsia"/>
                <w:color w:val="auto"/>
                <w:sz w:val="21"/>
                <w:szCs w:val="21"/>
                <w:u w:val="single"/>
              </w:rPr>
              <w:t>，</w:t>
            </w:r>
            <w:r>
              <w:rPr>
                <w:rFonts w:hint="eastAsia" w:eastAsiaTheme="minorEastAsia"/>
                <w:color w:val="auto"/>
                <w:sz w:val="21"/>
                <w:szCs w:val="21"/>
                <w:u w:val="single"/>
                <w:lang w:val="en-US" w:eastAsia="zh-CN"/>
              </w:rPr>
              <w:t>12.93</w:t>
            </w:r>
            <w:r>
              <w:rPr>
                <w:rFonts w:eastAsiaTheme="minorEastAsia"/>
                <w:color w:val="auto"/>
                <w:sz w:val="21"/>
                <w:szCs w:val="21"/>
                <w:u w:val="single"/>
              </w:rPr>
              <w:t>mg/m</w:t>
            </w:r>
            <w:r>
              <w:rPr>
                <w:rFonts w:eastAsiaTheme="minorEastAsia"/>
                <w:color w:val="auto"/>
                <w:sz w:val="21"/>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51" w:type="pct"/>
            <w:vMerge w:val="continue"/>
            <w:vAlign w:val="center"/>
          </w:tcPr>
          <w:p>
            <w:pPr>
              <w:spacing w:line="400" w:lineRule="exact"/>
              <w:ind w:firstLine="0" w:firstLineChars="0"/>
              <w:jc w:val="center"/>
              <w:rPr>
                <w:rFonts w:eastAsiaTheme="minorEastAsia"/>
                <w:bCs/>
                <w:color w:val="auto"/>
                <w:sz w:val="21"/>
                <w:szCs w:val="21"/>
              </w:rPr>
            </w:pPr>
          </w:p>
        </w:tc>
        <w:tc>
          <w:tcPr>
            <w:tcW w:w="932" w:type="pct"/>
            <w:vAlign w:val="center"/>
          </w:tcPr>
          <w:p>
            <w:pPr>
              <w:pStyle w:val="33"/>
              <w:widowControl w:val="0"/>
              <w:pBdr>
                <w:bottom w:val="none" w:color="auto" w:sz="0" w:space="0"/>
                <w:right w:val="none" w:color="auto" w:sz="0" w:space="0"/>
              </w:pBdr>
              <w:spacing w:before="0" w:beforeAutospacing="0" w:after="0" w:afterAutospacing="0" w:line="400" w:lineRule="exact"/>
              <w:rPr>
                <w:rFonts w:eastAsiaTheme="minorEastAsia"/>
                <w:color w:val="auto"/>
              </w:rPr>
            </w:pPr>
            <w:r>
              <w:rPr>
                <w:rFonts w:hAnsiTheme="minorEastAsia" w:eastAsiaTheme="minorEastAsia"/>
                <w:color w:val="auto"/>
                <w:u w:val="single"/>
              </w:rPr>
              <w:t>复合</w:t>
            </w:r>
          </w:p>
        </w:tc>
        <w:tc>
          <w:tcPr>
            <w:tcW w:w="754" w:type="pct"/>
            <w:vMerge w:val="continue"/>
            <w:shd w:val="clear" w:color="auto" w:fill="auto"/>
            <w:vAlign w:val="center"/>
          </w:tcPr>
          <w:p>
            <w:pPr>
              <w:spacing w:line="240" w:lineRule="auto"/>
              <w:ind w:firstLine="0" w:firstLineChars="0"/>
              <w:jc w:val="center"/>
              <w:rPr>
                <w:rFonts w:eastAsiaTheme="minorEastAsia"/>
                <w:color w:val="auto"/>
                <w:sz w:val="21"/>
                <w:szCs w:val="21"/>
              </w:rPr>
            </w:pPr>
          </w:p>
        </w:tc>
        <w:tc>
          <w:tcPr>
            <w:tcW w:w="1472" w:type="pct"/>
            <w:vMerge w:val="continue"/>
            <w:shd w:val="clear" w:color="auto" w:fill="auto"/>
            <w:vAlign w:val="center"/>
          </w:tcPr>
          <w:p>
            <w:pPr>
              <w:spacing w:line="240" w:lineRule="auto"/>
              <w:ind w:firstLine="0" w:firstLineChars="0"/>
              <w:jc w:val="center"/>
              <w:rPr>
                <w:rFonts w:eastAsiaTheme="minorEastAsia"/>
                <w:color w:val="auto"/>
                <w:sz w:val="21"/>
                <w:szCs w:val="21"/>
              </w:rPr>
            </w:pPr>
          </w:p>
        </w:tc>
        <w:tc>
          <w:tcPr>
            <w:tcW w:w="1389" w:type="pct"/>
            <w:vMerge w:val="continue"/>
            <w:shd w:val="clear" w:color="auto" w:fill="auto"/>
          </w:tcPr>
          <w:p>
            <w:pPr>
              <w:spacing w:line="240" w:lineRule="auto"/>
              <w:ind w:firstLine="0" w:firstLineChars="0"/>
              <w:rPr>
                <w:rFonts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1" w:type="pct"/>
            <w:shd w:val="clear" w:color="auto" w:fill="auto"/>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水</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污</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染</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物</w:t>
            </w:r>
          </w:p>
        </w:tc>
        <w:tc>
          <w:tcPr>
            <w:tcW w:w="932" w:type="pc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生活污水</w:t>
            </w:r>
          </w:p>
        </w:tc>
        <w:tc>
          <w:tcPr>
            <w:tcW w:w="754" w:type="pct"/>
            <w:vAlign w:val="center"/>
          </w:tcPr>
          <w:p>
            <w:pPr>
              <w:ind w:firstLine="0" w:firstLineChars="0"/>
              <w:jc w:val="center"/>
              <w:rPr>
                <w:rFonts w:eastAsiaTheme="minorEastAsia"/>
                <w:bCs/>
                <w:color w:val="auto"/>
                <w:sz w:val="21"/>
                <w:szCs w:val="21"/>
              </w:rPr>
            </w:pPr>
            <w:r>
              <w:rPr>
                <w:rFonts w:eastAsiaTheme="minorEastAsia"/>
                <w:bCs/>
                <w:color w:val="auto"/>
                <w:sz w:val="21"/>
                <w:szCs w:val="21"/>
              </w:rPr>
              <w:t>COD</w:t>
            </w:r>
          </w:p>
          <w:p>
            <w:pPr>
              <w:ind w:firstLine="0" w:firstLineChars="0"/>
              <w:jc w:val="center"/>
              <w:rPr>
                <w:rFonts w:eastAsiaTheme="minorEastAsia"/>
                <w:bCs/>
                <w:color w:val="auto"/>
                <w:sz w:val="21"/>
                <w:szCs w:val="21"/>
              </w:rPr>
            </w:pPr>
            <w:r>
              <w:rPr>
                <w:rFonts w:eastAsiaTheme="minorEastAsia"/>
                <w:bCs/>
                <w:color w:val="auto"/>
                <w:sz w:val="21"/>
                <w:szCs w:val="21"/>
              </w:rPr>
              <w:t>BOD</w:t>
            </w:r>
            <w:r>
              <w:rPr>
                <w:rFonts w:eastAsiaTheme="minorEastAsia"/>
                <w:bCs/>
                <w:color w:val="auto"/>
                <w:sz w:val="21"/>
                <w:szCs w:val="21"/>
                <w:vertAlign w:val="subscript"/>
              </w:rPr>
              <w:t>5</w:t>
            </w:r>
          </w:p>
          <w:p>
            <w:pPr>
              <w:ind w:firstLine="0" w:firstLineChars="0"/>
              <w:jc w:val="center"/>
              <w:rPr>
                <w:rFonts w:eastAsiaTheme="minorEastAsia"/>
                <w:bCs/>
                <w:color w:val="auto"/>
                <w:sz w:val="21"/>
                <w:szCs w:val="21"/>
              </w:rPr>
            </w:pPr>
            <w:r>
              <w:rPr>
                <w:rFonts w:eastAsiaTheme="minorEastAsia"/>
                <w:bCs/>
                <w:color w:val="auto"/>
                <w:sz w:val="21"/>
                <w:szCs w:val="21"/>
              </w:rPr>
              <w:t>SS</w:t>
            </w:r>
          </w:p>
          <w:p>
            <w:pPr>
              <w:ind w:firstLine="0" w:firstLineChars="0"/>
              <w:jc w:val="center"/>
              <w:rPr>
                <w:rFonts w:eastAsiaTheme="minorEastAsia"/>
                <w:color w:val="auto"/>
                <w:sz w:val="21"/>
                <w:szCs w:val="21"/>
              </w:rPr>
            </w:pPr>
            <w:r>
              <w:rPr>
                <w:rFonts w:eastAsiaTheme="minorEastAsia"/>
                <w:bCs/>
                <w:color w:val="auto"/>
                <w:sz w:val="21"/>
                <w:szCs w:val="21"/>
              </w:rPr>
              <w:t>NH</w:t>
            </w:r>
            <w:r>
              <w:rPr>
                <w:rFonts w:eastAsiaTheme="minorEastAsia"/>
                <w:bCs/>
                <w:color w:val="auto"/>
                <w:sz w:val="21"/>
                <w:szCs w:val="21"/>
                <w:vertAlign w:val="subscript"/>
              </w:rPr>
              <w:t>3</w:t>
            </w:r>
            <w:r>
              <w:rPr>
                <w:rFonts w:eastAsiaTheme="minorEastAsia"/>
                <w:bCs/>
                <w:color w:val="auto"/>
                <w:sz w:val="21"/>
                <w:szCs w:val="21"/>
              </w:rPr>
              <w:t>-N</w:t>
            </w:r>
          </w:p>
        </w:tc>
        <w:tc>
          <w:tcPr>
            <w:tcW w:w="1472" w:type="pct"/>
            <w:tcBorders>
              <w:left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3</w:t>
            </w:r>
            <w:r>
              <w:rPr>
                <w:rFonts w:hint="eastAsia" w:eastAsiaTheme="minorEastAsia"/>
                <w:color w:val="auto"/>
                <w:sz w:val="21"/>
                <w:szCs w:val="21"/>
              </w:rPr>
              <w:t>5</w:t>
            </w:r>
            <w:r>
              <w:rPr>
                <w:rFonts w:eastAsiaTheme="minorEastAsia"/>
                <w:color w:val="auto"/>
                <w:sz w:val="21"/>
                <w:szCs w:val="21"/>
              </w:rPr>
              <w:t>0mg/l 0.0</w:t>
            </w:r>
            <w:r>
              <w:rPr>
                <w:rFonts w:hint="eastAsia" w:eastAsiaTheme="minorEastAsia"/>
                <w:color w:val="auto"/>
                <w:sz w:val="21"/>
                <w:szCs w:val="21"/>
              </w:rPr>
              <w:t>84</w:t>
            </w:r>
            <w:r>
              <w:rPr>
                <w:rFonts w:eastAsiaTheme="minorEastAsia"/>
                <w:color w:val="auto"/>
                <w:sz w:val="21"/>
                <w:szCs w:val="21"/>
              </w:rPr>
              <w:t>t/a</w:t>
            </w:r>
          </w:p>
          <w:p>
            <w:pPr>
              <w:ind w:firstLine="0" w:firstLineChars="0"/>
              <w:jc w:val="center"/>
              <w:rPr>
                <w:rFonts w:eastAsiaTheme="minorEastAsia"/>
                <w:color w:val="auto"/>
                <w:sz w:val="21"/>
                <w:szCs w:val="21"/>
              </w:rPr>
            </w:pPr>
            <w:r>
              <w:rPr>
                <w:rFonts w:hint="eastAsia" w:eastAsiaTheme="minorEastAsia"/>
                <w:color w:val="auto"/>
                <w:sz w:val="21"/>
                <w:szCs w:val="21"/>
              </w:rPr>
              <w:t>35</w:t>
            </w:r>
            <w:r>
              <w:rPr>
                <w:rFonts w:eastAsiaTheme="minorEastAsia"/>
                <w:color w:val="auto"/>
                <w:sz w:val="21"/>
                <w:szCs w:val="21"/>
              </w:rPr>
              <w:t>0mg/l 0.0</w:t>
            </w:r>
            <w:r>
              <w:rPr>
                <w:rFonts w:hint="eastAsia" w:eastAsiaTheme="minorEastAsia"/>
                <w:color w:val="auto"/>
                <w:sz w:val="21"/>
                <w:szCs w:val="21"/>
              </w:rPr>
              <w:t>84</w:t>
            </w:r>
            <w:r>
              <w:rPr>
                <w:rFonts w:eastAsiaTheme="minorEastAsia"/>
                <w:color w:val="auto"/>
                <w:sz w:val="21"/>
                <w:szCs w:val="21"/>
              </w:rPr>
              <w:t>t/a</w:t>
            </w:r>
          </w:p>
          <w:p>
            <w:pPr>
              <w:ind w:firstLine="0" w:firstLineChars="0"/>
              <w:jc w:val="center"/>
              <w:rPr>
                <w:rFonts w:eastAsiaTheme="minorEastAsia"/>
                <w:color w:val="auto"/>
                <w:sz w:val="21"/>
                <w:szCs w:val="21"/>
              </w:rPr>
            </w:pPr>
            <w:r>
              <w:rPr>
                <w:rFonts w:hint="eastAsia" w:eastAsiaTheme="minorEastAsia"/>
                <w:color w:val="auto"/>
                <w:sz w:val="21"/>
                <w:szCs w:val="21"/>
              </w:rPr>
              <w:t>3</w:t>
            </w:r>
            <w:r>
              <w:rPr>
                <w:rFonts w:eastAsiaTheme="minorEastAsia"/>
                <w:color w:val="auto"/>
                <w:sz w:val="21"/>
                <w:szCs w:val="21"/>
              </w:rPr>
              <w:t>00mg/l 0.0</w:t>
            </w:r>
            <w:r>
              <w:rPr>
                <w:rFonts w:hint="eastAsia" w:eastAsiaTheme="minorEastAsia"/>
                <w:color w:val="auto"/>
                <w:sz w:val="21"/>
                <w:szCs w:val="21"/>
              </w:rPr>
              <w:t>72</w:t>
            </w:r>
            <w:r>
              <w:rPr>
                <w:rFonts w:eastAsiaTheme="minorEastAsia"/>
                <w:color w:val="auto"/>
                <w:sz w:val="21"/>
                <w:szCs w:val="21"/>
              </w:rPr>
              <w:t>t/a</w:t>
            </w:r>
          </w:p>
          <w:p>
            <w:pPr>
              <w:ind w:firstLine="0" w:firstLineChars="0"/>
              <w:jc w:val="center"/>
              <w:rPr>
                <w:rFonts w:eastAsiaTheme="minorEastAsia"/>
                <w:color w:val="auto"/>
                <w:sz w:val="21"/>
                <w:szCs w:val="21"/>
              </w:rPr>
            </w:pPr>
            <w:r>
              <w:rPr>
                <w:rFonts w:hint="eastAsia" w:eastAsiaTheme="minorEastAsia"/>
                <w:color w:val="auto"/>
                <w:sz w:val="21"/>
                <w:szCs w:val="21"/>
              </w:rPr>
              <w:t>45</w:t>
            </w:r>
            <w:r>
              <w:rPr>
                <w:rFonts w:eastAsiaTheme="minorEastAsia"/>
                <w:color w:val="auto"/>
                <w:sz w:val="21"/>
                <w:szCs w:val="21"/>
              </w:rPr>
              <w:t>mg/l 0.0</w:t>
            </w:r>
            <w:r>
              <w:rPr>
                <w:rFonts w:hint="eastAsia" w:eastAsiaTheme="minorEastAsia"/>
                <w:color w:val="auto"/>
                <w:sz w:val="21"/>
                <w:szCs w:val="21"/>
              </w:rPr>
              <w:t>11</w:t>
            </w:r>
            <w:r>
              <w:rPr>
                <w:rFonts w:eastAsiaTheme="minorEastAsia"/>
                <w:color w:val="auto"/>
                <w:sz w:val="21"/>
                <w:szCs w:val="21"/>
              </w:rPr>
              <w:t>t/a</w:t>
            </w:r>
          </w:p>
        </w:tc>
        <w:tc>
          <w:tcPr>
            <w:tcW w:w="1389" w:type="pct"/>
            <w:tcBorders>
              <w:left w:val="nil"/>
            </w:tcBorders>
            <w:vAlign w:val="center"/>
          </w:tcPr>
          <w:p>
            <w:pPr>
              <w:ind w:firstLine="0" w:firstLineChars="0"/>
              <w:jc w:val="center"/>
              <w:rPr>
                <w:rFonts w:eastAsiaTheme="minorEastAsia"/>
                <w:color w:val="auto"/>
                <w:sz w:val="21"/>
                <w:szCs w:val="21"/>
              </w:rPr>
            </w:pPr>
            <w:r>
              <w:rPr>
                <w:rFonts w:eastAsiaTheme="minorEastAsia"/>
                <w:color w:val="auto"/>
                <w:sz w:val="21"/>
                <w:szCs w:val="21"/>
              </w:rPr>
              <w:t>50mg/l 0.012t/a</w:t>
            </w:r>
          </w:p>
          <w:p>
            <w:pPr>
              <w:ind w:firstLine="0" w:firstLineChars="0"/>
              <w:jc w:val="center"/>
              <w:rPr>
                <w:rFonts w:eastAsiaTheme="minorEastAsia"/>
                <w:color w:val="auto"/>
                <w:sz w:val="21"/>
                <w:szCs w:val="21"/>
              </w:rPr>
            </w:pPr>
            <w:r>
              <w:rPr>
                <w:rFonts w:eastAsiaTheme="minorEastAsia"/>
                <w:color w:val="auto"/>
                <w:sz w:val="21"/>
                <w:szCs w:val="21"/>
              </w:rPr>
              <w:t>10mg/l 0.002t/a</w:t>
            </w:r>
          </w:p>
          <w:p>
            <w:pPr>
              <w:ind w:firstLine="0" w:firstLineChars="0"/>
              <w:jc w:val="center"/>
              <w:rPr>
                <w:rFonts w:eastAsiaTheme="minorEastAsia"/>
                <w:color w:val="auto"/>
                <w:sz w:val="21"/>
                <w:szCs w:val="21"/>
              </w:rPr>
            </w:pPr>
            <w:r>
              <w:rPr>
                <w:rFonts w:eastAsiaTheme="minorEastAsia"/>
                <w:color w:val="auto"/>
                <w:sz w:val="21"/>
                <w:szCs w:val="21"/>
              </w:rPr>
              <w:t>10mg/l 0.002t/a</w:t>
            </w:r>
          </w:p>
          <w:p>
            <w:pPr>
              <w:ind w:firstLine="420"/>
              <w:rPr>
                <w:rFonts w:eastAsiaTheme="minorEastAsia"/>
                <w:color w:val="auto"/>
                <w:sz w:val="21"/>
                <w:szCs w:val="21"/>
              </w:rPr>
            </w:pPr>
            <w:r>
              <w:rPr>
                <w:rFonts w:eastAsiaTheme="minorEastAsia"/>
                <w:color w:val="auto"/>
                <w:sz w:val="21"/>
                <w:szCs w:val="21"/>
              </w:rPr>
              <w:t>5mg/l 0.001t/a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451" w:type="pct"/>
            <w:vMerge w:val="restar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固</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体</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废</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物</w:t>
            </w:r>
          </w:p>
        </w:tc>
        <w:tc>
          <w:tcPr>
            <w:tcW w:w="932" w:type="pct"/>
            <w:vMerge w:val="restart"/>
            <w:shd w:val="clear" w:color="auto" w:fill="auto"/>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生产车间</w:t>
            </w:r>
          </w:p>
        </w:tc>
        <w:tc>
          <w:tcPr>
            <w:tcW w:w="754" w:type="pc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废</w:t>
            </w:r>
            <w:r>
              <w:rPr>
                <w:rFonts w:hint="eastAsia" w:hAnsiTheme="minorEastAsia" w:eastAsiaTheme="minorEastAsia"/>
                <w:bCs/>
                <w:color w:val="auto"/>
                <w:sz w:val="21"/>
                <w:szCs w:val="21"/>
              </w:rPr>
              <w:t>料</w:t>
            </w:r>
            <w:r>
              <w:rPr>
                <w:rFonts w:hAnsiTheme="minorEastAsia" w:eastAsiaTheme="minorEastAsia"/>
                <w:bCs/>
                <w:color w:val="auto"/>
                <w:sz w:val="21"/>
                <w:szCs w:val="21"/>
              </w:rPr>
              <w:t>桶</w:t>
            </w:r>
          </w:p>
        </w:tc>
        <w:tc>
          <w:tcPr>
            <w:tcW w:w="1472"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1.7t/a</w:t>
            </w:r>
          </w:p>
        </w:tc>
        <w:tc>
          <w:tcPr>
            <w:tcW w:w="1389"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51" w:type="pct"/>
            <w:vMerge w:val="continue"/>
            <w:vAlign w:val="center"/>
          </w:tcPr>
          <w:p>
            <w:pPr>
              <w:spacing w:line="400" w:lineRule="exact"/>
              <w:ind w:firstLine="0" w:firstLineChars="0"/>
              <w:jc w:val="center"/>
              <w:rPr>
                <w:rFonts w:eastAsiaTheme="minorEastAsia"/>
                <w:bCs/>
                <w:color w:val="auto"/>
                <w:sz w:val="21"/>
                <w:szCs w:val="21"/>
              </w:rPr>
            </w:pPr>
          </w:p>
        </w:tc>
        <w:tc>
          <w:tcPr>
            <w:tcW w:w="932" w:type="pct"/>
            <w:vMerge w:val="continue"/>
            <w:shd w:val="clear" w:color="auto" w:fill="auto"/>
            <w:vAlign w:val="center"/>
          </w:tcPr>
          <w:p>
            <w:pPr>
              <w:spacing w:line="400" w:lineRule="exact"/>
              <w:ind w:firstLine="0" w:firstLineChars="0"/>
              <w:jc w:val="center"/>
              <w:rPr>
                <w:rFonts w:eastAsiaTheme="minorEastAsia"/>
                <w:bCs/>
                <w:color w:val="auto"/>
                <w:sz w:val="21"/>
                <w:szCs w:val="21"/>
              </w:rPr>
            </w:pPr>
          </w:p>
        </w:tc>
        <w:tc>
          <w:tcPr>
            <w:tcW w:w="754" w:type="pc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废抹布</w:t>
            </w:r>
          </w:p>
        </w:tc>
        <w:tc>
          <w:tcPr>
            <w:tcW w:w="1472"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0.02t/a</w:t>
            </w:r>
          </w:p>
        </w:tc>
        <w:tc>
          <w:tcPr>
            <w:tcW w:w="1389"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51" w:type="pct"/>
            <w:vMerge w:val="continue"/>
            <w:vAlign w:val="center"/>
          </w:tcPr>
          <w:p>
            <w:pPr>
              <w:spacing w:line="400" w:lineRule="exact"/>
              <w:ind w:firstLine="420"/>
              <w:jc w:val="both"/>
              <w:rPr>
                <w:rFonts w:eastAsiaTheme="minorEastAsia"/>
                <w:bCs/>
                <w:color w:val="auto"/>
                <w:sz w:val="21"/>
                <w:szCs w:val="21"/>
              </w:rPr>
            </w:pPr>
          </w:p>
        </w:tc>
        <w:tc>
          <w:tcPr>
            <w:tcW w:w="932" w:type="pct"/>
            <w:vMerge w:val="continue"/>
            <w:shd w:val="clear" w:color="auto" w:fill="auto"/>
            <w:vAlign w:val="center"/>
          </w:tcPr>
          <w:p>
            <w:pPr>
              <w:spacing w:line="400" w:lineRule="exact"/>
              <w:ind w:firstLine="0" w:firstLineChars="0"/>
              <w:jc w:val="center"/>
              <w:rPr>
                <w:rFonts w:eastAsiaTheme="minorEastAsia"/>
                <w:bCs/>
                <w:color w:val="auto"/>
                <w:sz w:val="21"/>
                <w:szCs w:val="21"/>
              </w:rPr>
            </w:pPr>
          </w:p>
        </w:tc>
        <w:tc>
          <w:tcPr>
            <w:tcW w:w="754" w:type="pc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废边角料</w:t>
            </w:r>
          </w:p>
        </w:tc>
        <w:tc>
          <w:tcPr>
            <w:tcW w:w="1472"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7t/a</w:t>
            </w:r>
          </w:p>
        </w:tc>
        <w:tc>
          <w:tcPr>
            <w:tcW w:w="1389"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51" w:type="pct"/>
            <w:vMerge w:val="continue"/>
            <w:vAlign w:val="center"/>
          </w:tcPr>
          <w:p>
            <w:pPr>
              <w:spacing w:line="400" w:lineRule="exact"/>
              <w:ind w:firstLine="420"/>
              <w:jc w:val="both"/>
              <w:rPr>
                <w:rFonts w:eastAsiaTheme="minorEastAsia"/>
                <w:bCs/>
                <w:color w:val="auto"/>
                <w:sz w:val="21"/>
                <w:szCs w:val="21"/>
              </w:rPr>
            </w:pPr>
          </w:p>
        </w:tc>
        <w:tc>
          <w:tcPr>
            <w:tcW w:w="932" w:type="pct"/>
            <w:vMerge w:val="continue"/>
            <w:shd w:val="clear" w:color="auto" w:fill="auto"/>
            <w:vAlign w:val="center"/>
          </w:tcPr>
          <w:p>
            <w:pPr>
              <w:spacing w:line="400" w:lineRule="exact"/>
              <w:ind w:firstLine="0" w:firstLineChars="0"/>
              <w:jc w:val="center"/>
              <w:rPr>
                <w:rFonts w:eastAsiaTheme="minorEastAsia"/>
                <w:bCs/>
                <w:color w:val="auto"/>
                <w:sz w:val="21"/>
                <w:szCs w:val="21"/>
              </w:rPr>
            </w:pPr>
          </w:p>
        </w:tc>
        <w:tc>
          <w:tcPr>
            <w:tcW w:w="754" w:type="pct"/>
            <w:vAlign w:val="center"/>
          </w:tcPr>
          <w:p>
            <w:pPr>
              <w:spacing w:line="400" w:lineRule="exact"/>
              <w:ind w:firstLine="0" w:firstLineChars="0"/>
              <w:jc w:val="center"/>
              <w:rPr>
                <w:rFonts w:hint="eastAsia" w:hAnsiTheme="minorEastAsia" w:eastAsiaTheme="minorEastAsia"/>
                <w:bCs/>
                <w:color w:val="auto"/>
                <w:sz w:val="21"/>
                <w:szCs w:val="21"/>
                <w:lang w:eastAsia="zh-CN"/>
              </w:rPr>
            </w:pPr>
            <w:r>
              <w:rPr>
                <w:rFonts w:hint="eastAsia" w:hAnsiTheme="minorEastAsia" w:eastAsiaTheme="minorEastAsia"/>
                <w:bCs/>
                <w:color w:val="auto"/>
                <w:sz w:val="21"/>
                <w:szCs w:val="21"/>
                <w:lang w:eastAsia="zh-CN"/>
              </w:rPr>
              <w:t>洗版废液</w:t>
            </w:r>
          </w:p>
        </w:tc>
        <w:tc>
          <w:tcPr>
            <w:tcW w:w="1472" w:type="pct"/>
            <w:vAlign w:val="center"/>
          </w:tcPr>
          <w:p>
            <w:pPr>
              <w:spacing w:line="400" w:lineRule="exact"/>
              <w:ind w:firstLine="0" w:firstLineChars="0"/>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0.97t/a</w:t>
            </w:r>
          </w:p>
        </w:tc>
        <w:tc>
          <w:tcPr>
            <w:tcW w:w="1389" w:type="pct"/>
            <w:vAlign w:val="center"/>
          </w:tcPr>
          <w:p>
            <w:pPr>
              <w:spacing w:line="400" w:lineRule="exact"/>
              <w:ind w:firstLine="0" w:firstLineChars="0"/>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51" w:type="pct"/>
            <w:vMerge w:val="continue"/>
            <w:vAlign w:val="center"/>
          </w:tcPr>
          <w:p>
            <w:pPr>
              <w:spacing w:line="400" w:lineRule="exact"/>
              <w:ind w:firstLine="420"/>
              <w:jc w:val="both"/>
              <w:rPr>
                <w:rFonts w:eastAsiaTheme="minorEastAsia"/>
                <w:bCs/>
                <w:color w:val="auto"/>
                <w:sz w:val="21"/>
                <w:szCs w:val="21"/>
              </w:rPr>
            </w:pPr>
          </w:p>
        </w:tc>
        <w:tc>
          <w:tcPr>
            <w:tcW w:w="932" w:type="pct"/>
            <w:vMerge w:val="continue"/>
            <w:shd w:val="clear" w:color="auto" w:fill="auto"/>
            <w:vAlign w:val="center"/>
          </w:tcPr>
          <w:p>
            <w:pPr>
              <w:spacing w:line="400" w:lineRule="exact"/>
              <w:ind w:firstLine="0" w:firstLineChars="0"/>
              <w:jc w:val="center"/>
              <w:rPr>
                <w:rFonts w:eastAsiaTheme="minorEastAsia"/>
                <w:bCs/>
                <w:color w:val="auto"/>
                <w:sz w:val="21"/>
                <w:szCs w:val="21"/>
              </w:rPr>
            </w:pPr>
          </w:p>
        </w:tc>
        <w:tc>
          <w:tcPr>
            <w:tcW w:w="754" w:type="pc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废催化剂</w:t>
            </w:r>
          </w:p>
        </w:tc>
        <w:tc>
          <w:tcPr>
            <w:tcW w:w="1472"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0.8t/a</w:t>
            </w:r>
          </w:p>
        </w:tc>
        <w:tc>
          <w:tcPr>
            <w:tcW w:w="1389"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1" w:type="pct"/>
            <w:vMerge w:val="continue"/>
            <w:vAlign w:val="center"/>
          </w:tcPr>
          <w:p>
            <w:pPr>
              <w:spacing w:line="400" w:lineRule="exact"/>
              <w:ind w:firstLine="420"/>
              <w:jc w:val="both"/>
              <w:rPr>
                <w:rFonts w:eastAsiaTheme="minorEastAsia"/>
                <w:bCs/>
                <w:color w:val="auto"/>
                <w:sz w:val="21"/>
                <w:szCs w:val="21"/>
              </w:rPr>
            </w:pPr>
          </w:p>
        </w:tc>
        <w:tc>
          <w:tcPr>
            <w:tcW w:w="932" w:type="pct"/>
            <w:vMerge w:val="continue"/>
            <w:shd w:val="clear" w:color="auto" w:fill="auto"/>
            <w:vAlign w:val="center"/>
          </w:tcPr>
          <w:p>
            <w:pPr>
              <w:spacing w:line="400" w:lineRule="exact"/>
              <w:ind w:firstLine="0" w:firstLineChars="0"/>
              <w:jc w:val="center"/>
              <w:rPr>
                <w:rFonts w:eastAsiaTheme="minorEastAsia"/>
                <w:bCs/>
                <w:color w:val="auto"/>
                <w:sz w:val="21"/>
                <w:szCs w:val="21"/>
              </w:rPr>
            </w:pPr>
          </w:p>
        </w:tc>
        <w:tc>
          <w:tcPr>
            <w:tcW w:w="754" w:type="pc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生活垃圾</w:t>
            </w:r>
          </w:p>
        </w:tc>
        <w:tc>
          <w:tcPr>
            <w:tcW w:w="1472"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3t/a</w:t>
            </w:r>
          </w:p>
        </w:tc>
        <w:tc>
          <w:tcPr>
            <w:tcW w:w="1389" w:type="pct"/>
            <w:vAlign w:val="center"/>
          </w:tcPr>
          <w:p>
            <w:pPr>
              <w:spacing w:line="400" w:lineRule="exact"/>
              <w:ind w:firstLine="0" w:firstLineChars="0"/>
              <w:jc w:val="center"/>
              <w:rPr>
                <w:rFonts w:eastAsiaTheme="minorEastAsia"/>
                <w:bCs/>
                <w:color w:val="auto"/>
                <w:sz w:val="21"/>
                <w:szCs w:val="21"/>
              </w:rPr>
            </w:pPr>
            <w:r>
              <w:rPr>
                <w:rFonts w:eastAsiaTheme="minor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451" w:type="pct"/>
            <w:vAlign w:val="center"/>
          </w:tcPr>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噪</w:t>
            </w:r>
          </w:p>
          <w:p>
            <w:pPr>
              <w:spacing w:line="400" w:lineRule="exact"/>
              <w:ind w:firstLine="0" w:firstLineChars="0"/>
              <w:jc w:val="center"/>
              <w:rPr>
                <w:rFonts w:eastAsiaTheme="minorEastAsia"/>
                <w:bCs/>
                <w:color w:val="auto"/>
                <w:sz w:val="21"/>
                <w:szCs w:val="21"/>
              </w:rPr>
            </w:pPr>
            <w:r>
              <w:rPr>
                <w:rFonts w:hAnsiTheme="minorEastAsia" w:eastAsiaTheme="minorEastAsia"/>
                <w:bCs/>
                <w:color w:val="auto"/>
                <w:sz w:val="21"/>
                <w:szCs w:val="21"/>
              </w:rPr>
              <w:t>声</w:t>
            </w:r>
          </w:p>
        </w:tc>
        <w:tc>
          <w:tcPr>
            <w:tcW w:w="4548" w:type="pct"/>
            <w:gridSpan w:val="4"/>
            <w:vAlign w:val="center"/>
          </w:tcPr>
          <w:p>
            <w:pPr>
              <w:spacing w:line="400" w:lineRule="exact"/>
              <w:ind w:firstLine="0" w:firstLineChars="0"/>
              <w:jc w:val="both"/>
              <w:rPr>
                <w:rFonts w:eastAsiaTheme="minorEastAsia"/>
                <w:bCs/>
                <w:color w:val="auto"/>
                <w:sz w:val="21"/>
                <w:szCs w:val="21"/>
              </w:rPr>
            </w:pPr>
            <w:r>
              <w:rPr>
                <w:rFonts w:hAnsiTheme="minorEastAsia" w:eastAsiaTheme="minorEastAsia"/>
                <w:color w:val="auto"/>
                <w:sz w:val="21"/>
                <w:szCs w:val="21"/>
              </w:rPr>
              <w:t>本项目噪声为设备运行时产生的噪声，主要是各种生产设备，噪声源在</w:t>
            </w:r>
            <w:r>
              <w:rPr>
                <w:rFonts w:eastAsiaTheme="minorEastAsia"/>
                <w:color w:val="auto"/>
                <w:sz w:val="21"/>
                <w:szCs w:val="21"/>
              </w:rPr>
              <w:t>60</w:t>
            </w:r>
            <w:r>
              <w:rPr>
                <w:rFonts w:eastAsiaTheme="minorEastAsia"/>
                <w:color w:val="auto"/>
                <w:sz w:val="21"/>
                <w:szCs w:val="21"/>
              </w:rPr>
              <w:t>-90dB</w:t>
            </w:r>
            <w:r>
              <w:rPr>
                <w:rFonts w:hAnsiTheme="minorEastAsia" w:eastAsiaTheme="minorEastAsia"/>
                <w:color w:val="auto"/>
                <w:sz w:val="21"/>
                <w:szCs w:val="21"/>
              </w:rPr>
              <w:t>（</w:t>
            </w:r>
            <w:r>
              <w:rPr>
                <w:rFonts w:eastAsiaTheme="minorEastAsia"/>
                <w:color w:val="auto"/>
                <w:sz w:val="21"/>
                <w:szCs w:val="21"/>
              </w:rPr>
              <w:t>A</w:t>
            </w:r>
            <w:r>
              <w:rPr>
                <w:rFonts w:hAnsiTheme="minorEastAsia" w:eastAsiaTheme="minorEastAsia"/>
                <w:color w:val="auto"/>
                <w:sz w:val="21"/>
                <w:szCs w:val="21"/>
              </w:rPr>
              <w:t>）。各类设备均布置在厂房内，经设备基础减振和厂房隔音以及距离衰减，厂界噪声可以</w:t>
            </w:r>
            <w:r>
              <w:rPr>
                <w:rFonts w:hAnsiTheme="minorEastAsia" w:eastAsiaTheme="minorEastAsia"/>
                <w:color w:val="auto"/>
                <w:sz w:val="21"/>
                <w:szCs w:val="21"/>
              </w:rPr>
              <w:t>满足《工业企业厂界环境噪声排放标准》（</w:t>
            </w:r>
            <w:r>
              <w:rPr>
                <w:rFonts w:eastAsiaTheme="minorEastAsia"/>
                <w:color w:val="auto"/>
                <w:sz w:val="21"/>
                <w:szCs w:val="21"/>
              </w:rPr>
              <w:t>GB12348</w:t>
            </w:r>
            <w:r>
              <w:rPr>
                <w:rFonts w:hAnsiTheme="minorEastAsia" w:eastAsiaTheme="minorEastAsia"/>
                <w:color w:val="auto"/>
                <w:sz w:val="21"/>
                <w:szCs w:val="21"/>
              </w:rPr>
              <w:t>－</w:t>
            </w:r>
            <w:r>
              <w:rPr>
                <w:rFonts w:eastAsiaTheme="minorEastAsia"/>
                <w:color w:val="auto"/>
                <w:sz w:val="21"/>
                <w:szCs w:val="21"/>
              </w:rPr>
              <w:t>2008</w:t>
            </w:r>
            <w:r>
              <w:rPr>
                <w:rFonts w:hAnsiTheme="minorEastAsia" w:eastAsiaTheme="minorEastAsia"/>
                <w:color w:val="auto"/>
                <w:sz w:val="21"/>
                <w:szCs w:val="21"/>
              </w:rPr>
              <w:t>）中</w:t>
            </w:r>
            <w:r>
              <w:rPr>
                <w:rFonts w:eastAsiaTheme="minorEastAsia"/>
                <w:color w:val="auto"/>
                <w:sz w:val="21"/>
                <w:szCs w:val="21"/>
              </w:rPr>
              <w:t>3</w:t>
            </w:r>
            <w:r>
              <w:rPr>
                <w:rFonts w:hAnsiTheme="minorEastAsia" w:eastAsiaTheme="minorEastAsia"/>
                <w:color w:val="auto"/>
                <w:sz w:val="21"/>
                <w:szCs w:val="21"/>
              </w:rPr>
              <w:t>类标准的限值（昼间：</w:t>
            </w:r>
            <w:r>
              <w:rPr>
                <w:rFonts w:eastAsiaTheme="minorEastAsia"/>
                <w:color w:val="auto"/>
                <w:sz w:val="21"/>
                <w:szCs w:val="21"/>
              </w:rPr>
              <w:t>65dB(A)</w:t>
            </w:r>
            <w:r>
              <w:rPr>
                <w:rFonts w:hAnsiTheme="minorEastAsia" w:eastAsiaTheme="minorEastAsia"/>
                <w:color w:val="auto"/>
                <w:sz w:val="21"/>
                <w:szCs w:val="21"/>
              </w:rPr>
              <w:t>夜间</w:t>
            </w:r>
            <w:r>
              <w:rPr>
                <w:rFonts w:eastAsiaTheme="minorEastAsia"/>
                <w:color w:val="auto"/>
                <w:sz w:val="21"/>
                <w:szCs w:val="21"/>
              </w:rPr>
              <w:t>55dB(A)</w:t>
            </w:r>
            <w:r>
              <w:rPr>
                <w:rFonts w:hAnsiTheme="minorEastAsia" w:eastAsiaTheme="minorEastAsia"/>
                <w:color w:val="auto"/>
                <w:sz w:val="21"/>
                <w:szCs w:val="21"/>
              </w:rPr>
              <w:t>），对周围声环境影响较小。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5000" w:type="pct"/>
            <w:gridSpan w:val="5"/>
            <w:vAlign w:val="center"/>
          </w:tcPr>
          <w:p>
            <w:pPr>
              <w:spacing w:line="400" w:lineRule="exact"/>
              <w:ind w:firstLine="0" w:firstLineChars="0"/>
              <w:jc w:val="both"/>
              <w:rPr>
                <w:rFonts w:eastAsiaTheme="minorEastAsia"/>
                <w:bCs/>
                <w:color w:val="auto"/>
                <w:sz w:val="21"/>
                <w:szCs w:val="21"/>
              </w:rPr>
            </w:pPr>
            <w:r>
              <w:rPr>
                <w:rFonts w:hAnsiTheme="minorEastAsia" w:eastAsiaTheme="minorEastAsia"/>
                <w:bCs/>
                <w:color w:val="auto"/>
                <w:sz w:val="21"/>
                <w:szCs w:val="21"/>
              </w:rPr>
              <w:t>主要生态影响（不够时可加附页）</w:t>
            </w:r>
          </w:p>
          <w:p>
            <w:pPr>
              <w:spacing w:line="400" w:lineRule="exact"/>
              <w:ind w:firstLine="420"/>
              <w:jc w:val="both"/>
              <w:rPr>
                <w:rFonts w:eastAsiaTheme="minorEastAsia"/>
                <w:bCs/>
                <w:color w:val="auto"/>
                <w:sz w:val="21"/>
                <w:szCs w:val="21"/>
              </w:rPr>
            </w:pPr>
            <w:r>
              <w:rPr>
                <w:rFonts w:hAnsiTheme="minorEastAsia" w:eastAsiaTheme="minorEastAsia"/>
                <w:bCs/>
                <w:color w:val="auto"/>
                <w:sz w:val="21"/>
                <w:szCs w:val="21"/>
              </w:rPr>
              <w:t>拟建项目租赁现有厂房，无土建等，对生态影响较小。</w:t>
            </w:r>
          </w:p>
          <w:p>
            <w:pPr>
              <w:spacing w:line="400" w:lineRule="exact"/>
              <w:ind w:firstLine="420"/>
              <w:jc w:val="both"/>
              <w:rPr>
                <w:rFonts w:eastAsiaTheme="minorEastAsia"/>
                <w:bCs/>
                <w:color w:val="auto"/>
                <w:sz w:val="21"/>
                <w:szCs w:val="21"/>
              </w:rPr>
            </w:pPr>
          </w:p>
          <w:p>
            <w:pPr>
              <w:spacing w:line="400" w:lineRule="exact"/>
              <w:ind w:firstLine="420"/>
              <w:jc w:val="both"/>
              <w:rPr>
                <w:rFonts w:eastAsiaTheme="minorEastAsia"/>
                <w:bCs/>
                <w:color w:val="auto"/>
                <w:sz w:val="21"/>
                <w:szCs w:val="21"/>
              </w:rPr>
            </w:pPr>
          </w:p>
          <w:p>
            <w:pPr>
              <w:spacing w:line="400" w:lineRule="exact"/>
              <w:ind w:firstLine="420"/>
              <w:jc w:val="both"/>
              <w:rPr>
                <w:rFonts w:eastAsiaTheme="minorEastAsia"/>
                <w:bCs/>
                <w:color w:val="auto"/>
                <w:sz w:val="21"/>
                <w:szCs w:val="21"/>
              </w:rPr>
            </w:pPr>
          </w:p>
          <w:p>
            <w:pPr>
              <w:spacing w:line="400" w:lineRule="exact"/>
              <w:ind w:firstLine="420"/>
              <w:jc w:val="both"/>
              <w:rPr>
                <w:rFonts w:eastAsiaTheme="minorEastAsia"/>
                <w:bCs/>
                <w:color w:val="auto"/>
                <w:sz w:val="21"/>
                <w:szCs w:val="21"/>
              </w:rPr>
            </w:pPr>
          </w:p>
          <w:p>
            <w:pPr>
              <w:spacing w:line="400" w:lineRule="exact"/>
              <w:ind w:firstLine="420"/>
              <w:jc w:val="both"/>
              <w:rPr>
                <w:rFonts w:eastAsiaTheme="minorEastAsia"/>
                <w:bCs/>
                <w:color w:val="auto"/>
                <w:sz w:val="21"/>
                <w:szCs w:val="21"/>
              </w:rPr>
            </w:pPr>
          </w:p>
          <w:p>
            <w:pPr>
              <w:spacing w:line="400" w:lineRule="exact"/>
              <w:ind w:firstLine="0" w:firstLineChars="0"/>
              <w:jc w:val="both"/>
              <w:rPr>
                <w:rFonts w:eastAsiaTheme="minorEastAsia"/>
                <w:bCs/>
                <w:color w:val="auto"/>
                <w:sz w:val="21"/>
                <w:szCs w:val="21"/>
              </w:rPr>
            </w:pPr>
          </w:p>
          <w:p>
            <w:pPr>
              <w:spacing w:line="400" w:lineRule="exact"/>
              <w:ind w:firstLine="0" w:firstLineChars="0"/>
              <w:jc w:val="both"/>
              <w:rPr>
                <w:rFonts w:eastAsiaTheme="minorEastAsia"/>
                <w:bCs/>
                <w:color w:val="auto"/>
                <w:sz w:val="21"/>
                <w:szCs w:val="21"/>
              </w:rPr>
            </w:pPr>
          </w:p>
        </w:tc>
      </w:tr>
    </w:tbl>
    <w:p>
      <w:pPr>
        <w:ind w:firstLine="0" w:firstLineChars="0"/>
        <w:rPr>
          <w:rStyle w:val="81"/>
          <w:color w:val="auto"/>
        </w:rPr>
      </w:pPr>
      <w:r>
        <w:rPr>
          <w:b/>
          <w:bCs/>
          <w:color w:val="auto"/>
          <w:sz w:val="28"/>
          <w:szCs w:val="28"/>
        </w:rPr>
        <w:br w:type="page"/>
      </w:r>
      <w:r>
        <w:rPr>
          <w:b/>
          <w:bCs/>
          <w:color w:val="auto"/>
          <w:kern w:val="44"/>
          <w:sz w:val="32"/>
          <w:szCs w:val="44"/>
        </w:rPr>
        <w:t>环境影响分析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9178" w:type="dxa"/>
          </w:tcPr>
          <w:p>
            <w:pPr>
              <w:ind w:firstLine="0" w:firstLineChars="0"/>
              <w:rPr>
                <w:color w:val="auto"/>
              </w:rPr>
            </w:pPr>
            <w:r>
              <w:rPr>
                <w:color w:val="auto"/>
              </w:rPr>
              <w:t>施工期环境影响简要分析</w:t>
            </w:r>
          </w:p>
          <w:p>
            <w:pPr>
              <w:ind w:firstLine="480"/>
              <w:jc w:val="both"/>
              <w:rPr>
                <w:color w:val="auto"/>
              </w:rPr>
            </w:pPr>
            <w:r>
              <w:rPr>
                <w:rFonts w:hint="eastAsia"/>
                <w:color w:val="auto"/>
              </w:rPr>
              <w:t>项目施工期短、施工工程量小、施工作业的非连续性，施工期各污染源及污染物的产排情况都很小。预计施工建设期为</w:t>
            </w:r>
            <w:r>
              <w:rPr>
                <w:color w:val="auto"/>
              </w:rPr>
              <w:t>1</w:t>
            </w:r>
            <w:r>
              <w:rPr>
                <w:rFonts w:hint="eastAsia"/>
                <w:color w:val="auto"/>
              </w:rPr>
              <w:t>个月，最大施工人员约</w:t>
            </w:r>
            <w:r>
              <w:rPr>
                <w:color w:val="auto"/>
              </w:rPr>
              <w:t xml:space="preserve"> 10 </w:t>
            </w:r>
            <w:r>
              <w:rPr>
                <w:rFonts w:hint="eastAsia"/>
                <w:color w:val="auto"/>
              </w:rPr>
              <w:t>人，施工期间不设施工营地，施工期对外环境的影响很小，但仍需采取必要措施，对施工期所产生的主要环境影响进行预防和控制，原则性要求如下：</w:t>
            </w:r>
          </w:p>
          <w:p>
            <w:pPr>
              <w:ind w:firstLine="480"/>
              <w:jc w:val="both"/>
              <w:rPr>
                <w:color w:val="auto"/>
              </w:rPr>
            </w:pPr>
            <w:r>
              <w:rPr>
                <w:rFonts w:hint="eastAsia"/>
                <w:color w:val="auto"/>
              </w:rPr>
              <w:t>（1）水环境影响防护措施。充分利用厂房内现有的卫生设施，员工洗涤、如厕等生活污水必须依托车间卫生间设施进行收集和排放，不得直接排入市政雨水管网；禁止：向车间卫生间和污水下水道倾倒油污油漆和垃圾、洗涤含油或油漆桶罐等设施。</w:t>
            </w:r>
          </w:p>
          <w:p>
            <w:pPr>
              <w:ind w:firstLine="480"/>
              <w:jc w:val="both"/>
              <w:rPr>
                <w:color w:val="auto"/>
              </w:rPr>
            </w:pPr>
            <w:r>
              <w:rPr>
                <w:rFonts w:hint="eastAsia"/>
                <w:color w:val="auto"/>
              </w:rPr>
              <w:t>（2）大气环境影响防护措施。从施工期工程建设内容分析，施工期主要大气环境影响产生于室内隔断装修的防腐上漆阶段，原则上要求尽量采用水性油漆，如采用溶剂型油漆，要求使用时按每天使用量调配油漆量，当天调配当天用完；油漆桶不用时需盖紧密封；合理安排上漆时间，集中在短时间内完成（如</w:t>
            </w:r>
            <w:r>
              <w:rPr>
                <w:color w:val="auto"/>
              </w:rPr>
              <w:t>3</w:t>
            </w:r>
            <w:r>
              <w:rPr>
                <w:rFonts w:hint="eastAsia"/>
                <w:color w:val="auto"/>
              </w:rPr>
              <w:t>天内完成）；油漆期间，应采取室内机械强制通风措施，降低无组织排放浓度。</w:t>
            </w:r>
          </w:p>
          <w:p>
            <w:pPr>
              <w:ind w:firstLine="480"/>
              <w:jc w:val="both"/>
              <w:rPr>
                <w:color w:val="auto"/>
              </w:rPr>
            </w:pPr>
            <w:r>
              <w:rPr>
                <w:rFonts w:hint="eastAsia"/>
                <w:color w:val="auto"/>
              </w:rPr>
              <w:t>（3）固废环境影响防护措施。对施工期间产生的固体废物，应科学管理、分类处置。对边角余料等一般施工固废及生活垃圾，无利用和回收价值的，车间内设置暂存场所，定期送市政环卫垃圾收集点进行依托处置；有利用和回收价值的，车间内设置可回收利用固废暂存场所，施工结束后统一送收购部门。少量废油漆桶、漆渣等固废，属危险废物，应结合运营期固废管理要求，在车间内设置永久、固定的储存场所进行专门收储，并委托第三方有资质机构处置。建设单位不得在建设范围外擅自倾倒、堆放、填埋、焚烧，或采取其它不符合环境保护管理规定的方法擅自处置。</w:t>
            </w:r>
          </w:p>
          <w:p>
            <w:pPr>
              <w:ind w:firstLine="480"/>
              <w:jc w:val="both"/>
              <w:rPr>
                <w:rFonts w:hint="eastAsia"/>
                <w:color w:val="auto"/>
              </w:rPr>
            </w:pPr>
            <w:r>
              <w:rPr>
                <w:rFonts w:hint="eastAsia"/>
                <w:color w:val="auto"/>
              </w:rPr>
              <w:t>（4）声环境影响防护措施。施工期不涉及土建，不使用大型施工设备，主要声源为室内修整时产生的间歇性敲打、锤击、钻孔、切割噪声。噪声的特点是持续时间短、非连续噪声、瞬间可达</w:t>
            </w:r>
            <w:r>
              <w:rPr>
                <w:color w:val="auto"/>
              </w:rPr>
              <w:t xml:space="preserve"> 80 </w:t>
            </w:r>
            <w:r>
              <w:rPr>
                <w:rFonts w:hint="eastAsia"/>
                <w:color w:val="auto"/>
              </w:rPr>
              <w:t>分贝以上。措施控制上，可采取科学施工方法降低作业噪声源强、在独立单元内进行封闭式施工，车间门窗尽量关闭，不得在午间和夜晚进行施工作业等。对周围的环境影响较小。</w:t>
            </w:r>
          </w:p>
          <w:p>
            <w:pPr>
              <w:pStyle w:val="3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0" w:hRule="atLeast"/>
          <w:jc w:val="center"/>
        </w:trPr>
        <w:tc>
          <w:tcPr>
            <w:tcW w:w="9178" w:type="dxa"/>
          </w:tcPr>
          <w:p>
            <w:pPr>
              <w:ind w:firstLine="0" w:firstLineChars="0"/>
              <w:jc w:val="both"/>
              <w:rPr>
                <w:rFonts w:eastAsia="黑体"/>
                <w:color w:val="auto"/>
              </w:rPr>
            </w:pPr>
            <w:r>
              <w:rPr>
                <w:rFonts w:eastAsia="黑体"/>
                <w:color w:val="auto"/>
              </w:rPr>
              <w:t>营运期环境影响分析</w:t>
            </w:r>
          </w:p>
          <w:p>
            <w:pPr>
              <w:keepNext/>
              <w:keepLines/>
              <w:ind w:firstLine="482"/>
              <w:jc w:val="both"/>
              <w:outlineLvl w:val="2"/>
              <w:rPr>
                <w:b/>
                <w:bCs/>
                <w:color w:val="auto"/>
                <w:szCs w:val="32"/>
                <w:u w:val="single"/>
              </w:rPr>
            </w:pPr>
            <w:r>
              <w:rPr>
                <w:b/>
                <w:bCs/>
                <w:color w:val="auto"/>
                <w:szCs w:val="32"/>
                <w:u w:val="single"/>
              </w:rPr>
              <w:t>一、大气环境影响分析</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1、废气</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（1）处理设施</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项目营运期产生的废气主要是印刷、复膜工序产生的有机废气。在各个产污节点设置集气罩进行收集后引至RCO装置进行处理后由1根25m排气筒进行排放。</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（2）大气等级评价预测及分析</w:t>
            </w:r>
          </w:p>
          <w:p>
            <w:pPr>
              <w:pStyle w:val="11"/>
              <w:snapToGrid w:val="0"/>
              <w:ind w:firstLine="480" w:firstLineChars="200"/>
              <w:jc w:val="left"/>
              <w:rPr>
                <w:b/>
                <w:bCs/>
                <w:color w:val="auto"/>
                <w:u w:val="single"/>
              </w:rPr>
            </w:pPr>
            <w:r>
              <w:rPr>
                <w:rFonts w:hAnsi="宋体"/>
                <w:color w:val="auto"/>
                <w:u w:val="single"/>
              </w:rPr>
              <w:t>根据《环境影响评价导则大气环境</w:t>
            </w:r>
            <w:r>
              <w:rPr>
                <w:color w:val="auto"/>
                <w:u w:val="single"/>
              </w:rPr>
              <w:t>》（HJ 2.2-2018）中规定和推荐的模式，采用AERSCREEN估算模式计算项目污染物最大1h地面空气质量浓度，根据《环境影响评价导则 大气环境》（HJ2.2-2018）中评价等级判定方法，判定项目评级等级，评价等级表见表</w:t>
            </w:r>
            <w:r>
              <w:rPr>
                <w:rFonts w:hint="eastAsia"/>
                <w:color w:val="auto"/>
                <w:u w:val="single"/>
              </w:rPr>
              <w:t>7</w:t>
            </w:r>
            <w:r>
              <w:rPr>
                <w:color w:val="auto"/>
                <w:u w:val="single"/>
              </w:rPr>
              <w:t>-1。评价因子及估算模型参数见表</w:t>
            </w:r>
            <w:r>
              <w:rPr>
                <w:rFonts w:hint="eastAsia"/>
                <w:color w:val="auto"/>
                <w:u w:val="single"/>
              </w:rPr>
              <w:t>7</w:t>
            </w:r>
            <w:r>
              <w:rPr>
                <w:color w:val="auto"/>
                <w:u w:val="single"/>
              </w:rPr>
              <w:t>-2、表</w:t>
            </w:r>
            <w:r>
              <w:rPr>
                <w:rFonts w:hint="eastAsia"/>
                <w:color w:val="auto"/>
                <w:u w:val="single"/>
              </w:rPr>
              <w:t>7</w:t>
            </w:r>
            <w:r>
              <w:rPr>
                <w:color w:val="auto"/>
                <w:u w:val="single"/>
              </w:rPr>
              <w:t>-3。主要污染物估算模型计算结果见表</w:t>
            </w:r>
            <w:r>
              <w:rPr>
                <w:rFonts w:hint="eastAsia"/>
                <w:color w:val="auto"/>
                <w:u w:val="single"/>
              </w:rPr>
              <w:t>7</w:t>
            </w:r>
            <w:r>
              <w:rPr>
                <w:color w:val="auto"/>
                <w:u w:val="single"/>
              </w:rPr>
              <w:t>-4。</w:t>
            </w:r>
          </w:p>
          <w:p>
            <w:pPr>
              <w:pStyle w:val="11"/>
              <w:snapToGrid w:val="0"/>
              <w:ind w:firstLine="482" w:firstLineChars="200"/>
              <w:rPr>
                <w:b/>
                <w:bCs/>
                <w:color w:val="auto"/>
                <w:u w:val="single"/>
              </w:rPr>
            </w:pPr>
            <w:r>
              <w:rPr>
                <w:b/>
                <w:bCs/>
                <w:color w:val="auto"/>
                <w:u w:val="single"/>
              </w:rPr>
              <w:t>表</w:t>
            </w:r>
            <w:r>
              <w:rPr>
                <w:rFonts w:hint="eastAsia"/>
                <w:b/>
                <w:bCs/>
                <w:color w:val="auto"/>
                <w:u w:val="single"/>
              </w:rPr>
              <w:t>7</w:t>
            </w:r>
            <w:r>
              <w:rPr>
                <w:b/>
                <w:bCs/>
                <w:color w:val="auto"/>
                <w:u w:val="single"/>
              </w:rPr>
              <w:t>-1   大气评价等级判别表</w:t>
            </w:r>
          </w:p>
          <w:tbl>
            <w:tblPr>
              <w:tblStyle w:val="25"/>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9"/>
              <w:gridCol w:w="4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9" w:type="dxa"/>
                  <w:vAlign w:val="center"/>
                </w:tcPr>
                <w:p>
                  <w:pPr>
                    <w:pStyle w:val="11"/>
                    <w:snapToGrid w:val="0"/>
                    <w:rPr>
                      <w:b/>
                      <w:bCs/>
                      <w:color w:val="auto"/>
                      <w:kern w:val="0"/>
                      <w:szCs w:val="21"/>
                      <w:u w:val="single"/>
                    </w:rPr>
                  </w:pPr>
                  <w:r>
                    <w:rPr>
                      <w:rFonts w:hAnsi="宋体"/>
                      <w:b/>
                      <w:bCs/>
                      <w:color w:val="auto"/>
                      <w:kern w:val="0"/>
                      <w:szCs w:val="21"/>
                      <w:u w:val="single"/>
                    </w:rPr>
                    <w:t>评价工作等级</w:t>
                  </w:r>
                </w:p>
              </w:tc>
              <w:tc>
                <w:tcPr>
                  <w:tcW w:w="4760" w:type="dxa"/>
                  <w:vAlign w:val="center"/>
                </w:tcPr>
                <w:p>
                  <w:pPr>
                    <w:pStyle w:val="11"/>
                    <w:snapToGrid w:val="0"/>
                    <w:rPr>
                      <w:b/>
                      <w:bCs/>
                      <w:color w:val="auto"/>
                      <w:kern w:val="0"/>
                      <w:szCs w:val="21"/>
                      <w:u w:val="single"/>
                    </w:rPr>
                  </w:pPr>
                  <w:r>
                    <w:rPr>
                      <w:rFonts w:hAnsi="宋体"/>
                      <w:b/>
                      <w:bCs/>
                      <w:color w:val="auto"/>
                      <w:kern w:val="0"/>
                      <w:szCs w:val="21"/>
                      <w:u w:val="singl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9" w:type="dxa"/>
                  <w:vAlign w:val="center"/>
                </w:tcPr>
                <w:p>
                  <w:pPr>
                    <w:pStyle w:val="11"/>
                    <w:snapToGrid w:val="0"/>
                    <w:rPr>
                      <w:color w:val="auto"/>
                      <w:kern w:val="0"/>
                      <w:szCs w:val="21"/>
                      <w:u w:val="single"/>
                    </w:rPr>
                  </w:pPr>
                  <w:r>
                    <w:rPr>
                      <w:rFonts w:hAnsi="宋体"/>
                      <w:color w:val="auto"/>
                      <w:kern w:val="0"/>
                      <w:szCs w:val="21"/>
                      <w:u w:val="single"/>
                    </w:rPr>
                    <w:t>一级评价</w:t>
                  </w:r>
                </w:p>
              </w:tc>
              <w:tc>
                <w:tcPr>
                  <w:tcW w:w="4760" w:type="dxa"/>
                  <w:vAlign w:val="center"/>
                </w:tcPr>
                <w:p>
                  <w:pPr>
                    <w:pStyle w:val="11"/>
                    <w:snapToGrid w:val="0"/>
                    <w:rPr>
                      <w:color w:val="auto"/>
                      <w:kern w:val="0"/>
                      <w:szCs w:val="21"/>
                      <w:u w:val="single"/>
                    </w:rPr>
                  </w:pPr>
                  <w:r>
                    <w:rPr>
                      <w:color w:val="auto"/>
                      <w:kern w:val="0"/>
                      <w:szCs w:val="21"/>
                      <w:u w:val="single"/>
                    </w:rPr>
                    <w:t>P</w:t>
                  </w:r>
                  <w:r>
                    <w:rPr>
                      <w:color w:val="auto"/>
                      <w:kern w:val="0"/>
                      <w:szCs w:val="21"/>
                      <w:u w:val="single"/>
                      <w:vertAlign w:val="subscript"/>
                    </w:rPr>
                    <w:t>max</w:t>
                  </w:r>
                  <w:r>
                    <w:rPr>
                      <w:rFonts w:hAnsi="宋体"/>
                      <w:color w:val="auto"/>
                      <w:kern w:val="0"/>
                      <w:szCs w:val="21"/>
                      <w:u w:val="single"/>
                    </w:rPr>
                    <w:t>≧</w:t>
                  </w:r>
                  <w:r>
                    <w:rPr>
                      <w:color w:val="auto"/>
                      <w:kern w:val="0"/>
                      <w:szCs w:val="21"/>
                      <w:u w:val="singl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9" w:type="dxa"/>
                  <w:vAlign w:val="center"/>
                </w:tcPr>
                <w:p>
                  <w:pPr>
                    <w:pStyle w:val="11"/>
                    <w:snapToGrid w:val="0"/>
                    <w:rPr>
                      <w:color w:val="auto"/>
                      <w:kern w:val="0"/>
                      <w:szCs w:val="21"/>
                      <w:u w:val="single"/>
                    </w:rPr>
                  </w:pPr>
                  <w:r>
                    <w:rPr>
                      <w:rFonts w:hAnsi="宋体"/>
                      <w:color w:val="auto"/>
                      <w:kern w:val="0"/>
                      <w:szCs w:val="21"/>
                      <w:u w:val="single"/>
                    </w:rPr>
                    <w:t>二级评价</w:t>
                  </w:r>
                </w:p>
              </w:tc>
              <w:tc>
                <w:tcPr>
                  <w:tcW w:w="4760" w:type="dxa"/>
                  <w:vAlign w:val="center"/>
                </w:tcPr>
                <w:p>
                  <w:pPr>
                    <w:pStyle w:val="11"/>
                    <w:snapToGrid w:val="0"/>
                    <w:rPr>
                      <w:color w:val="auto"/>
                      <w:kern w:val="0"/>
                      <w:szCs w:val="21"/>
                      <w:u w:val="single"/>
                    </w:rPr>
                  </w:pPr>
                  <w:r>
                    <w:rPr>
                      <w:color w:val="auto"/>
                      <w:kern w:val="0"/>
                      <w:szCs w:val="21"/>
                      <w:u w:val="single"/>
                    </w:rPr>
                    <w:t>1%</w:t>
                  </w:r>
                  <w:r>
                    <w:rPr>
                      <w:rFonts w:hAnsi="宋体"/>
                      <w:color w:val="auto"/>
                      <w:kern w:val="0"/>
                      <w:szCs w:val="21"/>
                      <w:u w:val="single"/>
                    </w:rPr>
                    <w:t>≦</w:t>
                  </w:r>
                  <w:r>
                    <w:rPr>
                      <w:color w:val="auto"/>
                      <w:kern w:val="0"/>
                      <w:szCs w:val="21"/>
                      <w:u w:val="single"/>
                    </w:rPr>
                    <w:t>P</w:t>
                  </w:r>
                  <w:r>
                    <w:rPr>
                      <w:color w:val="auto"/>
                      <w:kern w:val="0"/>
                      <w:szCs w:val="21"/>
                      <w:u w:val="single"/>
                      <w:vertAlign w:val="subscript"/>
                    </w:rPr>
                    <w:t>max</w:t>
                  </w:r>
                  <w:r>
                    <w:rPr>
                      <w:rFonts w:hAnsi="宋体"/>
                      <w:color w:val="auto"/>
                      <w:kern w:val="0"/>
                      <w:szCs w:val="21"/>
                      <w:u w:val="single"/>
                    </w:rPr>
                    <w:t>≦</w:t>
                  </w:r>
                  <w:r>
                    <w:rPr>
                      <w:color w:val="auto"/>
                      <w:kern w:val="0"/>
                      <w:szCs w:val="21"/>
                      <w:u w:val="singl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9" w:type="dxa"/>
                  <w:vAlign w:val="center"/>
                </w:tcPr>
                <w:p>
                  <w:pPr>
                    <w:pStyle w:val="11"/>
                    <w:snapToGrid w:val="0"/>
                    <w:rPr>
                      <w:color w:val="auto"/>
                      <w:kern w:val="0"/>
                      <w:szCs w:val="21"/>
                      <w:u w:val="single"/>
                    </w:rPr>
                  </w:pPr>
                  <w:r>
                    <w:rPr>
                      <w:rFonts w:hAnsi="宋体"/>
                      <w:color w:val="auto"/>
                      <w:kern w:val="0"/>
                      <w:szCs w:val="21"/>
                      <w:u w:val="single"/>
                    </w:rPr>
                    <w:t>三级评价</w:t>
                  </w:r>
                </w:p>
              </w:tc>
              <w:tc>
                <w:tcPr>
                  <w:tcW w:w="4760" w:type="dxa"/>
                  <w:vAlign w:val="center"/>
                </w:tcPr>
                <w:p>
                  <w:pPr>
                    <w:pStyle w:val="11"/>
                    <w:snapToGrid w:val="0"/>
                    <w:rPr>
                      <w:color w:val="auto"/>
                      <w:kern w:val="0"/>
                      <w:szCs w:val="21"/>
                      <w:u w:val="single"/>
                    </w:rPr>
                  </w:pPr>
                  <w:r>
                    <w:rPr>
                      <w:color w:val="auto"/>
                      <w:kern w:val="0"/>
                      <w:szCs w:val="21"/>
                      <w:u w:val="single"/>
                    </w:rPr>
                    <w:t>P</w:t>
                  </w:r>
                  <w:r>
                    <w:rPr>
                      <w:color w:val="auto"/>
                      <w:kern w:val="0"/>
                      <w:szCs w:val="21"/>
                      <w:u w:val="single"/>
                      <w:vertAlign w:val="subscript"/>
                    </w:rPr>
                    <w:t>max</w:t>
                  </w:r>
                  <w:r>
                    <w:rPr>
                      <w:rFonts w:hint="eastAsia" w:hAnsi="宋体"/>
                      <w:color w:val="auto"/>
                      <w:kern w:val="0"/>
                      <w:szCs w:val="21"/>
                      <w:u w:val="single"/>
                    </w:rPr>
                    <w:t>&lt;</w:t>
                  </w:r>
                  <w:r>
                    <w:rPr>
                      <w:color w:val="auto"/>
                      <w:kern w:val="0"/>
                      <w:szCs w:val="21"/>
                      <w:u w:val="single"/>
                    </w:rPr>
                    <w:t>1%</w:t>
                  </w:r>
                </w:p>
              </w:tc>
            </w:tr>
          </w:tbl>
          <w:p>
            <w:pPr>
              <w:pStyle w:val="11"/>
              <w:snapToGrid w:val="0"/>
              <w:ind w:firstLine="482" w:firstLineChars="200"/>
              <w:rPr>
                <w:b/>
                <w:bCs/>
                <w:color w:val="auto"/>
                <w:u w:val="single"/>
              </w:rPr>
            </w:pPr>
            <w:r>
              <w:rPr>
                <w:rFonts w:hAnsi="宋体"/>
                <w:b/>
                <w:bCs/>
                <w:color w:val="auto"/>
                <w:u w:val="single"/>
              </w:rPr>
              <w:t>表</w:t>
            </w:r>
            <w:r>
              <w:rPr>
                <w:rFonts w:hint="eastAsia" w:hAnsi="宋体"/>
                <w:b/>
                <w:bCs/>
                <w:color w:val="auto"/>
                <w:u w:val="single"/>
              </w:rPr>
              <w:t>7</w:t>
            </w:r>
            <w:r>
              <w:rPr>
                <w:b/>
                <w:bCs/>
                <w:color w:val="auto"/>
                <w:u w:val="single"/>
              </w:rPr>
              <w:t xml:space="preserve">-2   </w:t>
            </w:r>
            <w:r>
              <w:rPr>
                <w:rFonts w:hAnsi="宋体"/>
                <w:b/>
                <w:bCs/>
                <w:color w:val="auto"/>
                <w:u w:val="single"/>
              </w:rPr>
              <w:t>估算模型参数表</w:t>
            </w:r>
          </w:p>
          <w:tbl>
            <w:tblPr>
              <w:tblStyle w:val="25"/>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3173"/>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6" w:type="dxa"/>
                  <w:gridSpan w:val="2"/>
                  <w:vAlign w:val="center"/>
                </w:tcPr>
                <w:p>
                  <w:pPr>
                    <w:pStyle w:val="11"/>
                    <w:snapToGrid w:val="0"/>
                    <w:rPr>
                      <w:b/>
                      <w:bCs/>
                      <w:color w:val="auto"/>
                      <w:kern w:val="0"/>
                      <w:szCs w:val="21"/>
                      <w:u w:val="single"/>
                    </w:rPr>
                  </w:pPr>
                  <w:r>
                    <w:rPr>
                      <w:rFonts w:hAnsi="宋体"/>
                      <w:b/>
                      <w:bCs/>
                      <w:color w:val="auto"/>
                      <w:kern w:val="0"/>
                      <w:szCs w:val="21"/>
                      <w:u w:val="single"/>
                    </w:rPr>
                    <w:t>参数</w:t>
                  </w:r>
                </w:p>
              </w:tc>
              <w:tc>
                <w:tcPr>
                  <w:tcW w:w="3173" w:type="dxa"/>
                  <w:vAlign w:val="center"/>
                </w:tcPr>
                <w:p>
                  <w:pPr>
                    <w:pStyle w:val="11"/>
                    <w:snapToGrid w:val="0"/>
                    <w:rPr>
                      <w:b/>
                      <w:bCs/>
                      <w:color w:val="auto"/>
                      <w:kern w:val="0"/>
                      <w:szCs w:val="21"/>
                      <w:u w:val="single"/>
                    </w:rPr>
                  </w:pPr>
                  <w:r>
                    <w:rPr>
                      <w:rFonts w:hAnsi="宋体"/>
                      <w:b/>
                      <w:bCs/>
                      <w:color w:val="auto"/>
                      <w:kern w:val="0"/>
                      <w:szCs w:val="21"/>
                      <w:u w:val="singl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3" w:type="dxa"/>
                  <w:vMerge w:val="restart"/>
                  <w:vAlign w:val="center"/>
                </w:tcPr>
                <w:p>
                  <w:pPr>
                    <w:pStyle w:val="11"/>
                    <w:snapToGrid w:val="0"/>
                    <w:rPr>
                      <w:color w:val="auto"/>
                      <w:kern w:val="0"/>
                      <w:szCs w:val="21"/>
                      <w:u w:val="single"/>
                    </w:rPr>
                  </w:pPr>
                  <w:r>
                    <w:rPr>
                      <w:rFonts w:hAnsi="宋体"/>
                      <w:color w:val="auto"/>
                      <w:kern w:val="0"/>
                      <w:szCs w:val="21"/>
                      <w:u w:val="single"/>
                    </w:rPr>
                    <w:t>城市</w:t>
                  </w:r>
                  <w:r>
                    <w:rPr>
                      <w:color w:val="auto"/>
                      <w:kern w:val="0"/>
                      <w:szCs w:val="21"/>
                      <w:u w:val="single"/>
                    </w:rPr>
                    <w:t>/</w:t>
                  </w:r>
                  <w:r>
                    <w:rPr>
                      <w:rFonts w:hAnsi="宋体"/>
                      <w:color w:val="auto"/>
                      <w:kern w:val="0"/>
                      <w:szCs w:val="21"/>
                      <w:u w:val="single"/>
                    </w:rPr>
                    <w:t>农村选项</w:t>
                  </w:r>
                </w:p>
              </w:tc>
              <w:tc>
                <w:tcPr>
                  <w:tcW w:w="3173" w:type="dxa"/>
                  <w:vAlign w:val="center"/>
                </w:tcPr>
                <w:p>
                  <w:pPr>
                    <w:pStyle w:val="11"/>
                    <w:snapToGrid w:val="0"/>
                    <w:rPr>
                      <w:color w:val="auto"/>
                      <w:kern w:val="0"/>
                      <w:szCs w:val="21"/>
                      <w:u w:val="single"/>
                    </w:rPr>
                  </w:pPr>
                  <w:r>
                    <w:rPr>
                      <w:rFonts w:hAnsi="宋体"/>
                      <w:color w:val="auto"/>
                      <w:kern w:val="0"/>
                      <w:szCs w:val="21"/>
                      <w:u w:val="single"/>
                    </w:rPr>
                    <w:t>城市</w:t>
                  </w:r>
                  <w:r>
                    <w:rPr>
                      <w:color w:val="auto"/>
                      <w:kern w:val="0"/>
                      <w:szCs w:val="21"/>
                      <w:u w:val="single"/>
                    </w:rPr>
                    <w:t>/</w:t>
                  </w:r>
                  <w:r>
                    <w:rPr>
                      <w:rFonts w:hAnsi="宋体"/>
                      <w:color w:val="auto"/>
                      <w:kern w:val="0"/>
                      <w:szCs w:val="21"/>
                      <w:u w:val="single"/>
                    </w:rPr>
                    <w:t>农村</w:t>
                  </w:r>
                </w:p>
              </w:tc>
              <w:tc>
                <w:tcPr>
                  <w:tcW w:w="3173" w:type="dxa"/>
                  <w:vAlign w:val="center"/>
                </w:tcPr>
                <w:p>
                  <w:pPr>
                    <w:pStyle w:val="11"/>
                    <w:snapToGrid w:val="0"/>
                    <w:rPr>
                      <w:color w:val="auto"/>
                      <w:kern w:val="0"/>
                      <w:szCs w:val="21"/>
                      <w:u w:val="single"/>
                    </w:rPr>
                  </w:pPr>
                  <w:r>
                    <w:rPr>
                      <w:rFonts w:hint="eastAsia" w:hAnsi="宋体"/>
                      <w:color w:val="auto"/>
                      <w:kern w:val="0"/>
                      <w:szCs w:val="21"/>
                      <w:u w:val="single"/>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3" w:type="dxa"/>
                  <w:vMerge w:val="continue"/>
                  <w:vAlign w:val="center"/>
                </w:tcPr>
                <w:p>
                  <w:pPr>
                    <w:pStyle w:val="11"/>
                    <w:snapToGrid w:val="0"/>
                    <w:rPr>
                      <w:color w:val="auto"/>
                      <w:kern w:val="0"/>
                      <w:szCs w:val="21"/>
                      <w:u w:val="single"/>
                    </w:rPr>
                  </w:pPr>
                </w:p>
              </w:tc>
              <w:tc>
                <w:tcPr>
                  <w:tcW w:w="3173" w:type="dxa"/>
                  <w:vAlign w:val="center"/>
                </w:tcPr>
                <w:p>
                  <w:pPr>
                    <w:pStyle w:val="11"/>
                    <w:snapToGrid w:val="0"/>
                    <w:rPr>
                      <w:color w:val="auto"/>
                      <w:kern w:val="0"/>
                      <w:szCs w:val="21"/>
                      <w:u w:val="single"/>
                    </w:rPr>
                  </w:pPr>
                  <w:r>
                    <w:rPr>
                      <w:rFonts w:hAnsi="宋体"/>
                      <w:color w:val="auto"/>
                      <w:kern w:val="0"/>
                      <w:szCs w:val="21"/>
                      <w:u w:val="single"/>
                    </w:rPr>
                    <w:t>人口数（城市选项时）</w:t>
                  </w:r>
                </w:p>
              </w:tc>
              <w:tc>
                <w:tcPr>
                  <w:tcW w:w="3173" w:type="dxa"/>
                  <w:vAlign w:val="center"/>
                </w:tcPr>
                <w:p>
                  <w:pPr>
                    <w:pStyle w:val="11"/>
                    <w:snapToGrid w:val="0"/>
                    <w:rPr>
                      <w:color w:val="auto"/>
                      <w:kern w:val="0"/>
                      <w:szCs w:val="21"/>
                      <w:u w:val="single"/>
                    </w:rPr>
                  </w:pPr>
                  <w:r>
                    <w:rPr>
                      <w:rFonts w:hint="eastAsia"/>
                      <w:color w:val="auto"/>
                      <w:kern w:val="0"/>
                      <w:szCs w:val="21"/>
                      <w:u w:val="single"/>
                    </w:rPr>
                    <w:t>15万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6" w:type="dxa"/>
                  <w:gridSpan w:val="2"/>
                  <w:vAlign w:val="center"/>
                </w:tcPr>
                <w:p>
                  <w:pPr>
                    <w:pStyle w:val="11"/>
                    <w:snapToGrid w:val="0"/>
                    <w:rPr>
                      <w:color w:val="auto"/>
                      <w:kern w:val="0"/>
                      <w:szCs w:val="21"/>
                      <w:u w:val="single"/>
                    </w:rPr>
                  </w:pPr>
                  <w:r>
                    <w:rPr>
                      <w:rFonts w:hAnsi="宋体"/>
                      <w:color w:val="auto"/>
                      <w:kern w:val="0"/>
                      <w:szCs w:val="21"/>
                      <w:u w:val="single"/>
                    </w:rPr>
                    <w:t>最高环境温度</w:t>
                  </w:r>
                  <w:r>
                    <w:rPr>
                      <w:color w:val="auto"/>
                      <w:kern w:val="0"/>
                      <w:szCs w:val="21"/>
                      <w:u w:val="single"/>
                    </w:rPr>
                    <w:t>/</w:t>
                  </w:r>
                  <w:r>
                    <w:rPr>
                      <w:rFonts w:hAnsi="宋体"/>
                      <w:color w:val="auto"/>
                      <w:kern w:val="0"/>
                      <w:szCs w:val="21"/>
                      <w:u w:val="single"/>
                    </w:rPr>
                    <w:t>℃</w:t>
                  </w:r>
                </w:p>
              </w:tc>
              <w:tc>
                <w:tcPr>
                  <w:tcW w:w="3173" w:type="dxa"/>
                  <w:vAlign w:val="center"/>
                </w:tcPr>
                <w:p>
                  <w:pPr>
                    <w:pStyle w:val="11"/>
                    <w:snapToGrid w:val="0"/>
                    <w:rPr>
                      <w:color w:val="auto"/>
                      <w:kern w:val="0"/>
                      <w:szCs w:val="21"/>
                      <w:u w:val="single"/>
                    </w:rPr>
                  </w:pPr>
                  <w:r>
                    <w:rPr>
                      <w:color w:val="auto"/>
                      <w:kern w:val="0"/>
                      <w:szCs w:val="21"/>
                      <w:u w:val="singl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6" w:type="dxa"/>
                  <w:gridSpan w:val="2"/>
                  <w:vAlign w:val="center"/>
                </w:tcPr>
                <w:p>
                  <w:pPr>
                    <w:pStyle w:val="11"/>
                    <w:snapToGrid w:val="0"/>
                    <w:rPr>
                      <w:color w:val="auto"/>
                      <w:kern w:val="0"/>
                      <w:szCs w:val="21"/>
                      <w:u w:val="single"/>
                    </w:rPr>
                  </w:pPr>
                  <w:r>
                    <w:rPr>
                      <w:rFonts w:hAnsi="宋体"/>
                      <w:color w:val="auto"/>
                      <w:kern w:val="0"/>
                      <w:szCs w:val="21"/>
                      <w:u w:val="single"/>
                    </w:rPr>
                    <w:t>最低环境温度</w:t>
                  </w:r>
                  <w:r>
                    <w:rPr>
                      <w:color w:val="auto"/>
                      <w:kern w:val="0"/>
                      <w:szCs w:val="21"/>
                      <w:u w:val="single"/>
                    </w:rPr>
                    <w:t>/</w:t>
                  </w:r>
                  <w:r>
                    <w:rPr>
                      <w:rFonts w:hAnsi="宋体"/>
                      <w:color w:val="auto"/>
                      <w:kern w:val="0"/>
                      <w:szCs w:val="21"/>
                      <w:u w:val="single"/>
                    </w:rPr>
                    <w:t>℃</w:t>
                  </w:r>
                </w:p>
              </w:tc>
              <w:tc>
                <w:tcPr>
                  <w:tcW w:w="3173" w:type="dxa"/>
                  <w:vAlign w:val="center"/>
                </w:tcPr>
                <w:p>
                  <w:pPr>
                    <w:pStyle w:val="11"/>
                    <w:snapToGrid w:val="0"/>
                    <w:rPr>
                      <w:color w:val="auto"/>
                      <w:kern w:val="0"/>
                      <w:szCs w:val="21"/>
                      <w:u w:val="single"/>
                    </w:rPr>
                  </w:pPr>
                  <w:r>
                    <w:rPr>
                      <w:color w:val="auto"/>
                      <w:kern w:val="0"/>
                      <w:szCs w:val="21"/>
                      <w:u w:val="single"/>
                    </w:rPr>
                    <w:t>-</w:t>
                  </w:r>
                  <w:r>
                    <w:rPr>
                      <w:rFonts w:hint="eastAsia"/>
                      <w:color w:val="auto"/>
                      <w:kern w:val="0"/>
                      <w:szCs w:val="21"/>
                      <w:u w:val="single"/>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6" w:type="dxa"/>
                  <w:gridSpan w:val="2"/>
                  <w:vAlign w:val="center"/>
                </w:tcPr>
                <w:p>
                  <w:pPr>
                    <w:pStyle w:val="11"/>
                    <w:snapToGrid w:val="0"/>
                    <w:rPr>
                      <w:color w:val="auto"/>
                      <w:kern w:val="0"/>
                      <w:szCs w:val="21"/>
                      <w:u w:val="single"/>
                    </w:rPr>
                  </w:pPr>
                  <w:r>
                    <w:rPr>
                      <w:rFonts w:hAnsi="宋体"/>
                      <w:color w:val="auto"/>
                      <w:kern w:val="0"/>
                      <w:szCs w:val="21"/>
                      <w:u w:val="single"/>
                    </w:rPr>
                    <w:t>土地利用类型</w:t>
                  </w:r>
                </w:p>
              </w:tc>
              <w:tc>
                <w:tcPr>
                  <w:tcW w:w="3173" w:type="dxa"/>
                  <w:vAlign w:val="center"/>
                </w:tcPr>
                <w:p>
                  <w:pPr>
                    <w:pStyle w:val="11"/>
                    <w:snapToGrid w:val="0"/>
                    <w:rPr>
                      <w:rFonts w:hint="eastAsia" w:eastAsia="宋体"/>
                      <w:color w:val="auto"/>
                      <w:kern w:val="0"/>
                      <w:szCs w:val="21"/>
                      <w:u w:val="single"/>
                      <w:lang w:eastAsia="zh-CN"/>
                    </w:rPr>
                  </w:pPr>
                  <w:r>
                    <w:rPr>
                      <w:rFonts w:hint="eastAsia" w:hAnsi="宋体"/>
                      <w:color w:val="auto"/>
                      <w:kern w:val="0"/>
                      <w:szCs w:val="21"/>
                      <w:u w:val="single"/>
                      <w:lang w:eastAsia="zh-CN"/>
                    </w:rPr>
                    <w:t>落叶林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46" w:type="dxa"/>
                  <w:gridSpan w:val="2"/>
                  <w:vAlign w:val="center"/>
                </w:tcPr>
                <w:p>
                  <w:pPr>
                    <w:pStyle w:val="11"/>
                    <w:snapToGrid w:val="0"/>
                    <w:rPr>
                      <w:color w:val="auto"/>
                      <w:kern w:val="0"/>
                      <w:szCs w:val="21"/>
                      <w:u w:val="single"/>
                    </w:rPr>
                  </w:pPr>
                  <w:r>
                    <w:rPr>
                      <w:rFonts w:hAnsi="宋体"/>
                      <w:color w:val="auto"/>
                      <w:kern w:val="0"/>
                      <w:szCs w:val="21"/>
                      <w:u w:val="single"/>
                    </w:rPr>
                    <w:t>区域湿度条件</w:t>
                  </w:r>
                </w:p>
              </w:tc>
              <w:tc>
                <w:tcPr>
                  <w:tcW w:w="3173" w:type="dxa"/>
                  <w:vAlign w:val="center"/>
                </w:tcPr>
                <w:p>
                  <w:pPr>
                    <w:pStyle w:val="11"/>
                    <w:snapToGrid w:val="0"/>
                    <w:rPr>
                      <w:rFonts w:hint="eastAsia" w:eastAsia="宋体"/>
                      <w:color w:val="auto"/>
                      <w:kern w:val="0"/>
                      <w:szCs w:val="21"/>
                      <w:u w:val="single"/>
                      <w:lang w:eastAsia="zh-CN"/>
                    </w:rPr>
                  </w:pPr>
                  <w:r>
                    <w:rPr>
                      <w:rFonts w:hint="eastAsia" w:hAnsi="宋体"/>
                      <w:color w:val="auto"/>
                      <w:kern w:val="0"/>
                      <w:szCs w:val="21"/>
                      <w:u w:val="single"/>
                      <w:lang w:eastAsia="zh-CN"/>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3" w:type="dxa"/>
                  <w:vMerge w:val="restart"/>
                  <w:vAlign w:val="center"/>
                </w:tcPr>
                <w:p>
                  <w:pPr>
                    <w:pStyle w:val="11"/>
                    <w:snapToGrid w:val="0"/>
                    <w:rPr>
                      <w:color w:val="auto"/>
                      <w:kern w:val="0"/>
                      <w:szCs w:val="21"/>
                      <w:u w:val="single"/>
                    </w:rPr>
                  </w:pPr>
                  <w:r>
                    <w:rPr>
                      <w:rFonts w:hAnsi="宋体"/>
                      <w:color w:val="auto"/>
                      <w:kern w:val="0"/>
                      <w:szCs w:val="21"/>
                      <w:u w:val="single"/>
                    </w:rPr>
                    <w:t>是否考虑地形</w:t>
                  </w:r>
                </w:p>
              </w:tc>
              <w:tc>
                <w:tcPr>
                  <w:tcW w:w="3173" w:type="dxa"/>
                  <w:vAlign w:val="center"/>
                </w:tcPr>
                <w:p>
                  <w:pPr>
                    <w:pStyle w:val="11"/>
                    <w:snapToGrid w:val="0"/>
                    <w:rPr>
                      <w:color w:val="auto"/>
                      <w:kern w:val="0"/>
                      <w:szCs w:val="21"/>
                      <w:u w:val="single"/>
                    </w:rPr>
                  </w:pPr>
                  <w:r>
                    <w:rPr>
                      <w:rFonts w:hAnsi="宋体"/>
                      <w:color w:val="auto"/>
                      <w:kern w:val="0"/>
                      <w:szCs w:val="21"/>
                      <w:u w:val="single"/>
                    </w:rPr>
                    <w:t>考虑地形</w:t>
                  </w:r>
                </w:p>
              </w:tc>
              <w:tc>
                <w:tcPr>
                  <w:tcW w:w="3173" w:type="dxa"/>
                  <w:vAlign w:val="center"/>
                </w:tcPr>
                <w:p>
                  <w:pPr>
                    <w:pStyle w:val="11"/>
                    <w:snapToGrid w:val="0"/>
                    <w:rPr>
                      <w:color w:val="auto"/>
                      <w:kern w:val="0"/>
                      <w:szCs w:val="21"/>
                      <w:u w:val="single"/>
                    </w:rPr>
                  </w:pPr>
                  <w:r>
                    <w:rPr>
                      <w:color w:val="auto"/>
                      <w:kern w:val="0"/>
                      <w:szCs w:val="21"/>
                      <w:u w:val="single"/>
                    </w:rPr>
                    <w:sym w:font="Wingdings" w:char="00A8"/>
                  </w:r>
                  <w:r>
                    <w:rPr>
                      <w:rFonts w:hAnsi="宋体"/>
                      <w:color w:val="auto"/>
                      <w:kern w:val="0"/>
                      <w:szCs w:val="21"/>
                      <w:u w:val="single"/>
                    </w:rPr>
                    <w:t>是</w:t>
                  </w:r>
                  <w:r>
                    <w:rPr>
                      <w:color w:val="auto"/>
                      <w:kern w:val="0"/>
                      <w:szCs w:val="21"/>
                      <w:u w:val="single"/>
                    </w:rPr>
                    <w:sym w:font="Wingdings" w:char="00FE"/>
                  </w:r>
                  <w:r>
                    <w:rPr>
                      <w:rFonts w:hAnsi="宋体"/>
                      <w:color w:val="auto"/>
                      <w:kern w:val="0"/>
                      <w:szCs w:val="21"/>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3" w:type="dxa"/>
                  <w:vMerge w:val="continue"/>
                  <w:vAlign w:val="center"/>
                </w:tcPr>
                <w:p>
                  <w:pPr>
                    <w:pStyle w:val="11"/>
                    <w:snapToGrid w:val="0"/>
                    <w:rPr>
                      <w:color w:val="auto"/>
                      <w:kern w:val="0"/>
                      <w:szCs w:val="21"/>
                      <w:u w:val="single"/>
                    </w:rPr>
                  </w:pPr>
                </w:p>
              </w:tc>
              <w:tc>
                <w:tcPr>
                  <w:tcW w:w="3173" w:type="dxa"/>
                  <w:vAlign w:val="center"/>
                </w:tcPr>
                <w:p>
                  <w:pPr>
                    <w:pStyle w:val="11"/>
                    <w:snapToGrid w:val="0"/>
                    <w:rPr>
                      <w:color w:val="auto"/>
                      <w:kern w:val="0"/>
                      <w:szCs w:val="21"/>
                      <w:u w:val="single"/>
                    </w:rPr>
                  </w:pPr>
                  <w:r>
                    <w:rPr>
                      <w:rFonts w:hAnsi="宋体"/>
                      <w:color w:val="auto"/>
                      <w:kern w:val="0"/>
                      <w:szCs w:val="21"/>
                      <w:u w:val="single"/>
                    </w:rPr>
                    <w:t>地形数据分辨率</w:t>
                  </w:r>
                  <w:r>
                    <w:rPr>
                      <w:color w:val="auto"/>
                      <w:kern w:val="0"/>
                      <w:szCs w:val="21"/>
                      <w:u w:val="single"/>
                    </w:rPr>
                    <w:t>/m</w:t>
                  </w:r>
                </w:p>
              </w:tc>
              <w:tc>
                <w:tcPr>
                  <w:tcW w:w="3173" w:type="dxa"/>
                  <w:vAlign w:val="center"/>
                </w:tcPr>
                <w:p>
                  <w:pPr>
                    <w:pStyle w:val="11"/>
                    <w:snapToGrid w:val="0"/>
                    <w:rPr>
                      <w:color w:val="auto"/>
                      <w:kern w:val="0"/>
                      <w:szCs w:val="21"/>
                      <w:u w:val="single"/>
                    </w:rPr>
                  </w:pPr>
                  <w:r>
                    <w:rPr>
                      <w:color w:val="auto"/>
                      <w:kern w:val="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3" w:type="dxa"/>
                  <w:vMerge w:val="restart"/>
                  <w:vAlign w:val="center"/>
                </w:tcPr>
                <w:p>
                  <w:pPr>
                    <w:pStyle w:val="11"/>
                    <w:snapToGrid w:val="0"/>
                    <w:rPr>
                      <w:color w:val="auto"/>
                      <w:kern w:val="0"/>
                      <w:szCs w:val="21"/>
                      <w:u w:val="single"/>
                    </w:rPr>
                  </w:pPr>
                  <w:r>
                    <w:rPr>
                      <w:rFonts w:hAnsi="宋体"/>
                      <w:color w:val="auto"/>
                      <w:kern w:val="0"/>
                      <w:szCs w:val="21"/>
                      <w:u w:val="single"/>
                    </w:rPr>
                    <w:t>是否考虑岸线熏烟</w:t>
                  </w:r>
                </w:p>
              </w:tc>
              <w:tc>
                <w:tcPr>
                  <w:tcW w:w="3173" w:type="dxa"/>
                  <w:vAlign w:val="center"/>
                </w:tcPr>
                <w:p>
                  <w:pPr>
                    <w:pStyle w:val="11"/>
                    <w:snapToGrid w:val="0"/>
                    <w:rPr>
                      <w:color w:val="auto"/>
                      <w:kern w:val="0"/>
                      <w:szCs w:val="21"/>
                      <w:u w:val="single"/>
                    </w:rPr>
                  </w:pPr>
                  <w:r>
                    <w:rPr>
                      <w:rFonts w:hAnsi="宋体"/>
                      <w:color w:val="auto"/>
                      <w:kern w:val="0"/>
                      <w:szCs w:val="21"/>
                      <w:u w:val="single"/>
                    </w:rPr>
                    <w:t>考虑岸线熏烟</w:t>
                  </w:r>
                </w:p>
              </w:tc>
              <w:tc>
                <w:tcPr>
                  <w:tcW w:w="3173" w:type="dxa"/>
                  <w:vAlign w:val="center"/>
                </w:tcPr>
                <w:p>
                  <w:pPr>
                    <w:pStyle w:val="11"/>
                    <w:snapToGrid w:val="0"/>
                    <w:rPr>
                      <w:color w:val="auto"/>
                      <w:kern w:val="0"/>
                      <w:szCs w:val="21"/>
                      <w:u w:val="single"/>
                    </w:rPr>
                  </w:pPr>
                  <w:r>
                    <w:rPr>
                      <w:color w:val="auto"/>
                      <w:kern w:val="0"/>
                      <w:szCs w:val="21"/>
                      <w:u w:val="single"/>
                    </w:rPr>
                    <w:sym w:font="Wingdings" w:char="00A8"/>
                  </w:r>
                  <w:r>
                    <w:rPr>
                      <w:rFonts w:hAnsi="宋体"/>
                      <w:color w:val="auto"/>
                      <w:kern w:val="0"/>
                      <w:szCs w:val="21"/>
                      <w:u w:val="single"/>
                    </w:rPr>
                    <w:t>是</w:t>
                  </w:r>
                  <w:r>
                    <w:rPr>
                      <w:color w:val="auto"/>
                      <w:kern w:val="0"/>
                      <w:szCs w:val="21"/>
                      <w:u w:val="single"/>
                    </w:rPr>
                    <w:sym w:font="Wingdings" w:char="00FE"/>
                  </w:r>
                  <w:r>
                    <w:rPr>
                      <w:rFonts w:hAnsi="宋体"/>
                      <w:color w:val="auto"/>
                      <w:kern w:val="0"/>
                      <w:szCs w:val="21"/>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3" w:type="dxa"/>
                  <w:vMerge w:val="continue"/>
                  <w:vAlign w:val="center"/>
                </w:tcPr>
                <w:p>
                  <w:pPr>
                    <w:pStyle w:val="11"/>
                    <w:snapToGrid w:val="0"/>
                    <w:rPr>
                      <w:color w:val="auto"/>
                      <w:kern w:val="0"/>
                      <w:szCs w:val="21"/>
                      <w:u w:val="single"/>
                    </w:rPr>
                  </w:pPr>
                </w:p>
              </w:tc>
              <w:tc>
                <w:tcPr>
                  <w:tcW w:w="3173" w:type="dxa"/>
                  <w:vAlign w:val="center"/>
                </w:tcPr>
                <w:p>
                  <w:pPr>
                    <w:pStyle w:val="11"/>
                    <w:snapToGrid w:val="0"/>
                    <w:rPr>
                      <w:color w:val="auto"/>
                      <w:kern w:val="0"/>
                      <w:szCs w:val="21"/>
                      <w:u w:val="single"/>
                    </w:rPr>
                  </w:pPr>
                  <w:r>
                    <w:rPr>
                      <w:rFonts w:hAnsi="宋体"/>
                      <w:color w:val="auto"/>
                      <w:kern w:val="0"/>
                      <w:szCs w:val="21"/>
                      <w:u w:val="single"/>
                    </w:rPr>
                    <w:t>岸线距离</w:t>
                  </w:r>
                </w:p>
              </w:tc>
              <w:tc>
                <w:tcPr>
                  <w:tcW w:w="3173" w:type="dxa"/>
                  <w:vAlign w:val="center"/>
                </w:tcPr>
                <w:p>
                  <w:pPr>
                    <w:pStyle w:val="11"/>
                    <w:snapToGrid w:val="0"/>
                    <w:rPr>
                      <w:color w:val="auto"/>
                      <w:kern w:val="0"/>
                      <w:szCs w:val="21"/>
                      <w:u w:val="single"/>
                    </w:rPr>
                  </w:pPr>
                  <w:r>
                    <w:rPr>
                      <w:color w:val="auto"/>
                      <w:kern w:val="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3" w:type="dxa"/>
                  <w:vMerge w:val="continue"/>
                  <w:vAlign w:val="center"/>
                </w:tcPr>
                <w:p>
                  <w:pPr>
                    <w:pStyle w:val="11"/>
                    <w:snapToGrid w:val="0"/>
                    <w:rPr>
                      <w:color w:val="auto"/>
                      <w:kern w:val="0"/>
                      <w:szCs w:val="21"/>
                      <w:u w:val="single"/>
                    </w:rPr>
                  </w:pPr>
                </w:p>
              </w:tc>
              <w:tc>
                <w:tcPr>
                  <w:tcW w:w="3173" w:type="dxa"/>
                  <w:vAlign w:val="center"/>
                </w:tcPr>
                <w:p>
                  <w:pPr>
                    <w:pStyle w:val="11"/>
                    <w:snapToGrid w:val="0"/>
                    <w:rPr>
                      <w:color w:val="auto"/>
                      <w:kern w:val="0"/>
                      <w:szCs w:val="21"/>
                      <w:u w:val="single"/>
                    </w:rPr>
                  </w:pPr>
                  <w:r>
                    <w:rPr>
                      <w:rFonts w:hAnsi="宋体"/>
                      <w:color w:val="auto"/>
                      <w:kern w:val="0"/>
                      <w:szCs w:val="21"/>
                      <w:u w:val="single"/>
                    </w:rPr>
                    <w:t>岸线方向</w:t>
                  </w:r>
                  <w:r>
                    <w:rPr>
                      <w:color w:val="auto"/>
                      <w:kern w:val="0"/>
                      <w:szCs w:val="21"/>
                      <w:u w:val="single"/>
                    </w:rPr>
                    <w:t>/°</w:t>
                  </w:r>
                </w:p>
              </w:tc>
              <w:tc>
                <w:tcPr>
                  <w:tcW w:w="3173" w:type="dxa"/>
                  <w:vAlign w:val="center"/>
                </w:tcPr>
                <w:p>
                  <w:pPr>
                    <w:pStyle w:val="11"/>
                    <w:snapToGrid w:val="0"/>
                    <w:rPr>
                      <w:color w:val="auto"/>
                      <w:kern w:val="0"/>
                      <w:szCs w:val="21"/>
                      <w:u w:val="single"/>
                    </w:rPr>
                  </w:pPr>
                  <w:r>
                    <w:rPr>
                      <w:color w:val="auto"/>
                      <w:kern w:val="0"/>
                      <w:szCs w:val="21"/>
                      <w:u w:val="single"/>
                    </w:rPr>
                    <w:t>/</w:t>
                  </w:r>
                </w:p>
              </w:tc>
            </w:tr>
          </w:tbl>
          <w:p>
            <w:pPr>
              <w:pStyle w:val="11"/>
              <w:snapToGrid w:val="0"/>
              <w:ind w:firstLine="482" w:firstLineChars="200"/>
              <w:rPr>
                <w:b/>
                <w:bCs/>
                <w:color w:val="auto"/>
                <w:u w:val="single"/>
              </w:rPr>
            </w:pPr>
            <w:r>
              <w:rPr>
                <w:rFonts w:hAnsi="宋体"/>
                <w:b/>
                <w:bCs/>
                <w:color w:val="auto"/>
                <w:u w:val="single"/>
              </w:rPr>
              <w:t>表</w:t>
            </w:r>
            <w:r>
              <w:rPr>
                <w:rFonts w:hint="eastAsia"/>
                <w:b/>
                <w:bCs/>
                <w:color w:val="auto"/>
                <w:u w:val="single"/>
              </w:rPr>
              <w:t>7</w:t>
            </w:r>
            <w:r>
              <w:rPr>
                <w:b/>
                <w:bCs/>
                <w:color w:val="auto"/>
                <w:u w:val="single"/>
              </w:rPr>
              <w:t xml:space="preserve">-3   </w:t>
            </w:r>
            <w:r>
              <w:rPr>
                <w:rFonts w:hAnsi="宋体"/>
                <w:b/>
                <w:bCs/>
                <w:color w:val="auto"/>
                <w:u w:val="single"/>
              </w:rPr>
              <w:t>污染物评价标准</w:t>
            </w:r>
          </w:p>
          <w:tbl>
            <w:tblPr>
              <w:tblStyle w:val="25"/>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030"/>
              <w:gridCol w:w="1200"/>
              <w:gridCol w:w="1780"/>
              <w:gridCol w:w="3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80" w:type="dxa"/>
                  <w:vAlign w:val="center"/>
                </w:tcPr>
                <w:p>
                  <w:pPr>
                    <w:snapToGrid w:val="0"/>
                    <w:ind w:firstLine="0" w:firstLineChars="0"/>
                    <w:jc w:val="center"/>
                    <w:rPr>
                      <w:b/>
                      <w:bCs/>
                      <w:color w:val="auto"/>
                      <w:kern w:val="0"/>
                      <w:sz w:val="21"/>
                      <w:szCs w:val="21"/>
                      <w:u w:val="single"/>
                    </w:rPr>
                  </w:pPr>
                  <w:r>
                    <w:rPr>
                      <w:b/>
                      <w:bCs/>
                      <w:color w:val="auto"/>
                      <w:kern w:val="0"/>
                      <w:sz w:val="21"/>
                      <w:szCs w:val="21"/>
                      <w:u w:val="single"/>
                    </w:rPr>
                    <w:t>污染物名称</w:t>
                  </w:r>
                </w:p>
              </w:tc>
              <w:tc>
                <w:tcPr>
                  <w:tcW w:w="1030" w:type="dxa"/>
                  <w:vAlign w:val="center"/>
                </w:tcPr>
                <w:p>
                  <w:pPr>
                    <w:snapToGrid w:val="0"/>
                    <w:ind w:firstLine="0" w:firstLineChars="0"/>
                    <w:jc w:val="center"/>
                    <w:rPr>
                      <w:b/>
                      <w:bCs/>
                      <w:color w:val="auto"/>
                      <w:kern w:val="0"/>
                      <w:sz w:val="21"/>
                      <w:szCs w:val="21"/>
                      <w:u w:val="single"/>
                    </w:rPr>
                  </w:pPr>
                  <w:r>
                    <w:rPr>
                      <w:b/>
                      <w:bCs/>
                      <w:color w:val="auto"/>
                      <w:kern w:val="0"/>
                      <w:sz w:val="21"/>
                      <w:szCs w:val="21"/>
                      <w:u w:val="single"/>
                    </w:rPr>
                    <w:t>功能区</w:t>
                  </w:r>
                </w:p>
              </w:tc>
              <w:tc>
                <w:tcPr>
                  <w:tcW w:w="1200" w:type="dxa"/>
                  <w:vAlign w:val="center"/>
                </w:tcPr>
                <w:p>
                  <w:pPr>
                    <w:snapToGrid w:val="0"/>
                    <w:ind w:firstLine="0" w:firstLineChars="0"/>
                    <w:jc w:val="center"/>
                    <w:rPr>
                      <w:b/>
                      <w:bCs/>
                      <w:color w:val="auto"/>
                      <w:kern w:val="0"/>
                      <w:sz w:val="21"/>
                      <w:szCs w:val="21"/>
                      <w:u w:val="single"/>
                    </w:rPr>
                  </w:pPr>
                  <w:r>
                    <w:rPr>
                      <w:b/>
                      <w:bCs/>
                      <w:color w:val="auto"/>
                      <w:kern w:val="0"/>
                      <w:sz w:val="21"/>
                      <w:szCs w:val="21"/>
                      <w:u w:val="single"/>
                    </w:rPr>
                    <w:t>取值时间</w:t>
                  </w:r>
                </w:p>
              </w:tc>
              <w:tc>
                <w:tcPr>
                  <w:tcW w:w="1780" w:type="dxa"/>
                  <w:vAlign w:val="center"/>
                </w:tcPr>
                <w:p>
                  <w:pPr>
                    <w:snapToGrid w:val="0"/>
                    <w:ind w:firstLine="0" w:firstLineChars="0"/>
                    <w:jc w:val="center"/>
                    <w:rPr>
                      <w:b/>
                      <w:bCs/>
                      <w:color w:val="auto"/>
                      <w:kern w:val="0"/>
                      <w:sz w:val="21"/>
                      <w:szCs w:val="21"/>
                      <w:u w:val="single"/>
                    </w:rPr>
                  </w:pPr>
                  <w:r>
                    <w:rPr>
                      <w:b/>
                      <w:bCs/>
                      <w:color w:val="auto"/>
                      <w:kern w:val="0"/>
                      <w:sz w:val="21"/>
                      <w:szCs w:val="21"/>
                      <w:u w:val="single"/>
                    </w:rPr>
                    <w:t>标准值(μg/m</w:t>
                  </w:r>
                  <w:r>
                    <w:rPr>
                      <w:b/>
                      <w:bCs/>
                      <w:color w:val="auto"/>
                      <w:kern w:val="0"/>
                      <w:sz w:val="21"/>
                      <w:szCs w:val="21"/>
                      <w:u w:val="single"/>
                      <w:vertAlign w:val="superscript"/>
                    </w:rPr>
                    <w:t>3</w:t>
                  </w:r>
                  <w:r>
                    <w:rPr>
                      <w:b/>
                      <w:bCs/>
                      <w:color w:val="auto"/>
                      <w:kern w:val="0"/>
                      <w:sz w:val="21"/>
                      <w:szCs w:val="21"/>
                      <w:u w:val="single"/>
                    </w:rPr>
                    <w:t>)</w:t>
                  </w:r>
                </w:p>
              </w:tc>
              <w:tc>
                <w:tcPr>
                  <w:tcW w:w="3368" w:type="dxa"/>
                  <w:vAlign w:val="center"/>
                </w:tcPr>
                <w:p>
                  <w:pPr>
                    <w:snapToGrid w:val="0"/>
                    <w:ind w:firstLine="0" w:firstLineChars="0"/>
                    <w:jc w:val="center"/>
                    <w:rPr>
                      <w:b/>
                      <w:bCs/>
                      <w:color w:val="auto"/>
                      <w:kern w:val="0"/>
                      <w:sz w:val="21"/>
                      <w:szCs w:val="21"/>
                      <w:u w:val="single"/>
                    </w:rPr>
                  </w:pPr>
                  <w:r>
                    <w:rPr>
                      <w:b/>
                      <w:bCs/>
                      <w:color w:val="auto"/>
                      <w:kern w:val="0"/>
                      <w:sz w:val="21"/>
                      <w:szCs w:val="21"/>
                      <w:u w:val="singl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480" w:type="dxa"/>
                  <w:vAlign w:val="center"/>
                </w:tcPr>
                <w:p>
                  <w:pPr>
                    <w:snapToGrid w:val="0"/>
                    <w:ind w:firstLine="0" w:firstLineChars="0"/>
                    <w:jc w:val="center"/>
                    <w:rPr>
                      <w:color w:val="auto"/>
                      <w:kern w:val="0"/>
                      <w:sz w:val="21"/>
                      <w:szCs w:val="21"/>
                      <w:u w:val="single"/>
                    </w:rPr>
                  </w:pPr>
                  <w:r>
                    <w:rPr>
                      <w:color w:val="auto"/>
                      <w:kern w:val="0"/>
                      <w:sz w:val="21"/>
                      <w:szCs w:val="21"/>
                      <w:u w:val="single"/>
                    </w:rPr>
                    <w:t>VOCs</w:t>
                  </w:r>
                </w:p>
              </w:tc>
              <w:tc>
                <w:tcPr>
                  <w:tcW w:w="1030" w:type="dxa"/>
                  <w:vAlign w:val="center"/>
                </w:tcPr>
                <w:p>
                  <w:pPr>
                    <w:snapToGrid w:val="0"/>
                    <w:ind w:firstLine="0" w:firstLineChars="0"/>
                    <w:jc w:val="center"/>
                    <w:rPr>
                      <w:color w:val="auto"/>
                      <w:kern w:val="0"/>
                      <w:sz w:val="21"/>
                      <w:szCs w:val="21"/>
                      <w:u w:val="single"/>
                    </w:rPr>
                  </w:pPr>
                  <w:r>
                    <w:rPr>
                      <w:color w:val="auto"/>
                      <w:kern w:val="0"/>
                      <w:sz w:val="21"/>
                      <w:szCs w:val="21"/>
                      <w:u w:val="single"/>
                    </w:rPr>
                    <w:t>二类区</w:t>
                  </w:r>
                </w:p>
              </w:tc>
              <w:tc>
                <w:tcPr>
                  <w:tcW w:w="1200" w:type="dxa"/>
                  <w:vAlign w:val="center"/>
                </w:tcPr>
                <w:p>
                  <w:pPr>
                    <w:ind w:firstLine="0" w:firstLineChars="0"/>
                    <w:jc w:val="center"/>
                    <w:rPr>
                      <w:color w:val="auto"/>
                      <w:sz w:val="21"/>
                      <w:szCs w:val="21"/>
                      <w:u w:val="single"/>
                    </w:rPr>
                  </w:pPr>
                  <w:r>
                    <w:rPr>
                      <w:color w:val="auto"/>
                      <w:sz w:val="21"/>
                      <w:szCs w:val="21"/>
                      <w:u w:val="single"/>
                    </w:rPr>
                    <w:t>八小时</w:t>
                  </w:r>
                </w:p>
              </w:tc>
              <w:tc>
                <w:tcPr>
                  <w:tcW w:w="1780" w:type="dxa"/>
                  <w:vAlign w:val="center"/>
                </w:tcPr>
                <w:p>
                  <w:pPr>
                    <w:ind w:firstLine="0" w:firstLineChars="0"/>
                    <w:jc w:val="center"/>
                    <w:rPr>
                      <w:color w:val="auto"/>
                      <w:sz w:val="21"/>
                      <w:szCs w:val="21"/>
                      <w:u w:val="single"/>
                    </w:rPr>
                  </w:pPr>
                  <w:r>
                    <w:rPr>
                      <w:color w:val="auto"/>
                      <w:sz w:val="21"/>
                      <w:szCs w:val="21"/>
                      <w:u w:val="single"/>
                    </w:rPr>
                    <w:t>600</w:t>
                  </w:r>
                  <w:r>
                    <w:rPr>
                      <w:rStyle w:val="31"/>
                      <w:rFonts w:hint="eastAsia"/>
                      <w:color w:val="auto"/>
                    </w:rPr>
                    <w:t>（预测采用二倍值）</w:t>
                  </w:r>
                </w:p>
              </w:tc>
              <w:tc>
                <w:tcPr>
                  <w:tcW w:w="3368" w:type="dxa"/>
                  <w:vAlign w:val="center"/>
                </w:tcPr>
                <w:p>
                  <w:pPr>
                    <w:ind w:firstLine="0" w:firstLineChars="0"/>
                    <w:jc w:val="center"/>
                    <w:rPr>
                      <w:color w:val="auto"/>
                      <w:sz w:val="21"/>
                      <w:szCs w:val="21"/>
                      <w:u w:val="single"/>
                    </w:rPr>
                  </w:pPr>
                  <w:r>
                    <w:rPr>
                      <w:color w:val="auto"/>
                      <w:sz w:val="21"/>
                      <w:szCs w:val="21"/>
                      <w:u w:val="single"/>
                    </w:rPr>
                    <w:t>《环境影响评价技术导则-大气环境》HJ 2.2-2018 附录D</w:t>
                  </w:r>
                </w:p>
              </w:tc>
            </w:tr>
          </w:tbl>
          <w:p>
            <w:pPr>
              <w:pStyle w:val="11"/>
              <w:snapToGrid w:val="0"/>
              <w:ind w:firstLine="482" w:firstLineChars="200"/>
              <w:rPr>
                <w:b/>
                <w:bCs/>
                <w:color w:val="auto"/>
                <w:u w:val="single"/>
              </w:rPr>
            </w:pPr>
            <w:r>
              <w:rPr>
                <w:b/>
                <w:bCs/>
                <w:color w:val="auto"/>
                <w:u w:val="single"/>
              </w:rPr>
              <w:t>表</w:t>
            </w:r>
            <w:r>
              <w:rPr>
                <w:rFonts w:hint="eastAsia"/>
                <w:b/>
                <w:bCs/>
                <w:color w:val="auto"/>
                <w:u w:val="single"/>
              </w:rPr>
              <w:t>7</w:t>
            </w:r>
            <w:r>
              <w:rPr>
                <w:b/>
                <w:bCs/>
                <w:color w:val="auto"/>
                <w:u w:val="single"/>
              </w:rPr>
              <w:t>-4   主要废气污染源参数一览表（点源）</w:t>
            </w:r>
          </w:p>
          <w:tbl>
            <w:tblPr>
              <w:tblStyle w:val="25"/>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0"/>
              <w:gridCol w:w="662"/>
              <w:gridCol w:w="775"/>
              <w:gridCol w:w="1038"/>
              <w:gridCol w:w="881"/>
              <w:gridCol w:w="914"/>
              <w:gridCol w:w="786"/>
              <w:gridCol w:w="881"/>
              <w:gridCol w:w="763"/>
              <w:gridCol w:w="722"/>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800" w:type="dxa"/>
                  <w:vMerge w:val="restart"/>
                  <w:vAlign w:val="center"/>
                </w:tcPr>
                <w:p>
                  <w:pPr>
                    <w:snapToGrid w:val="0"/>
                    <w:ind w:firstLine="0" w:firstLineChars="0"/>
                    <w:jc w:val="both"/>
                    <w:rPr>
                      <w:b/>
                      <w:bCs/>
                      <w:color w:val="auto"/>
                      <w:kern w:val="0"/>
                      <w:szCs w:val="21"/>
                      <w:u w:val="single"/>
                    </w:rPr>
                  </w:pPr>
                  <w:r>
                    <w:rPr>
                      <w:b/>
                      <w:bCs/>
                      <w:color w:val="auto"/>
                      <w:kern w:val="0"/>
                      <w:szCs w:val="21"/>
                      <w:u w:val="single"/>
                    </w:rPr>
                    <w:t>VOCs</w:t>
                  </w:r>
                </w:p>
              </w:tc>
              <w:tc>
                <w:tcPr>
                  <w:tcW w:w="1437" w:type="dxa"/>
                  <w:gridSpan w:val="2"/>
                  <w:vAlign w:val="center"/>
                </w:tcPr>
                <w:p>
                  <w:pPr>
                    <w:snapToGrid w:val="0"/>
                    <w:ind w:firstLine="482"/>
                    <w:jc w:val="center"/>
                    <w:rPr>
                      <w:b/>
                      <w:bCs/>
                      <w:color w:val="auto"/>
                      <w:kern w:val="0"/>
                      <w:szCs w:val="21"/>
                      <w:u w:val="single"/>
                    </w:rPr>
                  </w:pPr>
                  <w:r>
                    <w:rPr>
                      <w:b/>
                      <w:bCs/>
                      <w:color w:val="auto"/>
                      <w:kern w:val="0"/>
                      <w:szCs w:val="21"/>
                      <w:u w:val="single"/>
                    </w:rPr>
                    <w:t>坐标(</w:t>
                  </w:r>
                  <w:r>
                    <w:rPr>
                      <w:b/>
                      <w:bCs/>
                      <w:color w:val="auto"/>
                      <w:kern w:val="0"/>
                      <w:szCs w:val="21"/>
                      <w:u w:val="single"/>
                      <w:vertAlign w:val="superscript"/>
                    </w:rPr>
                    <w:t>o</w:t>
                  </w:r>
                  <w:r>
                    <w:rPr>
                      <w:b/>
                      <w:bCs/>
                      <w:color w:val="auto"/>
                      <w:kern w:val="0"/>
                      <w:szCs w:val="21"/>
                      <w:u w:val="single"/>
                    </w:rPr>
                    <w:t>)</w:t>
                  </w:r>
                </w:p>
              </w:tc>
              <w:tc>
                <w:tcPr>
                  <w:tcW w:w="3619" w:type="dxa"/>
                  <w:gridSpan w:val="4"/>
                  <w:vAlign w:val="center"/>
                </w:tcPr>
                <w:p>
                  <w:pPr>
                    <w:snapToGrid w:val="0"/>
                    <w:ind w:firstLine="482"/>
                    <w:jc w:val="center"/>
                    <w:rPr>
                      <w:rFonts w:hint="eastAsia" w:eastAsia="宋体"/>
                      <w:b/>
                      <w:bCs/>
                      <w:color w:val="auto"/>
                      <w:kern w:val="0"/>
                      <w:szCs w:val="21"/>
                      <w:u w:val="single"/>
                      <w:lang w:eastAsia="zh-CN"/>
                    </w:rPr>
                  </w:pPr>
                  <w:r>
                    <w:rPr>
                      <w:b/>
                      <w:bCs/>
                      <w:color w:val="auto"/>
                      <w:kern w:val="0"/>
                      <w:szCs w:val="21"/>
                      <w:u w:val="single"/>
                    </w:rPr>
                    <w:t>排气筒参数</w:t>
                  </w:r>
                  <w:r>
                    <w:rPr>
                      <w:rFonts w:hint="eastAsia"/>
                      <w:b/>
                      <w:bCs/>
                      <w:color w:val="auto"/>
                      <w:kern w:val="0"/>
                      <w:szCs w:val="21"/>
                      <w:u w:val="single"/>
                      <w:lang w:eastAsia="zh-CN"/>
                    </w:rPr>
                    <w:t>（风量为</w:t>
                  </w:r>
                  <w:r>
                    <w:rPr>
                      <w:rFonts w:hint="eastAsia"/>
                      <w:b/>
                      <w:bCs/>
                      <w:color w:val="auto"/>
                      <w:kern w:val="0"/>
                      <w:szCs w:val="21"/>
                      <w:u w:val="single"/>
                      <w:lang w:val="en-US" w:eastAsia="zh-CN"/>
                    </w:rPr>
                    <w:t>20000m</w:t>
                  </w:r>
                  <w:r>
                    <w:rPr>
                      <w:rFonts w:hint="eastAsia"/>
                      <w:b/>
                      <w:bCs/>
                      <w:color w:val="auto"/>
                      <w:kern w:val="0"/>
                      <w:szCs w:val="21"/>
                      <w:u w:val="single"/>
                      <w:vertAlign w:val="superscript"/>
                      <w:lang w:val="en-US" w:eastAsia="zh-CN"/>
                    </w:rPr>
                    <w:t>3</w:t>
                  </w:r>
                  <w:r>
                    <w:rPr>
                      <w:rFonts w:hint="eastAsia"/>
                      <w:b/>
                      <w:bCs/>
                      <w:color w:val="auto"/>
                      <w:kern w:val="0"/>
                      <w:szCs w:val="21"/>
                      <w:u w:val="single"/>
                      <w:lang w:val="en-US" w:eastAsia="zh-CN"/>
                    </w:rPr>
                    <w:t>/h</w:t>
                  </w:r>
                  <w:r>
                    <w:rPr>
                      <w:rFonts w:hint="eastAsia"/>
                      <w:b/>
                      <w:bCs/>
                      <w:color w:val="auto"/>
                      <w:kern w:val="0"/>
                      <w:szCs w:val="21"/>
                      <w:u w:val="single"/>
                      <w:lang w:eastAsia="zh-CN"/>
                    </w:rPr>
                    <w:t>）</w:t>
                  </w:r>
                </w:p>
              </w:tc>
              <w:tc>
                <w:tcPr>
                  <w:tcW w:w="881" w:type="dxa"/>
                  <w:vMerge w:val="restart"/>
                  <w:vAlign w:val="center"/>
                </w:tcPr>
                <w:p>
                  <w:pPr>
                    <w:snapToGrid w:val="0"/>
                    <w:ind w:firstLine="0" w:firstLineChars="0"/>
                    <w:jc w:val="center"/>
                    <w:rPr>
                      <w:b/>
                      <w:bCs/>
                      <w:color w:val="auto"/>
                      <w:kern w:val="0"/>
                      <w:szCs w:val="21"/>
                      <w:u w:val="single"/>
                    </w:rPr>
                  </w:pPr>
                  <w:r>
                    <w:rPr>
                      <w:b/>
                      <w:bCs/>
                      <w:color w:val="auto"/>
                      <w:kern w:val="0"/>
                      <w:szCs w:val="21"/>
                      <w:u w:val="single"/>
                    </w:rPr>
                    <w:t>污染物名称</w:t>
                  </w:r>
                </w:p>
              </w:tc>
              <w:tc>
                <w:tcPr>
                  <w:tcW w:w="763" w:type="dxa"/>
                  <w:vMerge w:val="restart"/>
                  <w:vAlign w:val="center"/>
                </w:tcPr>
                <w:p>
                  <w:pPr>
                    <w:snapToGrid w:val="0"/>
                    <w:ind w:firstLine="0" w:firstLineChars="0"/>
                    <w:jc w:val="center"/>
                    <w:rPr>
                      <w:b/>
                      <w:bCs/>
                      <w:color w:val="auto"/>
                      <w:kern w:val="0"/>
                      <w:szCs w:val="21"/>
                      <w:u w:val="single"/>
                    </w:rPr>
                  </w:pPr>
                  <w:r>
                    <w:rPr>
                      <w:b/>
                      <w:bCs/>
                      <w:color w:val="auto"/>
                      <w:kern w:val="0"/>
                      <w:szCs w:val="21"/>
                      <w:u w:val="single"/>
                    </w:rPr>
                    <w:t>排放速率</w:t>
                  </w:r>
                </w:p>
              </w:tc>
              <w:tc>
                <w:tcPr>
                  <w:tcW w:w="722" w:type="dxa"/>
                  <w:vMerge w:val="restart"/>
                  <w:vAlign w:val="center"/>
                </w:tcPr>
                <w:p>
                  <w:pPr>
                    <w:snapToGrid w:val="0"/>
                    <w:ind w:firstLine="0" w:firstLineChars="0"/>
                    <w:jc w:val="center"/>
                    <w:rPr>
                      <w:b/>
                      <w:bCs/>
                      <w:color w:val="auto"/>
                      <w:kern w:val="0"/>
                      <w:szCs w:val="21"/>
                      <w:u w:val="single"/>
                    </w:rPr>
                  </w:pPr>
                  <w:r>
                    <w:rPr>
                      <w:b/>
                      <w:bCs/>
                      <w:color w:val="auto"/>
                      <w:kern w:val="0"/>
                      <w:szCs w:val="21"/>
                      <w:u w:val="single"/>
                    </w:rPr>
                    <w:t>非正常工况排放</w:t>
                  </w:r>
                </w:p>
              </w:tc>
              <w:tc>
                <w:tcPr>
                  <w:tcW w:w="654" w:type="dxa"/>
                  <w:vMerge w:val="restart"/>
                  <w:vAlign w:val="center"/>
                </w:tcPr>
                <w:p>
                  <w:pPr>
                    <w:snapToGrid w:val="0"/>
                    <w:ind w:firstLine="0" w:firstLineChars="0"/>
                    <w:jc w:val="center"/>
                    <w:rPr>
                      <w:b/>
                      <w:bCs/>
                      <w:color w:val="auto"/>
                      <w:kern w:val="0"/>
                      <w:szCs w:val="21"/>
                      <w:u w:val="single"/>
                    </w:rPr>
                  </w:pPr>
                  <w:r>
                    <w:rPr>
                      <w:b/>
                      <w:bCs/>
                      <w:color w:val="auto"/>
                      <w:kern w:val="0"/>
                      <w:szCs w:val="21"/>
                      <w:u w:val="singl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12" w:hRule="atLeast"/>
                <w:jc w:val="center"/>
              </w:trPr>
              <w:tc>
                <w:tcPr>
                  <w:tcW w:w="800" w:type="dxa"/>
                  <w:vMerge w:val="continue"/>
                  <w:vAlign w:val="center"/>
                </w:tcPr>
                <w:p>
                  <w:pPr>
                    <w:snapToGrid w:val="0"/>
                    <w:ind w:firstLine="480"/>
                    <w:jc w:val="center"/>
                    <w:rPr>
                      <w:color w:val="auto"/>
                      <w:kern w:val="0"/>
                      <w:szCs w:val="21"/>
                      <w:u w:val="single"/>
                    </w:rPr>
                  </w:pPr>
                </w:p>
              </w:tc>
              <w:tc>
                <w:tcPr>
                  <w:tcW w:w="662" w:type="dxa"/>
                  <w:vAlign w:val="center"/>
                </w:tcPr>
                <w:p>
                  <w:pPr>
                    <w:snapToGrid w:val="0"/>
                    <w:ind w:firstLine="0" w:firstLineChars="0"/>
                    <w:jc w:val="center"/>
                    <w:rPr>
                      <w:b/>
                      <w:bCs/>
                      <w:color w:val="auto"/>
                      <w:kern w:val="0"/>
                      <w:szCs w:val="21"/>
                      <w:u w:val="single"/>
                    </w:rPr>
                  </w:pPr>
                  <w:r>
                    <w:rPr>
                      <w:b/>
                      <w:bCs/>
                      <w:color w:val="auto"/>
                      <w:kern w:val="0"/>
                      <w:szCs w:val="21"/>
                      <w:u w:val="single"/>
                    </w:rPr>
                    <w:t>经度</w:t>
                  </w:r>
                </w:p>
              </w:tc>
              <w:tc>
                <w:tcPr>
                  <w:tcW w:w="775" w:type="dxa"/>
                  <w:vAlign w:val="center"/>
                </w:tcPr>
                <w:p>
                  <w:pPr>
                    <w:snapToGrid w:val="0"/>
                    <w:ind w:firstLine="0" w:firstLineChars="0"/>
                    <w:jc w:val="center"/>
                    <w:rPr>
                      <w:b/>
                      <w:bCs/>
                      <w:color w:val="auto"/>
                      <w:kern w:val="0"/>
                      <w:szCs w:val="21"/>
                      <w:u w:val="single"/>
                    </w:rPr>
                  </w:pPr>
                  <w:r>
                    <w:rPr>
                      <w:b/>
                      <w:bCs/>
                      <w:color w:val="auto"/>
                      <w:kern w:val="0"/>
                      <w:szCs w:val="21"/>
                      <w:u w:val="single"/>
                    </w:rPr>
                    <w:t>纬度</w:t>
                  </w:r>
                </w:p>
              </w:tc>
              <w:tc>
                <w:tcPr>
                  <w:tcW w:w="1038" w:type="dxa"/>
                  <w:vAlign w:val="center"/>
                </w:tcPr>
                <w:p>
                  <w:pPr>
                    <w:snapToGrid w:val="0"/>
                    <w:ind w:firstLine="0" w:firstLineChars="0"/>
                    <w:jc w:val="center"/>
                    <w:rPr>
                      <w:b/>
                      <w:bCs/>
                      <w:color w:val="auto"/>
                      <w:kern w:val="0"/>
                      <w:szCs w:val="21"/>
                      <w:u w:val="single"/>
                    </w:rPr>
                  </w:pPr>
                  <w:r>
                    <w:rPr>
                      <w:b/>
                      <w:bCs/>
                      <w:color w:val="auto"/>
                      <w:kern w:val="0"/>
                      <w:szCs w:val="21"/>
                      <w:u w:val="single"/>
                    </w:rPr>
                    <w:t>高度</w:t>
                  </w:r>
                </w:p>
                <w:p>
                  <w:pPr>
                    <w:snapToGrid w:val="0"/>
                    <w:ind w:firstLine="0" w:firstLineChars="0"/>
                    <w:jc w:val="center"/>
                    <w:rPr>
                      <w:b/>
                      <w:bCs/>
                      <w:color w:val="auto"/>
                      <w:kern w:val="0"/>
                      <w:szCs w:val="21"/>
                      <w:u w:val="single"/>
                    </w:rPr>
                  </w:pPr>
                  <w:r>
                    <w:rPr>
                      <w:b/>
                      <w:bCs/>
                      <w:color w:val="auto"/>
                      <w:kern w:val="0"/>
                      <w:szCs w:val="21"/>
                      <w:u w:val="single"/>
                    </w:rPr>
                    <w:t>(m)</w:t>
                  </w:r>
                </w:p>
              </w:tc>
              <w:tc>
                <w:tcPr>
                  <w:tcW w:w="881" w:type="dxa"/>
                  <w:vAlign w:val="center"/>
                </w:tcPr>
                <w:p>
                  <w:pPr>
                    <w:snapToGrid w:val="0"/>
                    <w:ind w:firstLine="0" w:firstLineChars="0"/>
                    <w:jc w:val="center"/>
                    <w:rPr>
                      <w:b/>
                      <w:bCs/>
                      <w:color w:val="auto"/>
                      <w:kern w:val="0"/>
                      <w:szCs w:val="21"/>
                      <w:u w:val="single"/>
                    </w:rPr>
                  </w:pPr>
                  <w:r>
                    <w:rPr>
                      <w:b/>
                      <w:bCs/>
                      <w:color w:val="auto"/>
                      <w:kern w:val="0"/>
                      <w:szCs w:val="21"/>
                      <w:u w:val="single"/>
                    </w:rPr>
                    <w:t>内径</w:t>
                  </w:r>
                </w:p>
                <w:p>
                  <w:pPr>
                    <w:snapToGrid w:val="0"/>
                    <w:ind w:firstLine="0" w:firstLineChars="0"/>
                    <w:jc w:val="center"/>
                    <w:rPr>
                      <w:b/>
                      <w:bCs/>
                      <w:color w:val="auto"/>
                      <w:kern w:val="0"/>
                      <w:szCs w:val="21"/>
                      <w:u w:val="single"/>
                    </w:rPr>
                  </w:pPr>
                  <w:r>
                    <w:rPr>
                      <w:b/>
                      <w:bCs/>
                      <w:color w:val="auto"/>
                      <w:kern w:val="0"/>
                      <w:szCs w:val="21"/>
                      <w:u w:val="single"/>
                    </w:rPr>
                    <w:t>(m)</w:t>
                  </w:r>
                </w:p>
              </w:tc>
              <w:tc>
                <w:tcPr>
                  <w:tcW w:w="914" w:type="dxa"/>
                  <w:vAlign w:val="center"/>
                </w:tcPr>
                <w:p>
                  <w:pPr>
                    <w:snapToGrid w:val="0"/>
                    <w:ind w:firstLine="0" w:firstLineChars="0"/>
                    <w:jc w:val="center"/>
                    <w:rPr>
                      <w:b/>
                      <w:bCs/>
                      <w:color w:val="auto"/>
                      <w:kern w:val="0"/>
                      <w:szCs w:val="21"/>
                      <w:u w:val="single"/>
                    </w:rPr>
                  </w:pPr>
                  <w:r>
                    <w:rPr>
                      <w:b/>
                      <w:bCs/>
                      <w:color w:val="auto"/>
                      <w:kern w:val="0"/>
                      <w:szCs w:val="21"/>
                      <w:u w:val="single"/>
                    </w:rPr>
                    <w:t>温度</w:t>
                  </w:r>
                </w:p>
                <w:p>
                  <w:pPr>
                    <w:snapToGrid w:val="0"/>
                    <w:ind w:firstLine="0" w:firstLineChars="0"/>
                    <w:jc w:val="center"/>
                    <w:rPr>
                      <w:b/>
                      <w:bCs/>
                      <w:color w:val="auto"/>
                      <w:kern w:val="0"/>
                      <w:szCs w:val="21"/>
                      <w:u w:val="single"/>
                    </w:rPr>
                  </w:pPr>
                  <w:r>
                    <w:rPr>
                      <w:b/>
                      <w:bCs/>
                      <w:color w:val="auto"/>
                      <w:kern w:val="0"/>
                      <w:szCs w:val="21"/>
                      <w:u w:val="single"/>
                    </w:rPr>
                    <w:t>（K）</w:t>
                  </w:r>
                </w:p>
              </w:tc>
              <w:tc>
                <w:tcPr>
                  <w:tcW w:w="786" w:type="dxa"/>
                  <w:vAlign w:val="center"/>
                </w:tcPr>
                <w:p>
                  <w:pPr>
                    <w:snapToGrid w:val="0"/>
                    <w:ind w:firstLine="0" w:firstLineChars="0"/>
                    <w:jc w:val="center"/>
                    <w:rPr>
                      <w:b/>
                      <w:bCs/>
                      <w:color w:val="auto"/>
                      <w:kern w:val="0"/>
                      <w:szCs w:val="21"/>
                      <w:u w:val="single"/>
                    </w:rPr>
                  </w:pPr>
                  <w:r>
                    <w:rPr>
                      <w:b/>
                      <w:bCs/>
                      <w:color w:val="auto"/>
                      <w:kern w:val="0"/>
                      <w:szCs w:val="21"/>
                      <w:u w:val="single"/>
                    </w:rPr>
                    <w:t>流速</w:t>
                  </w:r>
                </w:p>
                <w:p>
                  <w:pPr>
                    <w:snapToGrid w:val="0"/>
                    <w:ind w:firstLine="0" w:firstLineChars="0"/>
                    <w:jc w:val="center"/>
                    <w:rPr>
                      <w:b/>
                      <w:bCs/>
                      <w:color w:val="auto"/>
                      <w:kern w:val="0"/>
                      <w:szCs w:val="21"/>
                      <w:u w:val="single"/>
                    </w:rPr>
                  </w:pPr>
                  <w:r>
                    <w:rPr>
                      <w:b/>
                      <w:bCs/>
                      <w:color w:val="auto"/>
                      <w:kern w:val="0"/>
                      <w:szCs w:val="21"/>
                      <w:u w:val="single"/>
                    </w:rPr>
                    <w:t>(m/s)</w:t>
                  </w:r>
                </w:p>
              </w:tc>
              <w:tc>
                <w:tcPr>
                  <w:tcW w:w="881" w:type="dxa"/>
                  <w:vMerge w:val="continue"/>
                  <w:vAlign w:val="center"/>
                </w:tcPr>
                <w:p>
                  <w:pPr>
                    <w:snapToGrid w:val="0"/>
                    <w:ind w:firstLine="0" w:firstLineChars="0"/>
                    <w:jc w:val="center"/>
                    <w:rPr>
                      <w:b/>
                      <w:bCs/>
                      <w:color w:val="auto"/>
                      <w:kern w:val="0"/>
                      <w:szCs w:val="21"/>
                      <w:u w:val="single"/>
                    </w:rPr>
                  </w:pPr>
                </w:p>
              </w:tc>
              <w:tc>
                <w:tcPr>
                  <w:tcW w:w="763" w:type="dxa"/>
                  <w:vMerge w:val="continue"/>
                  <w:vAlign w:val="center"/>
                </w:tcPr>
                <w:p>
                  <w:pPr>
                    <w:snapToGrid w:val="0"/>
                    <w:ind w:firstLine="0" w:firstLineChars="0"/>
                    <w:jc w:val="center"/>
                    <w:rPr>
                      <w:b/>
                      <w:bCs/>
                      <w:color w:val="auto"/>
                      <w:kern w:val="0"/>
                      <w:szCs w:val="21"/>
                      <w:u w:val="single"/>
                    </w:rPr>
                  </w:pPr>
                </w:p>
              </w:tc>
              <w:tc>
                <w:tcPr>
                  <w:tcW w:w="722" w:type="dxa"/>
                  <w:vMerge w:val="continue"/>
                  <w:vAlign w:val="center"/>
                </w:tcPr>
                <w:p>
                  <w:pPr>
                    <w:snapToGrid w:val="0"/>
                    <w:ind w:firstLine="0" w:firstLineChars="0"/>
                    <w:jc w:val="center"/>
                    <w:rPr>
                      <w:b/>
                      <w:bCs/>
                      <w:color w:val="auto"/>
                      <w:kern w:val="0"/>
                      <w:szCs w:val="21"/>
                      <w:u w:val="single"/>
                    </w:rPr>
                  </w:pPr>
                </w:p>
              </w:tc>
              <w:tc>
                <w:tcPr>
                  <w:tcW w:w="654" w:type="dxa"/>
                  <w:vMerge w:val="continue"/>
                  <w:vAlign w:val="center"/>
                </w:tcPr>
                <w:p>
                  <w:pPr>
                    <w:snapToGrid w:val="0"/>
                    <w:ind w:firstLine="0" w:firstLineChars="0"/>
                    <w:jc w:val="center"/>
                    <w:rPr>
                      <w:b/>
                      <w:bCs/>
                      <w:color w:val="auto"/>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6" w:hRule="atLeast"/>
                <w:jc w:val="center"/>
              </w:trPr>
              <w:tc>
                <w:tcPr>
                  <w:tcW w:w="800" w:type="dxa"/>
                  <w:vMerge w:val="continue"/>
                  <w:vAlign w:val="center"/>
                </w:tcPr>
                <w:p>
                  <w:pPr>
                    <w:snapToGrid w:val="0"/>
                    <w:ind w:firstLine="480"/>
                    <w:jc w:val="center"/>
                    <w:rPr>
                      <w:color w:val="auto"/>
                      <w:kern w:val="0"/>
                      <w:szCs w:val="21"/>
                      <w:u w:val="single"/>
                    </w:rPr>
                  </w:pPr>
                </w:p>
              </w:tc>
              <w:tc>
                <w:tcPr>
                  <w:tcW w:w="662" w:type="dxa"/>
                  <w:vAlign w:val="center"/>
                </w:tcPr>
                <w:p>
                  <w:pPr>
                    <w:snapToGrid w:val="0"/>
                    <w:ind w:firstLine="0" w:firstLineChars="0"/>
                    <w:jc w:val="center"/>
                    <w:rPr>
                      <w:color w:val="auto"/>
                      <w:kern w:val="0"/>
                      <w:szCs w:val="21"/>
                      <w:u w:val="single"/>
                    </w:rPr>
                  </w:pPr>
                  <w:r>
                    <w:rPr>
                      <w:rFonts w:hint="eastAsia"/>
                      <w:color w:val="auto"/>
                      <w:kern w:val="0"/>
                      <w:szCs w:val="21"/>
                      <w:u w:val="single"/>
                    </w:rPr>
                    <w:t>112.3503</w:t>
                  </w:r>
                </w:p>
              </w:tc>
              <w:tc>
                <w:tcPr>
                  <w:tcW w:w="775" w:type="dxa"/>
                  <w:vAlign w:val="center"/>
                </w:tcPr>
                <w:p>
                  <w:pPr>
                    <w:snapToGrid w:val="0"/>
                    <w:ind w:firstLine="0" w:firstLineChars="0"/>
                    <w:jc w:val="center"/>
                    <w:rPr>
                      <w:color w:val="auto"/>
                      <w:kern w:val="0"/>
                      <w:szCs w:val="21"/>
                      <w:u w:val="single"/>
                    </w:rPr>
                  </w:pPr>
                  <w:r>
                    <w:rPr>
                      <w:rFonts w:hint="eastAsia"/>
                      <w:color w:val="auto"/>
                      <w:kern w:val="0"/>
                      <w:szCs w:val="21"/>
                      <w:u w:val="single"/>
                    </w:rPr>
                    <w:t>28.8053</w:t>
                  </w:r>
                </w:p>
              </w:tc>
              <w:tc>
                <w:tcPr>
                  <w:tcW w:w="1038" w:type="dxa"/>
                  <w:vAlign w:val="center"/>
                </w:tcPr>
                <w:p>
                  <w:pPr>
                    <w:snapToGrid w:val="0"/>
                    <w:ind w:firstLine="0" w:firstLineChars="0"/>
                    <w:jc w:val="center"/>
                    <w:rPr>
                      <w:color w:val="auto"/>
                      <w:kern w:val="0"/>
                      <w:szCs w:val="21"/>
                      <w:u w:val="single"/>
                    </w:rPr>
                  </w:pPr>
                  <w:r>
                    <w:rPr>
                      <w:rFonts w:hint="eastAsia"/>
                      <w:color w:val="auto"/>
                      <w:kern w:val="0"/>
                      <w:szCs w:val="21"/>
                      <w:u w:val="single"/>
                    </w:rPr>
                    <w:t>25</w:t>
                  </w:r>
                </w:p>
              </w:tc>
              <w:tc>
                <w:tcPr>
                  <w:tcW w:w="881" w:type="dxa"/>
                  <w:vAlign w:val="center"/>
                </w:tcPr>
                <w:p>
                  <w:pPr>
                    <w:snapToGrid w:val="0"/>
                    <w:ind w:firstLine="0" w:firstLineChars="0"/>
                    <w:jc w:val="center"/>
                    <w:rPr>
                      <w:color w:val="auto"/>
                      <w:kern w:val="0"/>
                      <w:szCs w:val="21"/>
                      <w:u w:val="single"/>
                    </w:rPr>
                  </w:pPr>
                  <w:r>
                    <w:rPr>
                      <w:color w:val="auto"/>
                      <w:kern w:val="0"/>
                      <w:szCs w:val="21"/>
                      <w:u w:val="single"/>
                    </w:rPr>
                    <w:t>0.5</w:t>
                  </w:r>
                </w:p>
              </w:tc>
              <w:tc>
                <w:tcPr>
                  <w:tcW w:w="914" w:type="dxa"/>
                  <w:vAlign w:val="center"/>
                </w:tcPr>
                <w:p>
                  <w:pPr>
                    <w:snapToGrid w:val="0"/>
                    <w:ind w:firstLine="0" w:firstLineChars="0"/>
                    <w:jc w:val="center"/>
                    <w:rPr>
                      <w:rFonts w:hint="default" w:eastAsia="宋体"/>
                      <w:color w:val="auto"/>
                      <w:kern w:val="0"/>
                      <w:szCs w:val="21"/>
                      <w:u w:val="single"/>
                      <w:lang w:val="en-US" w:eastAsia="zh-CN"/>
                    </w:rPr>
                  </w:pPr>
                  <w:r>
                    <w:rPr>
                      <w:rFonts w:hint="eastAsia"/>
                      <w:color w:val="auto"/>
                      <w:kern w:val="0"/>
                      <w:szCs w:val="21"/>
                      <w:u w:val="single"/>
                      <w:lang w:val="en-US" w:eastAsia="zh-CN"/>
                    </w:rPr>
                    <w:t>298</w:t>
                  </w:r>
                </w:p>
              </w:tc>
              <w:tc>
                <w:tcPr>
                  <w:tcW w:w="786" w:type="dxa"/>
                  <w:vAlign w:val="center"/>
                </w:tcPr>
                <w:p>
                  <w:pPr>
                    <w:snapToGrid w:val="0"/>
                    <w:ind w:firstLine="0" w:firstLineChars="0"/>
                    <w:jc w:val="center"/>
                    <w:rPr>
                      <w:color w:val="auto"/>
                      <w:kern w:val="0"/>
                      <w:szCs w:val="21"/>
                      <w:u w:val="single"/>
                    </w:rPr>
                  </w:pPr>
                  <w:r>
                    <w:rPr>
                      <w:rFonts w:hint="eastAsia"/>
                      <w:color w:val="auto"/>
                      <w:kern w:val="0"/>
                      <w:szCs w:val="21"/>
                      <w:u w:val="single"/>
                      <w:lang w:val="en-US" w:eastAsia="zh-CN"/>
                    </w:rPr>
                    <w:t>10</w:t>
                  </w:r>
                  <w:r>
                    <w:rPr>
                      <w:color w:val="auto"/>
                      <w:kern w:val="0"/>
                      <w:szCs w:val="21"/>
                      <w:u w:val="single"/>
                    </w:rPr>
                    <w:t>.0</w:t>
                  </w:r>
                </w:p>
              </w:tc>
              <w:tc>
                <w:tcPr>
                  <w:tcW w:w="881" w:type="dxa"/>
                  <w:vAlign w:val="center"/>
                </w:tcPr>
                <w:p>
                  <w:pPr>
                    <w:snapToGrid w:val="0"/>
                    <w:ind w:firstLine="0" w:firstLineChars="0"/>
                    <w:jc w:val="center"/>
                    <w:rPr>
                      <w:color w:val="auto"/>
                      <w:kern w:val="0"/>
                      <w:szCs w:val="21"/>
                      <w:u w:val="single"/>
                    </w:rPr>
                  </w:pPr>
                  <w:r>
                    <w:rPr>
                      <w:color w:val="auto"/>
                      <w:kern w:val="0"/>
                      <w:szCs w:val="21"/>
                      <w:u w:val="single"/>
                    </w:rPr>
                    <w:t>VOCs</w:t>
                  </w:r>
                </w:p>
              </w:tc>
              <w:tc>
                <w:tcPr>
                  <w:tcW w:w="763" w:type="dxa"/>
                  <w:vAlign w:val="center"/>
                </w:tcPr>
                <w:p>
                  <w:pPr>
                    <w:snapToGrid w:val="0"/>
                    <w:ind w:firstLine="0" w:firstLineChars="0"/>
                    <w:jc w:val="center"/>
                    <w:rPr>
                      <w:rFonts w:hint="default" w:eastAsia="宋体"/>
                      <w:color w:val="auto"/>
                      <w:kern w:val="0"/>
                      <w:szCs w:val="21"/>
                      <w:u w:val="single"/>
                      <w:lang w:val="en-US" w:eastAsia="zh-CN"/>
                    </w:rPr>
                  </w:pPr>
                  <w:r>
                    <w:rPr>
                      <w:rFonts w:hint="eastAsia"/>
                      <w:color w:val="auto"/>
                      <w:kern w:val="0"/>
                      <w:szCs w:val="21"/>
                      <w:u w:val="single"/>
                      <w:lang w:val="en-US" w:eastAsia="zh-CN"/>
                    </w:rPr>
                    <w:t>0.26</w:t>
                  </w:r>
                </w:p>
              </w:tc>
              <w:tc>
                <w:tcPr>
                  <w:tcW w:w="722" w:type="dxa"/>
                  <w:vAlign w:val="center"/>
                </w:tcPr>
                <w:p>
                  <w:pPr>
                    <w:snapToGrid w:val="0"/>
                    <w:ind w:firstLine="0" w:firstLineChars="0"/>
                    <w:jc w:val="center"/>
                    <w:rPr>
                      <w:rFonts w:hint="default" w:eastAsia="宋体"/>
                      <w:color w:val="auto"/>
                      <w:kern w:val="0"/>
                      <w:szCs w:val="21"/>
                      <w:u w:val="single"/>
                      <w:lang w:val="en-US" w:eastAsia="zh-CN"/>
                    </w:rPr>
                  </w:pPr>
                  <w:r>
                    <w:rPr>
                      <w:rFonts w:hint="eastAsia"/>
                      <w:color w:val="auto"/>
                      <w:kern w:val="0"/>
                      <w:szCs w:val="21"/>
                      <w:u w:val="single"/>
                      <w:lang w:val="en-US" w:eastAsia="zh-CN"/>
                    </w:rPr>
                    <w:t>1.725</w:t>
                  </w:r>
                </w:p>
              </w:tc>
              <w:tc>
                <w:tcPr>
                  <w:tcW w:w="654" w:type="dxa"/>
                  <w:vAlign w:val="center"/>
                </w:tcPr>
                <w:p>
                  <w:pPr>
                    <w:snapToGrid w:val="0"/>
                    <w:ind w:firstLine="0" w:firstLineChars="0"/>
                    <w:jc w:val="center"/>
                    <w:rPr>
                      <w:color w:val="auto"/>
                      <w:kern w:val="0"/>
                      <w:szCs w:val="21"/>
                      <w:u w:val="single"/>
                    </w:rPr>
                  </w:pPr>
                  <w:r>
                    <w:rPr>
                      <w:color w:val="auto"/>
                      <w:kern w:val="0"/>
                      <w:szCs w:val="21"/>
                      <w:u w:val="single"/>
                    </w:rPr>
                    <w:t>kg/h</w:t>
                  </w:r>
                </w:p>
              </w:tc>
            </w:tr>
          </w:tbl>
          <w:p>
            <w:pPr>
              <w:snapToGrid w:val="0"/>
              <w:spacing w:beforeLines="50"/>
              <w:ind w:firstLine="0" w:firstLineChars="0"/>
              <w:jc w:val="center"/>
              <w:rPr>
                <w:rFonts w:hAnsi="宋体"/>
                <w:b/>
                <w:bCs/>
                <w:color w:val="auto"/>
                <w:u w:val="single"/>
              </w:rPr>
            </w:pPr>
            <w:r>
              <w:rPr>
                <w:rFonts w:hint="eastAsia" w:hAnsi="宋体"/>
                <w:b/>
                <w:bCs/>
                <w:color w:val="auto"/>
                <w:u w:val="single"/>
              </w:rPr>
              <w:t>表7-5   主要废气污染源参数一览表（面源）</w:t>
            </w:r>
          </w:p>
          <w:tbl>
            <w:tblPr>
              <w:tblStyle w:val="25"/>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1242"/>
              <w:gridCol w:w="1265"/>
              <w:gridCol w:w="1211"/>
              <w:gridCol w:w="1362"/>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200" w:type="dxa"/>
                  <w:vAlign w:val="center"/>
                </w:tcPr>
                <w:p>
                  <w:pPr>
                    <w:pStyle w:val="20"/>
                    <w:ind w:left="402" w:hanging="402"/>
                    <w:rPr>
                      <w:b/>
                      <w:bCs/>
                      <w:color w:val="auto"/>
                      <w:szCs w:val="21"/>
                      <w:u w:val="single"/>
                    </w:rPr>
                  </w:pPr>
                  <w:r>
                    <w:rPr>
                      <w:b/>
                      <w:bCs/>
                      <w:color w:val="auto"/>
                      <w:szCs w:val="21"/>
                      <w:u w:val="single"/>
                    </w:rPr>
                    <w:t>产</w:t>
                  </w:r>
                  <w:r>
                    <w:rPr>
                      <w:rFonts w:hint="eastAsia"/>
                      <w:b/>
                      <w:bCs/>
                      <w:color w:val="auto"/>
                      <w:szCs w:val="21"/>
                      <w:u w:val="single"/>
                    </w:rPr>
                    <w:t>污</w:t>
                  </w:r>
                  <w:r>
                    <w:rPr>
                      <w:b/>
                      <w:bCs/>
                      <w:color w:val="auto"/>
                      <w:szCs w:val="21"/>
                      <w:u w:val="single"/>
                    </w:rPr>
                    <w:t>节点</w:t>
                  </w:r>
                </w:p>
              </w:tc>
              <w:tc>
                <w:tcPr>
                  <w:tcW w:w="1242" w:type="dxa"/>
                  <w:vAlign w:val="center"/>
                </w:tcPr>
                <w:p>
                  <w:pPr>
                    <w:pStyle w:val="20"/>
                    <w:ind w:left="402" w:hanging="402"/>
                    <w:rPr>
                      <w:b/>
                      <w:bCs/>
                      <w:color w:val="auto"/>
                      <w:szCs w:val="21"/>
                      <w:u w:val="single"/>
                    </w:rPr>
                  </w:pPr>
                  <w:r>
                    <w:rPr>
                      <w:b/>
                      <w:bCs/>
                      <w:color w:val="auto"/>
                      <w:szCs w:val="21"/>
                      <w:u w:val="single"/>
                    </w:rPr>
                    <w:t>污染因子</w:t>
                  </w:r>
                </w:p>
              </w:tc>
              <w:tc>
                <w:tcPr>
                  <w:tcW w:w="1265" w:type="dxa"/>
                  <w:vAlign w:val="center"/>
                </w:tcPr>
                <w:p>
                  <w:pPr>
                    <w:pStyle w:val="20"/>
                    <w:ind w:left="402" w:hanging="402"/>
                    <w:rPr>
                      <w:b/>
                      <w:bCs/>
                      <w:color w:val="auto"/>
                      <w:szCs w:val="21"/>
                      <w:u w:val="single"/>
                    </w:rPr>
                  </w:pPr>
                  <w:r>
                    <w:rPr>
                      <w:b/>
                      <w:bCs/>
                      <w:color w:val="auto"/>
                      <w:szCs w:val="21"/>
                      <w:u w:val="single"/>
                    </w:rPr>
                    <w:t>排放速率</w:t>
                  </w:r>
                </w:p>
              </w:tc>
              <w:tc>
                <w:tcPr>
                  <w:tcW w:w="1211" w:type="dxa"/>
                  <w:vAlign w:val="center"/>
                </w:tcPr>
                <w:p>
                  <w:pPr>
                    <w:pStyle w:val="20"/>
                    <w:ind w:left="402" w:hanging="402"/>
                    <w:rPr>
                      <w:b/>
                      <w:bCs/>
                      <w:color w:val="auto"/>
                      <w:szCs w:val="21"/>
                      <w:u w:val="single"/>
                    </w:rPr>
                  </w:pPr>
                  <w:r>
                    <w:rPr>
                      <w:rFonts w:hint="eastAsia"/>
                      <w:b/>
                      <w:bCs/>
                      <w:color w:val="auto"/>
                      <w:szCs w:val="21"/>
                      <w:u w:val="single"/>
                    </w:rPr>
                    <w:t>评价标准</w:t>
                  </w:r>
                </w:p>
              </w:tc>
              <w:tc>
                <w:tcPr>
                  <w:tcW w:w="1362" w:type="dxa"/>
                  <w:vAlign w:val="center"/>
                </w:tcPr>
                <w:p>
                  <w:pPr>
                    <w:pStyle w:val="20"/>
                    <w:ind w:left="402" w:hanging="402"/>
                    <w:rPr>
                      <w:b/>
                      <w:bCs/>
                      <w:color w:val="auto"/>
                      <w:szCs w:val="21"/>
                      <w:u w:val="single"/>
                    </w:rPr>
                  </w:pPr>
                  <w:r>
                    <w:rPr>
                      <w:b/>
                      <w:bCs/>
                      <w:color w:val="auto"/>
                      <w:szCs w:val="21"/>
                      <w:u w:val="single"/>
                    </w:rPr>
                    <w:t>面源长宽度</w:t>
                  </w:r>
                </w:p>
              </w:tc>
              <w:tc>
                <w:tcPr>
                  <w:tcW w:w="1637" w:type="dxa"/>
                  <w:vAlign w:val="center"/>
                </w:tcPr>
                <w:p>
                  <w:pPr>
                    <w:pStyle w:val="20"/>
                    <w:ind w:left="402" w:hanging="402"/>
                    <w:rPr>
                      <w:b/>
                      <w:bCs/>
                      <w:color w:val="auto"/>
                      <w:szCs w:val="21"/>
                      <w:u w:val="single"/>
                    </w:rPr>
                  </w:pPr>
                  <w:r>
                    <w:rPr>
                      <w:b/>
                      <w:bCs/>
                      <w:color w:val="auto"/>
                      <w:szCs w:val="21"/>
                      <w:u w:val="single"/>
                    </w:rPr>
                    <w:t>初始排放高度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00" w:type="dxa"/>
                  <w:vAlign w:val="center"/>
                </w:tcPr>
                <w:p>
                  <w:pPr>
                    <w:pStyle w:val="20"/>
                    <w:ind w:left="400" w:hanging="400"/>
                    <w:rPr>
                      <w:color w:val="auto"/>
                      <w:szCs w:val="21"/>
                      <w:u w:val="single"/>
                    </w:rPr>
                  </w:pPr>
                  <w:r>
                    <w:rPr>
                      <w:rFonts w:hint="eastAsia"/>
                      <w:color w:val="auto"/>
                      <w:szCs w:val="21"/>
                      <w:u w:val="single"/>
                    </w:rPr>
                    <w:t>生产</w:t>
                  </w:r>
                </w:p>
              </w:tc>
              <w:tc>
                <w:tcPr>
                  <w:tcW w:w="1242" w:type="dxa"/>
                  <w:vAlign w:val="center"/>
                </w:tcPr>
                <w:p>
                  <w:pPr>
                    <w:pStyle w:val="20"/>
                    <w:ind w:left="400" w:hanging="400"/>
                    <w:rPr>
                      <w:color w:val="auto"/>
                      <w:szCs w:val="21"/>
                      <w:u w:val="single"/>
                    </w:rPr>
                  </w:pPr>
                  <w:r>
                    <w:rPr>
                      <w:rFonts w:hint="eastAsia"/>
                      <w:color w:val="auto"/>
                      <w:szCs w:val="21"/>
                      <w:u w:val="single"/>
                    </w:rPr>
                    <w:t>VOCs</w:t>
                  </w:r>
                </w:p>
              </w:tc>
              <w:tc>
                <w:tcPr>
                  <w:tcW w:w="1265" w:type="dxa"/>
                  <w:vAlign w:val="center"/>
                </w:tcPr>
                <w:p>
                  <w:pPr>
                    <w:pStyle w:val="20"/>
                    <w:ind w:left="400" w:hanging="400"/>
                    <w:rPr>
                      <w:color w:val="auto"/>
                      <w:szCs w:val="21"/>
                      <w:u w:val="single"/>
                    </w:rPr>
                  </w:pPr>
                  <w:r>
                    <w:rPr>
                      <w:rFonts w:hint="eastAsia"/>
                      <w:color w:val="auto"/>
                      <w:szCs w:val="21"/>
                      <w:u w:val="single"/>
                      <w:lang w:val="en-US" w:eastAsia="zh-CN"/>
                    </w:rPr>
                    <w:t>0.19</w:t>
                  </w:r>
                  <w:r>
                    <w:rPr>
                      <w:color w:val="auto"/>
                      <w:szCs w:val="21"/>
                      <w:u w:val="single"/>
                    </w:rPr>
                    <w:t>kg/h</w:t>
                  </w:r>
                </w:p>
              </w:tc>
              <w:tc>
                <w:tcPr>
                  <w:tcW w:w="1211" w:type="dxa"/>
                  <w:vAlign w:val="center"/>
                </w:tcPr>
                <w:p>
                  <w:pPr>
                    <w:pStyle w:val="20"/>
                    <w:ind w:left="400" w:hanging="400"/>
                    <w:rPr>
                      <w:color w:val="auto"/>
                      <w:szCs w:val="21"/>
                      <w:u w:val="single"/>
                    </w:rPr>
                  </w:pPr>
                  <w:r>
                    <w:rPr>
                      <w:rFonts w:hint="eastAsia"/>
                      <w:color w:val="auto"/>
                      <w:szCs w:val="21"/>
                      <w:u w:val="single"/>
                    </w:rPr>
                    <w:t>1.2mg/m</w:t>
                  </w:r>
                  <w:r>
                    <w:rPr>
                      <w:rFonts w:hint="eastAsia"/>
                      <w:color w:val="auto"/>
                      <w:szCs w:val="21"/>
                      <w:u w:val="single"/>
                      <w:vertAlign w:val="superscript"/>
                    </w:rPr>
                    <w:t>3</w:t>
                  </w:r>
                </w:p>
              </w:tc>
              <w:tc>
                <w:tcPr>
                  <w:tcW w:w="1362" w:type="dxa"/>
                  <w:vAlign w:val="center"/>
                </w:tcPr>
                <w:p>
                  <w:pPr>
                    <w:pStyle w:val="20"/>
                    <w:ind w:left="400" w:hanging="400"/>
                    <w:rPr>
                      <w:color w:val="auto"/>
                      <w:szCs w:val="21"/>
                      <w:u w:val="single"/>
                    </w:rPr>
                  </w:pPr>
                  <w:r>
                    <w:rPr>
                      <w:rFonts w:hint="eastAsia"/>
                      <w:color w:val="auto"/>
                      <w:szCs w:val="21"/>
                      <w:u w:val="single"/>
                    </w:rPr>
                    <w:t>9</w:t>
                  </w:r>
                  <w:r>
                    <w:rPr>
                      <w:color w:val="auto"/>
                      <w:szCs w:val="21"/>
                      <w:u w:val="single"/>
                    </w:rPr>
                    <w:t>0m*</w:t>
                  </w:r>
                  <w:r>
                    <w:rPr>
                      <w:rFonts w:hint="eastAsia"/>
                      <w:color w:val="auto"/>
                      <w:szCs w:val="21"/>
                      <w:u w:val="single"/>
                    </w:rPr>
                    <w:t>50</w:t>
                  </w:r>
                  <w:r>
                    <w:rPr>
                      <w:color w:val="auto"/>
                      <w:szCs w:val="21"/>
                      <w:u w:val="single"/>
                    </w:rPr>
                    <w:t>m</w:t>
                  </w:r>
                </w:p>
              </w:tc>
              <w:tc>
                <w:tcPr>
                  <w:tcW w:w="1637" w:type="dxa"/>
                  <w:vAlign w:val="center"/>
                </w:tcPr>
                <w:p>
                  <w:pPr>
                    <w:pStyle w:val="20"/>
                    <w:ind w:left="400" w:hanging="400"/>
                    <w:rPr>
                      <w:color w:val="auto"/>
                      <w:szCs w:val="21"/>
                      <w:u w:val="single"/>
                    </w:rPr>
                  </w:pPr>
                  <w:r>
                    <w:rPr>
                      <w:rFonts w:hint="eastAsia"/>
                      <w:color w:val="auto"/>
                      <w:szCs w:val="21"/>
                      <w:u w:val="single"/>
                      <w:lang w:val="en-US" w:eastAsia="zh-CN"/>
                    </w:rPr>
                    <w:t>10</w:t>
                  </w:r>
                  <w:r>
                    <w:rPr>
                      <w:color w:val="auto"/>
                      <w:szCs w:val="21"/>
                      <w:u w:val="single"/>
                    </w:rPr>
                    <w:t>m</w:t>
                  </w:r>
                </w:p>
              </w:tc>
            </w:tr>
          </w:tbl>
          <w:p>
            <w:pPr>
              <w:snapToGrid w:val="0"/>
              <w:spacing w:beforeLines="50"/>
              <w:ind w:firstLine="422" w:firstLineChars="176"/>
              <w:rPr>
                <w:rFonts w:hAnsi="宋体"/>
                <w:b/>
                <w:bCs/>
                <w:color w:val="auto"/>
                <w:u w:val="single"/>
              </w:rPr>
            </w:pPr>
            <w:r>
              <w:rPr>
                <w:rFonts w:hAnsi="宋体"/>
                <w:color w:val="auto"/>
                <w:u w:val="single"/>
              </w:rPr>
              <w:t>废气预估数据见下表。</w:t>
            </w: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p>
          <w:p>
            <w:pPr>
              <w:pStyle w:val="2"/>
              <w:snapToGrid w:val="0"/>
              <w:spacing w:after="0"/>
              <w:ind w:left="480" w:firstLine="482"/>
              <w:jc w:val="center"/>
              <w:rPr>
                <w:rFonts w:hAnsi="宋体"/>
                <w:b/>
                <w:bCs/>
                <w:color w:val="auto"/>
                <w:u w:val="single"/>
              </w:rPr>
            </w:pPr>
            <w:r>
              <w:rPr>
                <w:rFonts w:hAnsi="宋体"/>
                <w:b/>
                <w:bCs/>
                <w:color w:val="auto"/>
                <w:u w:val="single"/>
              </w:rPr>
              <w:t>表</w:t>
            </w:r>
            <w:r>
              <w:rPr>
                <w:rFonts w:hint="eastAsia"/>
                <w:b/>
                <w:bCs/>
                <w:color w:val="auto"/>
                <w:u w:val="single"/>
              </w:rPr>
              <w:t>7</w:t>
            </w:r>
            <w:r>
              <w:rPr>
                <w:b/>
                <w:bCs/>
                <w:color w:val="auto"/>
                <w:u w:val="single"/>
              </w:rPr>
              <w:t>-</w:t>
            </w:r>
            <w:r>
              <w:rPr>
                <w:rFonts w:hint="eastAsia"/>
                <w:b/>
                <w:bCs/>
                <w:color w:val="auto"/>
                <w:u w:val="single"/>
              </w:rPr>
              <w:t>6</w:t>
            </w:r>
            <w:r>
              <w:rPr>
                <w:rFonts w:hint="eastAsia"/>
                <w:b/>
                <w:bCs/>
                <w:color w:val="auto"/>
                <w:u w:val="single"/>
                <w:lang w:val="en-US" w:eastAsia="zh-CN"/>
              </w:rPr>
              <w:t xml:space="preserve">   </w:t>
            </w:r>
            <w:r>
              <w:rPr>
                <w:rFonts w:hAnsi="宋体"/>
                <w:b/>
                <w:bCs/>
                <w:color w:val="auto"/>
                <w:u w:val="single"/>
              </w:rPr>
              <w:t>废气主要污染源预估结果一览表</w:t>
            </w:r>
          </w:p>
          <w:tbl>
            <w:tblPr>
              <w:tblStyle w:val="25"/>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777"/>
              <w:gridCol w:w="1857"/>
              <w:gridCol w:w="1558"/>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22" w:type="dxa"/>
                  <w:vMerge w:val="restart"/>
                  <w:vAlign w:val="center"/>
                </w:tcPr>
                <w:p>
                  <w:pPr>
                    <w:pStyle w:val="11"/>
                    <w:snapToGrid w:val="0"/>
                    <w:rPr>
                      <w:b/>
                      <w:bCs/>
                      <w:color w:val="auto"/>
                      <w:kern w:val="0"/>
                      <w:szCs w:val="21"/>
                      <w:u w:val="single"/>
                    </w:rPr>
                  </w:pPr>
                  <w:r>
                    <w:rPr>
                      <w:b/>
                      <w:bCs/>
                      <w:color w:val="auto"/>
                      <w:kern w:val="0"/>
                      <w:szCs w:val="21"/>
                      <w:u w:val="single"/>
                    </w:rPr>
                    <w:t>距离</w:t>
                  </w:r>
                </w:p>
              </w:tc>
              <w:tc>
                <w:tcPr>
                  <w:tcW w:w="3634" w:type="dxa"/>
                  <w:gridSpan w:val="2"/>
                  <w:vAlign w:val="center"/>
                </w:tcPr>
                <w:p>
                  <w:pPr>
                    <w:pStyle w:val="11"/>
                    <w:snapToGrid w:val="0"/>
                    <w:rPr>
                      <w:b/>
                      <w:bCs/>
                      <w:color w:val="auto"/>
                      <w:kern w:val="0"/>
                      <w:szCs w:val="21"/>
                      <w:u w:val="single"/>
                    </w:rPr>
                  </w:pPr>
                  <w:r>
                    <w:rPr>
                      <w:b/>
                      <w:bCs/>
                      <w:color w:val="auto"/>
                      <w:kern w:val="0"/>
                      <w:szCs w:val="21"/>
                      <w:u w:val="single"/>
                    </w:rPr>
                    <w:t>VOCs（</w:t>
                  </w:r>
                  <w:r>
                    <w:rPr>
                      <w:rFonts w:hint="eastAsia"/>
                      <w:b/>
                      <w:bCs/>
                      <w:color w:val="auto"/>
                      <w:kern w:val="0"/>
                      <w:szCs w:val="21"/>
                      <w:u w:val="single"/>
                    </w:rPr>
                    <w:t>点源正常工况</w:t>
                  </w:r>
                  <w:r>
                    <w:rPr>
                      <w:b/>
                      <w:bCs/>
                      <w:color w:val="auto"/>
                      <w:kern w:val="0"/>
                      <w:szCs w:val="21"/>
                      <w:u w:val="single"/>
                    </w:rPr>
                    <w:t>）</w:t>
                  </w:r>
                </w:p>
              </w:tc>
              <w:tc>
                <w:tcPr>
                  <w:tcW w:w="3383" w:type="dxa"/>
                  <w:gridSpan w:val="2"/>
                  <w:vAlign w:val="center"/>
                </w:tcPr>
                <w:p>
                  <w:pPr>
                    <w:pStyle w:val="11"/>
                    <w:snapToGrid w:val="0"/>
                    <w:rPr>
                      <w:b/>
                      <w:bCs/>
                      <w:color w:val="auto"/>
                      <w:kern w:val="0"/>
                      <w:szCs w:val="21"/>
                      <w:u w:val="single"/>
                    </w:rPr>
                  </w:pPr>
                  <w:r>
                    <w:rPr>
                      <w:b/>
                      <w:bCs/>
                      <w:color w:val="auto"/>
                      <w:kern w:val="0"/>
                      <w:szCs w:val="21"/>
                      <w:u w:val="single"/>
                    </w:rPr>
                    <w:t>VOCs（</w:t>
                  </w:r>
                  <w:r>
                    <w:rPr>
                      <w:rFonts w:hint="eastAsia"/>
                      <w:b/>
                      <w:bCs/>
                      <w:color w:val="auto"/>
                      <w:kern w:val="0"/>
                      <w:szCs w:val="21"/>
                      <w:u w:val="single"/>
                    </w:rPr>
                    <w:t>点源非正常工况</w:t>
                  </w:r>
                  <w:r>
                    <w:rPr>
                      <w:b/>
                      <w:bCs/>
                      <w:color w:val="auto"/>
                      <w:kern w:val="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122" w:type="dxa"/>
                  <w:vMerge w:val="continue"/>
                  <w:vAlign w:val="center"/>
                </w:tcPr>
                <w:p>
                  <w:pPr>
                    <w:pStyle w:val="11"/>
                    <w:snapToGrid w:val="0"/>
                    <w:rPr>
                      <w:b/>
                      <w:bCs/>
                      <w:color w:val="auto"/>
                      <w:kern w:val="0"/>
                      <w:szCs w:val="21"/>
                      <w:u w:val="single"/>
                    </w:rPr>
                  </w:pPr>
                </w:p>
              </w:tc>
              <w:tc>
                <w:tcPr>
                  <w:tcW w:w="1777" w:type="dxa"/>
                  <w:vAlign w:val="center"/>
                </w:tcPr>
                <w:p>
                  <w:pPr>
                    <w:pStyle w:val="11"/>
                    <w:snapToGrid w:val="0"/>
                    <w:rPr>
                      <w:b/>
                      <w:bCs/>
                      <w:color w:val="auto"/>
                      <w:kern w:val="0"/>
                      <w:szCs w:val="21"/>
                      <w:u w:val="single"/>
                    </w:rPr>
                  </w:pPr>
                  <w:r>
                    <w:rPr>
                      <w:b/>
                      <w:bCs/>
                      <w:color w:val="auto"/>
                      <w:kern w:val="0"/>
                      <w:szCs w:val="21"/>
                      <w:u w:val="single"/>
                    </w:rPr>
                    <w:t>浓度限值（</w:t>
                  </w:r>
                  <w:r>
                    <w:rPr>
                      <w:rFonts w:hint="eastAsia"/>
                      <w:b/>
                      <w:bCs/>
                      <w:color w:val="auto"/>
                      <w:szCs w:val="21"/>
                      <w:u w:val="single"/>
                    </w:rPr>
                    <w:t>mg/m</w:t>
                  </w:r>
                  <w:r>
                    <w:rPr>
                      <w:rFonts w:hint="eastAsia"/>
                      <w:b/>
                      <w:bCs/>
                      <w:color w:val="auto"/>
                      <w:szCs w:val="21"/>
                      <w:u w:val="single"/>
                      <w:vertAlign w:val="superscript"/>
                    </w:rPr>
                    <w:t>3</w:t>
                  </w:r>
                  <w:r>
                    <w:rPr>
                      <w:b/>
                      <w:bCs/>
                      <w:color w:val="auto"/>
                      <w:kern w:val="0"/>
                      <w:szCs w:val="21"/>
                      <w:u w:val="single"/>
                    </w:rPr>
                    <w:t>）</w:t>
                  </w:r>
                </w:p>
              </w:tc>
              <w:tc>
                <w:tcPr>
                  <w:tcW w:w="1857" w:type="dxa"/>
                  <w:vAlign w:val="center"/>
                </w:tcPr>
                <w:p>
                  <w:pPr>
                    <w:pStyle w:val="11"/>
                    <w:snapToGrid w:val="0"/>
                    <w:rPr>
                      <w:b/>
                      <w:bCs/>
                      <w:color w:val="auto"/>
                      <w:kern w:val="0"/>
                      <w:szCs w:val="21"/>
                      <w:u w:val="single"/>
                    </w:rPr>
                  </w:pPr>
                  <w:r>
                    <w:rPr>
                      <w:b/>
                      <w:bCs/>
                      <w:color w:val="auto"/>
                      <w:kern w:val="0"/>
                      <w:szCs w:val="21"/>
                      <w:u w:val="single"/>
                    </w:rPr>
                    <w:t>占标率（%）</w:t>
                  </w:r>
                </w:p>
              </w:tc>
              <w:tc>
                <w:tcPr>
                  <w:tcW w:w="1558" w:type="dxa"/>
                  <w:vAlign w:val="center"/>
                </w:tcPr>
                <w:p>
                  <w:pPr>
                    <w:pStyle w:val="11"/>
                    <w:snapToGrid w:val="0"/>
                    <w:rPr>
                      <w:b/>
                      <w:bCs/>
                      <w:color w:val="auto"/>
                      <w:kern w:val="0"/>
                      <w:szCs w:val="21"/>
                      <w:u w:val="single"/>
                    </w:rPr>
                  </w:pPr>
                  <w:r>
                    <w:rPr>
                      <w:b/>
                      <w:bCs/>
                      <w:color w:val="auto"/>
                      <w:kern w:val="0"/>
                      <w:szCs w:val="21"/>
                      <w:u w:val="single"/>
                    </w:rPr>
                    <w:t>浓度限值（</w:t>
                  </w:r>
                  <w:r>
                    <w:rPr>
                      <w:rFonts w:hint="eastAsia"/>
                      <w:b/>
                      <w:bCs/>
                      <w:color w:val="auto"/>
                      <w:szCs w:val="21"/>
                      <w:u w:val="single"/>
                    </w:rPr>
                    <w:t>mg/m</w:t>
                  </w:r>
                  <w:r>
                    <w:rPr>
                      <w:rFonts w:hint="eastAsia"/>
                      <w:b/>
                      <w:bCs/>
                      <w:color w:val="auto"/>
                      <w:szCs w:val="21"/>
                      <w:u w:val="single"/>
                      <w:vertAlign w:val="superscript"/>
                    </w:rPr>
                    <w:t>3</w:t>
                  </w:r>
                  <w:r>
                    <w:rPr>
                      <w:b/>
                      <w:bCs/>
                      <w:color w:val="auto"/>
                      <w:kern w:val="0"/>
                      <w:szCs w:val="21"/>
                      <w:u w:val="single"/>
                    </w:rPr>
                    <w:t>）</w:t>
                  </w:r>
                </w:p>
              </w:tc>
              <w:tc>
                <w:tcPr>
                  <w:tcW w:w="1825" w:type="dxa"/>
                  <w:vAlign w:val="center"/>
                </w:tcPr>
                <w:p>
                  <w:pPr>
                    <w:pStyle w:val="11"/>
                    <w:snapToGrid w:val="0"/>
                    <w:rPr>
                      <w:b/>
                      <w:bCs/>
                      <w:color w:val="auto"/>
                      <w:kern w:val="0"/>
                      <w:szCs w:val="21"/>
                      <w:u w:val="single"/>
                    </w:rPr>
                  </w:pPr>
                  <w:r>
                    <w:rPr>
                      <w:b/>
                      <w:bCs/>
                      <w:color w:val="auto"/>
                      <w:kern w:val="0"/>
                      <w:szCs w:val="21"/>
                      <w:u w:val="singl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22" w:type="dxa"/>
                  <w:vAlign w:val="center"/>
                </w:tcPr>
                <w:p>
                  <w:pPr>
                    <w:pStyle w:val="11"/>
                    <w:snapToGrid w:val="0"/>
                    <w:rPr>
                      <w:color w:val="auto"/>
                      <w:kern w:val="0"/>
                      <w:szCs w:val="21"/>
                      <w:u w:val="single"/>
                    </w:rPr>
                  </w:pPr>
                  <w:r>
                    <w:rPr>
                      <w:color w:val="auto"/>
                      <w:kern w:val="0"/>
                      <w:szCs w:val="21"/>
                      <w:u w:val="single"/>
                    </w:rPr>
                    <w:t>10.00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0.00000533</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0.0000354</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color w:val="auto"/>
                      <w:kern w:val="0"/>
                      <w:szCs w:val="21"/>
                      <w:u w:val="single"/>
                    </w:rPr>
                    <w:t>25.00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0.000308</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0.03</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0.00204</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color w:val="auto"/>
                      <w:kern w:val="0"/>
                      <w:szCs w:val="21"/>
                      <w:u w:val="single"/>
                    </w:rPr>
                    <w:t>50.00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0.00102</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0.08</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0.00677</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color w:val="auto"/>
                      <w:kern w:val="0"/>
                      <w:szCs w:val="21"/>
                      <w:u w:val="single"/>
                    </w:rPr>
                    <w:t>75.00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0.00414</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0.34</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0.0274</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color w:val="auto"/>
                      <w:kern w:val="0"/>
                      <w:szCs w:val="21"/>
                      <w:u w:val="single"/>
                    </w:rPr>
                    <w:t>100.00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0.00865</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0.72</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0.0574</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rFonts w:hint="eastAsia"/>
                      <w:color w:val="auto"/>
                      <w:kern w:val="0"/>
                      <w:szCs w:val="21"/>
                      <w:u w:val="single"/>
                    </w:rPr>
                    <w:t>125.00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0.0113</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0.94</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0.0747</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b/>
                      <w:bCs/>
                      <w:color w:val="auto"/>
                      <w:kern w:val="0"/>
                      <w:szCs w:val="21"/>
                      <w:u w:val="single"/>
                    </w:rPr>
                  </w:pPr>
                  <w:r>
                    <w:rPr>
                      <w:color w:val="auto"/>
                      <w:kern w:val="0"/>
                      <w:szCs w:val="21"/>
                      <w:u w:val="single"/>
                    </w:rPr>
                    <w:t>150.00</w:t>
                  </w:r>
                </w:p>
              </w:tc>
              <w:tc>
                <w:tcPr>
                  <w:tcW w:w="1777" w:type="dxa"/>
                  <w:vAlign w:val="center"/>
                </w:tcPr>
                <w:p>
                  <w:pPr>
                    <w:pStyle w:val="11"/>
                    <w:snapToGrid w:val="0"/>
                    <w:rPr>
                      <w:rFonts w:hint="default" w:eastAsia="宋体"/>
                      <w:b/>
                      <w:bCs/>
                      <w:color w:val="auto"/>
                      <w:kern w:val="0"/>
                      <w:szCs w:val="21"/>
                      <w:u w:val="single"/>
                      <w:lang w:val="en-US" w:eastAsia="zh-CN"/>
                    </w:rPr>
                  </w:pPr>
                  <w:r>
                    <w:rPr>
                      <w:rFonts w:hint="eastAsia"/>
                      <w:b/>
                      <w:bCs/>
                      <w:color w:val="auto"/>
                      <w:kern w:val="0"/>
                      <w:szCs w:val="21"/>
                      <w:u w:val="single"/>
                      <w:lang w:val="en-US" w:eastAsia="zh-CN"/>
                    </w:rPr>
                    <w:t>0.0118</w:t>
                  </w:r>
                </w:p>
              </w:tc>
              <w:tc>
                <w:tcPr>
                  <w:tcW w:w="1857" w:type="dxa"/>
                  <w:vAlign w:val="center"/>
                </w:tcPr>
                <w:p>
                  <w:pPr>
                    <w:pStyle w:val="11"/>
                    <w:snapToGrid w:val="0"/>
                    <w:rPr>
                      <w:rFonts w:hint="default" w:eastAsia="宋体"/>
                      <w:b/>
                      <w:bCs/>
                      <w:color w:val="auto"/>
                      <w:kern w:val="0"/>
                      <w:szCs w:val="21"/>
                      <w:u w:val="single"/>
                      <w:lang w:val="en-US" w:eastAsia="zh-CN"/>
                    </w:rPr>
                  </w:pPr>
                  <w:r>
                    <w:rPr>
                      <w:rFonts w:hint="eastAsia"/>
                      <w:b/>
                      <w:bCs/>
                      <w:color w:val="auto"/>
                      <w:kern w:val="0"/>
                      <w:szCs w:val="21"/>
                      <w:u w:val="single"/>
                      <w:lang w:val="en-US" w:eastAsia="zh-CN"/>
                    </w:rPr>
                    <w:t>0.99</w:t>
                  </w:r>
                </w:p>
              </w:tc>
              <w:tc>
                <w:tcPr>
                  <w:tcW w:w="1558" w:type="dxa"/>
                  <w:vAlign w:val="center"/>
                </w:tcPr>
                <w:p>
                  <w:pPr>
                    <w:pStyle w:val="11"/>
                    <w:snapToGrid w:val="0"/>
                    <w:rPr>
                      <w:rFonts w:hint="default" w:eastAsia="宋体"/>
                      <w:b/>
                      <w:bCs/>
                      <w:color w:val="auto"/>
                      <w:kern w:val="0"/>
                      <w:szCs w:val="21"/>
                      <w:u w:val="single"/>
                      <w:lang w:val="en-US" w:eastAsia="zh-CN"/>
                    </w:rPr>
                  </w:pPr>
                  <w:r>
                    <w:rPr>
                      <w:rFonts w:hint="eastAsia"/>
                      <w:b/>
                      <w:bCs/>
                      <w:color w:val="auto"/>
                      <w:kern w:val="0"/>
                      <w:szCs w:val="21"/>
                      <w:u w:val="single"/>
                      <w:lang w:val="en-US" w:eastAsia="zh-CN"/>
                    </w:rPr>
                    <w:t>0.0785</w:t>
                  </w:r>
                </w:p>
              </w:tc>
              <w:tc>
                <w:tcPr>
                  <w:tcW w:w="1825" w:type="dxa"/>
                  <w:vAlign w:val="center"/>
                </w:tcPr>
                <w:p>
                  <w:pPr>
                    <w:pStyle w:val="11"/>
                    <w:snapToGrid w:val="0"/>
                    <w:rPr>
                      <w:rFonts w:hint="default" w:eastAsia="宋体"/>
                      <w:b/>
                      <w:bCs/>
                      <w:color w:val="auto"/>
                      <w:kern w:val="0"/>
                      <w:szCs w:val="21"/>
                      <w:u w:val="single"/>
                      <w:lang w:val="en-US" w:eastAsia="zh-CN"/>
                    </w:rPr>
                  </w:pPr>
                  <w:r>
                    <w:rPr>
                      <w:rFonts w:hint="eastAsia"/>
                      <w:b/>
                      <w:bCs/>
                      <w:color w:val="auto"/>
                      <w:kern w:val="0"/>
                      <w:szCs w:val="21"/>
                      <w:u w:val="single"/>
                      <w:lang w:val="en-US" w:eastAsia="zh-CN"/>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153.00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0.0118</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0.99</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0.0785</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color w:val="auto"/>
                      <w:kern w:val="0"/>
                      <w:szCs w:val="21"/>
                      <w:u w:val="single"/>
                    </w:rPr>
                    <w:t>175.00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0.0116</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0.97</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0.0771</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color w:val="auto"/>
                      <w:kern w:val="0"/>
                      <w:szCs w:val="21"/>
                      <w:u w:val="single"/>
                    </w:rPr>
                    <w:t>200.00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0.0111</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0.92</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0.0735</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color w:val="auto"/>
                      <w:kern w:val="0"/>
                      <w:szCs w:val="21"/>
                      <w:u w:val="single"/>
                    </w:rPr>
                    <w:t>225.00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0.0104</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0.87</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0.0691</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color w:val="auto"/>
                      <w:kern w:val="0"/>
                      <w:szCs w:val="21"/>
                      <w:u w:val="single"/>
                    </w:rPr>
                    <w:t>250.00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0.00973</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0.81</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0.0645</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2" w:type="dxa"/>
                  <w:vAlign w:val="center"/>
                </w:tcPr>
                <w:p>
                  <w:pPr>
                    <w:pStyle w:val="11"/>
                    <w:snapToGrid w:val="0"/>
                    <w:rPr>
                      <w:color w:val="auto"/>
                      <w:kern w:val="0"/>
                      <w:szCs w:val="21"/>
                      <w:u w:val="single"/>
                    </w:rPr>
                  </w:pPr>
                  <w:r>
                    <w:rPr>
                      <w:rFonts w:hint="eastAsia"/>
                      <w:color w:val="auto"/>
                      <w:kern w:val="0"/>
                      <w:szCs w:val="21"/>
                      <w:u w:val="single"/>
                    </w:rPr>
                    <w:t>275.00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0.00906</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0.75</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0.0601</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122" w:type="dxa"/>
                  <w:vAlign w:val="center"/>
                </w:tcPr>
                <w:p>
                  <w:pPr>
                    <w:pStyle w:val="11"/>
                    <w:snapToGrid w:val="0"/>
                    <w:rPr>
                      <w:color w:val="auto"/>
                      <w:kern w:val="0"/>
                      <w:szCs w:val="21"/>
                      <w:u w:val="single"/>
                    </w:rPr>
                  </w:pPr>
                  <w:r>
                    <w:rPr>
                      <w:rFonts w:hint="eastAsia"/>
                      <w:color w:val="auto"/>
                      <w:kern w:val="0"/>
                      <w:szCs w:val="21"/>
                      <w:u w:val="single"/>
                    </w:rPr>
                    <w:t>300.00</w:t>
                  </w:r>
                </w:p>
              </w:tc>
              <w:tc>
                <w:tcPr>
                  <w:tcW w:w="177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0.00843</w:t>
                  </w:r>
                </w:p>
              </w:tc>
              <w:tc>
                <w:tcPr>
                  <w:tcW w:w="1857"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0.70</w:t>
                  </w:r>
                </w:p>
              </w:tc>
              <w:tc>
                <w:tcPr>
                  <w:tcW w:w="155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0.0559</w:t>
                  </w:r>
                </w:p>
              </w:tc>
              <w:tc>
                <w:tcPr>
                  <w:tcW w:w="1825"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4.66</w:t>
                  </w:r>
                </w:p>
              </w:tc>
            </w:tr>
          </w:tbl>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int="eastAsia" w:hAnsi="宋体" w:eastAsia="宋体"/>
                <w:b/>
                <w:bCs/>
                <w:color w:val="auto"/>
                <w:sz w:val="24"/>
                <w:szCs w:val="24"/>
                <w:u w:val="single"/>
              </w:rPr>
            </w:pPr>
          </w:p>
          <w:p>
            <w:pPr>
              <w:pStyle w:val="51"/>
              <w:spacing w:line="360" w:lineRule="auto"/>
              <w:ind w:firstLine="0"/>
              <w:jc w:val="center"/>
              <w:rPr>
                <w:rFonts w:hAnsi="宋体" w:eastAsia="宋体"/>
                <w:b/>
                <w:bCs/>
                <w:color w:val="auto"/>
                <w:sz w:val="24"/>
                <w:szCs w:val="24"/>
                <w:u w:val="single"/>
              </w:rPr>
            </w:pPr>
            <w:r>
              <w:rPr>
                <w:rFonts w:hint="eastAsia" w:hAnsi="宋体" w:eastAsia="宋体"/>
                <w:b/>
                <w:bCs/>
                <w:color w:val="auto"/>
                <w:sz w:val="24"/>
                <w:szCs w:val="24"/>
                <w:u w:val="single"/>
              </w:rPr>
              <w:t>表7-7   废气预测结果一览表（面源）</w:t>
            </w:r>
          </w:p>
          <w:tbl>
            <w:tblPr>
              <w:tblStyle w:val="25"/>
              <w:tblW w:w="6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2548"/>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08" w:type="dxa"/>
                  <w:vMerge w:val="restart"/>
                  <w:vAlign w:val="center"/>
                </w:tcPr>
                <w:p>
                  <w:pPr>
                    <w:pStyle w:val="11"/>
                    <w:snapToGrid w:val="0"/>
                    <w:rPr>
                      <w:b/>
                      <w:bCs/>
                      <w:color w:val="auto"/>
                      <w:kern w:val="0"/>
                      <w:szCs w:val="21"/>
                      <w:u w:val="single"/>
                    </w:rPr>
                  </w:pPr>
                  <w:r>
                    <w:rPr>
                      <w:b/>
                      <w:bCs/>
                      <w:color w:val="auto"/>
                      <w:kern w:val="0"/>
                      <w:szCs w:val="21"/>
                      <w:u w:val="single"/>
                    </w:rPr>
                    <w:t>距离</w:t>
                  </w:r>
                </w:p>
              </w:tc>
              <w:tc>
                <w:tcPr>
                  <w:tcW w:w="5211" w:type="dxa"/>
                  <w:gridSpan w:val="2"/>
                  <w:vAlign w:val="center"/>
                </w:tcPr>
                <w:p>
                  <w:pPr>
                    <w:pStyle w:val="11"/>
                    <w:snapToGrid w:val="0"/>
                    <w:rPr>
                      <w:b/>
                      <w:bCs/>
                      <w:color w:val="auto"/>
                      <w:kern w:val="0"/>
                      <w:szCs w:val="21"/>
                      <w:u w:val="single"/>
                    </w:rPr>
                  </w:pPr>
                  <w:r>
                    <w:rPr>
                      <w:b/>
                      <w:bCs/>
                      <w:color w:val="auto"/>
                      <w:kern w:val="0"/>
                      <w:szCs w:val="21"/>
                      <w:u w:val="single"/>
                    </w:rPr>
                    <w:t>VOCs（</w:t>
                  </w:r>
                  <w:r>
                    <w:rPr>
                      <w:rFonts w:hint="eastAsia"/>
                      <w:b/>
                      <w:bCs/>
                      <w:color w:val="auto"/>
                      <w:kern w:val="0"/>
                      <w:szCs w:val="21"/>
                      <w:u w:val="single"/>
                    </w:rPr>
                    <w:t>面源</w:t>
                  </w:r>
                  <w:r>
                    <w:rPr>
                      <w:b/>
                      <w:bCs/>
                      <w:color w:val="auto"/>
                      <w:kern w:val="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608" w:type="dxa"/>
                  <w:vMerge w:val="continue"/>
                  <w:vAlign w:val="center"/>
                </w:tcPr>
                <w:p>
                  <w:pPr>
                    <w:pStyle w:val="11"/>
                    <w:snapToGrid w:val="0"/>
                    <w:rPr>
                      <w:b/>
                      <w:bCs/>
                      <w:color w:val="auto"/>
                      <w:kern w:val="0"/>
                      <w:szCs w:val="21"/>
                      <w:u w:val="single"/>
                    </w:rPr>
                  </w:pPr>
                </w:p>
              </w:tc>
              <w:tc>
                <w:tcPr>
                  <w:tcW w:w="2548" w:type="dxa"/>
                  <w:vAlign w:val="center"/>
                </w:tcPr>
                <w:p>
                  <w:pPr>
                    <w:pStyle w:val="11"/>
                    <w:snapToGrid w:val="0"/>
                    <w:rPr>
                      <w:b/>
                      <w:bCs/>
                      <w:color w:val="auto"/>
                      <w:kern w:val="0"/>
                      <w:szCs w:val="21"/>
                      <w:u w:val="single"/>
                    </w:rPr>
                  </w:pPr>
                  <w:r>
                    <w:rPr>
                      <w:b/>
                      <w:bCs/>
                      <w:color w:val="auto"/>
                      <w:kern w:val="0"/>
                      <w:szCs w:val="21"/>
                      <w:u w:val="single"/>
                    </w:rPr>
                    <w:t>浓度限值（</w:t>
                  </w:r>
                  <w:r>
                    <w:rPr>
                      <w:rFonts w:hint="eastAsia"/>
                      <w:b/>
                      <w:bCs/>
                      <w:color w:val="auto"/>
                      <w:szCs w:val="21"/>
                      <w:u w:val="single"/>
                    </w:rPr>
                    <w:t>mg/m</w:t>
                  </w:r>
                  <w:r>
                    <w:rPr>
                      <w:rFonts w:hint="eastAsia"/>
                      <w:b/>
                      <w:bCs/>
                      <w:color w:val="auto"/>
                      <w:szCs w:val="21"/>
                      <w:u w:val="single"/>
                      <w:vertAlign w:val="superscript"/>
                    </w:rPr>
                    <w:t>3</w:t>
                  </w:r>
                  <w:r>
                    <w:rPr>
                      <w:b/>
                      <w:bCs/>
                      <w:color w:val="auto"/>
                      <w:kern w:val="0"/>
                      <w:szCs w:val="21"/>
                      <w:u w:val="single"/>
                    </w:rPr>
                    <w:t>）</w:t>
                  </w:r>
                </w:p>
              </w:tc>
              <w:tc>
                <w:tcPr>
                  <w:tcW w:w="2663" w:type="dxa"/>
                  <w:vAlign w:val="center"/>
                </w:tcPr>
                <w:p>
                  <w:pPr>
                    <w:pStyle w:val="11"/>
                    <w:snapToGrid w:val="0"/>
                    <w:rPr>
                      <w:b/>
                      <w:bCs/>
                      <w:color w:val="auto"/>
                      <w:kern w:val="0"/>
                      <w:szCs w:val="21"/>
                      <w:u w:val="single"/>
                    </w:rPr>
                  </w:pPr>
                  <w:r>
                    <w:rPr>
                      <w:b/>
                      <w:bCs/>
                      <w:color w:val="auto"/>
                      <w:kern w:val="0"/>
                      <w:szCs w:val="21"/>
                      <w:u w:val="singl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08" w:type="dxa"/>
                  <w:vAlign w:val="center"/>
                </w:tcPr>
                <w:p>
                  <w:pPr>
                    <w:pStyle w:val="11"/>
                    <w:snapToGrid w:val="0"/>
                    <w:rPr>
                      <w:color w:val="auto"/>
                      <w:kern w:val="0"/>
                      <w:szCs w:val="21"/>
                      <w:u w:val="single"/>
                    </w:rPr>
                  </w:pPr>
                  <w:r>
                    <w:rPr>
                      <w:color w:val="auto"/>
                      <w:kern w:val="0"/>
                      <w:szCs w:val="21"/>
                      <w:u w:val="single"/>
                    </w:rPr>
                    <w:t>10.00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0.0807</w:t>
                  </w:r>
                </w:p>
              </w:tc>
              <w:tc>
                <w:tcPr>
                  <w:tcW w:w="2663"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rPr>
                      <w:color w:val="auto"/>
                      <w:kern w:val="0"/>
                      <w:szCs w:val="21"/>
                      <w:u w:val="single"/>
                    </w:rPr>
                  </w:pPr>
                  <w:r>
                    <w:rPr>
                      <w:color w:val="auto"/>
                      <w:kern w:val="0"/>
                      <w:szCs w:val="21"/>
                      <w:u w:val="single"/>
                    </w:rPr>
                    <w:t>25.00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0.0963</w:t>
                  </w:r>
                </w:p>
              </w:tc>
              <w:tc>
                <w:tcPr>
                  <w:tcW w:w="2663"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rPr>
                      <w:b/>
                      <w:bCs/>
                      <w:color w:val="auto"/>
                      <w:kern w:val="0"/>
                      <w:szCs w:val="21"/>
                      <w:u w:val="single"/>
                    </w:rPr>
                  </w:pPr>
                  <w:r>
                    <w:rPr>
                      <w:b/>
                      <w:bCs/>
                      <w:color w:val="auto"/>
                      <w:kern w:val="0"/>
                      <w:szCs w:val="21"/>
                      <w:u w:val="single"/>
                    </w:rPr>
                    <w:t>50.00</w:t>
                  </w:r>
                </w:p>
              </w:tc>
              <w:tc>
                <w:tcPr>
                  <w:tcW w:w="2548" w:type="dxa"/>
                  <w:vAlign w:val="center"/>
                </w:tcPr>
                <w:p>
                  <w:pPr>
                    <w:pStyle w:val="11"/>
                    <w:snapToGrid w:val="0"/>
                    <w:rPr>
                      <w:rFonts w:hint="default" w:eastAsia="宋体"/>
                      <w:b/>
                      <w:bCs/>
                      <w:color w:val="auto"/>
                      <w:kern w:val="0"/>
                      <w:szCs w:val="21"/>
                      <w:u w:val="single"/>
                      <w:lang w:val="en-US" w:eastAsia="zh-CN"/>
                    </w:rPr>
                  </w:pPr>
                  <w:r>
                    <w:rPr>
                      <w:rFonts w:hint="eastAsia"/>
                      <w:b/>
                      <w:bCs/>
                      <w:color w:val="auto"/>
                      <w:kern w:val="0"/>
                      <w:szCs w:val="21"/>
                      <w:u w:val="single"/>
                      <w:lang w:val="en-US" w:eastAsia="zh-CN"/>
                    </w:rPr>
                    <w:t>0.116</w:t>
                  </w:r>
                </w:p>
              </w:tc>
              <w:tc>
                <w:tcPr>
                  <w:tcW w:w="2663" w:type="dxa"/>
                  <w:vAlign w:val="center"/>
                </w:tcPr>
                <w:p>
                  <w:pPr>
                    <w:pStyle w:val="11"/>
                    <w:snapToGrid w:val="0"/>
                    <w:rPr>
                      <w:rFonts w:hint="default"/>
                      <w:b/>
                      <w:bCs/>
                      <w:color w:val="auto"/>
                      <w:kern w:val="0"/>
                      <w:szCs w:val="21"/>
                      <w:u w:val="single"/>
                      <w:lang w:val="en-US" w:eastAsia="zh-CN"/>
                    </w:rPr>
                  </w:pPr>
                  <w:r>
                    <w:rPr>
                      <w:rFonts w:hint="eastAsia"/>
                      <w:b/>
                      <w:bCs/>
                      <w:color w:val="auto"/>
                      <w:kern w:val="0"/>
                      <w:szCs w:val="21"/>
                      <w:u w:val="single"/>
                      <w:lang w:val="en-US" w:eastAsia="zh-CN"/>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color w:val="auto"/>
                      <w:kern w:val="0"/>
                      <w:szCs w:val="21"/>
                      <w:u w:val="single"/>
                    </w:rPr>
                    <w:t>75.00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0.0896</w:t>
                  </w:r>
                </w:p>
              </w:tc>
              <w:tc>
                <w:tcPr>
                  <w:tcW w:w="2663" w:type="dxa"/>
                  <w:vAlign w:val="center"/>
                </w:tcPr>
                <w:p>
                  <w:pPr>
                    <w:pStyle w:val="11"/>
                    <w:snapToGrid w:val="0"/>
                    <w:rPr>
                      <w:rFonts w:hint="default"/>
                      <w:color w:val="auto"/>
                      <w:kern w:val="0"/>
                      <w:szCs w:val="21"/>
                      <w:u w:val="single"/>
                      <w:lang w:val="en-US" w:eastAsia="zh-CN"/>
                    </w:rPr>
                  </w:pPr>
                  <w:r>
                    <w:rPr>
                      <w:rFonts w:hint="eastAsia"/>
                      <w:color w:val="auto"/>
                      <w:kern w:val="0"/>
                      <w:szCs w:val="21"/>
                      <w:u w:val="single"/>
                      <w:lang w:val="en-US" w:eastAsia="zh-CN"/>
                    </w:rPr>
                    <w:t>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color w:val="auto"/>
                      <w:kern w:val="0"/>
                      <w:szCs w:val="21"/>
                      <w:u w:val="single"/>
                    </w:rPr>
                    <w:t>100.00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0.0634</w:t>
                  </w:r>
                </w:p>
              </w:tc>
              <w:tc>
                <w:tcPr>
                  <w:tcW w:w="2663" w:type="dxa"/>
                  <w:vAlign w:val="center"/>
                </w:tcPr>
                <w:p>
                  <w:pPr>
                    <w:pStyle w:val="11"/>
                    <w:snapToGrid w:val="0"/>
                    <w:rPr>
                      <w:rFonts w:hint="default"/>
                      <w:color w:val="auto"/>
                      <w:kern w:val="0"/>
                      <w:szCs w:val="21"/>
                      <w:u w:val="single"/>
                      <w:lang w:val="en-US" w:eastAsia="zh-CN"/>
                    </w:rPr>
                  </w:pPr>
                  <w:r>
                    <w:rPr>
                      <w:rFonts w:hint="eastAsia"/>
                      <w:color w:val="auto"/>
                      <w:kern w:val="0"/>
                      <w:szCs w:val="21"/>
                      <w:u w:val="single"/>
                      <w:lang w:val="en-US" w:eastAsia="zh-CN"/>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b/>
                      <w:bCs/>
                      <w:color w:val="auto"/>
                      <w:kern w:val="0"/>
                      <w:sz w:val="24"/>
                      <w:szCs w:val="21"/>
                      <w:u w:val="single"/>
                      <w:lang w:val="en-US" w:eastAsia="zh-CN" w:bidi="ar-SA"/>
                    </w:rPr>
                  </w:pPr>
                  <w:r>
                    <w:rPr>
                      <w:rFonts w:hint="eastAsia"/>
                      <w:color w:val="auto"/>
                      <w:kern w:val="0"/>
                      <w:szCs w:val="21"/>
                      <w:u w:val="single"/>
                    </w:rPr>
                    <w:t>125.00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0.0474</w:t>
                  </w:r>
                </w:p>
              </w:tc>
              <w:tc>
                <w:tcPr>
                  <w:tcW w:w="2663" w:type="dxa"/>
                  <w:vAlign w:val="center"/>
                </w:tcPr>
                <w:p>
                  <w:pPr>
                    <w:pStyle w:val="11"/>
                    <w:snapToGrid w:val="0"/>
                    <w:rPr>
                      <w:rFonts w:hint="default"/>
                      <w:color w:val="auto"/>
                      <w:kern w:val="0"/>
                      <w:szCs w:val="21"/>
                      <w:u w:val="single"/>
                      <w:lang w:val="en-US" w:eastAsia="zh-CN"/>
                    </w:rPr>
                  </w:pPr>
                  <w:r>
                    <w:rPr>
                      <w:rFonts w:hint="eastAsia"/>
                      <w:color w:val="auto"/>
                      <w:kern w:val="0"/>
                      <w:szCs w:val="21"/>
                      <w:u w:val="single"/>
                      <w:lang w:val="en-US" w:eastAsia="zh-CN"/>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color w:val="auto"/>
                      <w:kern w:val="0"/>
                      <w:szCs w:val="21"/>
                      <w:u w:val="single"/>
                    </w:rPr>
                    <w:t>150.00</w:t>
                  </w:r>
                </w:p>
              </w:tc>
              <w:tc>
                <w:tcPr>
                  <w:tcW w:w="2548" w:type="dxa"/>
                  <w:vAlign w:val="center"/>
                </w:tcPr>
                <w:p>
                  <w:pPr>
                    <w:pStyle w:val="11"/>
                    <w:snapToGrid w:val="0"/>
                    <w:rPr>
                      <w:rFonts w:hint="default" w:eastAsia="宋体"/>
                      <w:b w:val="0"/>
                      <w:bCs w:val="0"/>
                      <w:color w:val="auto"/>
                      <w:kern w:val="0"/>
                      <w:szCs w:val="21"/>
                      <w:u w:val="single"/>
                      <w:lang w:val="en-US" w:eastAsia="zh-CN"/>
                    </w:rPr>
                  </w:pPr>
                  <w:r>
                    <w:rPr>
                      <w:rFonts w:hint="eastAsia"/>
                      <w:b w:val="0"/>
                      <w:bCs w:val="0"/>
                      <w:color w:val="auto"/>
                      <w:kern w:val="0"/>
                      <w:szCs w:val="21"/>
                      <w:u w:val="single"/>
                      <w:lang w:val="en-US" w:eastAsia="zh-CN"/>
                    </w:rPr>
                    <w:t>0.0372</w:t>
                  </w:r>
                </w:p>
              </w:tc>
              <w:tc>
                <w:tcPr>
                  <w:tcW w:w="2663" w:type="dxa"/>
                  <w:vAlign w:val="center"/>
                </w:tcPr>
                <w:p>
                  <w:pPr>
                    <w:pStyle w:val="11"/>
                    <w:snapToGrid w:val="0"/>
                    <w:ind w:firstLine="0" w:firstLineChars="0"/>
                    <w:rPr>
                      <w:rFonts w:hint="default" w:ascii="Times New Roman" w:hAnsi="Times New Roman" w:eastAsia="宋体" w:cs="Times New Roman"/>
                      <w:b w:val="0"/>
                      <w:bCs w:val="0"/>
                      <w:color w:val="auto"/>
                      <w:kern w:val="0"/>
                      <w:sz w:val="24"/>
                      <w:szCs w:val="21"/>
                      <w:u w:val="single"/>
                      <w:lang w:val="en-US" w:eastAsia="zh-CN" w:bidi="ar-SA"/>
                    </w:rPr>
                  </w:pPr>
                  <w:r>
                    <w:rPr>
                      <w:rFonts w:hint="eastAsia"/>
                      <w:b w:val="0"/>
                      <w:bCs w:val="0"/>
                      <w:color w:val="auto"/>
                      <w:kern w:val="0"/>
                      <w:szCs w:val="21"/>
                      <w:u w:val="single"/>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color w:val="auto"/>
                      <w:kern w:val="0"/>
                      <w:szCs w:val="21"/>
                      <w:u w:val="single"/>
                    </w:rPr>
                    <w:t>175.00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0.0303</w:t>
                  </w:r>
                </w:p>
              </w:tc>
              <w:tc>
                <w:tcPr>
                  <w:tcW w:w="2663" w:type="dxa"/>
                  <w:vAlign w:val="center"/>
                </w:tcPr>
                <w:p>
                  <w:pPr>
                    <w:pStyle w:val="11"/>
                    <w:snapToGrid w:val="0"/>
                    <w:ind w:firstLine="0" w:firstLineChars="0"/>
                    <w:rPr>
                      <w:rFonts w:hint="default" w:ascii="Times New Roman" w:hAnsi="Times New Roman" w:eastAsia="宋体" w:cs="Times New Roman"/>
                      <w:b/>
                      <w:bCs/>
                      <w:color w:val="auto"/>
                      <w:kern w:val="0"/>
                      <w:sz w:val="24"/>
                      <w:szCs w:val="21"/>
                      <w:u w:val="single"/>
                      <w:lang w:val="en-US" w:eastAsia="zh-CN" w:bidi="ar-SA"/>
                    </w:rPr>
                  </w:pPr>
                  <w:r>
                    <w:rPr>
                      <w:rFonts w:hint="eastAsia"/>
                      <w:b w:val="0"/>
                      <w:bCs w:val="0"/>
                      <w:color w:val="auto"/>
                      <w:kern w:val="0"/>
                      <w:szCs w:val="21"/>
                      <w:u w:val="single"/>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color w:val="auto"/>
                      <w:kern w:val="0"/>
                      <w:szCs w:val="21"/>
                      <w:u w:val="single"/>
                    </w:rPr>
                    <w:t>200.00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0.0253</w:t>
                  </w:r>
                </w:p>
              </w:tc>
              <w:tc>
                <w:tcPr>
                  <w:tcW w:w="2663" w:type="dxa"/>
                  <w:vAlign w:val="center"/>
                </w:tcPr>
                <w:p>
                  <w:pPr>
                    <w:pStyle w:val="11"/>
                    <w:snapToGrid w:val="0"/>
                    <w:ind w:firstLine="0" w:firstLineChars="0"/>
                    <w:rPr>
                      <w:rFonts w:hint="default" w:ascii="Times New Roman" w:hAnsi="Times New Roman" w:eastAsia="宋体" w:cs="Times New Roman"/>
                      <w:color w:val="auto"/>
                      <w:kern w:val="0"/>
                      <w:sz w:val="24"/>
                      <w:szCs w:val="21"/>
                      <w:u w:val="single"/>
                      <w:lang w:val="en-US" w:eastAsia="zh-CN" w:bidi="ar-SA"/>
                    </w:rPr>
                  </w:pPr>
                  <w:r>
                    <w:rPr>
                      <w:rFonts w:hint="eastAsia"/>
                      <w:color w:val="auto"/>
                      <w:kern w:val="0"/>
                      <w:szCs w:val="21"/>
                      <w:u w:val="single"/>
                      <w:lang w:val="en-US" w:eastAsia="zh-CN"/>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color w:val="auto"/>
                      <w:kern w:val="0"/>
                      <w:szCs w:val="21"/>
                      <w:u w:val="single"/>
                    </w:rPr>
                    <w:t>225.00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0.0216</w:t>
                  </w:r>
                </w:p>
              </w:tc>
              <w:tc>
                <w:tcPr>
                  <w:tcW w:w="2663" w:type="dxa"/>
                  <w:vAlign w:val="center"/>
                </w:tcPr>
                <w:p>
                  <w:pPr>
                    <w:pStyle w:val="11"/>
                    <w:snapToGrid w:val="0"/>
                    <w:ind w:firstLine="0" w:firstLineChars="0"/>
                    <w:rPr>
                      <w:rFonts w:hint="default" w:ascii="Times New Roman" w:hAnsi="Times New Roman" w:eastAsia="宋体" w:cs="Times New Roman"/>
                      <w:color w:val="auto"/>
                      <w:kern w:val="0"/>
                      <w:sz w:val="24"/>
                      <w:szCs w:val="21"/>
                      <w:u w:val="single"/>
                      <w:lang w:val="en-US" w:eastAsia="zh-CN" w:bidi="ar-SA"/>
                    </w:rPr>
                  </w:pPr>
                  <w:r>
                    <w:rPr>
                      <w:rFonts w:hint="eastAsia"/>
                      <w:color w:val="auto"/>
                      <w:kern w:val="0"/>
                      <w:szCs w:val="21"/>
                      <w:u w:val="singl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color w:val="auto"/>
                      <w:kern w:val="0"/>
                      <w:szCs w:val="21"/>
                      <w:u w:val="single"/>
                    </w:rPr>
                    <w:t>250.00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0.0187</w:t>
                  </w:r>
                </w:p>
              </w:tc>
              <w:tc>
                <w:tcPr>
                  <w:tcW w:w="2663" w:type="dxa"/>
                  <w:vAlign w:val="center"/>
                </w:tcPr>
                <w:p>
                  <w:pPr>
                    <w:pStyle w:val="11"/>
                    <w:snapToGrid w:val="0"/>
                    <w:ind w:firstLine="0" w:firstLineChars="0"/>
                    <w:rPr>
                      <w:rFonts w:hint="default" w:ascii="Times New Roman" w:hAnsi="Times New Roman" w:eastAsia="宋体" w:cs="Times New Roman"/>
                      <w:color w:val="auto"/>
                      <w:kern w:val="0"/>
                      <w:sz w:val="24"/>
                      <w:szCs w:val="21"/>
                      <w:u w:val="single"/>
                      <w:lang w:val="en-US" w:eastAsia="zh-CN" w:bidi="ar-SA"/>
                    </w:rPr>
                  </w:pPr>
                  <w:r>
                    <w:rPr>
                      <w:rFonts w:hint="eastAsia"/>
                      <w:color w:val="auto"/>
                      <w:kern w:val="0"/>
                      <w:szCs w:val="21"/>
                      <w:u w:val="single"/>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rFonts w:hint="eastAsia"/>
                      <w:color w:val="auto"/>
                      <w:kern w:val="0"/>
                      <w:szCs w:val="21"/>
                      <w:u w:val="single"/>
                    </w:rPr>
                    <w:t>275.00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0.0165</w:t>
                  </w:r>
                </w:p>
              </w:tc>
              <w:tc>
                <w:tcPr>
                  <w:tcW w:w="2663" w:type="dxa"/>
                  <w:vAlign w:val="center"/>
                </w:tcPr>
                <w:p>
                  <w:pPr>
                    <w:pStyle w:val="11"/>
                    <w:snapToGrid w:val="0"/>
                    <w:ind w:firstLine="0" w:firstLineChars="0"/>
                    <w:rPr>
                      <w:rFonts w:hint="default" w:ascii="Times New Roman" w:hAnsi="Times New Roman" w:eastAsia="宋体" w:cs="Times New Roman"/>
                      <w:color w:val="auto"/>
                      <w:kern w:val="0"/>
                      <w:sz w:val="24"/>
                      <w:szCs w:val="21"/>
                      <w:u w:val="single"/>
                      <w:lang w:val="en-US" w:eastAsia="zh-CN" w:bidi="ar-SA"/>
                    </w:rPr>
                  </w:pPr>
                  <w:r>
                    <w:rPr>
                      <w:rFonts w:hint="eastAsia"/>
                      <w:color w:val="auto"/>
                      <w:kern w:val="0"/>
                      <w:szCs w:val="21"/>
                      <w:u w:val="single"/>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608" w:type="dxa"/>
                  <w:vAlign w:val="center"/>
                </w:tcPr>
                <w:p>
                  <w:pPr>
                    <w:pStyle w:val="11"/>
                    <w:snapToGrid w:val="0"/>
                    <w:ind w:firstLine="0" w:firstLineChars="0"/>
                    <w:rPr>
                      <w:rFonts w:ascii="Times New Roman" w:hAnsi="Times New Roman" w:eastAsia="宋体" w:cs="Times New Roman"/>
                      <w:color w:val="auto"/>
                      <w:kern w:val="0"/>
                      <w:sz w:val="24"/>
                      <w:szCs w:val="21"/>
                      <w:u w:val="single"/>
                      <w:lang w:val="en-US" w:eastAsia="zh-CN" w:bidi="ar-SA"/>
                    </w:rPr>
                  </w:pPr>
                  <w:r>
                    <w:rPr>
                      <w:rFonts w:hint="eastAsia"/>
                      <w:color w:val="auto"/>
                      <w:kern w:val="0"/>
                      <w:szCs w:val="21"/>
                      <w:u w:val="single"/>
                    </w:rPr>
                    <w:t>300.00</w:t>
                  </w:r>
                </w:p>
              </w:tc>
              <w:tc>
                <w:tcPr>
                  <w:tcW w:w="2548"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0.0146</w:t>
                  </w:r>
                </w:p>
              </w:tc>
              <w:tc>
                <w:tcPr>
                  <w:tcW w:w="2663" w:type="dxa"/>
                  <w:vAlign w:val="center"/>
                </w:tcPr>
                <w:p>
                  <w:pPr>
                    <w:pStyle w:val="11"/>
                    <w:snapToGrid w:val="0"/>
                    <w:rPr>
                      <w:rFonts w:hint="default" w:eastAsia="宋体"/>
                      <w:color w:val="auto"/>
                      <w:kern w:val="0"/>
                      <w:szCs w:val="21"/>
                      <w:u w:val="single"/>
                      <w:lang w:val="en-US" w:eastAsia="zh-CN"/>
                    </w:rPr>
                  </w:pPr>
                  <w:r>
                    <w:rPr>
                      <w:rFonts w:hint="eastAsia"/>
                      <w:color w:val="auto"/>
                      <w:kern w:val="0"/>
                      <w:szCs w:val="21"/>
                      <w:u w:val="single"/>
                      <w:lang w:val="en-US" w:eastAsia="zh-CN"/>
                    </w:rPr>
                    <w:t>1.22</w:t>
                  </w:r>
                </w:p>
              </w:tc>
            </w:tr>
          </w:tbl>
          <w:p>
            <w:pPr>
              <w:pStyle w:val="51"/>
              <w:spacing w:line="360" w:lineRule="auto"/>
              <w:ind w:left="0" w:leftChars="0" w:firstLine="0" w:firstLineChars="0"/>
              <w:rPr>
                <w:rFonts w:hint="eastAsia" w:hAnsi="宋体" w:eastAsia="宋体"/>
                <w:color w:val="auto"/>
                <w:sz w:val="24"/>
                <w:szCs w:val="24"/>
                <w:u w:val="single"/>
                <w:lang w:eastAsia="zh-CN"/>
              </w:rPr>
            </w:pPr>
            <w:r>
              <w:rPr>
                <w:rFonts w:hint="eastAsia" w:hAnsi="宋体" w:eastAsia="宋体"/>
                <w:color w:val="auto"/>
                <w:sz w:val="24"/>
                <w:szCs w:val="24"/>
                <w:u w:val="single"/>
                <w:lang w:eastAsia="zh-CN"/>
              </w:rPr>
              <w:t>预测结果截图如下所示：</w:t>
            </w:r>
          </w:p>
          <w:p>
            <w:pPr>
              <w:pStyle w:val="51"/>
              <w:spacing w:line="360" w:lineRule="auto"/>
              <w:ind w:left="0" w:leftChars="0" w:firstLine="0" w:firstLineChars="0"/>
              <w:jc w:val="center"/>
              <w:rPr>
                <w:color w:val="auto"/>
              </w:rPr>
            </w:pPr>
            <w:r>
              <w:rPr>
                <w:color w:val="auto"/>
              </w:rPr>
              <w:drawing>
                <wp:inline distT="0" distB="0" distL="114300" distR="114300">
                  <wp:extent cx="5229225" cy="33623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229225" cy="3362325"/>
                          </a:xfrm>
                          <a:prstGeom prst="rect">
                            <a:avLst/>
                          </a:prstGeom>
                          <a:noFill/>
                          <a:ln>
                            <a:noFill/>
                          </a:ln>
                        </pic:spPr>
                      </pic:pic>
                    </a:graphicData>
                  </a:graphic>
                </wp:inline>
              </w:drawing>
            </w:r>
          </w:p>
          <w:p>
            <w:pPr>
              <w:pStyle w:val="51"/>
              <w:spacing w:line="360" w:lineRule="auto"/>
              <w:ind w:left="0" w:leftChars="0" w:firstLine="0" w:firstLineChars="0"/>
              <w:jc w:val="center"/>
              <w:rPr>
                <w:color w:val="auto"/>
              </w:rPr>
            </w:pPr>
            <w:r>
              <w:rPr>
                <w:color w:val="auto"/>
              </w:rPr>
              <w:drawing>
                <wp:inline distT="0" distB="0" distL="114300" distR="114300">
                  <wp:extent cx="5248275" cy="33528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248275" cy="3352800"/>
                          </a:xfrm>
                          <a:prstGeom prst="rect">
                            <a:avLst/>
                          </a:prstGeom>
                          <a:noFill/>
                          <a:ln>
                            <a:noFill/>
                          </a:ln>
                        </pic:spPr>
                      </pic:pic>
                    </a:graphicData>
                  </a:graphic>
                </wp:inline>
              </w:drawing>
            </w:r>
          </w:p>
          <w:p>
            <w:pPr>
              <w:pStyle w:val="51"/>
              <w:spacing w:line="360" w:lineRule="auto"/>
              <w:ind w:firstLine="482" w:firstLineChars="200"/>
              <w:jc w:val="center"/>
              <w:rPr>
                <w:rFonts w:hint="eastAsia" w:hAnsi="宋体" w:eastAsia="宋体"/>
                <w:b/>
                <w:bCs/>
                <w:color w:val="auto"/>
                <w:sz w:val="24"/>
                <w:szCs w:val="24"/>
                <w:u w:val="single"/>
                <w:lang w:val="en-US" w:eastAsia="zh-CN"/>
              </w:rPr>
            </w:pPr>
            <w:r>
              <w:rPr>
                <w:rFonts w:hint="eastAsia" w:hAnsi="宋体" w:eastAsia="宋体"/>
                <w:b/>
                <w:bCs/>
                <w:color w:val="auto"/>
                <w:sz w:val="24"/>
                <w:szCs w:val="24"/>
                <w:u w:val="single"/>
                <w:lang w:eastAsia="zh-CN"/>
              </w:rPr>
              <w:t>图</w:t>
            </w:r>
            <w:r>
              <w:rPr>
                <w:rFonts w:hint="eastAsia" w:hAnsi="宋体" w:eastAsia="宋体"/>
                <w:b/>
                <w:bCs/>
                <w:color w:val="auto"/>
                <w:sz w:val="24"/>
                <w:szCs w:val="24"/>
                <w:u w:val="single"/>
                <w:lang w:val="en-US" w:eastAsia="zh-CN"/>
              </w:rPr>
              <w:t>7-1   无组织废气预测结果</w:t>
            </w:r>
          </w:p>
          <w:p>
            <w:pPr>
              <w:pStyle w:val="51"/>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baseline"/>
              <w:rPr>
                <w:color w:val="auto"/>
              </w:rPr>
            </w:pPr>
            <w:r>
              <w:rPr>
                <w:color w:val="auto"/>
              </w:rPr>
              <w:drawing>
                <wp:inline distT="0" distB="0" distL="114300" distR="114300">
                  <wp:extent cx="5238750" cy="3467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38750" cy="3467100"/>
                          </a:xfrm>
                          <a:prstGeom prst="rect">
                            <a:avLst/>
                          </a:prstGeom>
                          <a:noFill/>
                          <a:ln>
                            <a:noFill/>
                          </a:ln>
                        </pic:spPr>
                      </pic:pic>
                    </a:graphicData>
                  </a:graphic>
                </wp:inline>
              </w:drawing>
            </w:r>
          </w:p>
          <w:p>
            <w:pPr>
              <w:pStyle w:val="51"/>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baseline"/>
              <w:rPr>
                <w:color w:val="auto"/>
              </w:rPr>
            </w:pPr>
            <w:r>
              <w:rPr>
                <w:color w:val="auto"/>
              </w:rPr>
              <w:drawing>
                <wp:inline distT="0" distB="0" distL="114300" distR="114300">
                  <wp:extent cx="5238750" cy="34575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238750" cy="3457575"/>
                          </a:xfrm>
                          <a:prstGeom prst="rect">
                            <a:avLst/>
                          </a:prstGeom>
                          <a:noFill/>
                          <a:ln>
                            <a:noFill/>
                          </a:ln>
                        </pic:spPr>
                      </pic:pic>
                    </a:graphicData>
                  </a:graphic>
                </wp:inline>
              </w:drawing>
            </w:r>
          </w:p>
          <w:p>
            <w:pPr>
              <w:pStyle w:val="51"/>
              <w:spacing w:line="360" w:lineRule="auto"/>
              <w:ind w:firstLine="482" w:firstLineChars="200"/>
              <w:jc w:val="center"/>
              <w:rPr>
                <w:rFonts w:hint="eastAsia" w:hAnsi="宋体" w:eastAsia="宋体"/>
                <w:b/>
                <w:bCs/>
                <w:color w:val="auto"/>
                <w:sz w:val="24"/>
                <w:szCs w:val="24"/>
                <w:u w:val="single"/>
                <w:lang w:val="en-US" w:eastAsia="zh-CN"/>
              </w:rPr>
            </w:pPr>
            <w:r>
              <w:rPr>
                <w:rFonts w:hint="eastAsia" w:hAnsi="宋体" w:eastAsia="宋体"/>
                <w:b/>
                <w:bCs/>
                <w:color w:val="auto"/>
                <w:sz w:val="24"/>
                <w:szCs w:val="24"/>
                <w:u w:val="single"/>
                <w:lang w:eastAsia="zh-CN"/>
              </w:rPr>
              <w:t>图</w:t>
            </w:r>
            <w:r>
              <w:rPr>
                <w:rFonts w:hint="eastAsia" w:hAnsi="宋体" w:eastAsia="宋体"/>
                <w:b/>
                <w:bCs/>
                <w:color w:val="auto"/>
                <w:sz w:val="24"/>
                <w:szCs w:val="24"/>
                <w:u w:val="single"/>
                <w:lang w:val="en-US" w:eastAsia="zh-CN"/>
              </w:rPr>
              <w:t>7-2   正常工况有组织废气预测结果</w:t>
            </w:r>
          </w:p>
          <w:p>
            <w:pPr>
              <w:pStyle w:val="51"/>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baseline"/>
              <w:rPr>
                <w:color w:val="auto"/>
              </w:rPr>
            </w:pPr>
            <w:r>
              <w:rPr>
                <w:color w:val="auto"/>
              </w:rPr>
              <w:drawing>
                <wp:inline distT="0" distB="0" distL="114300" distR="114300">
                  <wp:extent cx="5257800" cy="3505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5257800" cy="3505200"/>
                          </a:xfrm>
                          <a:prstGeom prst="rect">
                            <a:avLst/>
                          </a:prstGeom>
                          <a:noFill/>
                          <a:ln>
                            <a:noFill/>
                          </a:ln>
                        </pic:spPr>
                      </pic:pic>
                    </a:graphicData>
                  </a:graphic>
                </wp:inline>
              </w:drawing>
            </w:r>
          </w:p>
          <w:p>
            <w:pPr>
              <w:pStyle w:val="51"/>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baseline"/>
              <w:rPr>
                <w:color w:val="auto"/>
              </w:rPr>
            </w:pPr>
            <w:r>
              <w:rPr>
                <w:color w:val="auto"/>
              </w:rPr>
              <w:drawing>
                <wp:inline distT="0" distB="0" distL="114300" distR="114300">
                  <wp:extent cx="5229225" cy="34861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5229225" cy="3486150"/>
                          </a:xfrm>
                          <a:prstGeom prst="rect">
                            <a:avLst/>
                          </a:prstGeom>
                          <a:noFill/>
                          <a:ln>
                            <a:noFill/>
                          </a:ln>
                        </pic:spPr>
                      </pic:pic>
                    </a:graphicData>
                  </a:graphic>
                </wp:inline>
              </w:drawing>
            </w:r>
          </w:p>
          <w:p>
            <w:pPr>
              <w:pStyle w:val="51"/>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baseline"/>
              <w:rPr>
                <w:rFonts w:hint="default" w:eastAsia="楷体_GB2312"/>
                <w:color w:val="auto"/>
                <w:lang w:val="en-US" w:eastAsia="zh-CN"/>
              </w:rPr>
            </w:pPr>
            <w:r>
              <w:rPr>
                <w:rFonts w:hint="eastAsia" w:hAnsi="宋体" w:eastAsia="宋体"/>
                <w:b/>
                <w:bCs/>
                <w:color w:val="auto"/>
                <w:sz w:val="24"/>
                <w:szCs w:val="24"/>
                <w:u w:val="single"/>
                <w:lang w:eastAsia="zh-CN"/>
              </w:rPr>
              <w:t>图</w:t>
            </w:r>
            <w:r>
              <w:rPr>
                <w:rFonts w:hint="eastAsia" w:hAnsi="宋体" w:eastAsia="宋体"/>
                <w:b/>
                <w:bCs/>
                <w:color w:val="auto"/>
                <w:sz w:val="24"/>
                <w:szCs w:val="24"/>
                <w:u w:val="single"/>
                <w:lang w:val="en-US" w:eastAsia="zh-CN"/>
              </w:rPr>
              <w:t>7-3   非正常工况有组织废气预测结果</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由以上预测数据可知，本项目有组织排放正常工况下与非正常Pmax最大值出现在下风向1</w:t>
            </w:r>
            <w:r>
              <w:rPr>
                <w:rFonts w:hint="eastAsia" w:hAnsi="宋体" w:eastAsia="宋体"/>
                <w:color w:val="auto"/>
                <w:sz w:val="24"/>
                <w:szCs w:val="24"/>
                <w:u w:val="single"/>
                <w:lang w:val="en-US" w:eastAsia="zh-CN"/>
              </w:rPr>
              <w:t>53</w:t>
            </w:r>
            <w:r>
              <w:rPr>
                <w:rFonts w:hint="eastAsia" w:hAnsi="宋体" w:eastAsia="宋体"/>
                <w:color w:val="auto"/>
                <w:sz w:val="24"/>
                <w:szCs w:val="24"/>
                <w:u w:val="single"/>
              </w:rPr>
              <w:t>m处，有组织正常工况下最浓落地浓度为0.0</w:t>
            </w:r>
            <w:r>
              <w:rPr>
                <w:rFonts w:hint="eastAsia" w:hAnsi="宋体" w:eastAsia="宋体"/>
                <w:color w:val="auto"/>
                <w:sz w:val="24"/>
                <w:szCs w:val="24"/>
                <w:u w:val="single"/>
                <w:lang w:val="en-US" w:eastAsia="zh-CN"/>
              </w:rPr>
              <w:t>118</w:t>
            </w:r>
            <w:r>
              <w:rPr>
                <w:rFonts w:hint="eastAsia" w:hAnsi="宋体" w:eastAsia="宋体"/>
                <w:color w:val="auto"/>
                <w:sz w:val="24"/>
                <w:szCs w:val="24"/>
                <w:u w:val="single"/>
              </w:rPr>
              <w:t>mg/m</w:t>
            </w:r>
            <w:r>
              <w:rPr>
                <w:rFonts w:hint="eastAsia" w:hAnsi="宋体" w:eastAsia="宋体"/>
                <w:color w:val="auto"/>
                <w:sz w:val="24"/>
                <w:szCs w:val="24"/>
                <w:u w:val="single"/>
                <w:vertAlign w:val="superscript"/>
              </w:rPr>
              <w:t>3</w:t>
            </w:r>
            <w:r>
              <w:rPr>
                <w:rFonts w:hint="eastAsia" w:hAnsi="宋体" w:eastAsia="宋体"/>
                <w:color w:val="auto"/>
                <w:sz w:val="24"/>
                <w:szCs w:val="24"/>
                <w:u w:val="single"/>
              </w:rPr>
              <w:t>，非正常工况下最大落地浓度为0.1</w:t>
            </w:r>
            <w:r>
              <w:rPr>
                <w:rFonts w:hint="eastAsia" w:hAnsi="宋体" w:eastAsia="宋体"/>
                <w:color w:val="auto"/>
                <w:sz w:val="24"/>
                <w:szCs w:val="24"/>
                <w:u w:val="single"/>
                <w:lang w:val="en-US" w:eastAsia="zh-CN"/>
              </w:rPr>
              <w:t>6</w:t>
            </w:r>
            <w:r>
              <w:rPr>
                <w:rFonts w:hint="eastAsia" w:hAnsi="宋体" w:eastAsia="宋体"/>
                <w:color w:val="auto"/>
                <w:sz w:val="24"/>
                <w:szCs w:val="24"/>
                <w:u w:val="single"/>
              </w:rPr>
              <w:t>1mg/m</w:t>
            </w:r>
            <w:r>
              <w:rPr>
                <w:rFonts w:hint="eastAsia" w:hAnsi="宋体" w:eastAsia="宋体"/>
                <w:color w:val="auto"/>
                <w:sz w:val="24"/>
                <w:szCs w:val="24"/>
                <w:u w:val="single"/>
                <w:vertAlign w:val="superscript"/>
              </w:rPr>
              <w:t>3</w:t>
            </w:r>
            <w:r>
              <w:rPr>
                <w:rFonts w:hint="eastAsia" w:hAnsi="宋体" w:eastAsia="宋体"/>
                <w:color w:val="auto"/>
                <w:sz w:val="24"/>
                <w:szCs w:val="24"/>
                <w:u w:val="single"/>
              </w:rPr>
              <w:t>。无组织排放中的最大落地浓度为下风向</w:t>
            </w:r>
            <w:r>
              <w:rPr>
                <w:rFonts w:hint="eastAsia" w:hAnsi="宋体" w:eastAsia="宋体"/>
                <w:color w:val="auto"/>
                <w:sz w:val="24"/>
                <w:szCs w:val="24"/>
                <w:u w:val="single"/>
                <w:lang w:val="en-US" w:eastAsia="zh-CN"/>
              </w:rPr>
              <w:t>50</w:t>
            </w:r>
            <w:r>
              <w:rPr>
                <w:rFonts w:hint="eastAsia" w:hAnsi="宋体" w:eastAsia="宋体"/>
                <w:color w:val="auto"/>
                <w:sz w:val="24"/>
                <w:szCs w:val="24"/>
                <w:u w:val="single"/>
              </w:rPr>
              <w:t>m处，最大落地浓度为0.</w:t>
            </w:r>
            <w:r>
              <w:rPr>
                <w:rFonts w:hint="eastAsia" w:hAnsi="宋体" w:eastAsia="宋体"/>
                <w:color w:val="auto"/>
                <w:sz w:val="24"/>
                <w:szCs w:val="24"/>
                <w:u w:val="single"/>
                <w:lang w:val="en-US" w:eastAsia="zh-CN"/>
              </w:rPr>
              <w:t>116</w:t>
            </w:r>
            <w:r>
              <w:rPr>
                <w:rFonts w:hint="eastAsia" w:hAnsi="宋体" w:eastAsia="宋体"/>
                <w:color w:val="auto"/>
                <w:sz w:val="24"/>
                <w:szCs w:val="24"/>
                <w:u w:val="single"/>
              </w:rPr>
              <w:t>mg/m</w:t>
            </w:r>
            <w:r>
              <w:rPr>
                <w:rFonts w:hint="eastAsia" w:hAnsi="宋体" w:eastAsia="宋体"/>
                <w:color w:val="auto"/>
                <w:sz w:val="24"/>
                <w:szCs w:val="24"/>
                <w:u w:val="single"/>
                <w:vertAlign w:val="superscript"/>
              </w:rPr>
              <w:t>3</w:t>
            </w:r>
            <w:r>
              <w:rPr>
                <w:rFonts w:hint="eastAsia" w:hAnsi="宋体" w:eastAsia="宋体"/>
                <w:color w:val="auto"/>
                <w:sz w:val="24"/>
                <w:szCs w:val="24"/>
                <w:u w:val="single"/>
              </w:rPr>
              <w:t>。</w:t>
            </w:r>
          </w:p>
          <w:p>
            <w:pPr>
              <w:pStyle w:val="51"/>
              <w:spacing w:line="360" w:lineRule="auto"/>
              <w:ind w:firstLine="480" w:firstLineChars="200"/>
              <w:rPr>
                <w:rFonts w:hAnsi="宋体" w:eastAsia="宋体"/>
                <w:color w:val="auto"/>
                <w:sz w:val="24"/>
                <w:szCs w:val="24"/>
                <w:u w:val="single"/>
              </w:rPr>
            </w:pPr>
            <w:r>
              <w:rPr>
                <w:rFonts w:hint="eastAsia" w:hAnsi="宋体" w:eastAsia="宋体"/>
                <w:color w:val="auto"/>
                <w:sz w:val="24"/>
                <w:szCs w:val="24"/>
                <w:u w:val="single"/>
              </w:rPr>
              <w:t>根据《环境影响评价技术导则 大气环境》(HJ2.2-2018)分级判据，本项目正常工况下的有组织与无组织的最大浓度占标率1%&lt;Pmax&lt;10%，因此可确定本项目大气环境影响评价工作等级为二级，无需进行进一步分析与评价</w:t>
            </w:r>
            <w:r>
              <w:rPr>
                <w:rFonts w:hint="eastAsia" w:hAnsi="宋体" w:eastAsia="宋体"/>
                <w:color w:val="auto"/>
                <w:sz w:val="24"/>
                <w:szCs w:val="24"/>
                <w:u w:val="single"/>
                <w:lang w:eastAsia="zh-CN"/>
              </w:rPr>
              <w:t>，</w:t>
            </w:r>
            <w:r>
              <w:rPr>
                <w:rFonts w:hint="eastAsia" w:hAnsi="宋体" w:eastAsia="宋体"/>
                <w:color w:val="auto"/>
                <w:sz w:val="24"/>
                <w:szCs w:val="24"/>
                <w:u w:val="single"/>
              </w:rPr>
              <w:t>只需对大气排放量进行核算。</w:t>
            </w:r>
          </w:p>
          <w:p>
            <w:pPr>
              <w:pStyle w:val="51"/>
              <w:spacing w:line="360" w:lineRule="auto"/>
              <w:ind w:firstLine="480" w:firstLineChars="200"/>
              <w:rPr>
                <w:color w:val="auto"/>
              </w:rPr>
            </w:pPr>
            <w:r>
              <w:rPr>
                <w:rFonts w:hint="eastAsia" w:hAnsi="宋体" w:eastAsia="宋体"/>
                <w:color w:val="auto"/>
                <w:sz w:val="24"/>
                <w:szCs w:val="24"/>
                <w:u w:val="single"/>
              </w:rPr>
              <w:t>预测结果表明本项目废气排放可以满足大气环境质量标准中的要求，可做到达标排放，不会对周边环境产生较大影响。</w:t>
            </w:r>
          </w:p>
          <w:p>
            <w:pPr>
              <w:ind w:left="480" w:leftChars="200" w:firstLine="0" w:firstLineChars="0"/>
              <w:jc w:val="both"/>
              <w:rPr>
                <w:b/>
                <w:color w:val="auto"/>
                <w:u w:val="single"/>
              </w:rPr>
            </w:pPr>
            <w:r>
              <w:rPr>
                <w:rFonts w:hint="eastAsia"/>
                <w:b/>
                <w:color w:val="auto"/>
                <w:u w:val="single"/>
              </w:rPr>
              <w:t>（3）</w:t>
            </w:r>
            <w:r>
              <w:rPr>
                <w:b/>
                <w:color w:val="auto"/>
                <w:u w:val="single"/>
              </w:rPr>
              <w:t>污染物排放量核算</w:t>
            </w: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b/>
                <w:bCs/>
                <w:color w:val="auto"/>
                <w:u w:val="single"/>
              </w:rPr>
            </w:pPr>
          </w:p>
          <w:p>
            <w:pPr>
              <w:autoSpaceDE w:val="0"/>
              <w:autoSpaceDN w:val="0"/>
              <w:adjustRightInd w:val="0"/>
              <w:snapToGrid w:val="0"/>
              <w:spacing w:line="240" w:lineRule="auto"/>
              <w:ind w:firstLine="0" w:firstLineChars="0"/>
              <w:jc w:val="center"/>
              <w:rPr>
                <w:color w:val="auto"/>
                <w:sz w:val="21"/>
                <w:u w:val="single"/>
              </w:rPr>
            </w:pPr>
            <w:r>
              <w:rPr>
                <w:b/>
                <w:bCs/>
                <w:color w:val="auto"/>
                <w:u w:val="single"/>
              </w:rPr>
              <w:t>表</w:t>
            </w:r>
            <w:r>
              <w:rPr>
                <w:rFonts w:hint="eastAsia"/>
                <w:b/>
                <w:bCs/>
                <w:color w:val="auto"/>
                <w:u w:val="single"/>
              </w:rPr>
              <w:t xml:space="preserve">7-6   </w:t>
            </w:r>
            <w:r>
              <w:rPr>
                <w:b/>
                <w:bCs/>
                <w:color w:val="auto"/>
                <w:u w:val="single"/>
              </w:rPr>
              <w:t>大气污染物有组织排放量核算表</w:t>
            </w:r>
          </w:p>
          <w:tbl>
            <w:tblPr>
              <w:tblStyle w:val="25"/>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1157"/>
              <w:gridCol w:w="1078"/>
              <w:gridCol w:w="1571"/>
              <w:gridCol w:w="1303"/>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4"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hAnsiTheme="minorEastAsia" w:eastAsiaTheme="minorEastAsia"/>
                      <w:color w:val="auto"/>
                      <w:kern w:val="0"/>
                      <w:sz w:val="21"/>
                      <w:szCs w:val="21"/>
                      <w:u w:val="single"/>
                    </w:rPr>
                    <w:t>序号</w:t>
                  </w:r>
                </w:p>
              </w:tc>
              <w:tc>
                <w:tcPr>
                  <w:tcW w:w="1170"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hAnsiTheme="minorEastAsia" w:eastAsiaTheme="minorEastAsia"/>
                      <w:color w:val="auto"/>
                      <w:kern w:val="0"/>
                      <w:sz w:val="21"/>
                      <w:szCs w:val="21"/>
                      <w:u w:val="single"/>
                    </w:rPr>
                    <w:t>排放口编号</w:t>
                  </w:r>
                </w:p>
              </w:tc>
              <w:tc>
                <w:tcPr>
                  <w:tcW w:w="1090"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hAnsiTheme="minorEastAsia" w:eastAsiaTheme="minorEastAsia"/>
                      <w:color w:val="auto"/>
                      <w:kern w:val="0"/>
                      <w:sz w:val="21"/>
                      <w:szCs w:val="21"/>
                      <w:u w:val="single"/>
                    </w:rPr>
                    <w:t>污染物</w:t>
                  </w:r>
                </w:p>
              </w:tc>
              <w:tc>
                <w:tcPr>
                  <w:tcW w:w="1590"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hAnsiTheme="minorEastAsia" w:eastAsiaTheme="minorEastAsia"/>
                      <w:color w:val="auto"/>
                      <w:kern w:val="0"/>
                      <w:sz w:val="21"/>
                      <w:szCs w:val="21"/>
                      <w:u w:val="single"/>
                    </w:rPr>
                    <w:t>核算排放浓度</w:t>
                  </w:r>
                  <w:r>
                    <w:rPr>
                      <w:rFonts w:eastAsiaTheme="minorEastAsia"/>
                      <w:color w:val="auto"/>
                      <w:kern w:val="0"/>
                      <w:sz w:val="21"/>
                      <w:szCs w:val="21"/>
                      <w:u w:val="single"/>
                    </w:rPr>
                    <w:t>/(mg/m</w:t>
                  </w:r>
                  <w:r>
                    <w:rPr>
                      <w:rFonts w:eastAsiaTheme="minorEastAsia"/>
                      <w:color w:val="auto"/>
                      <w:kern w:val="0"/>
                      <w:sz w:val="21"/>
                      <w:szCs w:val="21"/>
                      <w:u w:val="single"/>
                      <w:vertAlign w:val="superscript"/>
                    </w:rPr>
                    <w:t>3</w:t>
                  </w:r>
                  <w:r>
                    <w:rPr>
                      <w:rFonts w:eastAsiaTheme="minorEastAsia"/>
                      <w:color w:val="auto"/>
                      <w:kern w:val="0"/>
                      <w:sz w:val="21"/>
                      <w:szCs w:val="21"/>
                      <w:u w:val="single"/>
                    </w:rPr>
                    <w:t>)</w:t>
                  </w:r>
                </w:p>
              </w:tc>
              <w:tc>
                <w:tcPr>
                  <w:tcW w:w="1318"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hAnsiTheme="minorEastAsia" w:eastAsiaTheme="minorEastAsia"/>
                      <w:color w:val="auto"/>
                      <w:kern w:val="0"/>
                      <w:sz w:val="21"/>
                      <w:szCs w:val="21"/>
                      <w:u w:val="single"/>
                    </w:rPr>
                    <w:t>核算排放速率</w:t>
                  </w:r>
                  <w:r>
                    <w:rPr>
                      <w:rFonts w:eastAsiaTheme="minorEastAsia"/>
                      <w:color w:val="auto"/>
                      <w:kern w:val="0"/>
                      <w:sz w:val="21"/>
                      <w:szCs w:val="21"/>
                      <w:u w:val="single"/>
                    </w:rPr>
                    <w:t>/(kg/h)</w:t>
                  </w:r>
                </w:p>
              </w:tc>
              <w:tc>
                <w:tcPr>
                  <w:tcW w:w="1776"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hAnsiTheme="minorEastAsia" w:eastAsiaTheme="minorEastAsia"/>
                      <w:color w:val="auto"/>
                      <w:kern w:val="0"/>
                      <w:sz w:val="21"/>
                      <w:szCs w:val="21"/>
                      <w:u w:val="single"/>
                    </w:rPr>
                    <w:t>核算年排放量</w:t>
                  </w:r>
                </w:p>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eastAsiaTheme="minorEastAsia"/>
                      <w:color w:val="auto"/>
                      <w:kern w:val="0"/>
                      <w:sz w:val="21"/>
                      <w:szCs w:val="21"/>
                      <w:u w:val="single"/>
                    </w:rPr>
                    <w:t>/</w:t>
                  </w:r>
                  <w:r>
                    <w:rPr>
                      <w:rFonts w:hAnsiTheme="minorEastAsia" w:eastAsiaTheme="minorEastAsia"/>
                      <w:color w:val="auto"/>
                      <w:kern w:val="0"/>
                      <w:sz w:val="21"/>
                      <w:szCs w:val="21"/>
                      <w:u w:val="single"/>
                    </w:rPr>
                    <w:t>（</w:t>
                  </w:r>
                  <w:r>
                    <w:rPr>
                      <w:rFonts w:eastAsiaTheme="minorEastAsia"/>
                      <w:color w:val="auto"/>
                      <w:kern w:val="0"/>
                      <w:sz w:val="21"/>
                      <w:szCs w:val="21"/>
                      <w:u w:val="single"/>
                    </w:rPr>
                    <w:t>t/a</w:t>
                  </w:r>
                  <w:r>
                    <w:rPr>
                      <w:rFonts w:hAnsiTheme="minorEastAsia" w:eastAsiaTheme="minorEastAsia"/>
                      <w:color w:val="auto"/>
                      <w:kern w:val="0"/>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4"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eastAsiaTheme="minorEastAsia"/>
                      <w:color w:val="auto"/>
                      <w:kern w:val="0"/>
                      <w:sz w:val="21"/>
                      <w:szCs w:val="21"/>
                      <w:u w:val="single"/>
                    </w:rPr>
                    <w:t>1</w:t>
                  </w:r>
                </w:p>
              </w:tc>
              <w:tc>
                <w:tcPr>
                  <w:tcW w:w="1170"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eastAsiaTheme="minorEastAsia"/>
                      <w:color w:val="auto"/>
                      <w:kern w:val="0"/>
                      <w:sz w:val="21"/>
                      <w:szCs w:val="21"/>
                      <w:u w:val="single"/>
                    </w:rPr>
                    <w:t>P1</w:t>
                  </w:r>
                </w:p>
              </w:tc>
              <w:tc>
                <w:tcPr>
                  <w:tcW w:w="1090" w:type="dxa"/>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eastAsiaTheme="minorEastAsia"/>
                      <w:color w:val="auto"/>
                      <w:kern w:val="0"/>
                      <w:sz w:val="21"/>
                      <w:szCs w:val="21"/>
                      <w:u w:val="single"/>
                    </w:rPr>
                    <w:t>VOCs</w:t>
                  </w:r>
                </w:p>
              </w:tc>
              <w:tc>
                <w:tcPr>
                  <w:tcW w:w="1590" w:type="dxa"/>
                  <w:shd w:val="clear" w:color="auto" w:fill="auto"/>
                  <w:vAlign w:val="center"/>
                </w:tcPr>
                <w:p>
                  <w:pPr>
                    <w:spacing w:line="240" w:lineRule="auto"/>
                    <w:ind w:firstLine="0" w:firstLineChars="0"/>
                    <w:jc w:val="center"/>
                    <w:rPr>
                      <w:rFonts w:hint="default" w:eastAsiaTheme="minorEastAsia"/>
                      <w:color w:val="auto"/>
                      <w:sz w:val="22"/>
                      <w:szCs w:val="20"/>
                      <w:u w:val="single"/>
                      <w:lang w:val="en-US" w:eastAsia="zh-CN"/>
                    </w:rPr>
                  </w:pPr>
                  <w:r>
                    <w:rPr>
                      <w:rFonts w:hint="eastAsia" w:eastAsiaTheme="minorEastAsia"/>
                      <w:color w:val="auto"/>
                      <w:sz w:val="21"/>
                      <w:szCs w:val="21"/>
                      <w:u w:val="single"/>
                      <w:lang w:val="en-US" w:eastAsia="zh-CN"/>
                    </w:rPr>
                    <w:t>12.93</w:t>
                  </w:r>
                </w:p>
              </w:tc>
              <w:tc>
                <w:tcPr>
                  <w:tcW w:w="1318" w:type="dxa"/>
                  <w:shd w:val="clear" w:color="auto" w:fill="auto"/>
                  <w:vAlign w:val="center"/>
                </w:tcPr>
                <w:p>
                  <w:pPr>
                    <w:spacing w:line="240" w:lineRule="auto"/>
                    <w:ind w:firstLine="0" w:firstLineChars="0"/>
                    <w:jc w:val="center"/>
                    <w:rPr>
                      <w:rFonts w:hint="default" w:eastAsiaTheme="minorEastAsia"/>
                      <w:color w:val="auto"/>
                      <w:sz w:val="22"/>
                      <w:szCs w:val="20"/>
                      <w:u w:val="single"/>
                      <w:lang w:val="en-US" w:eastAsia="zh-CN"/>
                    </w:rPr>
                  </w:pPr>
                  <w:r>
                    <w:rPr>
                      <w:rFonts w:hint="eastAsia" w:eastAsiaTheme="minorEastAsia"/>
                      <w:color w:val="auto"/>
                      <w:sz w:val="21"/>
                      <w:szCs w:val="21"/>
                      <w:u w:val="single"/>
                      <w:lang w:val="en-US" w:eastAsia="zh-CN"/>
                    </w:rPr>
                    <w:t>0.26</w:t>
                  </w:r>
                </w:p>
              </w:tc>
              <w:tc>
                <w:tcPr>
                  <w:tcW w:w="1776" w:type="dxa"/>
                  <w:shd w:val="clear" w:color="auto" w:fill="auto"/>
                  <w:vAlign w:val="center"/>
                </w:tcPr>
                <w:p>
                  <w:pPr>
                    <w:spacing w:line="240" w:lineRule="auto"/>
                    <w:ind w:firstLine="0" w:firstLineChars="0"/>
                    <w:jc w:val="center"/>
                    <w:rPr>
                      <w:rFonts w:hint="default" w:eastAsiaTheme="minorEastAsia"/>
                      <w:color w:val="auto"/>
                      <w:sz w:val="21"/>
                      <w:szCs w:val="21"/>
                      <w:u w:val="single"/>
                      <w:lang w:val="en-US" w:eastAsia="zh-CN"/>
                    </w:rPr>
                  </w:pPr>
                  <w:r>
                    <w:rPr>
                      <w:rFonts w:hint="eastAsia" w:eastAsiaTheme="minorEastAsia"/>
                      <w:color w:val="auto"/>
                      <w:sz w:val="21"/>
                      <w:szCs w:val="21"/>
                      <w:u w:val="single"/>
                      <w:lang w:val="en-US" w:eastAsia="zh-CN"/>
                    </w:rPr>
                    <w:t>0.621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shd w:val="clear" w:color="auto" w:fill="auto"/>
                  <w:vAlign w:val="center"/>
                </w:tcPr>
                <w:p>
                  <w:pPr>
                    <w:spacing w:line="240" w:lineRule="auto"/>
                    <w:ind w:firstLine="0" w:firstLineChars="0"/>
                    <w:jc w:val="center"/>
                    <w:rPr>
                      <w:rFonts w:eastAsiaTheme="minorEastAsia"/>
                      <w:color w:val="auto"/>
                      <w:sz w:val="21"/>
                      <w:szCs w:val="21"/>
                      <w:u w:val="single"/>
                    </w:rPr>
                  </w:pPr>
                  <w:r>
                    <w:rPr>
                      <w:rFonts w:hAnsiTheme="minorEastAsia" w:eastAsiaTheme="minorEastAsia"/>
                      <w:color w:val="auto"/>
                      <w:sz w:val="21"/>
                      <w:szCs w:val="21"/>
                      <w:u w:val="single"/>
                    </w:rPr>
                    <w:t>一般排放口合计</w:t>
                  </w:r>
                </w:p>
              </w:tc>
              <w:tc>
                <w:tcPr>
                  <w:tcW w:w="5168" w:type="dxa"/>
                  <w:gridSpan w:val="4"/>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eastAsiaTheme="minorEastAsia"/>
                      <w:color w:val="auto"/>
                      <w:kern w:val="0"/>
                      <w:sz w:val="21"/>
                      <w:szCs w:val="21"/>
                      <w:u w:val="single"/>
                    </w:rPr>
                    <w:t>VOCs</w:t>
                  </w:r>
                </w:p>
              </w:tc>
              <w:tc>
                <w:tcPr>
                  <w:tcW w:w="1776" w:type="dxa"/>
                  <w:shd w:val="clear" w:color="auto" w:fill="auto"/>
                  <w:vAlign w:val="center"/>
                </w:tcPr>
                <w:p>
                  <w:pPr>
                    <w:spacing w:line="240" w:lineRule="auto"/>
                    <w:ind w:firstLine="0" w:firstLineChars="0"/>
                    <w:jc w:val="center"/>
                    <w:rPr>
                      <w:rFonts w:hint="default" w:eastAsiaTheme="minorEastAsia"/>
                      <w:color w:val="auto"/>
                      <w:sz w:val="22"/>
                      <w:szCs w:val="20"/>
                      <w:u w:val="single"/>
                      <w:lang w:val="en-US" w:eastAsia="zh-CN"/>
                    </w:rPr>
                  </w:pPr>
                  <w:r>
                    <w:rPr>
                      <w:rFonts w:hint="eastAsia" w:eastAsiaTheme="minorEastAsia"/>
                      <w:color w:val="auto"/>
                      <w:sz w:val="21"/>
                      <w:szCs w:val="21"/>
                      <w:u w:val="single"/>
                      <w:lang w:val="en-US" w:eastAsia="zh-CN"/>
                    </w:rPr>
                    <w:t>0.621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8" w:type="dxa"/>
                  <w:gridSpan w:val="6"/>
                  <w:shd w:val="clear" w:color="auto" w:fill="auto"/>
                  <w:vAlign w:val="center"/>
                </w:tcPr>
                <w:p>
                  <w:pPr>
                    <w:spacing w:line="240" w:lineRule="auto"/>
                    <w:ind w:firstLine="0" w:firstLineChars="0"/>
                    <w:jc w:val="center"/>
                    <w:rPr>
                      <w:rFonts w:eastAsiaTheme="minorEastAsia"/>
                      <w:color w:val="auto"/>
                      <w:sz w:val="21"/>
                      <w:szCs w:val="21"/>
                      <w:u w:val="single"/>
                    </w:rPr>
                  </w:pPr>
                  <w:r>
                    <w:rPr>
                      <w:rFonts w:hAnsiTheme="minorEastAsia" w:eastAsiaTheme="minorEastAsia"/>
                      <w:color w:val="auto"/>
                      <w:sz w:val="21"/>
                      <w:szCs w:val="21"/>
                      <w:u w:val="single"/>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shd w:val="clear" w:color="auto" w:fill="auto"/>
                  <w:vAlign w:val="center"/>
                </w:tcPr>
                <w:p>
                  <w:pPr>
                    <w:spacing w:line="240" w:lineRule="auto"/>
                    <w:ind w:firstLine="0" w:firstLineChars="0"/>
                    <w:jc w:val="center"/>
                    <w:rPr>
                      <w:rFonts w:eastAsiaTheme="minorEastAsia"/>
                      <w:color w:val="auto"/>
                      <w:sz w:val="21"/>
                      <w:szCs w:val="21"/>
                      <w:u w:val="single"/>
                    </w:rPr>
                  </w:pPr>
                  <w:r>
                    <w:rPr>
                      <w:rFonts w:hAnsiTheme="minorEastAsia" w:eastAsiaTheme="minorEastAsia"/>
                      <w:color w:val="auto"/>
                      <w:sz w:val="21"/>
                      <w:szCs w:val="21"/>
                      <w:u w:val="single"/>
                    </w:rPr>
                    <w:t>有组织排放总计</w:t>
                  </w:r>
                </w:p>
              </w:tc>
              <w:tc>
                <w:tcPr>
                  <w:tcW w:w="5168" w:type="dxa"/>
                  <w:gridSpan w:val="4"/>
                  <w:shd w:val="clear" w:color="auto" w:fill="auto"/>
                  <w:vAlign w:val="center"/>
                </w:tcPr>
                <w:p>
                  <w:pPr>
                    <w:autoSpaceDE w:val="0"/>
                    <w:autoSpaceDN w:val="0"/>
                    <w:adjustRightInd w:val="0"/>
                    <w:spacing w:line="240" w:lineRule="auto"/>
                    <w:ind w:firstLine="0" w:firstLineChars="0"/>
                    <w:jc w:val="center"/>
                    <w:rPr>
                      <w:rFonts w:eastAsiaTheme="minorEastAsia"/>
                      <w:color w:val="auto"/>
                      <w:kern w:val="0"/>
                      <w:sz w:val="21"/>
                      <w:szCs w:val="21"/>
                      <w:u w:val="single"/>
                    </w:rPr>
                  </w:pPr>
                  <w:r>
                    <w:rPr>
                      <w:rFonts w:eastAsiaTheme="minorEastAsia"/>
                      <w:color w:val="auto"/>
                      <w:kern w:val="0"/>
                      <w:sz w:val="21"/>
                      <w:szCs w:val="21"/>
                      <w:u w:val="single"/>
                    </w:rPr>
                    <w:t>VOCs</w:t>
                  </w:r>
                </w:p>
              </w:tc>
              <w:tc>
                <w:tcPr>
                  <w:tcW w:w="1776" w:type="dxa"/>
                  <w:shd w:val="clear" w:color="auto" w:fill="auto"/>
                  <w:vAlign w:val="center"/>
                </w:tcPr>
                <w:p>
                  <w:pPr>
                    <w:spacing w:line="240" w:lineRule="auto"/>
                    <w:ind w:firstLine="0" w:firstLineChars="0"/>
                    <w:jc w:val="center"/>
                    <w:rPr>
                      <w:rFonts w:hint="default" w:eastAsiaTheme="minorEastAsia"/>
                      <w:color w:val="auto"/>
                      <w:sz w:val="21"/>
                      <w:szCs w:val="21"/>
                      <w:u w:val="single"/>
                      <w:lang w:val="en-US" w:eastAsia="zh-CN"/>
                    </w:rPr>
                  </w:pPr>
                  <w:r>
                    <w:rPr>
                      <w:rFonts w:hint="eastAsia" w:eastAsiaTheme="minorEastAsia"/>
                      <w:color w:val="auto"/>
                      <w:sz w:val="21"/>
                      <w:szCs w:val="21"/>
                      <w:u w:val="single"/>
                      <w:lang w:val="en-US" w:eastAsia="zh-CN"/>
                    </w:rPr>
                    <w:t>0.621</w:t>
                  </w:r>
                </w:p>
              </w:tc>
            </w:tr>
          </w:tbl>
          <w:p>
            <w:pPr>
              <w:autoSpaceDE w:val="0"/>
              <w:autoSpaceDN w:val="0"/>
              <w:adjustRightInd w:val="0"/>
              <w:snapToGrid w:val="0"/>
              <w:spacing w:line="240" w:lineRule="auto"/>
              <w:ind w:firstLine="0" w:firstLineChars="0"/>
              <w:jc w:val="center"/>
              <w:rPr>
                <w:color w:val="auto"/>
                <w:sz w:val="21"/>
                <w:u w:val="single"/>
              </w:rPr>
            </w:pPr>
            <w:r>
              <w:rPr>
                <w:b/>
                <w:bCs/>
                <w:color w:val="auto"/>
                <w:u w:val="single"/>
              </w:rPr>
              <w:t>表</w:t>
            </w:r>
            <w:r>
              <w:rPr>
                <w:rFonts w:hint="eastAsia"/>
                <w:b/>
                <w:bCs/>
                <w:color w:val="auto"/>
                <w:u w:val="single"/>
              </w:rPr>
              <w:t>7-7</w:t>
            </w:r>
            <w:r>
              <w:rPr>
                <w:b/>
                <w:bCs/>
                <w:color w:val="auto"/>
                <w:u w:val="single"/>
              </w:rPr>
              <w:t>大气污染物无组织排放量核算表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4947"/>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2" w:type="dxa"/>
                  <w:gridSpan w:val="3"/>
                  <w:shd w:val="clear" w:color="auto" w:fill="auto"/>
                  <w:vAlign w:val="center"/>
                </w:tcPr>
                <w:p>
                  <w:pPr>
                    <w:spacing w:line="240" w:lineRule="auto"/>
                    <w:ind w:firstLine="420"/>
                    <w:jc w:val="center"/>
                    <w:rPr>
                      <w:color w:val="auto"/>
                      <w:sz w:val="21"/>
                      <w:szCs w:val="21"/>
                      <w:u w:val="single"/>
                    </w:rPr>
                  </w:pPr>
                  <w:r>
                    <w:rPr>
                      <w:color w:val="auto"/>
                      <w:sz w:val="21"/>
                      <w:szCs w:val="21"/>
                      <w:u w:val="single"/>
                    </w:rPr>
                    <w:t>无组织排放总计（t/a）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shd w:val="clear" w:color="auto" w:fill="auto"/>
                  <w:vAlign w:val="center"/>
                </w:tcPr>
                <w:p>
                  <w:pPr>
                    <w:spacing w:line="240" w:lineRule="auto"/>
                    <w:ind w:firstLine="0" w:firstLineChars="0"/>
                    <w:jc w:val="center"/>
                    <w:rPr>
                      <w:color w:val="auto"/>
                      <w:sz w:val="21"/>
                      <w:szCs w:val="21"/>
                      <w:u w:val="single"/>
                    </w:rPr>
                  </w:pPr>
                  <w:r>
                    <w:rPr>
                      <w:color w:val="auto"/>
                      <w:sz w:val="21"/>
                      <w:szCs w:val="21"/>
                      <w:u w:val="single"/>
                    </w:rPr>
                    <w:t>无组织排放总计</w:t>
                  </w:r>
                </w:p>
              </w:tc>
              <w:tc>
                <w:tcPr>
                  <w:tcW w:w="4947" w:type="dxa"/>
                  <w:shd w:val="clear" w:color="auto" w:fill="auto"/>
                  <w:vAlign w:val="center"/>
                </w:tcPr>
                <w:p>
                  <w:pPr>
                    <w:autoSpaceDE w:val="0"/>
                    <w:autoSpaceDN w:val="0"/>
                    <w:adjustRightInd w:val="0"/>
                    <w:spacing w:line="240" w:lineRule="auto"/>
                    <w:ind w:firstLine="0" w:firstLineChars="0"/>
                    <w:jc w:val="center"/>
                    <w:rPr>
                      <w:color w:val="auto"/>
                      <w:kern w:val="0"/>
                      <w:sz w:val="21"/>
                      <w:szCs w:val="21"/>
                      <w:u w:val="single"/>
                    </w:rPr>
                  </w:pPr>
                  <w:r>
                    <w:rPr>
                      <w:rFonts w:hint="eastAsia"/>
                      <w:color w:val="auto"/>
                      <w:kern w:val="0"/>
                      <w:sz w:val="21"/>
                      <w:szCs w:val="21"/>
                      <w:u w:val="single"/>
                    </w:rPr>
                    <w:t>VOCs</w:t>
                  </w:r>
                </w:p>
              </w:tc>
              <w:tc>
                <w:tcPr>
                  <w:tcW w:w="2355" w:type="dxa"/>
                  <w:shd w:val="clear" w:color="auto" w:fill="auto"/>
                  <w:vAlign w:val="center"/>
                </w:tcPr>
                <w:p>
                  <w:pPr>
                    <w:spacing w:line="240" w:lineRule="auto"/>
                    <w:ind w:right="440" w:firstLine="0" w:firstLineChars="0"/>
                    <w:jc w:val="center"/>
                    <w:rPr>
                      <w:rFonts w:hint="default" w:eastAsia="宋体"/>
                      <w:color w:val="auto"/>
                      <w:sz w:val="22"/>
                      <w:szCs w:val="20"/>
                      <w:u w:val="single"/>
                      <w:lang w:val="en-US" w:eastAsia="zh-CN"/>
                    </w:rPr>
                  </w:pPr>
                  <w:r>
                    <w:rPr>
                      <w:rFonts w:hint="eastAsia"/>
                      <w:color w:val="auto"/>
                      <w:sz w:val="21"/>
                      <w:szCs w:val="21"/>
                      <w:u w:val="single"/>
                      <w:lang w:val="en-US" w:eastAsia="zh-CN"/>
                    </w:rPr>
                    <w:t>0.46</w:t>
                  </w:r>
                </w:p>
              </w:tc>
            </w:tr>
          </w:tbl>
          <w:p>
            <w:pPr>
              <w:autoSpaceDE w:val="0"/>
              <w:autoSpaceDN w:val="0"/>
              <w:adjustRightInd w:val="0"/>
              <w:snapToGrid w:val="0"/>
              <w:spacing w:line="240" w:lineRule="auto"/>
              <w:ind w:firstLine="0" w:firstLineChars="0"/>
              <w:jc w:val="center"/>
              <w:rPr>
                <w:color w:val="auto"/>
                <w:sz w:val="21"/>
                <w:u w:val="single"/>
              </w:rPr>
            </w:pPr>
            <w:r>
              <w:rPr>
                <w:b/>
                <w:bCs/>
                <w:color w:val="auto"/>
                <w:u w:val="single"/>
              </w:rPr>
              <w:t>表</w:t>
            </w:r>
            <w:r>
              <w:rPr>
                <w:rFonts w:hint="eastAsia"/>
                <w:b/>
                <w:bCs/>
                <w:color w:val="auto"/>
                <w:u w:val="single"/>
              </w:rPr>
              <w:t xml:space="preserve">7-8   </w:t>
            </w:r>
            <w:r>
              <w:rPr>
                <w:b/>
                <w:bCs/>
                <w:color w:val="auto"/>
                <w:u w:val="single"/>
              </w:rPr>
              <w:t>大气污染物年总排放量核算表</w:t>
            </w:r>
          </w:p>
          <w:tbl>
            <w:tblPr>
              <w:tblStyle w:val="2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4663"/>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shd w:val="clear" w:color="auto" w:fill="auto"/>
                  <w:vAlign w:val="center"/>
                </w:tcPr>
                <w:p>
                  <w:pPr>
                    <w:spacing w:line="240" w:lineRule="auto"/>
                    <w:ind w:firstLine="0" w:firstLineChars="0"/>
                    <w:jc w:val="center"/>
                    <w:rPr>
                      <w:color w:val="auto"/>
                      <w:sz w:val="21"/>
                      <w:szCs w:val="21"/>
                      <w:u w:val="single"/>
                    </w:rPr>
                  </w:pPr>
                  <w:r>
                    <w:rPr>
                      <w:color w:val="auto"/>
                      <w:sz w:val="21"/>
                      <w:szCs w:val="21"/>
                      <w:u w:val="single"/>
                    </w:rPr>
                    <w:t>序号</w:t>
                  </w:r>
                </w:p>
              </w:tc>
              <w:tc>
                <w:tcPr>
                  <w:tcW w:w="4663" w:type="dxa"/>
                  <w:shd w:val="clear" w:color="auto" w:fill="auto"/>
                  <w:vAlign w:val="center"/>
                </w:tcPr>
                <w:p>
                  <w:pPr>
                    <w:spacing w:line="240" w:lineRule="auto"/>
                    <w:ind w:firstLine="0" w:firstLineChars="0"/>
                    <w:jc w:val="center"/>
                    <w:rPr>
                      <w:color w:val="auto"/>
                      <w:sz w:val="21"/>
                      <w:szCs w:val="21"/>
                      <w:u w:val="single"/>
                    </w:rPr>
                  </w:pPr>
                  <w:r>
                    <w:rPr>
                      <w:color w:val="auto"/>
                      <w:sz w:val="21"/>
                      <w:szCs w:val="21"/>
                      <w:u w:val="single"/>
                    </w:rPr>
                    <w:t>污染物</w:t>
                  </w:r>
                </w:p>
              </w:tc>
              <w:tc>
                <w:tcPr>
                  <w:tcW w:w="2977" w:type="dxa"/>
                  <w:shd w:val="clear" w:color="auto" w:fill="auto"/>
                  <w:vAlign w:val="center"/>
                </w:tcPr>
                <w:p>
                  <w:pPr>
                    <w:spacing w:line="240" w:lineRule="auto"/>
                    <w:ind w:firstLine="0" w:firstLineChars="0"/>
                    <w:jc w:val="center"/>
                    <w:rPr>
                      <w:color w:val="auto"/>
                      <w:sz w:val="21"/>
                      <w:szCs w:val="21"/>
                      <w:u w:val="single"/>
                    </w:rPr>
                  </w:pPr>
                  <w:r>
                    <w:rPr>
                      <w:color w:val="auto"/>
                      <w:sz w:val="21"/>
                      <w:szCs w:val="21"/>
                      <w:u w:val="singl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shd w:val="clear" w:color="auto" w:fill="auto"/>
                  <w:vAlign w:val="center"/>
                </w:tcPr>
                <w:p>
                  <w:pPr>
                    <w:spacing w:line="240" w:lineRule="auto"/>
                    <w:ind w:firstLine="0" w:firstLineChars="0"/>
                    <w:jc w:val="center"/>
                    <w:rPr>
                      <w:color w:val="auto"/>
                      <w:sz w:val="21"/>
                      <w:szCs w:val="21"/>
                      <w:u w:val="single"/>
                    </w:rPr>
                  </w:pPr>
                  <w:r>
                    <w:rPr>
                      <w:color w:val="auto"/>
                      <w:sz w:val="21"/>
                      <w:szCs w:val="21"/>
                      <w:u w:val="single"/>
                    </w:rPr>
                    <w:t>1</w:t>
                  </w:r>
                </w:p>
              </w:tc>
              <w:tc>
                <w:tcPr>
                  <w:tcW w:w="4663" w:type="dxa"/>
                  <w:shd w:val="clear" w:color="auto" w:fill="auto"/>
                  <w:vAlign w:val="center"/>
                </w:tcPr>
                <w:p>
                  <w:pPr>
                    <w:autoSpaceDE w:val="0"/>
                    <w:autoSpaceDN w:val="0"/>
                    <w:adjustRightInd w:val="0"/>
                    <w:spacing w:line="240" w:lineRule="auto"/>
                    <w:ind w:firstLine="0" w:firstLineChars="0"/>
                    <w:jc w:val="center"/>
                    <w:rPr>
                      <w:color w:val="auto"/>
                      <w:kern w:val="0"/>
                      <w:sz w:val="21"/>
                      <w:szCs w:val="21"/>
                      <w:u w:val="single"/>
                    </w:rPr>
                  </w:pPr>
                  <w:r>
                    <w:rPr>
                      <w:rFonts w:hint="eastAsia"/>
                      <w:color w:val="auto"/>
                      <w:kern w:val="0"/>
                      <w:sz w:val="21"/>
                      <w:szCs w:val="21"/>
                      <w:u w:val="single"/>
                    </w:rPr>
                    <w:t>VOCs</w:t>
                  </w:r>
                </w:p>
              </w:tc>
              <w:tc>
                <w:tcPr>
                  <w:tcW w:w="2977" w:type="dxa"/>
                  <w:shd w:val="clear" w:color="auto" w:fill="auto"/>
                  <w:vAlign w:val="center"/>
                </w:tcPr>
                <w:p>
                  <w:pPr>
                    <w:autoSpaceDE w:val="0"/>
                    <w:autoSpaceDN w:val="0"/>
                    <w:adjustRightInd w:val="0"/>
                    <w:spacing w:line="240" w:lineRule="auto"/>
                    <w:ind w:firstLine="0" w:firstLineChars="0"/>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1.081</w:t>
                  </w:r>
                </w:p>
              </w:tc>
            </w:tr>
          </w:tbl>
          <w:p>
            <w:pPr>
              <w:ind w:left="480" w:leftChars="200" w:firstLine="0" w:firstLineChars="0"/>
              <w:jc w:val="both"/>
              <w:rPr>
                <w:color w:val="auto"/>
              </w:rPr>
            </w:pPr>
            <w:r>
              <w:rPr>
                <w:color w:val="auto"/>
              </w:rPr>
              <w:t>（</w:t>
            </w:r>
            <w:r>
              <w:rPr>
                <w:rFonts w:hint="eastAsia"/>
                <w:color w:val="auto"/>
              </w:rPr>
              <w:t>4</w:t>
            </w:r>
            <w:r>
              <w:rPr>
                <w:color w:val="auto"/>
              </w:rPr>
              <w:t>）大气环境防护距离</w:t>
            </w:r>
          </w:p>
          <w:p>
            <w:pPr>
              <w:ind w:firstLine="480"/>
              <w:jc w:val="both"/>
              <w:rPr>
                <w:color w:val="auto"/>
              </w:rPr>
            </w:pPr>
            <w:r>
              <w:rPr>
                <w:color w:val="auto"/>
              </w:rPr>
              <w:t>大气环境防护距离即对于项目厂界浓度满足大气污染物厂界浓度限值，但厂界外大气污染物短期贡献浓度超过环境质量浓度限值的，可以自厂界向外设置一定范围的大气环境防护区域，以确保大气大气环境防护区域外的污染物贡献浓度满足环境质量标准。大气环境防护距离内不应有长期居住的人群。</w:t>
            </w:r>
          </w:p>
          <w:p>
            <w:pPr>
              <w:ind w:firstLine="480"/>
              <w:jc w:val="both"/>
              <w:rPr>
                <w:color w:val="auto"/>
              </w:rPr>
            </w:pPr>
            <w:r>
              <w:rPr>
                <w:color w:val="auto"/>
              </w:rPr>
              <w:t>根据《环境影响评价技术导则 大气环境》（HJ2.2-2018），本项目各污染因子占标率均P</w:t>
            </w:r>
            <w:r>
              <w:rPr>
                <w:color w:val="auto"/>
                <w:sz w:val="21"/>
              </w:rPr>
              <w:t>max</w:t>
            </w:r>
            <w:r>
              <w:rPr>
                <w:color w:val="auto"/>
              </w:rPr>
              <w:t>＜</w:t>
            </w:r>
            <w:r>
              <w:rPr>
                <w:rFonts w:hint="eastAsia"/>
                <w:color w:val="auto"/>
              </w:rPr>
              <w:t>10</w:t>
            </w:r>
            <w:r>
              <w:rPr>
                <w:color w:val="auto"/>
              </w:rPr>
              <w:t>%，无超标点，因此无需设置大气环境防护距离。</w:t>
            </w:r>
          </w:p>
          <w:p>
            <w:pPr>
              <w:ind w:firstLine="480"/>
              <w:jc w:val="both"/>
              <w:rPr>
                <w:rFonts w:hAnsi="宋体"/>
                <w:color w:val="auto"/>
                <w:u w:val="single"/>
              </w:rPr>
            </w:pPr>
            <w:r>
              <w:rPr>
                <w:rFonts w:hint="eastAsia" w:hAnsi="宋体"/>
                <w:color w:val="auto"/>
                <w:u w:val="single"/>
              </w:rPr>
              <w:t>（5）废气处理工艺介绍</w:t>
            </w:r>
          </w:p>
          <w:p>
            <w:pPr>
              <w:ind w:firstLine="480"/>
              <w:rPr>
                <w:color w:val="auto"/>
                <w:u w:val="single"/>
              </w:rPr>
            </w:pPr>
            <w:r>
              <w:rPr>
                <w:rFonts w:hint="eastAsia"/>
                <w:color w:val="auto"/>
                <w:u w:val="single"/>
              </w:rPr>
              <w:t>吸附箱采用炭钢折边成型制作，内壁设有保温层，确保在脱附过程中热量的损失，壳体外涂油漆，内部装有设定量的蜂窝活性炭，并留有一定的空间，保证均匀布风，箱体设置温度检测装置，当含有机物的废气经风机的作用，经过活性炭吸附层，有机物质被活性炭特有的作用力截留在其内部，洁净气体排出；经过一段时间后，活性炭达到饱和状态时，停止吸附，此时有机物已被浓缩在活性炭内。</w:t>
            </w:r>
          </w:p>
          <w:p>
            <w:pPr>
              <w:pStyle w:val="2"/>
              <w:ind w:left="0" w:leftChars="0" w:firstLine="480"/>
              <w:rPr>
                <w:color w:val="auto"/>
                <w:u w:val="single"/>
              </w:rPr>
            </w:pPr>
            <w:r>
              <w:rPr>
                <w:rFonts w:hint="eastAsia"/>
                <w:color w:val="auto"/>
                <w:u w:val="single"/>
              </w:rPr>
              <w:t>催化净化装置内设加热室，启动加热装置，进入内部循环，当热气源达到有机物的沸点时，有机物从活性炭内跑出来，进入催化室进行催化分解成CO</w:t>
            </w:r>
            <w:r>
              <w:rPr>
                <w:rFonts w:hint="eastAsia"/>
                <w:color w:val="auto"/>
                <w:u w:val="single"/>
                <w:vertAlign w:val="subscript"/>
              </w:rPr>
              <w:t>2</w:t>
            </w:r>
            <w:r>
              <w:rPr>
                <w:rFonts w:hint="eastAsia"/>
                <w:color w:val="auto"/>
                <w:u w:val="single"/>
              </w:rPr>
              <w:t>和H</w:t>
            </w:r>
            <w:r>
              <w:rPr>
                <w:rFonts w:hint="eastAsia"/>
                <w:color w:val="auto"/>
                <w:u w:val="single"/>
                <w:vertAlign w:val="subscript"/>
              </w:rPr>
              <w:t>2</w:t>
            </w:r>
            <w:r>
              <w:rPr>
                <w:rFonts w:hint="eastAsia"/>
                <w:color w:val="auto"/>
                <w:u w:val="single"/>
              </w:rPr>
              <w:t>O，同时释放出能量，利用释放出的能量再进入吸附床脱附时，此时加热装置完全停止工作，有机废气在催化燃烧室内维持自燃，尾气再生，循环进行，直至有机物完全从活性炭内部分离，至催化室分解，活性炭得到了再生，有机物得到催化分解处理。</w:t>
            </w:r>
          </w:p>
          <w:p>
            <w:pPr>
              <w:pStyle w:val="2"/>
              <w:ind w:left="0" w:leftChars="0" w:firstLine="0" w:firstLineChars="0"/>
              <w:rPr>
                <w:color w:val="auto"/>
              </w:rPr>
            </w:pPr>
            <w:r>
              <w:rPr>
                <w:rFonts w:hint="eastAsia"/>
                <w:color w:val="auto"/>
              </w:rPr>
              <w:drawing>
                <wp:inline distT="0" distB="0" distL="114300" distR="114300">
                  <wp:extent cx="2736215" cy="2189480"/>
                  <wp:effectExtent l="0" t="0" r="6985" b="1270"/>
                  <wp:docPr id="15"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1"/>
                          <pic:cNvPicPr>
                            <a:picLocks noChangeAspect="1"/>
                          </pic:cNvPicPr>
                        </pic:nvPicPr>
                        <pic:blipFill>
                          <a:blip r:embed="rId23" cstate="email"/>
                          <a:stretch>
                            <a:fillRect/>
                          </a:stretch>
                        </pic:blipFill>
                        <pic:spPr>
                          <a:xfrm>
                            <a:off x="0" y="0"/>
                            <a:ext cx="2736215" cy="2189480"/>
                          </a:xfrm>
                          <a:prstGeom prst="rect">
                            <a:avLst/>
                          </a:prstGeom>
                          <a:noFill/>
                          <a:ln>
                            <a:noFill/>
                          </a:ln>
                        </pic:spPr>
                      </pic:pic>
                    </a:graphicData>
                  </a:graphic>
                </wp:inline>
              </w:drawing>
            </w:r>
            <w:r>
              <w:rPr>
                <w:rFonts w:hint="eastAsia"/>
                <w:color w:val="auto"/>
              </w:rPr>
              <w:drawing>
                <wp:inline distT="0" distB="0" distL="114300" distR="114300">
                  <wp:extent cx="2654300" cy="2180590"/>
                  <wp:effectExtent l="0" t="0" r="12700" b="10160"/>
                  <wp:docPr id="16"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2"/>
                          <pic:cNvPicPr>
                            <a:picLocks noChangeAspect="1"/>
                          </pic:cNvPicPr>
                        </pic:nvPicPr>
                        <pic:blipFill>
                          <a:blip r:embed="rId24" cstate="email"/>
                          <a:stretch>
                            <a:fillRect/>
                          </a:stretch>
                        </pic:blipFill>
                        <pic:spPr>
                          <a:xfrm>
                            <a:off x="0" y="0"/>
                            <a:ext cx="2654300" cy="2180590"/>
                          </a:xfrm>
                          <a:prstGeom prst="rect">
                            <a:avLst/>
                          </a:prstGeom>
                          <a:noFill/>
                          <a:ln>
                            <a:noFill/>
                          </a:ln>
                        </pic:spPr>
                      </pic:pic>
                    </a:graphicData>
                  </a:graphic>
                </wp:inline>
              </w:drawing>
            </w:r>
          </w:p>
          <w:p>
            <w:pPr>
              <w:ind w:firstLine="480"/>
              <w:rPr>
                <w:color w:val="auto"/>
                <w:u w:val="single"/>
              </w:rPr>
            </w:pPr>
            <w:r>
              <w:rPr>
                <w:rFonts w:hint="eastAsia"/>
                <w:color w:val="auto"/>
                <w:u w:val="single"/>
              </w:rPr>
              <w:t>催化燃烧原理：利用催化剂做中间体，使有机气体在较低的温度下，变成无害的水和二氧化炭气体，反应式如下：</w:t>
            </w:r>
          </w:p>
          <w:p>
            <w:pPr>
              <w:ind w:firstLine="0" w:firstLineChars="0"/>
              <w:jc w:val="center"/>
              <w:rPr>
                <w:color w:val="auto"/>
                <w:u w:val="single"/>
              </w:rPr>
            </w:pPr>
            <w:r>
              <w:rPr>
                <w:rFonts w:hint="eastAsia" w:ascii="宋体" w:hAnsi="宋体" w:cs="宋体"/>
                <w:iCs/>
                <w:color w:val="auto"/>
                <w:u w:val="single"/>
              </w:rPr>
              <w:object>
                <v:shape id="_x0000_i1025" o:spt="75" type="#_x0000_t75" style="height:36pt;width:306.5pt;" o:ole="t" filled="f" o:preferrelative="t" stroked="f" coordsize="21600,21600">
                  <v:path/>
                  <v:fill on="f" focussize="0,0"/>
                  <v:stroke on="f" joinstyle="miter"/>
                  <v:imagedata r:id="rId26" o:title=""/>
                  <o:lock v:ext="edit" aspectratio="t"/>
                  <w10:wrap type="none"/>
                  <w10:anchorlock/>
                </v:shape>
                <o:OLEObject Type="Embed" ProgID="Equation.3" ShapeID="_x0000_i1025" DrawAspect="Content" ObjectID="_1468075725" r:id="rId25">
                  <o:LockedField>false</o:LockedField>
                </o:OLEObject>
              </w:object>
            </w:r>
          </w:p>
          <w:p>
            <w:pPr>
              <w:ind w:firstLine="480"/>
              <w:rPr>
                <w:color w:val="auto"/>
                <w:u w:val="wave"/>
              </w:rPr>
            </w:pPr>
            <w:r>
              <w:rPr>
                <w:rFonts w:hint="eastAsia"/>
                <w:color w:val="auto"/>
                <w:u w:val="single"/>
              </w:rPr>
              <w:t>将饱和的活性炭解析出来的有机气体通过脱附引风机作用送入净化装置，首先通过除尘阻火器系统，然后进入换热器，再送入到加热室，通过加热装置，使气体达到燃烧反应温度，再通过催化床的作用，使有机气体分解成二氧化炭（CO</w:t>
            </w:r>
            <w:r>
              <w:rPr>
                <w:rFonts w:hint="eastAsia"/>
                <w:color w:val="auto"/>
                <w:u w:val="single"/>
                <w:vertAlign w:val="subscript"/>
              </w:rPr>
              <w:t>2</w:t>
            </w:r>
            <w:r>
              <w:rPr>
                <w:rFonts w:hint="eastAsia"/>
                <w:color w:val="auto"/>
                <w:u w:val="single"/>
              </w:rPr>
              <w:t>）和水（H</w:t>
            </w:r>
            <w:r>
              <w:rPr>
                <w:rFonts w:hint="eastAsia"/>
                <w:color w:val="auto"/>
                <w:u w:val="single"/>
                <w:vertAlign w:val="subscript"/>
              </w:rPr>
              <w:t>2</w:t>
            </w:r>
            <w:r>
              <w:rPr>
                <w:rFonts w:hint="eastAsia"/>
                <w:color w:val="auto"/>
                <w:u w:val="single"/>
              </w:rPr>
              <w:t>O），再进入换热器与低温气体进行热交换，使进入的气体温度升高达到反应温度，如达不到反应温度，这样加热系统就可以通过自控系统实现补偿加热，使它完全燃烧，这样节省了能源，废气有效去除率达标排放，符合国家及地方排放标准。</w:t>
            </w:r>
          </w:p>
          <w:p>
            <w:pPr>
              <w:ind w:firstLine="0" w:firstLineChars="0"/>
              <w:jc w:val="center"/>
              <w:rPr>
                <w:color w:val="auto"/>
                <w:u w:val="single"/>
              </w:rPr>
            </w:pPr>
            <w:r>
              <w:rPr>
                <w:rFonts w:hint="eastAsia"/>
                <w:color w:val="auto"/>
                <w:u w:val="single"/>
              </w:rPr>
              <w:drawing>
                <wp:inline distT="0" distB="0" distL="114300" distR="114300">
                  <wp:extent cx="4876800" cy="1438275"/>
                  <wp:effectExtent l="0" t="0" r="0" b="9525"/>
                  <wp:docPr id="19"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3"/>
                          <pic:cNvPicPr>
                            <a:picLocks noChangeAspect="1"/>
                          </pic:cNvPicPr>
                        </pic:nvPicPr>
                        <pic:blipFill>
                          <a:blip r:embed="rId27" cstate="print"/>
                          <a:stretch>
                            <a:fillRect/>
                          </a:stretch>
                        </pic:blipFill>
                        <pic:spPr>
                          <a:xfrm>
                            <a:off x="0" y="0"/>
                            <a:ext cx="4876800" cy="1438275"/>
                          </a:xfrm>
                          <a:prstGeom prst="rect">
                            <a:avLst/>
                          </a:prstGeom>
                          <a:noFill/>
                          <a:ln>
                            <a:noFill/>
                          </a:ln>
                        </pic:spPr>
                      </pic:pic>
                    </a:graphicData>
                  </a:graphic>
                </wp:inline>
              </w:drawing>
            </w:r>
          </w:p>
          <w:p>
            <w:pPr>
              <w:ind w:firstLine="0" w:firstLineChars="0"/>
              <w:jc w:val="center"/>
              <w:rPr>
                <w:b/>
                <w:bCs/>
                <w:color w:val="auto"/>
                <w:u w:val="single"/>
              </w:rPr>
            </w:pPr>
            <w:r>
              <w:rPr>
                <w:rFonts w:hint="eastAsia"/>
                <w:b/>
                <w:bCs/>
                <w:color w:val="auto"/>
                <w:u w:val="single"/>
              </w:rPr>
              <w:t>图7-</w:t>
            </w:r>
            <w:r>
              <w:rPr>
                <w:rFonts w:hint="eastAsia"/>
                <w:b/>
                <w:bCs/>
                <w:color w:val="auto"/>
                <w:u w:val="single"/>
                <w:lang w:val="en-US" w:eastAsia="zh-CN"/>
              </w:rPr>
              <w:t xml:space="preserve">9   </w:t>
            </w:r>
            <w:r>
              <w:rPr>
                <w:rFonts w:hint="eastAsia"/>
                <w:b/>
                <w:bCs/>
                <w:color w:val="auto"/>
                <w:u w:val="single"/>
              </w:rPr>
              <w:t>催化燃烧工艺流程示意图</w:t>
            </w:r>
          </w:p>
          <w:p>
            <w:pPr>
              <w:ind w:firstLine="480"/>
              <w:rPr>
                <w:color w:val="auto"/>
                <w:u w:val="single"/>
              </w:rPr>
            </w:pPr>
            <w:r>
              <w:rPr>
                <w:rFonts w:hint="eastAsia"/>
                <w:color w:val="auto"/>
                <w:u w:val="single"/>
              </w:rPr>
              <w:t>设备特点：</w:t>
            </w:r>
          </w:p>
          <w:p>
            <w:pPr>
              <w:ind w:firstLine="480"/>
              <w:rPr>
                <w:color w:val="auto"/>
                <w:u w:val="single"/>
              </w:rPr>
            </w:pPr>
            <w:r>
              <w:rPr>
                <w:rFonts w:hint="eastAsia"/>
                <w:color w:val="auto"/>
                <w:u w:val="single"/>
              </w:rPr>
              <w:t>◆用贵金属钯、铂镀在载体上作催化剂，净化效率高达95%以上，催化剂使用寿命长，且可以再生，气流通畅，阻力小。</w:t>
            </w:r>
          </w:p>
          <w:p>
            <w:pPr>
              <w:ind w:firstLine="480"/>
              <w:rPr>
                <w:color w:val="auto"/>
                <w:u w:val="single"/>
              </w:rPr>
            </w:pPr>
            <w:r>
              <w:rPr>
                <w:rFonts w:hint="eastAsia"/>
                <w:color w:val="auto"/>
                <w:u w:val="single"/>
              </w:rPr>
              <w:t>◆安全设施完备：设有阻火器、泄压口、超温报警等保护设施。</w:t>
            </w:r>
          </w:p>
          <w:p>
            <w:pPr>
              <w:ind w:firstLine="480"/>
              <w:rPr>
                <w:color w:val="auto"/>
                <w:u w:val="single"/>
              </w:rPr>
            </w:pPr>
            <w:r>
              <w:rPr>
                <w:rFonts w:hint="eastAsia"/>
                <w:color w:val="auto"/>
                <w:u w:val="single"/>
              </w:rPr>
              <w:t>◆耗用功率：开始工作时，预热15～30分钟全功率加热，正常工作时只消耗循环风机功率即可。当废气浓度较低时，自动间歇补偿加热。</w:t>
            </w:r>
          </w:p>
          <w:p>
            <w:pPr>
              <w:pStyle w:val="2"/>
              <w:ind w:left="0" w:leftChars="0" w:firstLine="0" w:firstLineChars="0"/>
              <w:rPr>
                <w:color w:val="auto"/>
                <w:u w:val="single"/>
              </w:rPr>
            </w:pPr>
            <w:r>
              <w:rPr>
                <w:rFonts w:hint="eastAsia"/>
                <w:color w:val="auto"/>
                <w:u w:val="single"/>
              </w:rPr>
              <w:t>◆系统设置智能化全自动换热室，系统的温度控制均由PLC程序全自动控制，保证出口气体温度达到技术设计要求。</w:t>
            </w:r>
          </w:p>
          <w:p>
            <w:pPr>
              <w:pStyle w:val="2"/>
              <w:ind w:left="0" w:leftChars="0" w:firstLine="480"/>
              <w:rPr>
                <w:color w:val="auto"/>
                <w:u w:val="single"/>
              </w:rPr>
            </w:pPr>
            <w:r>
              <w:rPr>
                <w:rFonts w:hint="eastAsia"/>
                <w:color w:val="auto"/>
                <w:u w:val="single"/>
              </w:rPr>
              <w:t>（6）废气处理可行性分析</w:t>
            </w:r>
          </w:p>
          <w:p>
            <w:pPr>
              <w:pStyle w:val="2"/>
              <w:ind w:left="0" w:leftChars="0" w:firstLine="480"/>
              <w:rPr>
                <w:color w:val="auto"/>
                <w:u w:val="single"/>
              </w:rPr>
            </w:pPr>
            <w:r>
              <w:rPr>
                <w:rFonts w:hint="eastAsia"/>
                <w:color w:val="auto"/>
                <w:u w:val="single"/>
              </w:rPr>
              <w:t>①技术可行性</w:t>
            </w:r>
          </w:p>
          <w:p>
            <w:pPr>
              <w:pStyle w:val="2"/>
              <w:ind w:left="0" w:leftChars="0" w:firstLine="480"/>
              <w:rPr>
                <w:color w:val="auto"/>
                <w:u w:val="single"/>
              </w:rPr>
            </w:pPr>
            <w:r>
              <w:rPr>
                <w:rFonts w:hint="eastAsia"/>
                <w:color w:val="auto"/>
                <w:u w:val="single"/>
              </w:rPr>
              <w:t>根据《排污许可证申请与核发技术规范   印刷工业》（HJ1066-2019）和《固定污染源排污许可分类管理名录》（2019年版），本项目属于登记管理。排污许可申请与核发规范中附录A中表A.1中可行性技术包括活性炭吸附（现场再生）、浓缩+热力（催化）氧化、直接热力（催化）氧化等。本项目采用的RCO技术属于直接热力（催化）氧化类，因此符合相关的技术规范要求，废气处理技术是可行的。</w:t>
            </w:r>
          </w:p>
          <w:p>
            <w:pPr>
              <w:pStyle w:val="2"/>
              <w:ind w:left="0" w:leftChars="0" w:firstLine="480"/>
              <w:rPr>
                <w:color w:val="auto"/>
                <w:u w:val="single"/>
              </w:rPr>
            </w:pPr>
            <w:r>
              <w:rPr>
                <w:rFonts w:hint="eastAsia"/>
                <w:color w:val="auto"/>
                <w:u w:val="single"/>
              </w:rPr>
              <w:t>②经济可行性</w:t>
            </w:r>
          </w:p>
          <w:p>
            <w:pPr>
              <w:pStyle w:val="2"/>
              <w:ind w:left="0" w:leftChars="0" w:firstLine="480"/>
              <w:rPr>
                <w:color w:val="auto"/>
                <w:u w:val="single"/>
              </w:rPr>
            </w:pPr>
            <w:r>
              <w:rPr>
                <w:rFonts w:hint="eastAsia"/>
                <w:color w:val="auto"/>
                <w:u w:val="single"/>
              </w:rPr>
              <w:t>根据《技术指南》中估计的废气处理效率，活性炭吸附装置的处理效率为70%，RCO的处理效率为85%，浓缩+热力（催化）氧化的处理效率为85%。从处理效率考虑，RCO与浓缩氧化更高，且活性炭吸附装置在实际运行过程中需要进行定期更换和维护，对技术和维护成本要求较高。RCO与浓缩催化技术的处理效率同为85%，但从设备成本和维护成本考虑，RCO的经济性价比更具有优势，因此本项目具有一定的经济可行性。</w:t>
            </w:r>
          </w:p>
          <w:p>
            <w:pPr>
              <w:pStyle w:val="2"/>
              <w:ind w:left="0" w:leftChars="0" w:firstLine="480"/>
              <w:rPr>
                <w:color w:val="auto"/>
                <w:u w:val="single"/>
              </w:rPr>
            </w:pPr>
            <w:r>
              <w:rPr>
                <w:rFonts w:hint="eastAsia"/>
                <w:color w:val="auto"/>
                <w:u w:val="single"/>
              </w:rPr>
              <w:t>③排气筒设置可行性分析</w:t>
            </w:r>
          </w:p>
          <w:p>
            <w:pPr>
              <w:pStyle w:val="22"/>
              <w:shd w:val="clear" w:color="auto" w:fill="FFFFFF"/>
              <w:spacing w:before="250" w:beforeAutospacing="0" w:after="250" w:afterAutospacing="0" w:line="360" w:lineRule="auto"/>
              <w:ind w:firstLine="480" w:firstLineChars="200"/>
              <w:jc w:val="both"/>
              <w:rPr>
                <w:rFonts w:ascii="Times New Roman" w:hAnsi="Times New Roman" w:cs="Times New Roman"/>
                <w:color w:val="auto"/>
                <w:kern w:val="2"/>
                <w:u w:val="single"/>
              </w:rPr>
            </w:pPr>
            <w:r>
              <w:rPr>
                <w:rFonts w:hint="eastAsia" w:ascii="Times New Roman" w:hAnsi="Times New Roman" w:cs="Times New Roman"/>
                <w:color w:val="auto"/>
                <w:kern w:val="2"/>
                <w:u w:val="single"/>
              </w:rPr>
              <w:t>根据《大气污染物综合排放标准》（GB16297-1996）中的相关规定，“排气筒高度应高出周围200m半径范围的建筑5m以上”，根据本项目的四至图情况，本项目属于工业园区，本项目东侧100m左右有一出安置小区，共5层楼高（约20m），则本项目的排气筒应为25m因此设置25m高的排气筒是可行的。</w:t>
            </w:r>
          </w:p>
          <w:p>
            <w:pPr>
              <w:keepNext/>
              <w:keepLines/>
              <w:ind w:firstLine="482"/>
              <w:jc w:val="both"/>
              <w:outlineLvl w:val="2"/>
              <w:rPr>
                <w:b/>
                <w:bCs/>
                <w:color w:val="auto"/>
                <w:szCs w:val="32"/>
              </w:rPr>
            </w:pPr>
            <w:r>
              <w:rPr>
                <w:b/>
                <w:bCs/>
                <w:color w:val="auto"/>
                <w:szCs w:val="32"/>
              </w:rPr>
              <w:t>二、水环境影响分析</w:t>
            </w:r>
          </w:p>
          <w:p>
            <w:pPr>
              <w:snapToGrid w:val="0"/>
              <w:ind w:firstLine="472" w:firstLineChars="196"/>
              <w:jc w:val="both"/>
              <w:rPr>
                <w:b/>
                <w:color w:val="auto"/>
                <w:szCs w:val="20"/>
              </w:rPr>
            </w:pPr>
            <w:r>
              <w:rPr>
                <w:b/>
                <w:color w:val="auto"/>
                <w:szCs w:val="20"/>
              </w:rPr>
              <w:t>1、水环境影响及措施分析</w:t>
            </w:r>
          </w:p>
          <w:p>
            <w:pPr>
              <w:snapToGrid w:val="0"/>
              <w:ind w:firstLine="470" w:firstLineChars="196"/>
              <w:jc w:val="both"/>
              <w:rPr>
                <w:color w:val="auto"/>
                <w:szCs w:val="20"/>
              </w:rPr>
            </w:pPr>
            <w:r>
              <w:rPr>
                <w:rFonts w:hint="eastAsia"/>
                <w:color w:val="auto"/>
                <w:szCs w:val="20"/>
              </w:rPr>
              <w:t>（1）评价等级判定</w:t>
            </w:r>
          </w:p>
          <w:p>
            <w:pPr>
              <w:ind w:left="72" w:leftChars="30" w:right="72" w:rightChars="30" w:firstLine="480"/>
              <w:rPr>
                <w:color w:val="auto"/>
                <w:szCs w:val="20"/>
              </w:rPr>
            </w:pPr>
            <w:r>
              <w:rPr>
                <w:color w:val="auto"/>
                <w:szCs w:val="20"/>
              </w:rPr>
              <w:t>项目营运期废水为</w:t>
            </w:r>
            <w:r>
              <w:rPr>
                <w:rFonts w:hint="eastAsia"/>
                <w:color w:val="auto"/>
                <w:szCs w:val="20"/>
              </w:rPr>
              <w:t>员工生活污水</w:t>
            </w:r>
            <w:r>
              <w:rPr>
                <w:color w:val="auto"/>
                <w:szCs w:val="20"/>
              </w:rPr>
              <w:t>。该项目建成后</w:t>
            </w:r>
            <w:r>
              <w:rPr>
                <w:rFonts w:hint="eastAsia"/>
                <w:color w:val="auto"/>
                <w:szCs w:val="20"/>
              </w:rPr>
              <w:t>生活</w:t>
            </w:r>
            <w:r>
              <w:rPr>
                <w:color w:val="auto"/>
                <w:szCs w:val="20"/>
              </w:rPr>
              <w:t>污水排放量约</w:t>
            </w:r>
            <w:r>
              <w:rPr>
                <w:rFonts w:hint="eastAsia"/>
                <w:color w:val="auto"/>
                <w:szCs w:val="20"/>
              </w:rPr>
              <w:t>0.8m³</w:t>
            </w:r>
            <w:r>
              <w:rPr>
                <w:color w:val="auto"/>
                <w:szCs w:val="20"/>
              </w:rPr>
              <w:t>/d，约</w:t>
            </w:r>
            <w:r>
              <w:rPr>
                <w:rFonts w:hint="eastAsia"/>
                <w:color w:val="auto"/>
                <w:szCs w:val="20"/>
              </w:rPr>
              <w:t>240m³</w:t>
            </w:r>
            <w:r>
              <w:rPr>
                <w:color w:val="auto"/>
                <w:szCs w:val="20"/>
              </w:rPr>
              <w:t>/a。本</w:t>
            </w:r>
            <w:r>
              <w:rPr>
                <w:rFonts w:hint="eastAsia"/>
                <w:color w:val="auto"/>
                <w:szCs w:val="20"/>
              </w:rPr>
              <w:t>项目生活污水经化粪池处理达到《污水排入城镇下水道水质标准》（GB/T31962-2015）表1中B等级标准要求，进入园区污水管网，由沅江市第二污水处理厂集中处理达《城镇污水处理厂污染物排放标准》（GB18918-2002）一级A标准后排入资江分河。</w:t>
            </w:r>
            <w:r>
              <w:rPr>
                <w:bCs/>
                <w:color w:val="auto"/>
                <w:szCs w:val="20"/>
              </w:rPr>
              <w:t>根据《环境影响评价技术导则地面水环境》（HJ/2.3-2018），本项目为三级B评价。</w:t>
            </w:r>
            <w:r>
              <w:rPr>
                <w:color w:val="auto"/>
              </w:rPr>
              <w:t>因此无需进行进一步预测与评价，只需对污染物排放量</w:t>
            </w:r>
            <w:r>
              <w:rPr>
                <w:rFonts w:hint="eastAsia"/>
                <w:color w:val="auto"/>
              </w:rPr>
              <w:t>及相关信息</w:t>
            </w:r>
            <w:r>
              <w:rPr>
                <w:color w:val="auto"/>
              </w:rPr>
              <w:t>进行核算</w:t>
            </w:r>
            <w:r>
              <w:rPr>
                <w:rFonts w:hint="eastAsia"/>
                <w:color w:val="auto"/>
              </w:rPr>
              <w:t>。</w:t>
            </w:r>
          </w:p>
          <w:p>
            <w:pPr>
              <w:spacing w:line="240" w:lineRule="auto"/>
              <w:ind w:firstLine="0" w:firstLineChars="0"/>
              <w:jc w:val="center"/>
              <w:rPr>
                <w:color w:val="auto"/>
              </w:rPr>
            </w:pPr>
            <w:r>
              <w:rPr>
                <w:rFonts w:hAnsi="宋体"/>
                <w:b/>
                <w:color w:val="auto"/>
              </w:rPr>
              <w:t>表</w:t>
            </w:r>
            <w:r>
              <w:rPr>
                <w:rFonts w:hint="eastAsia" w:hAnsi="宋体"/>
                <w:b/>
                <w:color w:val="auto"/>
              </w:rPr>
              <w:t xml:space="preserve">7-9  </w:t>
            </w:r>
            <w:r>
              <w:rPr>
                <w:rFonts w:hint="eastAsia" w:hAnsi="宋体"/>
                <w:b/>
                <w:color w:val="auto"/>
                <w:lang w:val="en-US" w:eastAsia="zh-CN"/>
              </w:rPr>
              <w:t xml:space="preserve"> </w:t>
            </w:r>
            <w:r>
              <w:rPr>
                <w:rFonts w:hint="eastAsia" w:hAnsi="宋体"/>
                <w:b/>
                <w:color w:val="auto"/>
              </w:rPr>
              <w:t>地表水</w:t>
            </w:r>
            <w:r>
              <w:rPr>
                <w:rFonts w:hAnsi="宋体"/>
                <w:b/>
                <w:color w:val="auto"/>
              </w:rPr>
              <w:t>评价等级判别表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6"/>
              <w:gridCol w:w="2530"/>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07" w:type="pct"/>
                  <w:vMerge w:val="restart"/>
                  <w:vAlign w:val="center"/>
                </w:tcPr>
                <w:p>
                  <w:pPr>
                    <w:adjustRightInd w:val="0"/>
                    <w:snapToGrid w:val="0"/>
                    <w:spacing w:line="240" w:lineRule="auto"/>
                    <w:ind w:firstLine="0" w:firstLineChars="0"/>
                    <w:jc w:val="center"/>
                    <w:rPr>
                      <w:color w:val="auto"/>
                      <w:sz w:val="21"/>
                    </w:rPr>
                  </w:pPr>
                  <w:r>
                    <w:rPr>
                      <w:color w:val="auto"/>
                      <w:sz w:val="21"/>
                    </w:rPr>
                    <w:t>评价工作等级</w:t>
                  </w:r>
                </w:p>
              </w:tc>
              <w:tc>
                <w:tcPr>
                  <w:tcW w:w="3192" w:type="pct"/>
                  <w:gridSpan w:val="2"/>
                  <w:vAlign w:val="center"/>
                </w:tcPr>
                <w:p>
                  <w:pPr>
                    <w:adjustRightInd w:val="0"/>
                    <w:snapToGrid w:val="0"/>
                    <w:spacing w:line="240" w:lineRule="auto"/>
                    <w:ind w:firstLine="0" w:firstLineChars="0"/>
                    <w:jc w:val="center"/>
                    <w:rPr>
                      <w:color w:val="auto"/>
                      <w:sz w:val="21"/>
                    </w:rPr>
                  </w:pPr>
                  <w:r>
                    <w:rPr>
                      <w:color w:val="auto"/>
                      <w:sz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07" w:type="pct"/>
                  <w:vMerge w:val="continue"/>
                  <w:vAlign w:val="center"/>
                </w:tcPr>
                <w:p>
                  <w:pPr>
                    <w:adjustRightInd w:val="0"/>
                    <w:snapToGrid w:val="0"/>
                    <w:spacing w:line="240" w:lineRule="auto"/>
                    <w:ind w:firstLine="0" w:firstLineChars="0"/>
                    <w:jc w:val="center"/>
                    <w:rPr>
                      <w:color w:val="auto"/>
                      <w:sz w:val="21"/>
                    </w:rPr>
                  </w:pPr>
                </w:p>
              </w:tc>
              <w:tc>
                <w:tcPr>
                  <w:tcW w:w="1413" w:type="pct"/>
                  <w:vAlign w:val="center"/>
                </w:tcPr>
                <w:p>
                  <w:pPr>
                    <w:adjustRightInd w:val="0"/>
                    <w:snapToGrid w:val="0"/>
                    <w:spacing w:line="240" w:lineRule="auto"/>
                    <w:ind w:firstLine="0" w:firstLineChars="0"/>
                    <w:jc w:val="center"/>
                    <w:rPr>
                      <w:color w:val="auto"/>
                      <w:sz w:val="21"/>
                    </w:rPr>
                  </w:pPr>
                  <w:r>
                    <w:rPr>
                      <w:rFonts w:hint="eastAsia"/>
                      <w:color w:val="auto"/>
                      <w:sz w:val="21"/>
                    </w:rPr>
                    <w:t>排放方式</w:t>
                  </w:r>
                </w:p>
              </w:tc>
              <w:tc>
                <w:tcPr>
                  <w:tcW w:w="1779" w:type="pct"/>
                  <w:vAlign w:val="center"/>
                </w:tcPr>
                <w:p>
                  <w:pPr>
                    <w:adjustRightInd w:val="0"/>
                    <w:snapToGrid w:val="0"/>
                    <w:spacing w:line="240" w:lineRule="auto"/>
                    <w:ind w:firstLine="0" w:firstLineChars="0"/>
                    <w:jc w:val="center"/>
                    <w:rPr>
                      <w:color w:val="auto"/>
                      <w:sz w:val="21"/>
                    </w:rPr>
                  </w:pPr>
                  <w:r>
                    <w:rPr>
                      <w:rFonts w:hint="eastAsia"/>
                      <w:color w:val="auto"/>
                      <w:sz w:val="21"/>
                    </w:rPr>
                    <w:t>废水排放量Q/（m³/d</w:t>
                  </w:r>
                  <w:r>
                    <w:rPr>
                      <w:color w:val="auto"/>
                      <w:sz w:val="21"/>
                    </w:rPr>
                    <w:t>）</w:t>
                  </w:r>
                  <w:r>
                    <w:rPr>
                      <w:rFonts w:hint="eastAsia"/>
                      <w:color w:val="auto"/>
                      <w:sz w:val="21"/>
                    </w:rPr>
                    <w:t>;</w:t>
                  </w:r>
                </w:p>
                <w:p>
                  <w:pPr>
                    <w:adjustRightInd w:val="0"/>
                    <w:snapToGrid w:val="0"/>
                    <w:spacing w:line="240" w:lineRule="auto"/>
                    <w:ind w:firstLine="0" w:firstLineChars="0"/>
                    <w:jc w:val="center"/>
                    <w:rPr>
                      <w:color w:val="auto"/>
                      <w:sz w:val="21"/>
                    </w:rPr>
                  </w:pPr>
                  <w:r>
                    <w:rPr>
                      <w:rFonts w:hint="eastAsia"/>
                      <w:color w:val="auto"/>
                      <w:sz w:val="21"/>
                    </w:rPr>
                    <w:t>水污染物当量数W/（无量纲</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807" w:type="pct"/>
                  <w:vAlign w:val="center"/>
                </w:tcPr>
                <w:p>
                  <w:pPr>
                    <w:adjustRightInd w:val="0"/>
                    <w:snapToGrid w:val="0"/>
                    <w:spacing w:line="240" w:lineRule="auto"/>
                    <w:ind w:firstLine="0" w:firstLineChars="0"/>
                    <w:jc w:val="center"/>
                    <w:rPr>
                      <w:color w:val="auto"/>
                      <w:sz w:val="21"/>
                    </w:rPr>
                  </w:pPr>
                  <w:r>
                    <w:rPr>
                      <w:color w:val="auto"/>
                      <w:sz w:val="21"/>
                    </w:rPr>
                    <w:t>一级</w:t>
                  </w:r>
                </w:p>
              </w:tc>
              <w:tc>
                <w:tcPr>
                  <w:tcW w:w="1413" w:type="pct"/>
                  <w:vAlign w:val="center"/>
                </w:tcPr>
                <w:p>
                  <w:pPr>
                    <w:adjustRightInd w:val="0"/>
                    <w:snapToGrid w:val="0"/>
                    <w:spacing w:line="240" w:lineRule="auto"/>
                    <w:ind w:firstLine="0" w:firstLineChars="0"/>
                    <w:jc w:val="center"/>
                    <w:rPr>
                      <w:color w:val="auto"/>
                      <w:sz w:val="21"/>
                    </w:rPr>
                  </w:pPr>
                  <w:r>
                    <w:rPr>
                      <w:rFonts w:hint="eastAsia"/>
                      <w:color w:val="auto"/>
                      <w:sz w:val="21"/>
                    </w:rPr>
                    <w:t>直接排放</w:t>
                  </w:r>
                </w:p>
              </w:tc>
              <w:tc>
                <w:tcPr>
                  <w:tcW w:w="1779" w:type="pct"/>
                  <w:vAlign w:val="center"/>
                </w:tcPr>
                <w:p>
                  <w:pPr>
                    <w:adjustRightInd w:val="0"/>
                    <w:snapToGrid w:val="0"/>
                    <w:spacing w:line="240" w:lineRule="auto"/>
                    <w:ind w:firstLine="0" w:firstLineChars="0"/>
                    <w:jc w:val="center"/>
                    <w:rPr>
                      <w:color w:val="auto"/>
                      <w:sz w:val="21"/>
                    </w:rPr>
                  </w:pPr>
                  <w:r>
                    <w:rPr>
                      <w:color w:val="auto"/>
                      <w:sz w:val="21"/>
                    </w:rPr>
                    <w:t>Q</w:t>
                  </w:r>
                  <w:r>
                    <w:rPr>
                      <w:rFonts w:hint="eastAsia"/>
                      <w:color w:val="auto"/>
                      <w:sz w:val="21"/>
                    </w:rPr>
                    <w:t>≥</w:t>
                  </w:r>
                  <w:r>
                    <w:rPr>
                      <w:color w:val="auto"/>
                      <w:sz w:val="21"/>
                    </w:rPr>
                    <w:t>20000</w:t>
                  </w:r>
                  <w:r>
                    <w:rPr>
                      <w:rFonts w:hint="eastAsia"/>
                      <w:color w:val="auto"/>
                      <w:sz w:val="21"/>
                    </w:rPr>
                    <w:t>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07" w:type="pct"/>
                  <w:vAlign w:val="center"/>
                </w:tcPr>
                <w:p>
                  <w:pPr>
                    <w:adjustRightInd w:val="0"/>
                    <w:snapToGrid w:val="0"/>
                    <w:spacing w:line="240" w:lineRule="auto"/>
                    <w:ind w:firstLine="0" w:firstLineChars="0"/>
                    <w:jc w:val="center"/>
                    <w:rPr>
                      <w:color w:val="auto"/>
                      <w:sz w:val="21"/>
                    </w:rPr>
                  </w:pPr>
                  <w:r>
                    <w:rPr>
                      <w:color w:val="auto"/>
                      <w:sz w:val="21"/>
                    </w:rPr>
                    <w:t>二级</w:t>
                  </w:r>
                </w:p>
              </w:tc>
              <w:tc>
                <w:tcPr>
                  <w:tcW w:w="1413" w:type="pct"/>
                  <w:vAlign w:val="center"/>
                </w:tcPr>
                <w:p>
                  <w:pPr>
                    <w:adjustRightInd w:val="0"/>
                    <w:snapToGrid w:val="0"/>
                    <w:spacing w:line="240" w:lineRule="auto"/>
                    <w:ind w:firstLine="0" w:firstLineChars="0"/>
                    <w:jc w:val="center"/>
                    <w:rPr>
                      <w:color w:val="auto"/>
                      <w:sz w:val="21"/>
                    </w:rPr>
                  </w:pPr>
                  <w:r>
                    <w:rPr>
                      <w:rFonts w:hint="eastAsia"/>
                      <w:color w:val="auto"/>
                      <w:sz w:val="21"/>
                    </w:rPr>
                    <w:t>直接排放</w:t>
                  </w:r>
                </w:p>
              </w:tc>
              <w:tc>
                <w:tcPr>
                  <w:tcW w:w="1779" w:type="pct"/>
                  <w:vAlign w:val="center"/>
                </w:tcPr>
                <w:p>
                  <w:pPr>
                    <w:adjustRightInd w:val="0"/>
                    <w:snapToGrid w:val="0"/>
                    <w:spacing w:line="240" w:lineRule="auto"/>
                    <w:ind w:firstLine="0" w:firstLineChars="0"/>
                    <w:jc w:val="center"/>
                    <w:rPr>
                      <w:color w:val="auto"/>
                      <w:sz w:val="21"/>
                    </w:rPr>
                  </w:pPr>
                  <w:r>
                    <w:rPr>
                      <w:rFonts w:hint="eastAsia"/>
                      <w:color w:val="auto"/>
                      <w:sz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07" w:type="pct"/>
                  <w:vAlign w:val="center"/>
                </w:tcPr>
                <w:p>
                  <w:pPr>
                    <w:adjustRightInd w:val="0"/>
                    <w:snapToGrid w:val="0"/>
                    <w:spacing w:line="240" w:lineRule="auto"/>
                    <w:ind w:firstLine="0" w:firstLineChars="0"/>
                    <w:jc w:val="center"/>
                    <w:rPr>
                      <w:color w:val="auto"/>
                      <w:sz w:val="21"/>
                    </w:rPr>
                  </w:pPr>
                  <w:r>
                    <w:rPr>
                      <w:color w:val="auto"/>
                      <w:sz w:val="21"/>
                    </w:rPr>
                    <w:t>三级</w:t>
                  </w:r>
                  <w:r>
                    <w:rPr>
                      <w:rFonts w:hint="eastAsia"/>
                      <w:color w:val="auto"/>
                      <w:sz w:val="21"/>
                    </w:rPr>
                    <w:t>A</w:t>
                  </w:r>
                </w:p>
              </w:tc>
              <w:tc>
                <w:tcPr>
                  <w:tcW w:w="1413" w:type="pct"/>
                  <w:vAlign w:val="center"/>
                </w:tcPr>
                <w:p>
                  <w:pPr>
                    <w:adjustRightInd w:val="0"/>
                    <w:snapToGrid w:val="0"/>
                    <w:spacing w:line="240" w:lineRule="auto"/>
                    <w:ind w:firstLine="0" w:firstLineChars="0"/>
                    <w:jc w:val="center"/>
                    <w:rPr>
                      <w:color w:val="auto"/>
                      <w:sz w:val="21"/>
                    </w:rPr>
                  </w:pPr>
                  <w:r>
                    <w:rPr>
                      <w:rFonts w:hint="eastAsia"/>
                      <w:color w:val="auto"/>
                      <w:sz w:val="21"/>
                    </w:rPr>
                    <w:t>直接排放</w:t>
                  </w:r>
                </w:p>
              </w:tc>
              <w:tc>
                <w:tcPr>
                  <w:tcW w:w="1779" w:type="pct"/>
                  <w:vAlign w:val="center"/>
                </w:tcPr>
                <w:p>
                  <w:pPr>
                    <w:adjustRightInd w:val="0"/>
                    <w:snapToGrid w:val="0"/>
                    <w:spacing w:line="240" w:lineRule="auto"/>
                    <w:ind w:firstLine="0" w:firstLineChars="0"/>
                    <w:jc w:val="center"/>
                    <w:rPr>
                      <w:color w:val="auto"/>
                      <w:sz w:val="21"/>
                    </w:rPr>
                  </w:pPr>
                  <w:r>
                    <w:rPr>
                      <w:color w:val="auto"/>
                      <w:sz w:val="21"/>
                    </w:rPr>
                    <w:t>Q&lt;200</w:t>
                  </w:r>
                  <w:r>
                    <w:rPr>
                      <w:rFonts w:hint="eastAsia"/>
                      <w:color w:val="auto"/>
                      <w:sz w:val="21"/>
                    </w:rPr>
                    <w:t>且W</w:t>
                  </w:r>
                  <w:r>
                    <w:rPr>
                      <w:color w:val="auto"/>
                      <w:sz w:val="21"/>
                    </w:rPr>
                    <w:t>&lt;6000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07" w:type="pct"/>
                  <w:shd w:val="clear" w:color="auto" w:fill="AEAAAA"/>
                  <w:vAlign w:val="center"/>
                </w:tcPr>
                <w:p>
                  <w:pPr>
                    <w:adjustRightInd w:val="0"/>
                    <w:snapToGrid w:val="0"/>
                    <w:spacing w:line="240" w:lineRule="auto"/>
                    <w:ind w:firstLine="0" w:firstLineChars="0"/>
                    <w:jc w:val="center"/>
                    <w:rPr>
                      <w:color w:val="auto"/>
                      <w:sz w:val="21"/>
                    </w:rPr>
                  </w:pPr>
                  <w:r>
                    <w:rPr>
                      <w:color w:val="auto"/>
                      <w:sz w:val="21"/>
                    </w:rPr>
                    <w:t>三级B</w:t>
                  </w:r>
                </w:p>
              </w:tc>
              <w:tc>
                <w:tcPr>
                  <w:tcW w:w="1413" w:type="pct"/>
                  <w:shd w:val="clear" w:color="auto" w:fill="AEAAAA"/>
                  <w:vAlign w:val="center"/>
                </w:tcPr>
                <w:p>
                  <w:pPr>
                    <w:adjustRightInd w:val="0"/>
                    <w:snapToGrid w:val="0"/>
                    <w:spacing w:line="240" w:lineRule="auto"/>
                    <w:ind w:firstLine="0" w:firstLineChars="0"/>
                    <w:jc w:val="center"/>
                    <w:rPr>
                      <w:color w:val="auto"/>
                      <w:sz w:val="21"/>
                    </w:rPr>
                  </w:pPr>
                  <w:r>
                    <w:rPr>
                      <w:rFonts w:hint="eastAsia"/>
                      <w:color w:val="auto"/>
                      <w:sz w:val="21"/>
                    </w:rPr>
                    <w:t>间接排放</w:t>
                  </w:r>
                </w:p>
              </w:tc>
              <w:tc>
                <w:tcPr>
                  <w:tcW w:w="1779" w:type="pct"/>
                  <w:shd w:val="clear" w:color="auto" w:fill="AEAAAA"/>
                  <w:vAlign w:val="center"/>
                </w:tcPr>
                <w:p>
                  <w:pPr>
                    <w:adjustRightInd w:val="0"/>
                    <w:snapToGrid w:val="0"/>
                    <w:spacing w:line="240" w:lineRule="auto"/>
                    <w:ind w:firstLine="0" w:firstLineChars="0"/>
                    <w:jc w:val="center"/>
                    <w:rPr>
                      <w:color w:val="auto"/>
                      <w:sz w:val="21"/>
                    </w:rPr>
                  </w:pPr>
                  <w:r>
                    <w:rPr>
                      <w:rFonts w:hint="eastAsia"/>
                      <w:color w:val="auto"/>
                      <w:sz w:val="21"/>
                    </w:rPr>
                    <w:t>—</w:t>
                  </w:r>
                </w:p>
              </w:tc>
            </w:tr>
          </w:tbl>
          <w:p>
            <w:pPr>
              <w:ind w:left="72" w:leftChars="30" w:right="72" w:rightChars="30" w:firstLine="480"/>
              <w:rPr>
                <w:rFonts w:hAnsi="宋体"/>
                <w:color w:val="auto"/>
                <w:szCs w:val="20"/>
              </w:rPr>
            </w:pPr>
            <w:r>
              <w:rPr>
                <w:rFonts w:hint="eastAsia" w:hAnsi="宋体"/>
                <w:color w:val="auto"/>
                <w:szCs w:val="20"/>
              </w:rPr>
              <w:t>（2）</w:t>
            </w:r>
            <w:r>
              <w:rPr>
                <w:rFonts w:hAnsi="宋体"/>
                <w:color w:val="auto"/>
                <w:szCs w:val="20"/>
              </w:rPr>
              <w:t>废水</w:t>
            </w:r>
            <w:r>
              <w:rPr>
                <w:rFonts w:hint="eastAsia" w:hAnsi="宋体"/>
                <w:color w:val="auto"/>
                <w:szCs w:val="20"/>
              </w:rPr>
              <w:t>类别、</w:t>
            </w:r>
            <w:r>
              <w:rPr>
                <w:rFonts w:hAnsi="宋体"/>
                <w:color w:val="auto"/>
                <w:szCs w:val="20"/>
              </w:rPr>
              <w:t>污染物</w:t>
            </w:r>
            <w:r>
              <w:rPr>
                <w:rFonts w:hint="eastAsia" w:hAnsi="宋体"/>
                <w:color w:val="auto"/>
                <w:szCs w:val="20"/>
              </w:rPr>
              <w:t>及污染治理设施信息</w:t>
            </w:r>
          </w:p>
          <w:p>
            <w:pPr>
              <w:ind w:firstLine="0" w:firstLineChars="0"/>
              <w:jc w:val="center"/>
              <w:rPr>
                <w:color w:val="auto"/>
              </w:rPr>
            </w:pPr>
            <w:r>
              <w:rPr>
                <w:rFonts w:hAnsi="宋体"/>
                <w:b/>
                <w:color w:val="auto"/>
              </w:rPr>
              <w:t>表</w:t>
            </w:r>
            <w:r>
              <w:rPr>
                <w:rFonts w:hint="eastAsia" w:hAnsi="宋体"/>
                <w:b/>
                <w:color w:val="auto"/>
              </w:rPr>
              <w:t xml:space="preserve">7-10   </w:t>
            </w:r>
            <w:r>
              <w:rPr>
                <w:rFonts w:hAnsi="宋体"/>
                <w:b/>
                <w:color w:val="auto"/>
              </w:rPr>
              <w:t>废水</w:t>
            </w:r>
            <w:r>
              <w:rPr>
                <w:rFonts w:hint="eastAsia" w:hAnsi="宋体"/>
                <w:b/>
                <w:color w:val="auto"/>
              </w:rPr>
              <w:t>类别、</w:t>
            </w:r>
            <w:r>
              <w:rPr>
                <w:rFonts w:hAnsi="宋体"/>
                <w:b/>
                <w:color w:val="auto"/>
              </w:rPr>
              <w:t>污染物</w:t>
            </w:r>
            <w:r>
              <w:rPr>
                <w:rFonts w:hint="eastAsia" w:hAnsi="宋体"/>
                <w:b/>
                <w:color w:val="auto"/>
              </w:rPr>
              <w:t>及污染治理设施信息</w:t>
            </w:r>
            <w:r>
              <w:rPr>
                <w:rFonts w:hAnsi="宋体"/>
                <w:b/>
                <w:color w:val="auto"/>
              </w:rPr>
              <w:t>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552"/>
              <w:gridCol w:w="800"/>
              <w:gridCol w:w="783"/>
              <w:gridCol w:w="858"/>
              <w:gridCol w:w="630"/>
              <w:gridCol w:w="686"/>
              <w:gridCol w:w="632"/>
              <w:gridCol w:w="911"/>
              <w:gridCol w:w="798"/>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8" w:type="dxa"/>
                  <w:vMerge w:val="restart"/>
                  <w:vAlign w:val="center"/>
                </w:tcPr>
                <w:p>
                  <w:pPr>
                    <w:spacing w:line="320" w:lineRule="exact"/>
                    <w:ind w:firstLine="0" w:firstLineChars="0"/>
                    <w:jc w:val="center"/>
                    <w:rPr>
                      <w:color w:val="auto"/>
                      <w:sz w:val="21"/>
                    </w:rPr>
                  </w:pPr>
                  <w:r>
                    <w:rPr>
                      <w:rFonts w:hint="eastAsia"/>
                      <w:color w:val="auto"/>
                      <w:sz w:val="21"/>
                    </w:rPr>
                    <w:t>序号</w:t>
                  </w:r>
                </w:p>
              </w:tc>
              <w:tc>
                <w:tcPr>
                  <w:tcW w:w="552" w:type="dxa"/>
                  <w:vMerge w:val="restart"/>
                  <w:vAlign w:val="center"/>
                </w:tcPr>
                <w:p>
                  <w:pPr>
                    <w:spacing w:line="320" w:lineRule="exact"/>
                    <w:ind w:firstLine="0" w:firstLineChars="0"/>
                    <w:jc w:val="center"/>
                    <w:rPr>
                      <w:color w:val="auto"/>
                      <w:sz w:val="21"/>
                    </w:rPr>
                  </w:pPr>
                  <w:r>
                    <w:rPr>
                      <w:rFonts w:hint="eastAsia"/>
                      <w:color w:val="auto"/>
                      <w:sz w:val="21"/>
                    </w:rPr>
                    <w:t>废水类别</w:t>
                  </w:r>
                  <w:r>
                    <w:rPr>
                      <w:color w:val="auto"/>
                      <w:sz w:val="21"/>
                    </w:rPr>
                    <w:t>(a)</w:t>
                  </w:r>
                </w:p>
              </w:tc>
              <w:tc>
                <w:tcPr>
                  <w:tcW w:w="800" w:type="dxa"/>
                  <w:vMerge w:val="restart"/>
                  <w:vAlign w:val="center"/>
                </w:tcPr>
                <w:p>
                  <w:pPr>
                    <w:spacing w:line="320" w:lineRule="exact"/>
                    <w:ind w:firstLine="0" w:firstLineChars="0"/>
                    <w:jc w:val="center"/>
                    <w:rPr>
                      <w:color w:val="auto"/>
                      <w:sz w:val="21"/>
                    </w:rPr>
                  </w:pPr>
                  <w:r>
                    <w:rPr>
                      <w:rFonts w:hint="eastAsia"/>
                      <w:color w:val="auto"/>
                      <w:sz w:val="21"/>
                    </w:rPr>
                    <w:t>污染物种类</w:t>
                  </w:r>
                  <w:r>
                    <w:rPr>
                      <w:color w:val="auto"/>
                      <w:sz w:val="21"/>
                    </w:rPr>
                    <w:t>(b)</w:t>
                  </w:r>
                </w:p>
              </w:tc>
              <w:tc>
                <w:tcPr>
                  <w:tcW w:w="783" w:type="dxa"/>
                  <w:vMerge w:val="restart"/>
                  <w:vAlign w:val="center"/>
                </w:tcPr>
                <w:p>
                  <w:pPr>
                    <w:spacing w:line="320" w:lineRule="exact"/>
                    <w:ind w:firstLine="0" w:firstLineChars="0"/>
                    <w:jc w:val="center"/>
                    <w:rPr>
                      <w:color w:val="auto"/>
                      <w:sz w:val="21"/>
                    </w:rPr>
                  </w:pPr>
                  <w:r>
                    <w:rPr>
                      <w:rFonts w:hint="eastAsia"/>
                      <w:color w:val="auto"/>
                      <w:sz w:val="21"/>
                    </w:rPr>
                    <w:t>排放去向</w:t>
                  </w:r>
                  <w:r>
                    <w:rPr>
                      <w:color w:val="auto"/>
                      <w:sz w:val="21"/>
                    </w:rPr>
                    <w:t>(c)</w:t>
                  </w:r>
                </w:p>
              </w:tc>
              <w:tc>
                <w:tcPr>
                  <w:tcW w:w="858" w:type="dxa"/>
                  <w:vMerge w:val="restart"/>
                  <w:vAlign w:val="center"/>
                </w:tcPr>
                <w:p>
                  <w:pPr>
                    <w:spacing w:line="320" w:lineRule="exact"/>
                    <w:ind w:firstLine="0" w:firstLineChars="0"/>
                    <w:jc w:val="center"/>
                    <w:rPr>
                      <w:color w:val="auto"/>
                      <w:sz w:val="21"/>
                    </w:rPr>
                  </w:pPr>
                  <w:r>
                    <w:rPr>
                      <w:rFonts w:hint="eastAsia"/>
                      <w:color w:val="auto"/>
                      <w:sz w:val="21"/>
                    </w:rPr>
                    <w:t>排放规律</w:t>
                  </w:r>
                  <w:r>
                    <w:rPr>
                      <w:color w:val="auto"/>
                      <w:sz w:val="21"/>
                    </w:rPr>
                    <w:t>(d)</w:t>
                  </w:r>
                </w:p>
              </w:tc>
              <w:tc>
                <w:tcPr>
                  <w:tcW w:w="1948" w:type="dxa"/>
                  <w:gridSpan w:val="3"/>
                  <w:vAlign w:val="center"/>
                </w:tcPr>
                <w:p>
                  <w:pPr>
                    <w:spacing w:line="320" w:lineRule="exact"/>
                    <w:ind w:firstLine="0" w:firstLineChars="0"/>
                    <w:jc w:val="center"/>
                    <w:rPr>
                      <w:color w:val="auto"/>
                      <w:sz w:val="21"/>
                    </w:rPr>
                  </w:pPr>
                  <w:r>
                    <w:rPr>
                      <w:rFonts w:hint="eastAsia"/>
                      <w:color w:val="auto"/>
                      <w:sz w:val="21"/>
                    </w:rPr>
                    <w:t>污染治理设施</w:t>
                  </w:r>
                </w:p>
              </w:tc>
              <w:tc>
                <w:tcPr>
                  <w:tcW w:w="911" w:type="dxa"/>
                  <w:vMerge w:val="restart"/>
                  <w:vAlign w:val="center"/>
                </w:tcPr>
                <w:p>
                  <w:pPr>
                    <w:spacing w:line="320" w:lineRule="exact"/>
                    <w:ind w:firstLine="0" w:firstLineChars="0"/>
                    <w:jc w:val="center"/>
                    <w:rPr>
                      <w:color w:val="auto"/>
                      <w:sz w:val="21"/>
                    </w:rPr>
                  </w:pPr>
                  <w:r>
                    <w:rPr>
                      <w:rFonts w:hint="eastAsia"/>
                      <w:color w:val="auto"/>
                      <w:sz w:val="21"/>
                    </w:rPr>
                    <w:t>排放口编号</w:t>
                  </w:r>
                  <w:r>
                    <w:rPr>
                      <w:color w:val="auto"/>
                      <w:sz w:val="21"/>
                    </w:rPr>
                    <w:t>(f)</w:t>
                  </w:r>
                </w:p>
              </w:tc>
              <w:tc>
                <w:tcPr>
                  <w:tcW w:w="798" w:type="dxa"/>
                  <w:vMerge w:val="restart"/>
                  <w:vAlign w:val="center"/>
                </w:tcPr>
                <w:p>
                  <w:pPr>
                    <w:spacing w:line="320" w:lineRule="exact"/>
                    <w:ind w:firstLine="0" w:firstLineChars="0"/>
                    <w:jc w:val="center"/>
                    <w:rPr>
                      <w:color w:val="auto"/>
                      <w:sz w:val="21"/>
                    </w:rPr>
                  </w:pPr>
                  <w:r>
                    <w:rPr>
                      <w:rFonts w:hint="eastAsia"/>
                      <w:color w:val="auto"/>
                      <w:sz w:val="21"/>
                    </w:rPr>
                    <w:t>排放口设置是否满足要求</w:t>
                  </w:r>
                  <w:r>
                    <w:rPr>
                      <w:color w:val="auto"/>
                      <w:sz w:val="21"/>
                    </w:rPr>
                    <w:t>(g)</w:t>
                  </w:r>
                </w:p>
              </w:tc>
              <w:tc>
                <w:tcPr>
                  <w:tcW w:w="1737" w:type="dxa"/>
                  <w:vMerge w:val="restart"/>
                  <w:vAlign w:val="center"/>
                </w:tcPr>
                <w:p>
                  <w:pPr>
                    <w:spacing w:line="320" w:lineRule="exact"/>
                    <w:ind w:firstLine="0" w:firstLineChars="0"/>
                    <w:jc w:val="center"/>
                    <w:rPr>
                      <w:color w:val="auto"/>
                      <w:sz w:val="21"/>
                    </w:rPr>
                  </w:pPr>
                  <w:r>
                    <w:rPr>
                      <w:rFonts w:hint="eastAsia"/>
                      <w:color w:val="auto"/>
                      <w:sz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428" w:type="dxa"/>
                  <w:vMerge w:val="continue"/>
                  <w:vAlign w:val="center"/>
                </w:tcPr>
                <w:p>
                  <w:pPr>
                    <w:spacing w:line="320" w:lineRule="exact"/>
                    <w:ind w:firstLine="0" w:firstLineChars="0"/>
                    <w:jc w:val="center"/>
                    <w:rPr>
                      <w:color w:val="auto"/>
                      <w:sz w:val="21"/>
                    </w:rPr>
                  </w:pPr>
                </w:p>
              </w:tc>
              <w:tc>
                <w:tcPr>
                  <w:tcW w:w="552" w:type="dxa"/>
                  <w:vMerge w:val="continue"/>
                  <w:vAlign w:val="center"/>
                </w:tcPr>
                <w:p>
                  <w:pPr>
                    <w:spacing w:line="320" w:lineRule="exact"/>
                    <w:ind w:firstLine="0" w:firstLineChars="0"/>
                    <w:jc w:val="center"/>
                    <w:rPr>
                      <w:color w:val="auto"/>
                      <w:sz w:val="21"/>
                    </w:rPr>
                  </w:pPr>
                </w:p>
              </w:tc>
              <w:tc>
                <w:tcPr>
                  <w:tcW w:w="800" w:type="dxa"/>
                  <w:vMerge w:val="continue"/>
                  <w:vAlign w:val="center"/>
                </w:tcPr>
                <w:p>
                  <w:pPr>
                    <w:spacing w:line="320" w:lineRule="exact"/>
                    <w:ind w:firstLine="0" w:firstLineChars="0"/>
                    <w:jc w:val="center"/>
                    <w:rPr>
                      <w:color w:val="auto"/>
                      <w:sz w:val="21"/>
                    </w:rPr>
                  </w:pPr>
                </w:p>
              </w:tc>
              <w:tc>
                <w:tcPr>
                  <w:tcW w:w="783" w:type="dxa"/>
                  <w:vMerge w:val="continue"/>
                  <w:vAlign w:val="center"/>
                </w:tcPr>
                <w:p>
                  <w:pPr>
                    <w:spacing w:line="320" w:lineRule="exact"/>
                    <w:ind w:firstLine="0" w:firstLineChars="0"/>
                    <w:jc w:val="center"/>
                    <w:rPr>
                      <w:color w:val="auto"/>
                      <w:sz w:val="21"/>
                    </w:rPr>
                  </w:pPr>
                </w:p>
              </w:tc>
              <w:tc>
                <w:tcPr>
                  <w:tcW w:w="858" w:type="dxa"/>
                  <w:vMerge w:val="continue"/>
                  <w:vAlign w:val="center"/>
                </w:tcPr>
                <w:p>
                  <w:pPr>
                    <w:spacing w:line="320" w:lineRule="exact"/>
                    <w:ind w:firstLine="0" w:firstLineChars="0"/>
                    <w:jc w:val="center"/>
                    <w:rPr>
                      <w:color w:val="auto"/>
                      <w:sz w:val="21"/>
                    </w:rPr>
                  </w:pPr>
                </w:p>
              </w:tc>
              <w:tc>
                <w:tcPr>
                  <w:tcW w:w="630" w:type="dxa"/>
                  <w:vAlign w:val="center"/>
                </w:tcPr>
                <w:p>
                  <w:pPr>
                    <w:spacing w:line="320" w:lineRule="exact"/>
                    <w:ind w:firstLine="0" w:firstLineChars="0"/>
                    <w:jc w:val="center"/>
                    <w:rPr>
                      <w:color w:val="auto"/>
                      <w:sz w:val="21"/>
                    </w:rPr>
                  </w:pPr>
                  <w:r>
                    <w:rPr>
                      <w:rFonts w:hint="eastAsia"/>
                      <w:color w:val="auto"/>
                      <w:sz w:val="21"/>
                    </w:rPr>
                    <w:t>污染治理设施编号</w:t>
                  </w:r>
                </w:p>
              </w:tc>
              <w:tc>
                <w:tcPr>
                  <w:tcW w:w="686" w:type="dxa"/>
                  <w:vAlign w:val="center"/>
                </w:tcPr>
                <w:p>
                  <w:pPr>
                    <w:spacing w:line="320" w:lineRule="exact"/>
                    <w:ind w:firstLine="0" w:firstLineChars="0"/>
                    <w:jc w:val="center"/>
                    <w:rPr>
                      <w:color w:val="auto"/>
                      <w:sz w:val="21"/>
                    </w:rPr>
                  </w:pPr>
                  <w:r>
                    <w:rPr>
                      <w:rFonts w:hint="eastAsia"/>
                      <w:color w:val="auto"/>
                      <w:sz w:val="21"/>
                    </w:rPr>
                    <w:t>污染治理设施名称</w:t>
                  </w:r>
                  <w:r>
                    <w:rPr>
                      <w:color w:val="auto"/>
                      <w:sz w:val="21"/>
                    </w:rPr>
                    <w:t>(e)</w:t>
                  </w:r>
                </w:p>
              </w:tc>
              <w:tc>
                <w:tcPr>
                  <w:tcW w:w="632" w:type="dxa"/>
                  <w:vAlign w:val="center"/>
                </w:tcPr>
                <w:p>
                  <w:pPr>
                    <w:spacing w:line="320" w:lineRule="exact"/>
                    <w:ind w:firstLine="0" w:firstLineChars="0"/>
                    <w:jc w:val="center"/>
                    <w:rPr>
                      <w:color w:val="auto"/>
                      <w:sz w:val="21"/>
                    </w:rPr>
                  </w:pPr>
                  <w:r>
                    <w:rPr>
                      <w:rFonts w:hint="eastAsia"/>
                      <w:color w:val="auto"/>
                      <w:sz w:val="21"/>
                    </w:rPr>
                    <w:t>污染治理设施工艺</w:t>
                  </w:r>
                </w:p>
              </w:tc>
              <w:tc>
                <w:tcPr>
                  <w:tcW w:w="911" w:type="dxa"/>
                  <w:vMerge w:val="continue"/>
                  <w:vAlign w:val="center"/>
                </w:tcPr>
                <w:p>
                  <w:pPr>
                    <w:spacing w:line="320" w:lineRule="exact"/>
                    <w:ind w:firstLine="0" w:firstLineChars="0"/>
                    <w:jc w:val="center"/>
                    <w:rPr>
                      <w:color w:val="auto"/>
                      <w:sz w:val="21"/>
                    </w:rPr>
                  </w:pPr>
                </w:p>
              </w:tc>
              <w:tc>
                <w:tcPr>
                  <w:tcW w:w="798" w:type="dxa"/>
                  <w:vMerge w:val="continue"/>
                  <w:vAlign w:val="center"/>
                </w:tcPr>
                <w:p>
                  <w:pPr>
                    <w:spacing w:line="320" w:lineRule="exact"/>
                    <w:ind w:firstLine="0" w:firstLineChars="0"/>
                    <w:jc w:val="center"/>
                    <w:rPr>
                      <w:color w:val="auto"/>
                      <w:sz w:val="21"/>
                    </w:rPr>
                  </w:pPr>
                </w:p>
              </w:tc>
              <w:tc>
                <w:tcPr>
                  <w:tcW w:w="1737" w:type="dxa"/>
                  <w:vMerge w:val="continue"/>
                  <w:vAlign w:val="center"/>
                </w:tcPr>
                <w:p>
                  <w:pPr>
                    <w:spacing w:line="320" w:lineRule="exact"/>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428" w:type="dxa"/>
                  <w:vAlign w:val="center"/>
                </w:tcPr>
                <w:p>
                  <w:pPr>
                    <w:spacing w:line="320" w:lineRule="exact"/>
                    <w:ind w:firstLine="0" w:firstLineChars="0"/>
                    <w:jc w:val="center"/>
                    <w:rPr>
                      <w:color w:val="auto"/>
                      <w:sz w:val="21"/>
                    </w:rPr>
                  </w:pPr>
                  <w:r>
                    <w:rPr>
                      <w:rFonts w:hint="eastAsia"/>
                      <w:color w:val="auto"/>
                      <w:sz w:val="21"/>
                    </w:rPr>
                    <w:t>1</w:t>
                  </w:r>
                </w:p>
              </w:tc>
              <w:tc>
                <w:tcPr>
                  <w:tcW w:w="552" w:type="dxa"/>
                  <w:vAlign w:val="center"/>
                </w:tcPr>
                <w:p>
                  <w:pPr>
                    <w:spacing w:line="320" w:lineRule="exact"/>
                    <w:ind w:firstLine="0" w:firstLineChars="0"/>
                    <w:jc w:val="center"/>
                    <w:rPr>
                      <w:color w:val="auto"/>
                      <w:sz w:val="21"/>
                    </w:rPr>
                  </w:pPr>
                  <w:r>
                    <w:rPr>
                      <w:rFonts w:hint="eastAsia"/>
                      <w:color w:val="auto"/>
                      <w:sz w:val="21"/>
                    </w:rPr>
                    <w:t>生活污水</w:t>
                  </w:r>
                </w:p>
              </w:tc>
              <w:tc>
                <w:tcPr>
                  <w:tcW w:w="800" w:type="dxa"/>
                  <w:vAlign w:val="center"/>
                </w:tcPr>
                <w:p>
                  <w:pPr>
                    <w:spacing w:line="320" w:lineRule="exact"/>
                    <w:ind w:firstLine="0" w:firstLineChars="0"/>
                    <w:jc w:val="center"/>
                    <w:rPr>
                      <w:color w:val="auto"/>
                      <w:sz w:val="21"/>
                    </w:rPr>
                  </w:pPr>
                  <w:r>
                    <w:rPr>
                      <w:color w:val="auto"/>
                      <w:sz w:val="21"/>
                    </w:rPr>
                    <w:t>COD</w:t>
                  </w:r>
                </w:p>
                <w:p>
                  <w:pPr>
                    <w:spacing w:line="320" w:lineRule="exact"/>
                    <w:ind w:firstLine="0" w:firstLineChars="0"/>
                    <w:jc w:val="center"/>
                    <w:rPr>
                      <w:color w:val="auto"/>
                      <w:sz w:val="21"/>
                    </w:rPr>
                  </w:pPr>
                  <w:r>
                    <w:rPr>
                      <w:color w:val="auto"/>
                      <w:sz w:val="21"/>
                    </w:rPr>
                    <w:t>SS</w:t>
                  </w:r>
                </w:p>
                <w:p>
                  <w:pPr>
                    <w:spacing w:line="320" w:lineRule="exact"/>
                    <w:ind w:firstLine="0" w:firstLineChars="0"/>
                    <w:jc w:val="center"/>
                    <w:rPr>
                      <w:color w:val="auto"/>
                      <w:sz w:val="21"/>
                    </w:rPr>
                  </w:pPr>
                  <w:r>
                    <w:rPr>
                      <w:color w:val="auto"/>
                      <w:sz w:val="21"/>
                    </w:rPr>
                    <w:t>氨氮</w:t>
                  </w:r>
                </w:p>
                <w:p>
                  <w:pPr>
                    <w:spacing w:line="320" w:lineRule="exact"/>
                    <w:ind w:firstLine="0" w:firstLineChars="0"/>
                    <w:jc w:val="center"/>
                    <w:rPr>
                      <w:color w:val="auto"/>
                      <w:sz w:val="21"/>
                    </w:rPr>
                  </w:pPr>
                  <w:r>
                    <w:rPr>
                      <w:rFonts w:hint="eastAsia"/>
                      <w:color w:val="auto"/>
                      <w:sz w:val="21"/>
                    </w:rPr>
                    <w:t>BOD</w:t>
                  </w:r>
                  <w:r>
                    <w:rPr>
                      <w:rFonts w:hint="eastAsia"/>
                      <w:color w:val="auto"/>
                      <w:sz w:val="21"/>
                      <w:vertAlign w:val="subscript"/>
                    </w:rPr>
                    <w:t>5</w:t>
                  </w:r>
                </w:p>
              </w:tc>
              <w:tc>
                <w:tcPr>
                  <w:tcW w:w="783" w:type="dxa"/>
                  <w:vAlign w:val="center"/>
                </w:tcPr>
                <w:p>
                  <w:pPr>
                    <w:spacing w:line="320" w:lineRule="exact"/>
                    <w:ind w:firstLine="0" w:firstLineChars="0"/>
                    <w:jc w:val="center"/>
                    <w:rPr>
                      <w:color w:val="auto"/>
                      <w:sz w:val="21"/>
                    </w:rPr>
                  </w:pPr>
                  <w:r>
                    <w:rPr>
                      <w:color w:val="auto"/>
                      <w:sz w:val="21"/>
                    </w:rPr>
                    <w:t>进入</w:t>
                  </w:r>
                  <w:r>
                    <w:rPr>
                      <w:rFonts w:hint="eastAsia"/>
                      <w:color w:val="auto"/>
                      <w:sz w:val="21"/>
                    </w:rPr>
                    <w:t>沅江市第二污水处理厂</w:t>
                  </w:r>
                </w:p>
              </w:tc>
              <w:tc>
                <w:tcPr>
                  <w:tcW w:w="858" w:type="dxa"/>
                  <w:vAlign w:val="center"/>
                </w:tcPr>
                <w:p>
                  <w:pPr>
                    <w:spacing w:line="320" w:lineRule="exact"/>
                    <w:ind w:firstLine="0" w:firstLineChars="0"/>
                    <w:jc w:val="center"/>
                    <w:rPr>
                      <w:color w:val="auto"/>
                      <w:sz w:val="21"/>
                    </w:rPr>
                  </w:pPr>
                  <w:r>
                    <w:rPr>
                      <w:rFonts w:hint="eastAsia"/>
                      <w:color w:val="auto"/>
                      <w:sz w:val="21"/>
                    </w:rPr>
                    <w:t>间歇排放、</w:t>
                  </w:r>
                  <w:r>
                    <w:rPr>
                      <w:color w:val="auto"/>
                      <w:sz w:val="21"/>
                    </w:rPr>
                    <w:t>流量</w:t>
                  </w:r>
                  <w:r>
                    <w:rPr>
                      <w:rFonts w:hint="eastAsia"/>
                      <w:color w:val="auto"/>
                      <w:sz w:val="21"/>
                    </w:rPr>
                    <w:t>不稳定</w:t>
                  </w:r>
                </w:p>
              </w:tc>
              <w:tc>
                <w:tcPr>
                  <w:tcW w:w="630" w:type="dxa"/>
                  <w:vAlign w:val="center"/>
                </w:tcPr>
                <w:p>
                  <w:pPr>
                    <w:spacing w:line="320" w:lineRule="exact"/>
                    <w:ind w:firstLine="0" w:firstLineChars="0"/>
                    <w:jc w:val="center"/>
                    <w:rPr>
                      <w:color w:val="auto"/>
                      <w:sz w:val="21"/>
                    </w:rPr>
                  </w:pPr>
                  <w:r>
                    <w:rPr>
                      <w:rFonts w:hint="eastAsia"/>
                      <w:color w:val="auto"/>
                      <w:sz w:val="21"/>
                    </w:rPr>
                    <w:t>—</w:t>
                  </w:r>
                </w:p>
              </w:tc>
              <w:tc>
                <w:tcPr>
                  <w:tcW w:w="686" w:type="dxa"/>
                  <w:vAlign w:val="center"/>
                </w:tcPr>
                <w:p>
                  <w:pPr>
                    <w:spacing w:line="320" w:lineRule="exact"/>
                    <w:ind w:firstLine="0" w:firstLineChars="0"/>
                    <w:jc w:val="center"/>
                    <w:rPr>
                      <w:color w:val="auto"/>
                      <w:sz w:val="21"/>
                    </w:rPr>
                  </w:pPr>
                  <w:r>
                    <w:rPr>
                      <w:rFonts w:hint="eastAsia"/>
                      <w:color w:val="auto"/>
                      <w:sz w:val="21"/>
                    </w:rPr>
                    <w:t>生活污水处理系统</w:t>
                  </w:r>
                </w:p>
              </w:tc>
              <w:tc>
                <w:tcPr>
                  <w:tcW w:w="632" w:type="dxa"/>
                  <w:vAlign w:val="center"/>
                </w:tcPr>
                <w:p>
                  <w:pPr>
                    <w:spacing w:line="320" w:lineRule="exact"/>
                    <w:ind w:firstLine="0" w:firstLineChars="0"/>
                    <w:jc w:val="center"/>
                    <w:rPr>
                      <w:color w:val="auto"/>
                      <w:sz w:val="21"/>
                    </w:rPr>
                  </w:pPr>
                  <w:r>
                    <w:rPr>
                      <w:rFonts w:hint="eastAsia"/>
                      <w:color w:val="auto"/>
                      <w:sz w:val="21"/>
                    </w:rPr>
                    <w:t>化粪池</w:t>
                  </w:r>
                </w:p>
              </w:tc>
              <w:tc>
                <w:tcPr>
                  <w:tcW w:w="911" w:type="dxa"/>
                  <w:vAlign w:val="center"/>
                </w:tcPr>
                <w:p>
                  <w:pPr>
                    <w:spacing w:line="320" w:lineRule="exact"/>
                    <w:ind w:firstLine="0" w:firstLineChars="0"/>
                    <w:jc w:val="center"/>
                    <w:rPr>
                      <w:color w:val="auto"/>
                      <w:sz w:val="21"/>
                    </w:rPr>
                  </w:pPr>
                  <w:r>
                    <w:rPr>
                      <w:rFonts w:hint="eastAsia"/>
                      <w:color w:val="auto"/>
                      <w:sz w:val="21"/>
                    </w:rPr>
                    <w:t>DW001</w:t>
                  </w:r>
                </w:p>
              </w:tc>
              <w:tc>
                <w:tcPr>
                  <w:tcW w:w="798" w:type="dxa"/>
                  <w:vAlign w:val="center"/>
                </w:tcPr>
                <w:p>
                  <w:pPr>
                    <w:spacing w:line="320" w:lineRule="exact"/>
                    <w:ind w:firstLine="0" w:firstLineChars="0"/>
                    <w:jc w:val="center"/>
                    <w:rPr>
                      <w:color w:val="auto"/>
                      <w:sz w:val="21"/>
                    </w:rPr>
                  </w:pPr>
                  <w:r>
                    <w:rPr>
                      <w:rFonts w:hint="eastAsia"/>
                      <w:color w:val="auto"/>
                      <w:sz w:val="21"/>
                    </w:rPr>
                    <w:t>√是</w:t>
                  </w:r>
                </w:p>
                <w:p>
                  <w:pPr>
                    <w:spacing w:line="320" w:lineRule="exact"/>
                    <w:ind w:firstLine="0" w:firstLineChars="0"/>
                    <w:jc w:val="center"/>
                    <w:rPr>
                      <w:color w:val="auto"/>
                      <w:sz w:val="21"/>
                    </w:rPr>
                  </w:pPr>
                  <w:r>
                    <w:rPr>
                      <w:rFonts w:hint="eastAsia"/>
                      <w:color w:val="auto"/>
                      <w:sz w:val="21"/>
                    </w:rPr>
                    <w:t>□否</w:t>
                  </w:r>
                </w:p>
              </w:tc>
              <w:tc>
                <w:tcPr>
                  <w:tcW w:w="1737" w:type="dxa"/>
                  <w:vAlign w:val="center"/>
                </w:tcPr>
                <w:p>
                  <w:pPr>
                    <w:spacing w:line="320" w:lineRule="exact"/>
                    <w:ind w:firstLine="0" w:firstLineChars="0"/>
                    <w:jc w:val="center"/>
                    <w:rPr>
                      <w:color w:val="auto"/>
                      <w:sz w:val="21"/>
                    </w:rPr>
                  </w:pPr>
                  <w:r>
                    <w:rPr>
                      <w:rFonts w:hint="eastAsia"/>
                      <w:color w:val="auto"/>
                      <w:sz w:val="21"/>
                    </w:rPr>
                    <w:t>√企业总排□雨水排放□清净下水排放□温排水排放□车间或车间处理设置排放口</w:t>
                  </w:r>
                </w:p>
              </w:tc>
            </w:tr>
          </w:tbl>
          <w:p>
            <w:pPr>
              <w:adjustRightInd w:val="0"/>
              <w:snapToGrid w:val="0"/>
              <w:ind w:firstLine="480"/>
              <w:rPr>
                <w:rFonts w:ascii="Calibri" w:hAnsi="Calibri"/>
                <w:color w:val="auto"/>
              </w:rPr>
            </w:pPr>
            <w:r>
              <w:rPr>
                <w:rFonts w:ascii="Calibri" w:hAnsi="Calibri"/>
                <w:color w:val="auto"/>
              </w:rPr>
              <w:t>a</w:t>
            </w:r>
            <w:r>
              <w:rPr>
                <w:rFonts w:hint="eastAsia" w:ascii="Calibri" w:hAnsi="Calibri"/>
                <w:color w:val="auto"/>
              </w:rPr>
              <w:t>是指产生废水的工艺、</w:t>
            </w:r>
            <w:r>
              <w:rPr>
                <w:rFonts w:ascii="Calibri" w:hAnsi="Calibri"/>
                <w:color w:val="auto"/>
              </w:rPr>
              <w:t>工序</w:t>
            </w:r>
            <w:r>
              <w:rPr>
                <w:rFonts w:hint="eastAsia" w:ascii="Calibri" w:hAnsi="Calibri"/>
                <w:color w:val="auto"/>
              </w:rPr>
              <w:t>，</w:t>
            </w:r>
            <w:r>
              <w:rPr>
                <w:rFonts w:ascii="Calibri" w:hAnsi="Calibri"/>
                <w:color w:val="auto"/>
              </w:rPr>
              <w:t>或</w:t>
            </w:r>
            <w:r>
              <w:rPr>
                <w:rFonts w:hint="eastAsia" w:ascii="Calibri" w:hAnsi="Calibri"/>
                <w:color w:val="auto"/>
              </w:rPr>
              <w:t>废水类型的名称。</w:t>
            </w:r>
          </w:p>
          <w:p>
            <w:pPr>
              <w:adjustRightInd w:val="0"/>
              <w:snapToGrid w:val="0"/>
              <w:ind w:firstLine="480"/>
              <w:rPr>
                <w:rFonts w:ascii="Calibri" w:hAnsi="Calibri"/>
                <w:color w:val="auto"/>
              </w:rPr>
            </w:pPr>
            <w:r>
              <w:rPr>
                <w:rFonts w:ascii="Calibri" w:hAnsi="Calibri"/>
                <w:color w:val="auto"/>
              </w:rPr>
              <w:t>b</w:t>
            </w:r>
            <w:r>
              <w:rPr>
                <w:rFonts w:hint="eastAsia" w:ascii="Calibri" w:hAnsi="Calibri"/>
                <w:color w:val="auto"/>
              </w:rPr>
              <w:t>指产生的主要污染物类型，</w:t>
            </w:r>
            <w:r>
              <w:rPr>
                <w:rFonts w:ascii="Calibri" w:hAnsi="Calibri"/>
                <w:color w:val="auto"/>
              </w:rPr>
              <w:t>以相</w:t>
            </w:r>
            <w:r>
              <w:rPr>
                <w:rFonts w:hint="eastAsia" w:ascii="Calibri" w:hAnsi="Calibri"/>
                <w:color w:val="auto"/>
              </w:rPr>
              <w:t>应排放标准中确定的污染因子为准。</w:t>
            </w:r>
          </w:p>
          <w:p>
            <w:pPr>
              <w:adjustRightInd w:val="0"/>
              <w:snapToGrid w:val="0"/>
              <w:ind w:firstLine="480"/>
              <w:rPr>
                <w:rFonts w:ascii="Calibri" w:hAnsi="Calibri"/>
                <w:color w:val="auto"/>
              </w:rPr>
            </w:pPr>
            <w:r>
              <w:rPr>
                <w:rFonts w:ascii="Calibri" w:hAnsi="Calibri"/>
                <w:color w:val="auto"/>
              </w:rPr>
              <w:t>c</w:t>
            </w:r>
            <w:r>
              <w:rPr>
                <w:rFonts w:hint="eastAsia" w:ascii="Calibri" w:hAnsi="Calibri"/>
                <w:color w:val="auto"/>
              </w:rPr>
              <w:t>包括不外排；</w:t>
            </w:r>
            <w:r>
              <w:rPr>
                <w:rFonts w:ascii="Calibri" w:hAnsi="Calibri"/>
                <w:color w:val="auto"/>
              </w:rPr>
              <w:t>排至</w:t>
            </w:r>
            <w:r>
              <w:rPr>
                <w:rFonts w:hint="eastAsia" w:ascii="Calibri" w:hAnsi="Calibri"/>
                <w:color w:val="auto"/>
              </w:rPr>
              <w:t>场内综合污水处理站；</w:t>
            </w:r>
            <w:r>
              <w:rPr>
                <w:rFonts w:ascii="Calibri" w:hAnsi="Calibri"/>
                <w:color w:val="auto"/>
              </w:rPr>
              <w:t>直接</w:t>
            </w:r>
            <w:r>
              <w:rPr>
                <w:rFonts w:hint="eastAsia" w:ascii="Calibri" w:hAnsi="Calibri"/>
                <w:color w:val="auto"/>
              </w:rPr>
              <w:t>排入海域；</w:t>
            </w:r>
            <w:r>
              <w:rPr>
                <w:rFonts w:ascii="Calibri" w:hAnsi="Calibri"/>
                <w:color w:val="auto"/>
              </w:rPr>
              <w:t>直接</w:t>
            </w:r>
            <w:r>
              <w:rPr>
                <w:rFonts w:hint="eastAsia" w:ascii="Calibri" w:hAnsi="Calibri"/>
                <w:color w:val="auto"/>
              </w:rPr>
              <w:t>进入江河、</w:t>
            </w:r>
            <w:r>
              <w:rPr>
                <w:rFonts w:ascii="Calibri" w:hAnsi="Calibri"/>
                <w:color w:val="auto"/>
              </w:rPr>
              <w:t>湖</w:t>
            </w:r>
            <w:r>
              <w:rPr>
                <w:rFonts w:hint="eastAsia" w:ascii="Calibri" w:hAnsi="Calibri"/>
                <w:color w:val="auto"/>
              </w:rPr>
              <w:t>、</w:t>
            </w:r>
            <w:r>
              <w:rPr>
                <w:rFonts w:ascii="Calibri" w:hAnsi="Calibri"/>
                <w:color w:val="auto"/>
              </w:rPr>
              <w:t>库</w:t>
            </w:r>
            <w:r>
              <w:rPr>
                <w:rFonts w:hint="eastAsia" w:ascii="Calibri" w:hAnsi="Calibri"/>
                <w:color w:val="auto"/>
              </w:rPr>
              <w:t>等水环境；</w:t>
            </w:r>
            <w:r>
              <w:rPr>
                <w:rFonts w:ascii="Calibri" w:hAnsi="Calibri"/>
                <w:color w:val="auto"/>
              </w:rPr>
              <w:t>进入</w:t>
            </w:r>
            <w:r>
              <w:rPr>
                <w:rFonts w:hint="eastAsia" w:ascii="Calibri" w:hAnsi="Calibri"/>
                <w:color w:val="auto"/>
              </w:rPr>
              <w:t>城市下水道（</w:t>
            </w:r>
            <w:r>
              <w:rPr>
                <w:rFonts w:ascii="Calibri" w:hAnsi="Calibri"/>
                <w:color w:val="auto"/>
              </w:rPr>
              <w:t>再入</w:t>
            </w:r>
            <w:r>
              <w:rPr>
                <w:rFonts w:hint="eastAsia" w:ascii="Calibri" w:hAnsi="Calibri"/>
                <w:color w:val="auto"/>
              </w:rPr>
              <w:t>江河、</w:t>
            </w:r>
            <w:r>
              <w:rPr>
                <w:rFonts w:ascii="Calibri" w:hAnsi="Calibri"/>
                <w:color w:val="auto"/>
              </w:rPr>
              <w:t>湖</w:t>
            </w:r>
            <w:r>
              <w:rPr>
                <w:rFonts w:hint="eastAsia" w:ascii="Calibri" w:hAnsi="Calibri"/>
                <w:color w:val="auto"/>
              </w:rPr>
              <w:t>、</w:t>
            </w:r>
            <w:r>
              <w:rPr>
                <w:rFonts w:ascii="Calibri" w:hAnsi="Calibri"/>
                <w:color w:val="auto"/>
              </w:rPr>
              <w:t>库</w:t>
            </w:r>
            <w:r>
              <w:rPr>
                <w:rFonts w:hint="eastAsia" w:ascii="Calibri" w:hAnsi="Calibri"/>
                <w:color w:val="auto"/>
              </w:rPr>
              <w:t>）</w:t>
            </w:r>
            <w:r>
              <w:rPr>
                <w:rFonts w:ascii="Calibri" w:hAnsi="Calibri"/>
                <w:color w:val="auto"/>
              </w:rPr>
              <w:t>；进入</w:t>
            </w:r>
            <w:r>
              <w:rPr>
                <w:rFonts w:hint="eastAsia" w:ascii="Calibri" w:hAnsi="Calibri"/>
                <w:color w:val="auto"/>
              </w:rPr>
              <w:t>城市下水道（</w:t>
            </w:r>
            <w:r>
              <w:rPr>
                <w:rFonts w:ascii="Calibri" w:hAnsi="Calibri"/>
                <w:color w:val="auto"/>
              </w:rPr>
              <w:t>再</w:t>
            </w:r>
            <w:r>
              <w:rPr>
                <w:rFonts w:hint="eastAsia" w:ascii="Calibri" w:hAnsi="Calibri"/>
                <w:color w:val="auto"/>
              </w:rPr>
              <w:t>入沿海海域）</w:t>
            </w:r>
            <w:r>
              <w:rPr>
                <w:rFonts w:ascii="Calibri" w:hAnsi="Calibri"/>
                <w:color w:val="auto"/>
              </w:rPr>
              <w:t>；进入</w:t>
            </w:r>
            <w:r>
              <w:rPr>
                <w:rFonts w:hint="eastAsia" w:ascii="Calibri" w:hAnsi="Calibri"/>
                <w:color w:val="auto"/>
              </w:rPr>
              <w:t>城市污水处理厂；</w:t>
            </w:r>
            <w:r>
              <w:rPr>
                <w:rFonts w:ascii="Calibri" w:hAnsi="Calibri"/>
                <w:color w:val="auto"/>
              </w:rPr>
              <w:t>直接</w:t>
            </w:r>
            <w:r>
              <w:rPr>
                <w:rFonts w:hint="eastAsia" w:ascii="Calibri" w:hAnsi="Calibri"/>
                <w:color w:val="auto"/>
              </w:rPr>
              <w:t>进入污灌农田；</w:t>
            </w:r>
            <w:r>
              <w:rPr>
                <w:rFonts w:ascii="Calibri" w:hAnsi="Calibri"/>
                <w:color w:val="auto"/>
              </w:rPr>
              <w:t>进入</w:t>
            </w:r>
            <w:r>
              <w:rPr>
                <w:rFonts w:hint="eastAsia" w:ascii="Calibri" w:hAnsi="Calibri"/>
                <w:color w:val="auto"/>
              </w:rPr>
              <w:t>地渗或蒸发地；</w:t>
            </w:r>
            <w:r>
              <w:rPr>
                <w:rFonts w:ascii="Calibri" w:hAnsi="Calibri"/>
                <w:color w:val="auto"/>
              </w:rPr>
              <w:t>进入其他单位</w:t>
            </w:r>
            <w:r>
              <w:rPr>
                <w:rFonts w:hint="eastAsia" w:ascii="Calibri" w:hAnsi="Calibri"/>
                <w:color w:val="auto"/>
              </w:rPr>
              <w:t>；</w:t>
            </w:r>
            <w:r>
              <w:rPr>
                <w:rFonts w:ascii="Calibri" w:hAnsi="Calibri"/>
                <w:color w:val="auto"/>
              </w:rPr>
              <w:t>工业废水</w:t>
            </w:r>
            <w:r>
              <w:rPr>
                <w:rFonts w:hint="eastAsia" w:ascii="Calibri" w:hAnsi="Calibri"/>
                <w:color w:val="auto"/>
              </w:rPr>
              <w:t>处理厂；</w:t>
            </w:r>
            <w:r>
              <w:rPr>
                <w:rFonts w:ascii="Calibri" w:hAnsi="Calibri"/>
                <w:color w:val="auto"/>
              </w:rPr>
              <w:t>其他</w:t>
            </w:r>
            <w:r>
              <w:rPr>
                <w:rFonts w:hint="eastAsia" w:ascii="Calibri" w:hAnsi="Calibri"/>
                <w:color w:val="auto"/>
              </w:rPr>
              <w:t>（</w:t>
            </w:r>
            <w:r>
              <w:rPr>
                <w:rFonts w:ascii="Calibri" w:hAnsi="Calibri"/>
                <w:color w:val="auto"/>
              </w:rPr>
              <w:t>包括回用</w:t>
            </w:r>
            <w:r>
              <w:rPr>
                <w:rFonts w:hint="eastAsia" w:ascii="Calibri" w:hAnsi="Calibri"/>
                <w:color w:val="auto"/>
              </w:rPr>
              <w:t>等）</w:t>
            </w:r>
            <w:r>
              <w:rPr>
                <w:rFonts w:ascii="Calibri" w:hAnsi="Calibri"/>
                <w:color w:val="auto"/>
              </w:rPr>
              <w:t>。对于</w:t>
            </w:r>
            <w:r>
              <w:rPr>
                <w:rFonts w:hint="eastAsia" w:ascii="Calibri" w:hAnsi="Calibri"/>
                <w:color w:val="auto"/>
              </w:rPr>
              <w:t>工艺、</w:t>
            </w:r>
            <w:r>
              <w:rPr>
                <w:rFonts w:ascii="Calibri" w:hAnsi="Calibri"/>
                <w:color w:val="auto"/>
              </w:rPr>
              <w:t>工序</w:t>
            </w:r>
            <w:r>
              <w:rPr>
                <w:rFonts w:hint="eastAsia" w:ascii="Calibri" w:hAnsi="Calibri"/>
                <w:color w:val="auto"/>
              </w:rPr>
              <w:t>产生的废水，</w:t>
            </w:r>
            <w:r>
              <w:rPr>
                <w:rFonts w:ascii="Calibri" w:hAnsi="Calibri"/>
                <w:color w:val="auto"/>
              </w:rPr>
              <w:t>“</w:t>
            </w:r>
            <w:r>
              <w:rPr>
                <w:rFonts w:hint="eastAsia" w:ascii="Calibri" w:hAnsi="Calibri"/>
                <w:color w:val="auto"/>
              </w:rPr>
              <w:t>不外排</w:t>
            </w:r>
            <w:r>
              <w:rPr>
                <w:rFonts w:ascii="Calibri" w:hAnsi="Calibri"/>
                <w:color w:val="auto"/>
              </w:rPr>
              <w:t>”</w:t>
            </w:r>
            <w:r>
              <w:rPr>
                <w:rFonts w:hint="eastAsia" w:ascii="Calibri" w:hAnsi="Calibri"/>
                <w:color w:val="auto"/>
              </w:rPr>
              <w:t>指全部在工序内部循环使用，</w:t>
            </w:r>
            <w:r>
              <w:rPr>
                <w:rFonts w:ascii="Calibri" w:hAnsi="Calibri"/>
                <w:color w:val="auto"/>
              </w:rPr>
              <w:t>“</w:t>
            </w:r>
            <w:r>
              <w:rPr>
                <w:rFonts w:hint="eastAsia" w:ascii="Calibri" w:hAnsi="Calibri"/>
                <w:color w:val="auto"/>
              </w:rPr>
              <w:t>排至厂内综合污水处理站</w:t>
            </w:r>
            <w:r>
              <w:rPr>
                <w:rFonts w:ascii="Calibri" w:hAnsi="Calibri"/>
                <w:color w:val="auto"/>
              </w:rPr>
              <w:t>”</w:t>
            </w:r>
            <w:r>
              <w:rPr>
                <w:rFonts w:hint="eastAsia" w:ascii="Calibri" w:hAnsi="Calibri"/>
                <w:color w:val="auto"/>
              </w:rPr>
              <w:t>指工序废水经处理后排至综合处理站。</w:t>
            </w:r>
            <w:r>
              <w:rPr>
                <w:rFonts w:ascii="Calibri" w:hAnsi="Calibri"/>
                <w:color w:val="auto"/>
              </w:rPr>
              <w:t>对于</w:t>
            </w:r>
            <w:r>
              <w:rPr>
                <w:rFonts w:hint="eastAsia" w:ascii="Calibri" w:hAnsi="Calibri"/>
                <w:color w:val="auto"/>
              </w:rPr>
              <w:t>综合污水处理站，“不外排</w:t>
            </w:r>
            <w:r>
              <w:rPr>
                <w:rFonts w:ascii="Calibri" w:hAnsi="Calibri"/>
                <w:color w:val="auto"/>
              </w:rPr>
              <w:t>”</w:t>
            </w:r>
            <w:r>
              <w:rPr>
                <w:rFonts w:hint="eastAsia" w:ascii="Calibri" w:hAnsi="Calibri"/>
                <w:color w:val="auto"/>
              </w:rPr>
              <w:t>指全厂废水经处理后全部回用不排放。</w:t>
            </w:r>
          </w:p>
          <w:p>
            <w:pPr>
              <w:adjustRightInd w:val="0"/>
              <w:snapToGrid w:val="0"/>
              <w:ind w:firstLine="480"/>
              <w:rPr>
                <w:rFonts w:ascii="Calibri" w:hAnsi="Calibri"/>
                <w:color w:val="auto"/>
              </w:rPr>
            </w:pPr>
            <w:r>
              <w:rPr>
                <w:rFonts w:ascii="Calibri" w:hAnsi="Calibri"/>
                <w:color w:val="auto"/>
              </w:rPr>
              <w:t>d</w:t>
            </w:r>
            <w:r>
              <w:rPr>
                <w:rFonts w:hint="eastAsia" w:ascii="Calibri" w:hAnsi="Calibri"/>
                <w:color w:val="auto"/>
              </w:rPr>
              <w:t>包括连续排放、</w:t>
            </w:r>
            <w:r>
              <w:rPr>
                <w:rFonts w:ascii="Calibri" w:hAnsi="Calibri"/>
                <w:color w:val="auto"/>
              </w:rPr>
              <w:t>流量</w:t>
            </w:r>
            <w:r>
              <w:rPr>
                <w:rFonts w:hint="eastAsia" w:ascii="Calibri" w:hAnsi="Calibri"/>
                <w:color w:val="auto"/>
              </w:rPr>
              <w:t>稳定；</w:t>
            </w:r>
            <w:r>
              <w:rPr>
                <w:rFonts w:ascii="Calibri" w:hAnsi="Calibri"/>
                <w:color w:val="auto"/>
              </w:rPr>
              <w:t>连续</w:t>
            </w:r>
            <w:r>
              <w:rPr>
                <w:rFonts w:hint="eastAsia" w:ascii="Calibri" w:hAnsi="Calibri"/>
                <w:color w:val="auto"/>
              </w:rPr>
              <w:t>排放，</w:t>
            </w:r>
            <w:r>
              <w:rPr>
                <w:rFonts w:ascii="Calibri" w:hAnsi="Calibri"/>
                <w:color w:val="auto"/>
              </w:rPr>
              <w:t>流量不稳定</w:t>
            </w:r>
            <w:r>
              <w:rPr>
                <w:rFonts w:hint="eastAsia" w:ascii="Calibri" w:hAnsi="Calibri"/>
                <w:color w:val="auto"/>
              </w:rPr>
              <w:t>，但有周期性规律；</w:t>
            </w:r>
            <w:r>
              <w:rPr>
                <w:rFonts w:ascii="Calibri" w:hAnsi="Calibri"/>
                <w:color w:val="auto"/>
              </w:rPr>
              <w:t>连续排放</w:t>
            </w:r>
            <w:r>
              <w:rPr>
                <w:rFonts w:hint="eastAsia" w:ascii="Calibri" w:hAnsi="Calibri"/>
                <w:color w:val="auto"/>
              </w:rPr>
              <w:t>，</w:t>
            </w:r>
            <w:r>
              <w:rPr>
                <w:rFonts w:ascii="Calibri" w:hAnsi="Calibri"/>
                <w:color w:val="auto"/>
              </w:rPr>
              <w:t>流量不稳定</w:t>
            </w:r>
            <w:r>
              <w:rPr>
                <w:rFonts w:hint="eastAsia" w:ascii="Calibri" w:hAnsi="Calibri"/>
                <w:color w:val="auto"/>
              </w:rPr>
              <w:t>，</w:t>
            </w:r>
            <w:r>
              <w:rPr>
                <w:rFonts w:ascii="Calibri" w:hAnsi="Calibri"/>
                <w:color w:val="auto"/>
              </w:rPr>
              <w:t>但有规律</w:t>
            </w:r>
            <w:r>
              <w:rPr>
                <w:rFonts w:hint="eastAsia" w:ascii="Calibri" w:hAnsi="Calibri"/>
                <w:color w:val="auto"/>
              </w:rPr>
              <w:t>，</w:t>
            </w:r>
            <w:r>
              <w:rPr>
                <w:rFonts w:ascii="Calibri" w:hAnsi="Calibri"/>
                <w:color w:val="auto"/>
              </w:rPr>
              <w:t>且</w:t>
            </w:r>
            <w:r>
              <w:rPr>
                <w:rFonts w:hint="eastAsia" w:ascii="Calibri" w:hAnsi="Calibri"/>
                <w:color w:val="auto"/>
              </w:rPr>
              <w:t>不属于周期性规律；</w:t>
            </w:r>
            <w:r>
              <w:rPr>
                <w:rFonts w:ascii="Calibri" w:hAnsi="Calibri"/>
                <w:color w:val="auto"/>
              </w:rPr>
              <w:t>连续排放</w:t>
            </w:r>
            <w:r>
              <w:rPr>
                <w:rFonts w:hint="eastAsia" w:ascii="Calibri" w:hAnsi="Calibri"/>
                <w:color w:val="auto"/>
              </w:rPr>
              <w:t>，</w:t>
            </w:r>
            <w:r>
              <w:rPr>
                <w:rFonts w:ascii="Calibri" w:hAnsi="Calibri"/>
                <w:color w:val="auto"/>
              </w:rPr>
              <w:t>流量不稳定</w:t>
            </w:r>
            <w:r>
              <w:rPr>
                <w:rFonts w:hint="eastAsia" w:ascii="Calibri" w:hAnsi="Calibri"/>
                <w:color w:val="auto"/>
              </w:rPr>
              <w:t>，</w:t>
            </w:r>
            <w:r>
              <w:rPr>
                <w:rFonts w:ascii="Calibri" w:hAnsi="Calibri"/>
                <w:color w:val="auto"/>
              </w:rPr>
              <w:t>属于</w:t>
            </w:r>
            <w:r>
              <w:rPr>
                <w:rFonts w:hint="eastAsia" w:ascii="Calibri" w:hAnsi="Calibri"/>
                <w:color w:val="auto"/>
              </w:rPr>
              <w:t>冲击性排放；连续排放，</w:t>
            </w:r>
            <w:r>
              <w:rPr>
                <w:rFonts w:ascii="Calibri" w:hAnsi="Calibri"/>
                <w:color w:val="auto"/>
              </w:rPr>
              <w:t>流量</w:t>
            </w:r>
            <w:r>
              <w:rPr>
                <w:rFonts w:hint="eastAsia" w:ascii="Calibri" w:hAnsi="Calibri"/>
                <w:color w:val="auto"/>
              </w:rPr>
              <w:t>不稳定且无规律，</w:t>
            </w:r>
            <w:r>
              <w:rPr>
                <w:rFonts w:ascii="Calibri" w:hAnsi="Calibri"/>
                <w:color w:val="auto"/>
              </w:rPr>
              <w:t>但不属于</w:t>
            </w:r>
            <w:r>
              <w:rPr>
                <w:rFonts w:hint="eastAsia" w:ascii="Calibri" w:hAnsi="Calibri"/>
                <w:color w:val="auto"/>
              </w:rPr>
              <w:t>冲击型排放；</w:t>
            </w:r>
            <w:r>
              <w:rPr>
                <w:rFonts w:ascii="Calibri" w:hAnsi="Calibri"/>
                <w:color w:val="auto"/>
              </w:rPr>
              <w:t>间</w:t>
            </w:r>
            <w:r>
              <w:rPr>
                <w:rFonts w:hint="eastAsia" w:ascii="Calibri" w:hAnsi="Calibri"/>
                <w:color w:val="auto"/>
              </w:rPr>
              <w:t>断排放，</w:t>
            </w:r>
            <w:r>
              <w:rPr>
                <w:rFonts w:ascii="Calibri" w:hAnsi="Calibri"/>
                <w:color w:val="auto"/>
              </w:rPr>
              <w:t>排放期间</w:t>
            </w:r>
            <w:r>
              <w:rPr>
                <w:rFonts w:hint="eastAsia" w:ascii="Calibri" w:hAnsi="Calibri"/>
                <w:color w:val="auto"/>
              </w:rPr>
              <w:t>流量稳定；</w:t>
            </w:r>
            <w:r>
              <w:rPr>
                <w:rFonts w:ascii="Calibri" w:hAnsi="Calibri"/>
                <w:color w:val="auto"/>
              </w:rPr>
              <w:t>间</w:t>
            </w:r>
            <w:r>
              <w:rPr>
                <w:rFonts w:hint="eastAsia" w:ascii="Calibri" w:hAnsi="Calibri"/>
                <w:color w:val="auto"/>
              </w:rPr>
              <w:t>断排放，</w:t>
            </w:r>
            <w:r>
              <w:rPr>
                <w:rFonts w:ascii="Calibri" w:hAnsi="Calibri"/>
                <w:color w:val="auto"/>
              </w:rPr>
              <w:t>排放期间</w:t>
            </w:r>
            <w:r>
              <w:rPr>
                <w:rFonts w:hint="eastAsia" w:ascii="Calibri" w:hAnsi="Calibri"/>
                <w:color w:val="auto"/>
              </w:rPr>
              <w:t>流量不稳定，</w:t>
            </w:r>
            <w:r>
              <w:rPr>
                <w:rFonts w:ascii="Calibri" w:hAnsi="Calibri"/>
                <w:color w:val="auto"/>
              </w:rPr>
              <w:t>但有周期性</w:t>
            </w:r>
            <w:r>
              <w:rPr>
                <w:rFonts w:hint="eastAsia" w:ascii="Calibri" w:hAnsi="Calibri"/>
                <w:color w:val="auto"/>
              </w:rPr>
              <w:t>规律；</w:t>
            </w:r>
            <w:r>
              <w:rPr>
                <w:rFonts w:ascii="Calibri" w:hAnsi="Calibri"/>
                <w:color w:val="auto"/>
              </w:rPr>
              <w:t>间断排放</w:t>
            </w:r>
            <w:r>
              <w:rPr>
                <w:rFonts w:hint="eastAsia" w:ascii="Calibri" w:hAnsi="Calibri"/>
                <w:color w:val="auto"/>
              </w:rPr>
              <w:t>，</w:t>
            </w:r>
            <w:r>
              <w:rPr>
                <w:rFonts w:ascii="Calibri" w:hAnsi="Calibri"/>
                <w:color w:val="auto"/>
              </w:rPr>
              <w:t>排放期间</w:t>
            </w:r>
            <w:r>
              <w:rPr>
                <w:rFonts w:hint="eastAsia" w:ascii="Calibri" w:hAnsi="Calibri"/>
                <w:color w:val="auto"/>
              </w:rPr>
              <w:t>流量不稳定，</w:t>
            </w:r>
            <w:r>
              <w:rPr>
                <w:rFonts w:ascii="Calibri" w:hAnsi="Calibri"/>
                <w:color w:val="auto"/>
              </w:rPr>
              <w:t>但有规律</w:t>
            </w:r>
            <w:r>
              <w:rPr>
                <w:rFonts w:hint="eastAsia" w:ascii="Calibri" w:hAnsi="Calibri"/>
                <w:color w:val="auto"/>
              </w:rPr>
              <w:t>，</w:t>
            </w:r>
            <w:r>
              <w:rPr>
                <w:rFonts w:ascii="Calibri" w:hAnsi="Calibri"/>
                <w:color w:val="auto"/>
              </w:rPr>
              <w:t>且</w:t>
            </w:r>
            <w:r>
              <w:rPr>
                <w:rFonts w:hint="eastAsia" w:ascii="Calibri" w:hAnsi="Calibri"/>
                <w:color w:val="auto"/>
              </w:rPr>
              <w:t>不属于非周期性规律；</w:t>
            </w:r>
            <w:r>
              <w:rPr>
                <w:rFonts w:ascii="Calibri" w:hAnsi="Calibri"/>
                <w:color w:val="auto"/>
              </w:rPr>
              <w:t>间断排放</w:t>
            </w:r>
            <w:r>
              <w:rPr>
                <w:rFonts w:hint="eastAsia" w:ascii="Calibri" w:hAnsi="Calibri"/>
                <w:color w:val="auto"/>
              </w:rPr>
              <w:t>，</w:t>
            </w:r>
            <w:r>
              <w:rPr>
                <w:rFonts w:ascii="Calibri" w:hAnsi="Calibri"/>
                <w:color w:val="auto"/>
              </w:rPr>
              <w:t>排放</w:t>
            </w:r>
            <w:r>
              <w:rPr>
                <w:rFonts w:hint="eastAsia" w:ascii="Calibri" w:hAnsi="Calibri"/>
                <w:color w:val="auto"/>
              </w:rPr>
              <w:t>期间流量不稳定，</w:t>
            </w:r>
            <w:r>
              <w:rPr>
                <w:rFonts w:ascii="Calibri" w:hAnsi="Calibri"/>
                <w:color w:val="auto"/>
              </w:rPr>
              <w:t>属于</w:t>
            </w:r>
            <w:r>
              <w:rPr>
                <w:rFonts w:hint="eastAsia" w:ascii="Calibri" w:hAnsi="Calibri"/>
                <w:color w:val="auto"/>
              </w:rPr>
              <w:t>冲击型排放；</w:t>
            </w:r>
            <w:r>
              <w:rPr>
                <w:rFonts w:ascii="Calibri" w:hAnsi="Calibri"/>
                <w:color w:val="auto"/>
              </w:rPr>
              <w:t>间断</w:t>
            </w:r>
            <w:r>
              <w:rPr>
                <w:rFonts w:hint="eastAsia" w:ascii="Calibri" w:hAnsi="Calibri"/>
                <w:color w:val="auto"/>
              </w:rPr>
              <w:t>排放，</w:t>
            </w:r>
            <w:r>
              <w:rPr>
                <w:rFonts w:ascii="Calibri" w:hAnsi="Calibri"/>
                <w:color w:val="auto"/>
              </w:rPr>
              <w:t>排放期间</w:t>
            </w:r>
            <w:r>
              <w:rPr>
                <w:rFonts w:hint="eastAsia" w:ascii="Calibri" w:hAnsi="Calibri"/>
                <w:color w:val="auto"/>
              </w:rPr>
              <w:t>流量不稳定且无规律，</w:t>
            </w:r>
            <w:r>
              <w:rPr>
                <w:rFonts w:ascii="Calibri" w:hAnsi="Calibri"/>
                <w:color w:val="auto"/>
              </w:rPr>
              <w:t>但不属于</w:t>
            </w:r>
            <w:r>
              <w:rPr>
                <w:rFonts w:hint="eastAsia" w:ascii="Calibri" w:hAnsi="Calibri"/>
                <w:color w:val="auto"/>
              </w:rPr>
              <w:t>冲击型排放。</w:t>
            </w:r>
          </w:p>
          <w:p>
            <w:pPr>
              <w:adjustRightInd w:val="0"/>
              <w:snapToGrid w:val="0"/>
              <w:ind w:firstLine="480"/>
              <w:rPr>
                <w:rFonts w:ascii="Calibri" w:hAnsi="Calibri"/>
                <w:color w:val="auto"/>
              </w:rPr>
            </w:pPr>
            <w:r>
              <w:rPr>
                <w:rFonts w:ascii="Calibri" w:hAnsi="Calibri"/>
                <w:color w:val="auto"/>
              </w:rPr>
              <w:t>e</w:t>
            </w:r>
            <w:r>
              <w:rPr>
                <w:rFonts w:hint="eastAsia" w:ascii="Calibri" w:hAnsi="Calibri"/>
                <w:color w:val="auto"/>
              </w:rPr>
              <w:t>指主要污水处理设名称，</w:t>
            </w:r>
            <w:r>
              <w:rPr>
                <w:rFonts w:ascii="Calibri" w:hAnsi="Calibri"/>
                <w:color w:val="auto"/>
              </w:rPr>
              <w:t>如</w:t>
            </w:r>
            <w:r>
              <w:rPr>
                <w:rFonts w:hint="eastAsia" w:ascii="Calibri" w:hAnsi="Calibri"/>
                <w:color w:val="auto"/>
              </w:rPr>
              <w:t>“综合污水处理站</w:t>
            </w:r>
            <w:r>
              <w:rPr>
                <w:rFonts w:ascii="Calibri" w:hAnsi="Calibri"/>
                <w:color w:val="auto"/>
              </w:rPr>
              <w:t>”“</w:t>
            </w:r>
            <w:r>
              <w:rPr>
                <w:rFonts w:hint="eastAsia" w:ascii="Calibri" w:hAnsi="Calibri"/>
                <w:color w:val="auto"/>
              </w:rPr>
              <w:t>生活污水处理系统</w:t>
            </w:r>
            <w:r>
              <w:rPr>
                <w:rFonts w:ascii="Calibri" w:hAnsi="Calibri"/>
                <w:color w:val="auto"/>
              </w:rPr>
              <w:t>”</w:t>
            </w:r>
            <w:r>
              <w:rPr>
                <w:rFonts w:hint="eastAsia" w:ascii="Calibri" w:hAnsi="Calibri"/>
                <w:color w:val="auto"/>
              </w:rPr>
              <w:t>等。</w:t>
            </w:r>
          </w:p>
          <w:p>
            <w:pPr>
              <w:adjustRightInd w:val="0"/>
              <w:snapToGrid w:val="0"/>
              <w:ind w:firstLine="480"/>
              <w:rPr>
                <w:rFonts w:ascii="Calibri" w:hAnsi="Calibri"/>
                <w:color w:val="auto"/>
              </w:rPr>
            </w:pPr>
            <w:r>
              <w:rPr>
                <w:rFonts w:ascii="Calibri" w:hAnsi="Calibri"/>
                <w:color w:val="auto"/>
              </w:rPr>
              <w:t>f</w:t>
            </w:r>
            <w:r>
              <w:rPr>
                <w:rFonts w:hint="eastAsia" w:ascii="Calibri" w:hAnsi="Calibri"/>
                <w:color w:val="auto"/>
              </w:rPr>
              <w:t>排放口编号可按地方环境管理部门现有编号进行填写或由企业根据国家相关编号进行填写。</w:t>
            </w:r>
          </w:p>
          <w:p>
            <w:pPr>
              <w:adjustRightInd w:val="0"/>
              <w:snapToGrid w:val="0"/>
              <w:ind w:firstLine="480"/>
              <w:rPr>
                <w:rFonts w:ascii="Calibri" w:hAnsi="Calibri"/>
                <w:color w:val="auto"/>
              </w:rPr>
            </w:pPr>
            <w:r>
              <w:rPr>
                <w:rFonts w:ascii="Calibri" w:hAnsi="Calibri"/>
                <w:color w:val="auto"/>
              </w:rPr>
              <w:t>g</w:t>
            </w:r>
            <w:r>
              <w:rPr>
                <w:rFonts w:hint="eastAsia" w:ascii="Calibri" w:hAnsi="Calibri"/>
                <w:color w:val="auto"/>
              </w:rPr>
              <w:t>指排放口设置是否符合排放口规范化整治技术要求等相关文件的规定。</w:t>
            </w:r>
          </w:p>
          <w:p>
            <w:pPr>
              <w:ind w:left="72" w:leftChars="30" w:right="72" w:rightChars="30" w:firstLine="480"/>
              <w:rPr>
                <w:rFonts w:hAnsi="宋体"/>
                <w:color w:val="auto"/>
                <w:szCs w:val="20"/>
              </w:rPr>
            </w:pPr>
            <w:r>
              <w:rPr>
                <w:rFonts w:hint="eastAsia" w:hAnsi="宋体"/>
                <w:color w:val="auto"/>
                <w:szCs w:val="20"/>
              </w:rPr>
              <w:t>（3）</w:t>
            </w:r>
            <w:r>
              <w:rPr>
                <w:rFonts w:hAnsi="宋体"/>
                <w:color w:val="auto"/>
                <w:szCs w:val="20"/>
              </w:rPr>
              <w:t>废水</w:t>
            </w:r>
            <w:r>
              <w:rPr>
                <w:rFonts w:hint="eastAsia" w:hAnsi="宋体"/>
                <w:color w:val="auto"/>
                <w:szCs w:val="20"/>
              </w:rPr>
              <w:t>排放口基本情况</w:t>
            </w:r>
          </w:p>
          <w:p>
            <w:pPr>
              <w:ind w:firstLine="0" w:firstLineChars="0"/>
              <w:jc w:val="center"/>
              <w:rPr>
                <w:rFonts w:hAnsi="宋体"/>
                <w:b/>
                <w:color w:val="auto"/>
              </w:rPr>
            </w:pPr>
            <w:r>
              <w:rPr>
                <w:rFonts w:hAnsi="宋体"/>
                <w:b/>
                <w:color w:val="auto"/>
              </w:rPr>
              <w:t>表</w:t>
            </w:r>
            <w:r>
              <w:rPr>
                <w:rFonts w:hint="eastAsia" w:hAnsi="宋体"/>
                <w:b/>
                <w:color w:val="auto"/>
              </w:rPr>
              <w:t>7-11</w:t>
            </w:r>
            <w:r>
              <w:rPr>
                <w:rFonts w:hint="eastAsia" w:hAnsi="宋体"/>
                <w:b/>
                <w:color w:val="auto"/>
                <w:lang w:val="en-US" w:eastAsia="zh-CN"/>
              </w:rPr>
              <w:t xml:space="preserve">   </w:t>
            </w:r>
            <w:r>
              <w:rPr>
                <w:rFonts w:hAnsi="宋体"/>
                <w:b/>
                <w:color w:val="auto"/>
              </w:rPr>
              <w:t>废水</w:t>
            </w:r>
            <w:r>
              <w:rPr>
                <w:rFonts w:hint="eastAsia" w:hAnsi="宋体"/>
                <w:b/>
                <w:color w:val="auto"/>
              </w:rPr>
              <w:t>间接排放口基本情况表</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19"/>
              <w:gridCol w:w="635"/>
              <w:gridCol w:w="842"/>
              <w:gridCol w:w="819"/>
              <w:gridCol w:w="923"/>
              <w:gridCol w:w="877"/>
              <w:gridCol w:w="836"/>
              <w:gridCol w:w="641"/>
              <w:gridCol w:w="815"/>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49" w:type="dxa"/>
                  <w:vMerge w:val="restart"/>
                  <w:vAlign w:val="center"/>
                </w:tcPr>
                <w:p>
                  <w:pPr>
                    <w:spacing w:line="320" w:lineRule="exact"/>
                    <w:ind w:firstLine="0" w:firstLineChars="0"/>
                    <w:jc w:val="center"/>
                    <w:rPr>
                      <w:color w:val="auto"/>
                      <w:sz w:val="21"/>
                    </w:rPr>
                  </w:pPr>
                  <w:r>
                    <w:rPr>
                      <w:rFonts w:hint="eastAsia"/>
                      <w:color w:val="auto"/>
                      <w:sz w:val="21"/>
                    </w:rPr>
                    <w:t>序号</w:t>
                  </w:r>
                </w:p>
              </w:tc>
              <w:tc>
                <w:tcPr>
                  <w:tcW w:w="819" w:type="dxa"/>
                  <w:vMerge w:val="restart"/>
                  <w:vAlign w:val="center"/>
                </w:tcPr>
                <w:p>
                  <w:pPr>
                    <w:spacing w:line="320" w:lineRule="exact"/>
                    <w:ind w:firstLine="0" w:firstLineChars="0"/>
                    <w:jc w:val="center"/>
                    <w:rPr>
                      <w:color w:val="auto"/>
                      <w:sz w:val="21"/>
                    </w:rPr>
                  </w:pPr>
                  <w:r>
                    <w:rPr>
                      <w:rFonts w:hint="eastAsia"/>
                      <w:color w:val="auto"/>
                      <w:sz w:val="21"/>
                    </w:rPr>
                    <w:t>排放口编号</w:t>
                  </w:r>
                </w:p>
              </w:tc>
              <w:tc>
                <w:tcPr>
                  <w:tcW w:w="1477" w:type="dxa"/>
                  <w:gridSpan w:val="2"/>
                  <w:vAlign w:val="center"/>
                </w:tcPr>
                <w:p>
                  <w:pPr>
                    <w:spacing w:line="320" w:lineRule="exact"/>
                    <w:ind w:firstLine="0" w:firstLineChars="0"/>
                    <w:jc w:val="center"/>
                    <w:rPr>
                      <w:color w:val="auto"/>
                      <w:sz w:val="21"/>
                    </w:rPr>
                  </w:pPr>
                  <w:r>
                    <w:rPr>
                      <w:rFonts w:hint="eastAsia"/>
                      <w:color w:val="auto"/>
                      <w:sz w:val="21"/>
                    </w:rPr>
                    <w:t>排放口地理坐标</w:t>
                  </w:r>
                  <w:r>
                    <w:rPr>
                      <w:color w:val="auto"/>
                      <w:sz w:val="21"/>
                    </w:rPr>
                    <w:t>(a)</w:t>
                  </w:r>
                </w:p>
              </w:tc>
              <w:tc>
                <w:tcPr>
                  <w:tcW w:w="819" w:type="dxa"/>
                  <w:vMerge w:val="restart"/>
                  <w:vAlign w:val="center"/>
                </w:tcPr>
                <w:p>
                  <w:pPr>
                    <w:spacing w:line="320" w:lineRule="exact"/>
                    <w:ind w:firstLine="0" w:firstLineChars="0"/>
                    <w:jc w:val="center"/>
                    <w:rPr>
                      <w:color w:val="auto"/>
                      <w:sz w:val="21"/>
                    </w:rPr>
                  </w:pPr>
                  <w:r>
                    <w:rPr>
                      <w:rFonts w:hint="eastAsia"/>
                      <w:color w:val="auto"/>
                      <w:sz w:val="21"/>
                    </w:rPr>
                    <w:t>废水排放量/（万t</w:t>
                  </w:r>
                  <w:r>
                    <w:rPr>
                      <w:color w:val="auto"/>
                      <w:sz w:val="21"/>
                    </w:rPr>
                    <w:t>/a</w:t>
                  </w:r>
                  <w:r>
                    <w:rPr>
                      <w:rFonts w:hint="eastAsia"/>
                      <w:color w:val="auto"/>
                      <w:sz w:val="21"/>
                    </w:rPr>
                    <w:t>）</w:t>
                  </w:r>
                </w:p>
              </w:tc>
              <w:tc>
                <w:tcPr>
                  <w:tcW w:w="923" w:type="dxa"/>
                  <w:vMerge w:val="restart"/>
                  <w:vAlign w:val="center"/>
                </w:tcPr>
                <w:p>
                  <w:pPr>
                    <w:spacing w:line="320" w:lineRule="exact"/>
                    <w:ind w:firstLine="0" w:firstLineChars="0"/>
                    <w:jc w:val="center"/>
                    <w:rPr>
                      <w:color w:val="auto"/>
                      <w:sz w:val="21"/>
                    </w:rPr>
                  </w:pPr>
                  <w:r>
                    <w:rPr>
                      <w:rFonts w:hint="eastAsia"/>
                      <w:color w:val="auto"/>
                      <w:sz w:val="21"/>
                    </w:rPr>
                    <w:t>排放去向</w:t>
                  </w:r>
                </w:p>
              </w:tc>
              <w:tc>
                <w:tcPr>
                  <w:tcW w:w="877" w:type="dxa"/>
                  <w:vMerge w:val="restart"/>
                  <w:vAlign w:val="center"/>
                </w:tcPr>
                <w:p>
                  <w:pPr>
                    <w:spacing w:line="320" w:lineRule="exact"/>
                    <w:ind w:firstLine="0" w:firstLineChars="0"/>
                    <w:jc w:val="center"/>
                    <w:rPr>
                      <w:color w:val="auto"/>
                      <w:sz w:val="21"/>
                    </w:rPr>
                  </w:pPr>
                  <w:r>
                    <w:rPr>
                      <w:rFonts w:hint="eastAsia"/>
                      <w:color w:val="auto"/>
                      <w:sz w:val="21"/>
                    </w:rPr>
                    <w:t>排放规律</w:t>
                  </w:r>
                </w:p>
              </w:tc>
              <w:tc>
                <w:tcPr>
                  <w:tcW w:w="836" w:type="dxa"/>
                  <w:vMerge w:val="restart"/>
                  <w:vAlign w:val="center"/>
                </w:tcPr>
                <w:p>
                  <w:pPr>
                    <w:spacing w:line="320" w:lineRule="exact"/>
                    <w:ind w:firstLine="0" w:firstLineChars="0"/>
                    <w:jc w:val="center"/>
                    <w:rPr>
                      <w:color w:val="auto"/>
                      <w:sz w:val="21"/>
                    </w:rPr>
                  </w:pPr>
                  <w:r>
                    <w:rPr>
                      <w:rFonts w:hint="eastAsia"/>
                      <w:color w:val="auto"/>
                      <w:sz w:val="21"/>
                    </w:rPr>
                    <w:t>间歇排放时段</w:t>
                  </w:r>
                </w:p>
              </w:tc>
              <w:tc>
                <w:tcPr>
                  <w:tcW w:w="2860" w:type="dxa"/>
                  <w:gridSpan w:val="3"/>
                  <w:vAlign w:val="center"/>
                </w:tcPr>
                <w:p>
                  <w:pPr>
                    <w:spacing w:line="320" w:lineRule="exact"/>
                    <w:ind w:firstLine="0" w:firstLineChars="0"/>
                    <w:jc w:val="center"/>
                    <w:rPr>
                      <w:color w:val="auto"/>
                      <w:sz w:val="21"/>
                    </w:rPr>
                  </w:pPr>
                  <w:r>
                    <w:rPr>
                      <w:rFonts w:hint="eastAsia"/>
                      <w:color w:val="auto"/>
                      <w:sz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49" w:type="dxa"/>
                  <w:vMerge w:val="continue"/>
                  <w:vAlign w:val="center"/>
                </w:tcPr>
                <w:p>
                  <w:pPr>
                    <w:spacing w:line="320" w:lineRule="exact"/>
                    <w:ind w:firstLine="0" w:firstLineChars="0"/>
                    <w:jc w:val="center"/>
                    <w:rPr>
                      <w:color w:val="auto"/>
                      <w:sz w:val="21"/>
                    </w:rPr>
                  </w:pPr>
                </w:p>
              </w:tc>
              <w:tc>
                <w:tcPr>
                  <w:tcW w:w="819" w:type="dxa"/>
                  <w:vMerge w:val="continue"/>
                  <w:vAlign w:val="center"/>
                </w:tcPr>
                <w:p>
                  <w:pPr>
                    <w:spacing w:line="320" w:lineRule="exact"/>
                    <w:ind w:firstLine="0" w:firstLineChars="0"/>
                    <w:jc w:val="center"/>
                    <w:rPr>
                      <w:color w:val="auto"/>
                      <w:sz w:val="21"/>
                    </w:rPr>
                  </w:pPr>
                </w:p>
              </w:tc>
              <w:tc>
                <w:tcPr>
                  <w:tcW w:w="635" w:type="dxa"/>
                  <w:vAlign w:val="center"/>
                </w:tcPr>
                <w:p>
                  <w:pPr>
                    <w:spacing w:line="320" w:lineRule="exact"/>
                    <w:ind w:firstLine="0" w:firstLineChars="0"/>
                    <w:jc w:val="center"/>
                    <w:rPr>
                      <w:color w:val="auto"/>
                      <w:sz w:val="21"/>
                    </w:rPr>
                  </w:pPr>
                  <w:r>
                    <w:rPr>
                      <w:rFonts w:hint="eastAsia"/>
                      <w:color w:val="auto"/>
                      <w:sz w:val="21"/>
                    </w:rPr>
                    <w:t>经度</w:t>
                  </w:r>
                </w:p>
              </w:tc>
              <w:tc>
                <w:tcPr>
                  <w:tcW w:w="842" w:type="dxa"/>
                  <w:vAlign w:val="center"/>
                </w:tcPr>
                <w:p>
                  <w:pPr>
                    <w:spacing w:line="320" w:lineRule="exact"/>
                    <w:ind w:firstLine="0" w:firstLineChars="0"/>
                    <w:jc w:val="center"/>
                    <w:rPr>
                      <w:color w:val="auto"/>
                      <w:sz w:val="21"/>
                    </w:rPr>
                  </w:pPr>
                  <w:r>
                    <w:rPr>
                      <w:rFonts w:hint="eastAsia"/>
                      <w:color w:val="auto"/>
                      <w:sz w:val="21"/>
                    </w:rPr>
                    <w:t>纬度</w:t>
                  </w:r>
                </w:p>
              </w:tc>
              <w:tc>
                <w:tcPr>
                  <w:tcW w:w="819" w:type="dxa"/>
                  <w:vMerge w:val="continue"/>
                  <w:vAlign w:val="center"/>
                </w:tcPr>
                <w:p>
                  <w:pPr>
                    <w:spacing w:line="320" w:lineRule="exact"/>
                    <w:ind w:firstLine="0" w:firstLineChars="0"/>
                    <w:jc w:val="center"/>
                    <w:rPr>
                      <w:color w:val="auto"/>
                      <w:sz w:val="21"/>
                    </w:rPr>
                  </w:pPr>
                </w:p>
              </w:tc>
              <w:tc>
                <w:tcPr>
                  <w:tcW w:w="923" w:type="dxa"/>
                  <w:vMerge w:val="continue"/>
                  <w:vAlign w:val="center"/>
                </w:tcPr>
                <w:p>
                  <w:pPr>
                    <w:spacing w:line="320" w:lineRule="exact"/>
                    <w:ind w:firstLine="0" w:firstLineChars="0"/>
                    <w:jc w:val="center"/>
                    <w:rPr>
                      <w:color w:val="auto"/>
                      <w:sz w:val="21"/>
                    </w:rPr>
                  </w:pPr>
                </w:p>
              </w:tc>
              <w:tc>
                <w:tcPr>
                  <w:tcW w:w="877" w:type="dxa"/>
                  <w:vMerge w:val="continue"/>
                  <w:vAlign w:val="center"/>
                </w:tcPr>
                <w:p>
                  <w:pPr>
                    <w:spacing w:line="320" w:lineRule="exact"/>
                    <w:ind w:firstLine="0" w:firstLineChars="0"/>
                    <w:jc w:val="center"/>
                    <w:rPr>
                      <w:color w:val="auto"/>
                      <w:sz w:val="21"/>
                    </w:rPr>
                  </w:pPr>
                </w:p>
              </w:tc>
              <w:tc>
                <w:tcPr>
                  <w:tcW w:w="836" w:type="dxa"/>
                  <w:vMerge w:val="continue"/>
                  <w:vAlign w:val="center"/>
                </w:tcPr>
                <w:p>
                  <w:pPr>
                    <w:spacing w:line="320" w:lineRule="exact"/>
                    <w:ind w:firstLine="0" w:firstLineChars="0"/>
                    <w:jc w:val="center"/>
                    <w:rPr>
                      <w:color w:val="auto"/>
                      <w:sz w:val="21"/>
                    </w:rPr>
                  </w:pPr>
                </w:p>
              </w:tc>
              <w:tc>
                <w:tcPr>
                  <w:tcW w:w="641" w:type="dxa"/>
                  <w:vAlign w:val="center"/>
                </w:tcPr>
                <w:p>
                  <w:pPr>
                    <w:spacing w:line="320" w:lineRule="exact"/>
                    <w:ind w:firstLine="0" w:firstLineChars="0"/>
                    <w:jc w:val="center"/>
                    <w:rPr>
                      <w:color w:val="auto"/>
                      <w:sz w:val="21"/>
                    </w:rPr>
                  </w:pPr>
                  <w:r>
                    <w:rPr>
                      <w:rFonts w:hint="eastAsia"/>
                      <w:color w:val="auto"/>
                      <w:sz w:val="21"/>
                    </w:rPr>
                    <w:t>名称</w:t>
                  </w:r>
                  <w:r>
                    <w:rPr>
                      <w:color w:val="auto"/>
                      <w:sz w:val="21"/>
                    </w:rPr>
                    <w:t>(b)</w:t>
                  </w:r>
                </w:p>
              </w:tc>
              <w:tc>
                <w:tcPr>
                  <w:tcW w:w="815" w:type="dxa"/>
                  <w:vAlign w:val="center"/>
                </w:tcPr>
                <w:p>
                  <w:pPr>
                    <w:spacing w:line="320" w:lineRule="exact"/>
                    <w:ind w:firstLine="0" w:firstLineChars="0"/>
                    <w:jc w:val="center"/>
                    <w:rPr>
                      <w:color w:val="auto"/>
                      <w:sz w:val="21"/>
                    </w:rPr>
                  </w:pPr>
                  <w:r>
                    <w:rPr>
                      <w:rFonts w:hint="eastAsia"/>
                      <w:color w:val="auto"/>
                      <w:sz w:val="21"/>
                    </w:rPr>
                    <w:t>污染物种类</w:t>
                  </w:r>
                </w:p>
              </w:tc>
              <w:tc>
                <w:tcPr>
                  <w:tcW w:w="1404" w:type="dxa"/>
                  <w:vAlign w:val="center"/>
                </w:tcPr>
                <w:p>
                  <w:pPr>
                    <w:spacing w:line="320" w:lineRule="exact"/>
                    <w:ind w:firstLine="0" w:firstLineChars="0"/>
                    <w:jc w:val="center"/>
                    <w:rPr>
                      <w:color w:val="auto"/>
                      <w:sz w:val="21"/>
                    </w:rPr>
                  </w:pPr>
                  <w:r>
                    <w:rPr>
                      <w:rFonts w:hint="eastAsia"/>
                      <w:color w:val="auto"/>
                      <w:sz w:val="21"/>
                    </w:rPr>
                    <w:t>国家或地方污染物排放标准浓度限值/（mg/l</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449" w:type="dxa"/>
                  <w:vAlign w:val="center"/>
                </w:tcPr>
                <w:p>
                  <w:pPr>
                    <w:spacing w:line="320" w:lineRule="exact"/>
                    <w:ind w:firstLine="0" w:firstLineChars="0"/>
                    <w:jc w:val="center"/>
                    <w:rPr>
                      <w:color w:val="auto"/>
                      <w:sz w:val="21"/>
                    </w:rPr>
                  </w:pPr>
                  <w:r>
                    <w:rPr>
                      <w:rFonts w:hint="eastAsia"/>
                      <w:color w:val="auto"/>
                      <w:sz w:val="21"/>
                    </w:rPr>
                    <w:t>1</w:t>
                  </w:r>
                </w:p>
              </w:tc>
              <w:tc>
                <w:tcPr>
                  <w:tcW w:w="819" w:type="dxa"/>
                  <w:vAlign w:val="center"/>
                </w:tcPr>
                <w:p>
                  <w:pPr>
                    <w:spacing w:line="320" w:lineRule="exact"/>
                    <w:ind w:firstLine="0" w:firstLineChars="0"/>
                    <w:jc w:val="center"/>
                    <w:rPr>
                      <w:color w:val="auto"/>
                      <w:sz w:val="21"/>
                    </w:rPr>
                  </w:pPr>
                  <w:r>
                    <w:rPr>
                      <w:rFonts w:hint="eastAsia"/>
                      <w:color w:val="auto"/>
                      <w:sz w:val="21"/>
                    </w:rPr>
                    <w:t>DW001</w:t>
                  </w:r>
                </w:p>
              </w:tc>
              <w:tc>
                <w:tcPr>
                  <w:tcW w:w="635" w:type="dxa"/>
                  <w:vAlign w:val="center"/>
                </w:tcPr>
                <w:p>
                  <w:pPr>
                    <w:spacing w:line="320" w:lineRule="exact"/>
                    <w:ind w:firstLine="0" w:firstLineChars="0"/>
                    <w:jc w:val="center"/>
                    <w:rPr>
                      <w:color w:val="auto"/>
                      <w:sz w:val="21"/>
                    </w:rPr>
                  </w:pPr>
                  <w:r>
                    <w:rPr>
                      <w:rFonts w:hint="eastAsia"/>
                      <w:color w:val="auto"/>
                      <w:sz w:val="21"/>
                    </w:rPr>
                    <w:t>112.3593</w:t>
                  </w:r>
                </w:p>
              </w:tc>
              <w:tc>
                <w:tcPr>
                  <w:tcW w:w="842" w:type="dxa"/>
                  <w:vAlign w:val="center"/>
                </w:tcPr>
                <w:p>
                  <w:pPr>
                    <w:spacing w:line="320" w:lineRule="exact"/>
                    <w:ind w:firstLine="0" w:firstLineChars="0"/>
                    <w:jc w:val="center"/>
                    <w:rPr>
                      <w:color w:val="auto"/>
                      <w:sz w:val="21"/>
                    </w:rPr>
                  </w:pPr>
                  <w:r>
                    <w:rPr>
                      <w:rFonts w:hint="eastAsia"/>
                      <w:color w:val="auto"/>
                      <w:sz w:val="21"/>
                    </w:rPr>
                    <w:t>28.8133</w:t>
                  </w:r>
                </w:p>
              </w:tc>
              <w:tc>
                <w:tcPr>
                  <w:tcW w:w="819" w:type="dxa"/>
                  <w:vAlign w:val="center"/>
                </w:tcPr>
                <w:p>
                  <w:pPr>
                    <w:spacing w:line="320" w:lineRule="exact"/>
                    <w:ind w:firstLine="0" w:firstLineChars="0"/>
                    <w:jc w:val="center"/>
                    <w:rPr>
                      <w:color w:val="auto"/>
                      <w:sz w:val="21"/>
                    </w:rPr>
                  </w:pPr>
                  <w:r>
                    <w:rPr>
                      <w:color w:val="auto"/>
                      <w:sz w:val="21"/>
                    </w:rPr>
                    <w:t>0.</w:t>
                  </w:r>
                  <w:r>
                    <w:rPr>
                      <w:rFonts w:hint="eastAsia"/>
                      <w:color w:val="auto"/>
                      <w:sz w:val="21"/>
                    </w:rPr>
                    <w:t xml:space="preserve">024 </w:t>
                  </w:r>
                </w:p>
              </w:tc>
              <w:tc>
                <w:tcPr>
                  <w:tcW w:w="923" w:type="dxa"/>
                  <w:vAlign w:val="center"/>
                </w:tcPr>
                <w:p>
                  <w:pPr>
                    <w:spacing w:line="320" w:lineRule="exact"/>
                    <w:ind w:firstLine="0" w:firstLineChars="0"/>
                    <w:jc w:val="center"/>
                    <w:rPr>
                      <w:color w:val="auto"/>
                      <w:sz w:val="21"/>
                    </w:rPr>
                  </w:pPr>
                  <w:r>
                    <w:rPr>
                      <w:color w:val="auto"/>
                      <w:sz w:val="21"/>
                    </w:rPr>
                    <w:t>进入</w:t>
                  </w:r>
                  <w:r>
                    <w:rPr>
                      <w:rFonts w:hint="eastAsia"/>
                      <w:color w:val="auto"/>
                      <w:sz w:val="21"/>
                    </w:rPr>
                    <w:t>城市污水处理厂</w:t>
                  </w:r>
                </w:p>
              </w:tc>
              <w:tc>
                <w:tcPr>
                  <w:tcW w:w="877" w:type="dxa"/>
                  <w:vAlign w:val="center"/>
                </w:tcPr>
                <w:p>
                  <w:pPr>
                    <w:spacing w:line="320" w:lineRule="exact"/>
                    <w:ind w:firstLine="0" w:firstLineChars="0"/>
                    <w:jc w:val="center"/>
                    <w:rPr>
                      <w:color w:val="auto"/>
                      <w:sz w:val="21"/>
                    </w:rPr>
                  </w:pPr>
                  <w:r>
                    <w:rPr>
                      <w:rFonts w:hint="eastAsia"/>
                      <w:color w:val="auto"/>
                      <w:sz w:val="21"/>
                    </w:rPr>
                    <w:t>间歇排放、</w:t>
                  </w:r>
                  <w:r>
                    <w:rPr>
                      <w:color w:val="auto"/>
                      <w:sz w:val="21"/>
                    </w:rPr>
                    <w:t>流量</w:t>
                  </w:r>
                  <w:r>
                    <w:rPr>
                      <w:rFonts w:hint="eastAsia"/>
                      <w:color w:val="auto"/>
                      <w:sz w:val="21"/>
                    </w:rPr>
                    <w:t>不稳定</w:t>
                  </w:r>
                </w:p>
              </w:tc>
              <w:tc>
                <w:tcPr>
                  <w:tcW w:w="836" w:type="dxa"/>
                  <w:vAlign w:val="center"/>
                </w:tcPr>
                <w:p>
                  <w:pPr>
                    <w:spacing w:line="320" w:lineRule="exact"/>
                    <w:ind w:firstLine="0" w:firstLineChars="0"/>
                    <w:jc w:val="center"/>
                    <w:rPr>
                      <w:color w:val="auto"/>
                      <w:sz w:val="21"/>
                    </w:rPr>
                  </w:pPr>
                  <w:r>
                    <w:rPr>
                      <w:rFonts w:hint="eastAsia"/>
                      <w:color w:val="auto"/>
                      <w:sz w:val="21"/>
                    </w:rPr>
                    <w:t>—</w:t>
                  </w:r>
                </w:p>
              </w:tc>
              <w:tc>
                <w:tcPr>
                  <w:tcW w:w="641" w:type="dxa"/>
                  <w:vAlign w:val="center"/>
                </w:tcPr>
                <w:p>
                  <w:pPr>
                    <w:spacing w:line="320" w:lineRule="exact"/>
                    <w:ind w:firstLine="0" w:firstLineChars="0"/>
                    <w:jc w:val="center"/>
                    <w:rPr>
                      <w:color w:val="auto"/>
                      <w:sz w:val="21"/>
                    </w:rPr>
                  </w:pPr>
                  <w:r>
                    <w:rPr>
                      <w:rFonts w:hint="eastAsia"/>
                      <w:color w:val="auto"/>
                      <w:sz w:val="21"/>
                    </w:rPr>
                    <w:t>沅江市第二污水处理厂</w:t>
                  </w:r>
                </w:p>
              </w:tc>
              <w:tc>
                <w:tcPr>
                  <w:tcW w:w="815" w:type="dxa"/>
                  <w:vAlign w:val="center"/>
                </w:tcPr>
                <w:p>
                  <w:pPr>
                    <w:spacing w:line="320" w:lineRule="exact"/>
                    <w:ind w:firstLine="0" w:firstLineChars="0"/>
                    <w:jc w:val="center"/>
                    <w:rPr>
                      <w:color w:val="auto"/>
                      <w:sz w:val="21"/>
                    </w:rPr>
                  </w:pPr>
                  <w:r>
                    <w:rPr>
                      <w:color w:val="auto"/>
                      <w:sz w:val="21"/>
                    </w:rPr>
                    <w:t>COD</w:t>
                  </w:r>
                </w:p>
                <w:p>
                  <w:pPr>
                    <w:spacing w:line="320" w:lineRule="exact"/>
                    <w:ind w:firstLine="0" w:firstLineChars="0"/>
                    <w:jc w:val="center"/>
                    <w:rPr>
                      <w:color w:val="auto"/>
                      <w:sz w:val="21"/>
                    </w:rPr>
                  </w:pPr>
                  <w:r>
                    <w:rPr>
                      <w:color w:val="auto"/>
                      <w:sz w:val="21"/>
                    </w:rPr>
                    <w:t>SS</w:t>
                  </w:r>
                </w:p>
                <w:p>
                  <w:pPr>
                    <w:spacing w:line="320" w:lineRule="exact"/>
                    <w:ind w:firstLine="0" w:firstLineChars="0"/>
                    <w:jc w:val="center"/>
                    <w:rPr>
                      <w:color w:val="auto"/>
                      <w:sz w:val="21"/>
                    </w:rPr>
                  </w:pPr>
                  <w:r>
                    <w:rPr>
                      <w:color w:val="auto"/>
                      <w:sz w:val="21"/>
                    </w:rPr>
                    <w:t>氨氮</w:t>
                  </w:r>
                </w:p>
                <w:p>
                  <w:pPr>
                    <w:spacing w:line="320" w:lineRule="exact"/>
                    <w:ind w:firstLine="0" w:firstLineChars="0"/>
                    <w:jc w:val="center"/>
                    <w:rPr>
                      <w:color w:val="auto"/>
                      <w:sz w:val="21"/>
                    </w:rPr>
                  </w:pPr>
                  <w:r>
                    <w:rPr>
                      <w:rFonts w:hint="eastAsia"/>
                      <w:color w:val="auto"/>
                      <w:sz w:val="21"/>
                    </w:rPr>
                    <w:t>BOD</w:t>
                  </w:r>
                  <w:r>
                    <w:rPr>
                      <w:rFonts w:hint="eastAsia"/>
                      <w:color w:val="auto"/>
                      <w:sz w:val="21"/>
                      <w:vertAlign w:val="subscript"/>
                    </w:rPr>
                    <w:t>5</w:t>
                  </w:r>
                </w:p>
              </w:tc>
              <w:tc>
                <w:tcPr>
                  <w:tcW w:w="1404" w:type="dxa"/>
                  <w:vAlign w:val="center"/>
                </w:tcPr>
                <w:p>
                  <w:pPr>
                    <w:spacing w:line="320" w:lineRule="exact"/>
                    <w:ind w:firstLine="0" w:firstLineChars="0"/>
                    <w:jc w:val="center"/>
                    <w:rPr>
                      <w:color w:val="auto"/>
                      <w:sz w:val="21"/>
                    </w:rPr>
                  </w:pPr>
                  <w:r>
                    <w:rPr>
                      <w:color w:val="auto"/>
                      <w:sz w:val="21"/>
                    </w:rPr>
                    <w:t>≤50</w:t>
                  </w:r>
                </w:p>
                <w:p>
                  <w:pPr>
                    <w:spacing w:line="320" w:lineRule="exact"/>
                    <w:ind w:firstLine="0" w:firstLineChars="0"/>
                    <w:jc w:val="center"/>
                    <w:rPr>
                      <w:color w:val="auto"/>
                      <w:sz w:val="21"/>
                    </w:rPr>
                  </w:pPr>
                  <w:r>
                    <w:rPr>
                      <w:color w:val="auto"/>
                      <w:sz w:val="21"/>
                    </w:rPr>
                    <w:t>≤10</w:t>
                  </w:r>
                </w:p>
                <w:p>
                  <w:pPr>
                    <w:spacing w:line="320" w:lineRule="exact"/>
                    <w:ind w:firstLine="0" w:firstLineChars="0"/>
                    <w:jc w:val="center"/>
                    <w:rPr>
                      <w:color w:val="auto"/>
                      <w:sz w:val="21"/>
                    </w:rPr>
                  </w:pPr>
                  <w:r>
                    <w:rPr>
                      <w:color w:val="auto"/>
                      <w:sz w:val="21"/>
                    </w:rPr>
                    <w:t>≤5</w:t>
                  </w:r>
                </w:p>
                <w:p>
                  <w:pPr>
                    <w:spacing w:line="320" w:lineRule="exact"/>
                    <w:ind w:firstLine="0" w:firstLineChars="0"/>
                    <w:jc w:val="center"/>
                    <w:rPr>
                      <w:color w:val="auto"/>
                      <w:sz w:val="21"/>
                    </w:rPr>
                  </w:pPr>
                  <w:r>
                    <w:rPr>
                      <w:color w:val="auto"/>
                      <w:sz w:val="21"/>
                    </w:rPr>
                    <w:t>≤</w:t>
                  </w:r>
                  <w:r>
                    <w:rPr>
                      <w:rFonts w:hint="eastAsia"/>
                      <w:color w:val="auto"/>
                      <w:sz w:val="21"/>
                    </w:rPr>
                    <w:t>10</w:t>
                  </w:r>
                </w:p>
                <w:p>
                  <w:pPr>
                    <w:spacing w:line="320" w:lineRule="exact"/>
                    <w:ind w:firstLine="0" w:firstLineChars="0"/>
                    <w:jc w:val="center"/>
                    <w:rPr>
                      <w:color w:val="auto"/>
                      <w:sz w:val="21"/>
                    </w:rPr>
                  </w:pPr>
                </w:p>
              </w:tc>
            </w:tr>
          </w:tbl>
          <w:p>
            <w:pPr>
              <w:adjustRightInd w:val="0"/>
              <w:snapToGrid w:val="0"/>
              <w:ind w:firstLine="480"/>
              <w:rPr>
                <w:rFonts w:ascii="Calibri" w:hAnsi="Calibri"/>
                <w:color w:val="auto"/>
              </w:rPr>
            </w:pPr>
            <w:r>
              <w:rPr>
                <w:rFonts w:ascii="Calibri" w:hAnsi="Calibri"/>
                <w:color w:val="auto"/>
              </w:rPr>
              <w:t>a</w:t>
            </w:r>
            <w:r>
              <w:rPr>
                <w:rFonts w:hint="eastAsia" w:ascii="Calibri" w:hAnsi="Calibri"/>
                <w:color w:val="auto"/>
              </w:rPr>
              <w:t>对于排至厂外公共污水处理系统的排放口，</w:t>
            </w:r>
            <w:r>
              <w:rPr>
                <w:rFonts w:ascii="Calibri" w:hAnsi="Calibri"/>
                <w:color w:val="auto"/>
              </w:rPr>
              <w:t>指</w:t>
            </w:r>
            <w:r>
              <w:rPr>
                <w:rFonts w:hint="eastAsia" w:ascii="Calibri" w:hAnsi="Calibri"/>
                <w:color w:val="auto"/>
              </w:rPr>
              <w:t>废水排出厂界处经纬度坐标。</w:t>
            </w:r>
          </w:p>
          <w:p>
            <w:pPr>
              <w:adjustRightInd w:val="0"/>
              <w:snapToGrid w:val="0"/>
              <w:ind w:firstLine="480"/>
              <w:rPr>
                <w:rFonts w:ascii="Calibri" w:hAnsi="Calibri"/>
                <w:color w:val="auto"/>
              </w:rPr>
            </w:pPr>
            <w:r>
              <w:rPr>
                <w:rFonts w:ascii="Calibri" w:hAnsi="Calibri"/>
                <w:color w:val="auto"/>
              </w:rPr>
              <w:t>b</w:t>
            </w:r>
            <w:r>
              <w:rPr>
                <w:rFonts w:hint="eastAsia" w:ascii="Calibri" w:hAnsi="Calibri"/>
                <w:color w:val="auto"/>
              </w:rPr>
              <w:t>指厂外城镇或工业污水集中处理设施名称，</w:t>
            </w:r>
            <w:r>
              <w:rPr>
                <w:rFonts w:ascii="Calibri" w:hAnsi="Calibri"/>
                <w:color w:val="auto"/>
              </w:rPr>
              <w:t>如</w:t>
            </w:r>
            <w:r>
              <w:rPr>
                <w:rFonts w:hint="eastAsia" w:ascii="Calibri" w:hAnsi="Calibri"/>
                <w:color w:val="auto"/>
              </w:rPr>
              <w:t>XX生活污水处理厂、XXX化工园区污水处理厂等。</w:t>
            </w:r>
          </w:p>
          <w:p>
            <w:pPr>
              <w:ind w:left="72" w:leftChars="30" w:right="72" w:rightChars="30" w:firstLine="482"/>
              <w:rPr>
                <w:rFonts w:hAnsi="宋体"/>
                <w:b/>
                <w:color w:val="auto"/>
                <w:szCs w:val="20"/>
              </w:rPr>
            </w:pPr>
            <w:r>
              <w:rPr>
                <w:rFonts w:hint="eastAsia" w:hAnsi="宋体"/>
                <w:b/>
                <w:color w:val="auto"/>
                <w:szCs w:val="20"/>
              </w:rPr>
              <w:t>4）</w:t>
            </w:r>
            <w:r>
              <w:rPr>
                <w:rFonts w:hAnsi="宋体"/>
                <w:b/>
                <w:color w:val="auto"/>
                <w:szCs w:val="20"/>
              </w:rPr>
              <w:t>废水污染物</w:t>
            </w:r>
            <w:r>
              <w:rPr>
                <w:rFonts w:hint="eastAsia" w:hAnsi="宋体"/>
                <w:b/>
                <w:color w:val="auto"/>
                <w:szCs w:val="20"/>
              </w:rPr>
              <w:t>排放信息</w:t>
            </w:r>
          </w:p>
          <w:p>
            <w:pPr>
              <w:spacing w:line="240" w:lineRule="auto"/>
              <w:ind w:firstLine="0" w:firstLineChars="0"/>
              <w:jc w:val="center"/>
              <w:rPr>
                <w:rFonts w:hAnsi="宋体"/>
                <w:b/>
                <w:color w:val="auto"/>
              </w:rPr>
            </w:pPr>
          </w:p>
          <w:p>
            <w:pPr>
              <w:spacing w:line="240" w:lineRule="auto"/>
              <w:ind w:firstLine="0" w:firstLineChars="0"/>
              <w:jc w:val="center"/>
              <w:rPr>
                <w:rFonts w:hAnsi="宋体"/>
                <w:b/>
                <w:color w:val="auto"/>
              </w:rPr>
            </w:pPr>
          </w:p>
          <w:p>
            <w:pPr>
              <w:spacing w:line="240" w:lineRule="auto"/>
              <w:ind w:firstLine="0" w:firstLineChars="0"/>
              <w:jc w:val="center"/>
              <w:rPr>
                <w:rFonts w:hAnsi="宋体"/>
                <w:b/>
                <w:color w:val="auto"/>
              </w:rPr>
            </w:pPr>
          </w:p>
          <w:p>
            <w:pPr>
              <w:spacing w:line="240" w:lineRule="auto"/>
              <w:ind w:firstLine="0" w:firstLineChars="0"/>
              <w:jc w:val="center"/>
              <w:rPr>
                <w:rFonts w:hAnsi="宋体"/>
                <w:b/>
                <w:color w:val="auto"/>
              </w:rPr>
            </w:pPr>
          </w:p>
          <w:p>
            <w:pPr>
              <w:spacing w:line="240" w:lineRule="auto"/>
              <w:ind w:firstLine="0" w:firstLineChars="0"/>
              <w:jc w:val="center"/>
              <w:rPr>
                <w:rFonts w:hAnsi="宋体"/>
                <w:b/>
                <w:color w:val="auto"/>
              </w:rPr>
            </w:pPr>
          </w:p>
          <w:p>
            <w:pPr>
              <w:spacing w:line="240" w:lineRule="auto"/>
              <w:ind w:firstLine="0" w:firstLineChars="0"/>
              <w:jc w:val="center"/>
              <w:rPr>
                <w:rFonts w:hAnsi="宋体"/>
                <w:b/>
                <w:color w:val="auto"/>
              </w:rPr>
            </w:pPr>
          </w:p>
          <w:p>
            <w:pPr>
              <w:spacing w:line="240" w:lineRule="auto"/>
              <w:ind w:firstLine="0" w:firstLineChars="0"/>
              <w:jc w:val="center"/>
              <w:rPr>
                <w:rFonts w:hAnsi="宋体"/>
                <w:b/>
                <w:color w:val="auto"/>
              </w:rPr>
            </w:pPr>
          </w:p>
          <w:p>
            <w:pPr>
              <w:spacing w:line="240" w:lineRule="auto"/>
              <w:ind w:firstLine="0" w:firstLineChars="0"/>
              <w:jc w:val="center"/>
              <w:rPr>
                <w:color w:val="auto"/>
              </w:rPr>
            </w:pPr>
            <w:r>
              <w:rPr>
                <w:rFonts w:hAnsi="宋体"/>
                <w:b/>
                <w:color w:val="auto"/>
              </w:rPr>
              <w:t>表</w:t>
            </w:r>
            <w:r>
              <w:rPr>
                <w:rFonts w:hint="eastAsia" w:hAnsi="宋体"/>
                <w:b/>
                <w:color w:val="auto"/>
              </w:rPr>
              <w:t xml:space="preserve">7-12   </w:t>
            </w:r>
            <w:r>
              <w:rPr>
                <w:rFonts w:hAnsi="宋体"/>
                <w:b/>
                <w:color w:val="auto"/>
              </w:rPr>
              <w:t>废水</w:t>
            </w:r>
            <w:r>
              <w:rPr>
                <w:rFonts w:hint="eastAsia" w:hAnsi="宋体"/>
                <w:b/>
                <w:color w:val="auto"/>
              </w:rPr>
              <w:t>污染物排放信息表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196"/>
              <w:gridCol w:w="1193"/>
              <w:gridCol w:w="1689"/>
              <w:gridCol w:w="1743"/>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60" w:type="pct"/>
                  <w:vAlign w:val="center"/>
                </w:tcPr>
                <w:p>
                  <w:pPr>
                    <w:spacing w:line="320" w:lineRule="exact"/>
                    <w:ind w:firstLine="0" w:firstLineChars="0"/>
                    <w:jc w:val="center"/>
                    <w:rPr>
                      <w:color w:val="auto"/>
                      <w:sz w:val="21"/>
                    </w:rPr>
                  </w:pPr>
                  <w:r>
                    <w:rPr>
                      <w:rFonts w:hint="eastAsia"/>
                      <w:color w:val="auto"/>
                      <w:sz w:val="21"/>
                    </w:rPr>
                    <w:t>序号</w:t>
                  </w:r>
                </w:p>
              </w:tc>
              <w:tc>
                <w:tcPr>
                  <w:tcW w:w="668" w:type="pct"/>
                  <w:vAlign w:val="center"/>
                </w:tcPr>
                <w:p>
                  <w:pPr>
                    <w:spacing w:line="320" w:lineRule="exact"/>
                    <w:ind w:firstLine="0" w:firstLineChars="0"/>
                    <w:jc w:val="center"/>
                    <w:rPr>
                      <w:color w:val="auto"/>
                      <w:sz w:val="21"/>
                    </w:rPr>
                  </w:pPr>
                  <w:r>
                    <w:rPr>
                      <w:rFonts w:hint="eastAsia"/>
                      <w:color w:val="auto"/>
                      <w:sz w:val="21"/>
                    </w:rPr>
                    <w:t>排放口编号</w:t>
                  </w:r>
                </w:p>
              </w:tc>
              <w:tc>
                <w:tcPr>
                  <w:tcW w:w="666" w:type="pct"/>
                  <w:vAlign w:val="center"/>
                </w:tcPr>
                <w:p>
                  <w:pPr>
                    <w:spacing w:line="320" w:lineRule="exact"/>
                    <w:ind w:firstLine="0" w:firstLineChars="0"/>
                    <w:jc w:val="center"/>
                    <w:rPr>
                      <w:color w:val="auto"/>
                      <w:sz w:val="21"/>
                    </w:rPr>
                  </w:pPr>
                  <w:r>
                    <w:rPr>
                      <w:rFonts w:hint="eastAsia"/>
                      <w:color w:val="auto"/>
                      <w:sz w:val="21"/>
                    </w:rPr>
                    <w:t>废水排放量/（万t</w:t>
                  </w:r>
                  <w:r>
                    <w:rPr>
                      <w:color w:val="auto"/>
                      <w:sz w:val="21"/>
                    </w:rPr>
                    <w:t>/a</w:t>
                  </w:r>
                  <w:r>
                    <w:rPr>
                      <w:rFonts w:hint="eastAsia"/>
                      <w:color w:val="auto"/>
                      <w:sz w:val="21"/>
                    </w:rPr>
                    <w:t>）</w:t>
                  </w:r>
                </w:p>
              </w:tc>
              <w:tc>
                <w:tcPr>
                  <w:tcW w:w="943" w:type="pct"/>
                  <w:vAlign w:val="center"/>
                </w:tcPr>
                <w:p>
                  <w:pPr>
                    <w:spacing w:line="320" w:lineRule="exact"/>
                    <w:ind w:firstLine="0" w:firstLineChars="0"/>
                    <w:jc w:val="center"/>
                    <w:rPr>
                      <w:color w:val="auto"/>
                      <w:sz w:val="21"/>
                    </w:rPr>
                  </w:pPr>
                  <w:r>
                    <w:rPr>
                      <w:rFonts w:hint="eastAsia"/>
                      <w:color w:val="auto"/>
                      <w:sz w:val="21"/>
                    </w:rPr>
                    <w:t>污染物种类</w:t>
                  </w:r>
                </w:p>
              </w:tc>
              <w:tc>
                <w:tcPr>
                  <w:tcW w:w="973" w:type="pct"/>
                  <w:vAlign w:val="center"/>
                </w:tcPr>
                <w:p>
                  <w:pPr>
                    <w:spacing w:line="320" w:lineRule="exact"/>
                    <w:ind w:firstLine="0" w:firstLineChars="0"/>
                    <w:jc w:val="center"/>
                    <w:rPr>
                      <w:color w:val="auto"/>
                      <w:sz w:val="21"/>
                    </w:rPr>
                  </w:pPr>
                  <w:r>
                    <w:rPr>
                      <w:rFonts w:hint="eastAsia"/>
                      <w:color w:val="auto"/>
                      <w:sz w:val="21"/>
                    </w:rPr>
                    <w:t>排放浓度/（mg/l</w:t>
                  </w:r>
                  <w:r>
                    <w:rPr>
                      <w:color w:val="auto"/>
                      <w:sz w:val="21"/>
                    </w:rPr>
                    <w:t>）</w:t>
                  </w:r>
                </w:p>
              </w:tc>
              <w:tc>
                <w:tcPr>
                  <w:tcW w:w="1087" w:type="pct"/>
                  <w:vAlign w:val="center"/>
                </w:tcPr>
                <w:p>
                  <w:pPr>
                    <w:spacing w:line="320" w:lineRule="exact"/>
                    <w:ind w:firstLine="0" w:firstLineChars="0"/>
                    <w:jc w:val="center"/>
                    <w:rPr>
                      <w:color w:val="auto"/>
                      <w:sz w:val="21"/>
                    </w:rPr>
                  </w:pPr>
                  <w:r>
                    <w:rPr>
                      <w:rFonts w:hint="eastAsia"/>
                      <w:color w:val="auto"/>
                      <w:sz w:val="21"/>
                    </w:rPr>
                    <w:t>年排放量/（</w:t>
                  </w:r>
                  <w:r>
                    <w:rPr>
                      <w:color w:val="auto"/>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60" w:type="pct"/>
                  <w:vAlign w:val="center"/>
                </w:tcPr>
                <w:p>
                  <w:pPr>
                    <w:spacing w:line="320" w:lineRule="exact"/>
                    <w:ind w:firstLine="0" w:firstLineChars="0"/>
                    <w:jc w:val="center"/>
                    <w:rPr>
                      <w:color w:val="auto"/>
                      <w:sz w:val="21"/>
                    </w:rPr>
                  </w:pPr>
                  <w:r>
                    <w:rPr>
                      <w:rFonts w:hint="eastAsia"/>
                      <w:color w:val="auto"/>
                      <w:sz w:val="21"/>
                    </w:rPr>
                    <w:t>1</w:t>
                  </w:r>
                </w:p>
              </w:tc>
              <w:tc>
                <w:tcPr>
                  <w:tcW w:w="668" w:type="pct"/>
                  <w:vAlign w:val="center"/>
                </w:tcPr>
                <w:p>
                  <w:pPr>
                    <w:spacing w:line="320" w:lineRule="exact"/>
                    <w:ind w:firstLine="0" w:firstLineChars="0"/>
                    <w:jc w:val="center"/>
                    <w:rPr>
                      <w:color w:val="auto"/>
                      <w:sz w:val="21"/>
                    </w:rPr>
                  </w:pPr>
                  <w:r>
                    <w:rPr>
                      <w:rFonts w:hint="eastAsia"/>
                      <w:color w:val="auto"/>
                      <w:sz w:val="21"/>
                    </w:rPr>
                    <w:t>DW001</w:t>
                  </w:r>
                </w:p>
              </w:tc>
              <w:tc>
                <w:tcPr>
                  <w:tcW w:w="666" w:type="pct"/>
                  <w:vAlign w:val="center"/>
                </w:tcPr>
                <w:p>
                  <w:pPr>
                    <w:spacing w:line="320" w:lineRule="exact"/>
                    <w:ind w:firstLine="0" w:firstLineChars="0"/>
                    <w:jc w:val="center"/>
                    <w:rPr>
                      <w:color w:val="auto"/>
                      <w:sz w:val="21"/>
                    </w:rPr>
                  </w:pPr>
                  <w:r>
                    <w:rPr>
                      <w:color w:val="auto"/>
                      <w:sz w:val="21"/>
                    </w:rPr>
                    <w:t>0.</w:t>
                  </w:r>
                  <w:r>
                    <w:rPr>
                      <w:rFonts w:hint="eastAsia"/>
                      <w:color w:val="auto"/>
                      <w:sz w:val="21"/>
                    </w:rPr>
                    <w:t>024</w:t>
                  </w:r>
                </w:p>
              </w:tc>
              <w:tc>
                <w:tcPr>
                  <w:tcW w:w="943" w:type="pct"/>
                  <w:vAlign w:val="center"/>
                </w:tcPr>
                <w:p>
                  <w:pPr>
                    <w:spacing w:line="320" w:lineRule="exact"/>
                    <w:ind w:firstLine="0" w:firstLineChars="0"/>
                    <w:jc w:val="center"/>
                    <w:rPr>
                      <w:color w:val="auto"/>
                      <w:sz w:val="21"/>
                    </w:rPr>
                  </w:pPr>
                  <w:r>
                    <w:rPr>
                      <w:color w:val="auto"/>
                      <w:sz w:val="21"/>
                    </w:rPr>
                    <w:t>COD</w:t>
                  </w:r>
                </w:p>
                <w:p>
                  <w:pPr>
                    <w:spacing w:line="320" w:lineRule="exact"/>
                    <w:ind w:firstLine="0" w:firstLineChars="0"/>
                    <w:jc w:val="center"/>
                    <w:rPr>
                      <w:color w:val="auto"/>
                      <w:sz w:val="21"/>
                    </w:rPr>
                  </w:pPr>
                  <w:r>
                    <w:rPr>
                      <w:color w:val="auto"/>
                      <w:sz w:val="21"/>
                    </w:rPr>
                    <w:t>SS</w:t>
                  </w:r>
                </w:p>
                <w:p>
                  <w:pPr>
                    <w:spacing w:line="320" w:lineRule="exact"/>
                    <w:ind w:firstLine="0" w:firstLineChars="0"/>
                    <w:jc w:val="center"/>
                    <w:rPr>
                      <w:color w:val="auto"/>
                      <w:sz w:val="21"/>
                    </w:rPr>
                  </w:pPr>
                  <w:r>
                    <w:rPr>
                      <w:color w:val="auto"/>
                      <w:sz w:val="21"/>
                    </w:rPr>
                    <w:t>氨氮</w:t>
                  </w:r>
                </w:p>
                <w:p>
                  <w:pPr>
                    <w:spacing w:line="320" w:lineRule="exact"/>
                    <w:ind w:firstLine="0" w:firstLineChars="0"/>
                    <w:jc w:val="center"/>
                    <w:rPr>
                      <w:color w:val="auto"/>
                      <w:sz w:val="21"/>
                      <w:vertAlign w:val="subscript"/>
                    </w:rPr>
                  </w:pPr>
                  <w:r>
                    <w:rPr>
                      <w:rFonts w:hint="eastAsia"/>
                      <w:color w:val="auto"/>
                      <w:sz w:val="21"/>
                    </w:rPr>
                    <w:t>BOD</w:t>
                  </w:r>
                  <w:r>
                    <w:rPr>
                      <w:rFonts w:hint="eastAsia"/>
                      <w:color w:val="auto"/>
                      <w:sz w:val="21"/>
                      <w:vertAlign w:val="subscript"/>
                    </w:rPr>
                    <w:t>5</w:t>
                  </w:r>
                </w:p>
              </w:tc>
              <w:tc>
                <w:tcPr>
                  <w:tcW w:w="973" w:type="pct"/>
                  <w:vAlign w:val="center"/>
                </w:tcPr>
                <w:p>
                  <w:pPr>
                    <w:spacing w:line="320" w:lineRule="exact"/>
                    <w:ind w:firstLine="0" w:firstLineChars="0"/>
                    <w:jc w:val="center"/>
                    <w:rPr>
                      <w:color w:val="auto"/>
                      <w:sz w:val="21"/>
                    </w:rPr>
                  </w:pPr>
                  <w:r>
                    <w:rPr>
                      <w:rFonts w:hint="eastAsia"/>
                      <w:color w:val="auto"/>
                      <w:sz w:val="21"/>
                    </w:rPr>
                    <w:t>50</w:t>
                  </w:r>
                </w:p>
                <w:p>
                  <w:pPr>
                    <w:spacing w:line="320" w:lineRule="exact"/>
                    <w:ind w:firstLine="0" w:firstLineChars="0"/>
                    <w:jc w:val="center"/>
                    <w:rPr>
                      <w:color w:val="auto"/>
                      <w:sz w:val="21"/>
                    </w:rPr>
                  </w:pPr>
                  <w:r>
                    <w:rPr>
                      <w:rFonts w:hint="eastAsia"/>
                      <w:color w:val="auto"/>
                      <w:sz w:val="21"/>
                    </w:rPr>
                    <w:t>10</w:t>
                  </w:r>
                </w:p>
                <w:p>
                  <w:pPr>
                    <w:spacing w:line="320" w:lineRule="exact"/>
                    <w:ind w:firstLine="0" w:firstLineChars="0"/>
                    <w:jc w:val="center"/>
                    <w:rPr>
                      <w:color w:val="auto"/>
                      <w:sz w:val="21"/>
                    </w:rPr>
                  </w:pPr>
                  <w:r>
                    <w:rPr>
                      <w:rFonts w:hint="eastAsia"/>
                      <w:color w:val="auto"/>
                      <w:sz w:val="21"/>
                    </w:rPr>
                    <w:t>5</w:t>
                  </w:r>
                </w:p>
                <w:p>
                  <w:pPr>
                    <w:spacing w:line="320" w:lineRule="exact"/>
                    <w:ind w:firstLine="0" w:firstLineChars="0"/>
                    <w:jc w:val="center"/>
                    <w:rPr>
                      <w:color w:val="auto"/>
                      <w:sz w:val="21"/>
                    </w:rPr>
                  </w:pPr>
                  <w:r>
                    <w:rPr>
                      <w:rFonts w:hint="eastAsia"/>
                      <w:color w:val="auto"/>
                      <w:sz w:val="21"/>
                    </w:rPr>
                    <w:t>10</w:t>
                  </w:r>
                </w:p>
              </w:tc>
              <w:tc>
                <w:tcPr>
                  <w:tcW w:w="1087" w:type="pct"/>
                  <w:vAlign w:val="center"/>
                </w:tcPr>
                <w:p>
                  <w:pPr>
                    <w:spacing w:line="320" w:lineRule="exact"/>
                    <w:ind w:firstLine="0" w:firstLineChars="0"/>
                    <w:jc w:val="center"/>
                    <w:rPr>
                      <w:color w:val="auto"/>
                      <w:sz w:val="21"/>
                    </w:rPr>
                  </w:pPr>
                  <w:r>
                    <w:rPr>
                      <w:rFonts w:hint="eastAsia"/>
                      <w:color w:val="auto"/>
                      <w:sz w:val="21"/>
                    </w:rPr>
                    <w:t>0.012</w:t>
                  </w:r>
                </w:p>
                <w:p>
                  <w:pPr>
                    <w:spacing w:line="320" w:lineRule="exact"/>
                    <w:ind w:firstLine="0" w:firstLineChars="0"/>
                    <w:jc w:val="center"/>
                    <w:rPr>
                      <w:color w:val="auto"/>
                      <w:sz w:val="21"/>
                    </w:rPr>
                  </w:pPr>
                  <w:r>
                    <w:rPr>
                      <w:rFonts w:hint="eastAsia"/>
                      <w:color w:val="auto"/>
                      <w:sz w:val="21"/>
                    </w:rPr>
                    <w:t>0.002</w:t>
                  </w:r>
                </w:p>
                <w:p>
                  <w:pPr>
                    <w:spacing w:line="320" w:lineRule="exact"/>
                    <w:ind w:firstLine="0" w:firstLineChars="0"/>
                    <w:jc w:val="center"/>
                    <w:rPr>
                      <w:color w:val="auto"/>
                      <w:sz w:val="21"/>
                    </w:rPr>
                  </w:pPr>
                  <w:r>
                    <w:rPr>
                      <w:rFonts w:hint="eastAsia"/>
                      <w:color w:val="auto"/>
                      <w:sz w:val="21"/>
                    </w:rPr>
                    <w:t>0.001</w:t>
                  </w:r>
                </w:p>
                <w:p>
                  <w:pPr>
                    <w:spacing w:line="320" w:lineRule="exact"/>
                    <w:ind w:firstLine="0" w:firstLineChars="0"/>
                    <w:jc w:val="center"/>
                    <w:rPr>
                      <w:color w:val="auto"/>
                      <w:sz w:val="21"/>
                    </w:rPr>
                  </w:pPr>
                  <w:r>
                    <w:rPr>
                      <w:rFonts w:hint="eastAsia"/>
                      <w:color w:val="auto"/>
                      <w:sz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8" w:type="pct"/>
                  <w:gridSpan w:val="2"/>
                  <w:vMerge w:val="restart"/>
                  <w:vAlign w:val="center"/>
                </w:tcPr>
                <w:p>
                  <w:pPr>
                    <w:spacing w:line="320" w:lineRule="exact"/>
                    <w:ind w:firstLine="0" w:firstLineChars="0"/>
                    <w:jc w:val="center"/>
                    <w:rPr>
                      <w:color w:val="auto"/>
                      <w:sz w:val="21"/>
                    </w:rPr>
                  </w:pPr>
                  <w:r>
                    <w:rPr>
                      <w:rFonts w:hint="eastAsia"/>
                      <w:color w:val="auto"/>
                      <w:sz w:val="21"/>
                    </w:rPr>
                    <w:t>全厂排放口合计</w:t>
                  </w:r>
                </w:p>
              </w:tc>
              <w:tc>
                <w:tcPr>
                  <w:tcW w:w="2583" w:type="pct"/>
                  <w:gridSpan w:val="3"/>
                  <w:vAlign w:val="center"/>
                </w:tcPr>
                <w:p>
                  <w:pPr>
                    <w:spacing w:line="320" w:lineRule="exact"/>
                    <w:ind w:firstLine="0" w:firstLineChars="0"/>
                    <w:jc w:val="center"/>
                    <w:rPr>
                      <w:color w:val="auto"/>
                      <w:sz w:val="21"/>
                    </w:rPr>
                  </w:pPr>
                  <w:r>
                    <w:rPr>
                      <w:rFonts w:hint="eastAsia"/>
                      <w:color w:val="auto"/>
                      <w:sz w:val="21"/>
                    </w:rPr>
                    <w:t>COD</w:t>
                  </w:r>
                </w:p>
              </w:tc>
              <w:tc>
                <w:tcPr>
                  <w:tcW w:w="1087" w:type="pct"/>
                  <w:vAlign w:val="center"/>
                </w:tcPr>
                <w:p>
                  <w:pPr>
                    <w:spacing w:line="320" w:lineRule="exact"/>
                    <w:ind w:firstLine="0" w:firstLineChars="0"/>
                    <w:jc w:val="center"/>
                    <w:rPr>
                      <w:color w:val="auto"/>
                      <w:sz w:val="21"/>
                    </w:rPr>
                  </w:pPr>
                  <w:r>
                    <w:rPr>
                      <w:rFonts w:hint="eastAsia"/>
                      <w:color w:val="auto"/>
                      <w:sz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8" w:type="pct"/>
                  <w:gridSpan w:val="2"/>
                  <w:vMerge w:val="continue"/>
                  <w:vAlign w:val="center"/>
                </w:tcPr>
                <w:p>
                  <w:pPr>
                    <w:spacing w:line="320" w:lineRule="exact"/>
                    <w:ind w:firstLine="0" w:firstLineChars="0"/>
                    <w:jc w:val="center"/>
                    <w:rPr>
                      <w:color w:val="auto"/>
                      <w:sz w:val="21"/>
                    </w:rPr>
                  </w:pPr>
                </w:p>
              </w:tc>
              <w:tc>
                <w:tcPr>
                  <w:tcW w:w="2583" w:type="pct"/>
                  <w:gridSpan w:val="3"/>
                  <w:vAlign w:val="center"/>
                </w:tcPr>
                <w:p>
                  <w:pPr>
                    <w:spacing w:line="320" w:lineRule="exact"/>
                    <w:ind w:firstLine="0" w:firstLineChars="0"/>
                    <w:jc w:val="center"/>
                    <w:rPr>
                      <w:color w:val="auto"/>
                      <w:sz w:val="21"/>
                    </w:rPr>
                  </w:pPr>
                  <w:r>
                    <w:rPr>
                      <w:color w:val="auto"/>
                      <w:sz w:val="21"/>
                    </w:rPr>
                    <w:t>氨氮</w:t>
                  </w:r>
                </w:p>
              </w:tc>
              <w:tc>
                <w:tcPr>
                  <w:tcW w:w="1087" w:type="pct"/>
                  <w:vAlign w:val="center"/>
                </w:tcPr>
                <w:p>
                  <w:pPr>
                    <w:spacing w:line="320" w:lineRule="exact"/>
                    <w:ind w:firstLine="0" w:firstLineChars="0"/>
                    <w:jc w:val="center"/>
                    <w:rPr>
                      <w:color w:val="auto"/>
                      <w:sz w:val="21"/>
                    </w:rPr>
                  </w:pPr>
                  <w:r>
                    <w:rPr>
                      <w:rFonts w:hint="eastAsia"/>
                      <w:color w:val="auto"/>
                      <w:sz w:val="21"/>
                    </w:rPr>
                    <w:t>0.001</w:t>
                  </w:r>
                </w:p>
              </w:tc>
            </w:tr>
          </w:tbl>
          <w:p>
            <w:pPr>
              <w:ind w:firstLine="480"/>
              <w:jc w:val="both"/>
              <w:rPr>
                <w:color w:val="auto"/>
              </w:rPr>
            </w:pPr>
            <w:r>
              <w:rPr>
                <w:color w:val="auto"/>
                <w:szCs w:val="22"/>
              </w:rPr>
              <w:t>通过采取以上处理措施后，本项目对地表水环境影响较小。</w:t>
            </w:r>
          </w:p>
          <w:p>
            <w:pPr>
              <w:keepNext/>
              <w:keepLines/>
              <w:ind w:firstLine="482"/>
              <w:jc w:val="both"/>
              <w:outlineLvl w:val="2"/>
              <w:rPr>
                <w:b/>
                <w:bCs/>
                <w:color w:val="auto"/>
                <w:szCs w:val="32"/>
              </w:rPr>
            </w:pPr>
            <w:r>
              <w:rPr>
                <w:b/>
                <w:bCs/>
                <w:color w:val="auto"/>
                <w:szCs w:val="32"/>
              </w:rPr>
              <w:t>三、声环境影响分析</w:t>
            </w:r>
          </w:p>
          <w:p>
            <w:pPr>
              <w:spacing w:line="460" w:lineRule="exact"/>
              <w:ind w:firstLine="480"/>
              <w:jc w:val="both"/>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）噪声叠加源强</w:t>
            </w:r>
          </w:p>
          <w:p>
            <w:pPr>
              <w:spacing w:line="460" w:lineRule="exact"/>
              <w:ind w:firstLine="480"/>
              <w:jc w:val="both"/>
              <w:rPr>
                <w:color w:val="auto"/>
              </w:rPr>
            </w:pPr>
            <w:r>
              <w:rPr>
                <w:rFonts w:hint="eastAsia"/>
                <w:color w:val="auto"/>
              </w:rPr>
              <w:t>本项目噪声来源于生产设备的运行。噪声源在</w:t>
            </w:r>
            <w:r>
              <w:rPr>
                <w:rFonts w:hint="eastAsia"/>
                <w:color w:val="auto"/>
                <w:lang w:val="en-US" w:eastAsia="zh-CN"/>
              </w:rPr>
              <w:t>7</w:t>
            </w:r>
            <w:r>
              <w:rPr>
                <w:rFonts w:hint="eastAsia"/>
                <w:color w:val="auto"/>
              </w:rPr>
              <w:t>0</w:t>
            </w:r>
            <w:r>
              <w:rPr>
                <w:color w:val="auto"/>
              </w:rPr>
              <w:t>—</w:t>
            </w:r>
            <w:r>
              <w:rPr>
                <w:rFonts w:hint="eastAsia"/>
                <w:color w:val="auto"/>
              </w:rPr>
              <w:t>90dB(A)。整个生产过程均在车间内进行，</w:t>
            </w:r>
            <w:r>
              <w:rPr>
                <w:color w:val="auto"/>
              </w:rPr>
              <w:t>为降低噪声对外界环境的影响，机械设备选型时选用</w:t>
            </w:r>
            <w:r>
              <w:rPr>
                <w:rFonts w:hint="eastAsia"/>
                <w:color w:val="auto"/>
              </w:rPr>
              <w:t>了</w:t>
            </w:r>
            <w:r>
              <w:rPr>
                <w:color w:val="auto"/>
              </w:rPr>
              <w:t>低噪音设备，经</w:t>
            </w:r>
            <w:r>
              <w:rPr>
                <w:rFonts w:hint="eastAsia"/>
                <w:color w:val="auto"/>
              </w:rPr>
              <w:t>设备基础减振和</w:t>
            </w:r>
            <w:r>
              <w:rPr>
                <w:color w:val="auto"/>
              </w:rPr>
              <w:t>厂房隔音</w:t>
            </w:r>
            <w:r>
              <w:rPr>
                <w:rFonts w:hint="eastAsia"/>
                <w:color w:val="auto"/>
              </w:rPr>
              <w:t>以及</w:t>
            </w:r>
            <w:r>
              <w:rPr>
                <w:color w:val="auto"/>
              </w:rPr>
              <w:t>距离衰减</w:t>
            </w:r>
            <w:r>
              <w:rPr>
                <w:rFonts w:hint="eastAsia"/>
                <w:color w:val="auto"/>
              </w:rPr>
              <w:t>。</w:t>
            </w:r>
          </w:p>
          <w:p>
            <w:pPr>
              <w:spacing w:line="240" w:lineRule="auto"/>
              <w:ind w:firstLine="0" w:firstLineChars="0"/>
              <w:jc w:val="center"/>
              <w:rPr>
                <w:b/>
                <w:color w:val="auto"/>
              </w:rPr>
            </w:pPr>
            <w:r>
              <w:rPr>
                <w:b/>
                <w:color w:val="auto"/>
              </w:rPr>
              <w:t>表</w:t>
            </w:r>
            <w:r>
              <w:rPr>
                <w:rFonts w:hint="eastAsia"/>
                <w:b/>
                <w:color w:val="auto"/>
              </w:rPr>
              <w:t>7-13</w:t>
            </w:r>
            <w:r>
              <w:rPr>
                <w:rFonts w:hint="eastAsia"/>
                <w:b/>
                <w:color w:val="auto"/>
                <w:lang w:val="en-US" w:eastAsia="zh-CN"/>
              </w:rPr>
              <w:t xml:space="preserve">   </w:t>
            </w:r>
            <w:r>
              <w:rPr>
                <w:b/>
                <w:color w:val="auto"/>
              </w:rPr>
              <w:t>设备噪声源强一览表</w:t>
            </w:r>
          </w:p>
          <w:tbl>
            <w:tblPr>
              <w:tblStyle w:val="25"/>
              <w:tblW w:w="434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92"/>
              <w:gridCol w:w="2043"/>
              <w:gridCol w:w="1115"/>
              <w:gridCol w:w="1115"/>
              <w:gridCol w:w="26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574" w:type="pct"/>
                  <w:shd w:val="clear" w:color="auto" w:fill="auto"/>
                  <w:vAlign w:val="center"/>
                </w:tcPr>
                <w:p>
                  <w:pPr>
                    <w:adjustRightInd w:val="0"/>
                    <w:snapToGrid w:val="0"/>
                    <w:spacing w:line="240" w:lineRule="auto"/>
                    <w:ind w:firstLine="0" w:firstLineChars="0"/>
                    <w:jc w:val="center"/>
                    <w:rPr>
                      <w:b/>
                      <w:color w:val="auto"/>
                      <w:sz w:val="21"/>
                      <w:szCs w:val="21"/>
                    </w:rPr>
                  </w:pPr>
                  <w:r>
                    <w:rPr>
                      <w:b/>
                      <w:color w:val="auto"/>
                      <w:sz w:val="21"/>
                      <w:szCs w:val="21"/>
                    </w:rPr>
                    <w:t>序号</w:t>
                  </w:r>
                </w:p>
              </w:tc>
              <w:tc>
                <w:tcPr>
                  <w:tcW w:w="1315" w:type="pct"/>
                  <w:shd w:val="clear" w:color="auto" w:fill="auto"/>
                  <w:vAlign w:val="center"/>
                </w:tcPr>
                <w:p>
                  <w:pPr>
                    <w:adjustRightInd w:val="0"/>
                    <w:snapToGrid w:val="0"/>
                    <w:spacing w:line="240" w:lineRule="auto"/>
                    <w:ind w:firstLine="0" w:firstLineChars="0"/>
                    <w:jc w:val="center"/>
                    <w:rPr>
                      <w:b/>
                      <w:color w:val="auto"/>
                      <w:sz w:val="21"/>
                      <w:szCs w:val="21"/>
                    </w:rPr>
                  </w:pPr>
                  <w:r>
                    <w:rPr>
                      <w:b/>
                      <w:color w:val="auto"/>
                      <w:sz w:val="21"/>
                      <w:szCs w:val="21"/>
                    </w:rPr>
                    <w:t>设备名称</w:t>
                  </w:r>
                </w:p>
              </w:tc>
              <w:tc>
                <w:tcPr>
                  <w:tcW w:w="717" w:type="pct"/>
                  <w:shd w:val="clear" w:color="auto" w:fill="auto"/>
                  <w:vAlign w:val="center"/>
                </w:tcPr>
                <w:p>
                  <w:pPr>
                    <w:adjustRightInd w:val="0"/>
                    <w:snapToGrid w:val="0"/>
                    <w:spacing w:line="240" w:lineRule="auto"/>
                    <w:ind w:firstLine="0" w:firstLineChars="0"/>
                    <w:jc w:val="center"/>
                    <w:rPr>
                      <w:rFonts w:hint="eastAsia" w:eastAsia="宋体"/>
                      <w:b/>
                      <w:color w:val="auto"/>
                      <w:sz w:val="21"/>
                      <w:szCs w:val="21"/>
                      <w:lang w:eastAsia="zh-CN"/>
                    </w:rPr>
                  </w:pPr>
                  <w:r>
                    <w:rPr>
                      <w:rFonts w:hint="eastAsia"/>
                      <w:b/>
                      <w:color w:val="auto"/>
                      <w:sz w:val="21"/>
                      <w:szCs w:val="21"/>
                      <w:lang w:eastAsia="zh-CN"/>
                    </w:rPr>
                    <w:t>数量（台）</w:t>
                  </w:r>
                </w:p>
              </w:tc>
              <w:tc>
                <w:tcPr>
                  <w:tcW w:w="717" w:type="pct"/>
                  <w:shd w:val="clear" w:color="auto" w:fill="auto"/>
                  <w:vAlign w:val="center"/>
                </w:tcPr>
                <w:p>
                  <w:pPr>
                    <w:adjustRightInd w:val="0"/>
                    <w:snapToGrid w:val="0"/>
                    <w:spacing w:line="240" w:lineRule="auto"/>
                    <w:ind w:firstLine="0" w:firstLineChars="0"/>
                    <w:jc w:val="center"/>
                    <w:rPr>
                      <w:b/>
                      <w:color w:val="auto"/>
                      <w:sz w:val="21"/>
                      <w:szCs w:val="21"/>
                    </w:rPr>
                  </w:pPr>
                  <w:r>
                    <w:rPr>
                      <w:b/>
                      <w:color w:val="auto"/>
                      <w:sz w:val="21"/>
                      <w:szCs w:val="21"/>
                    </w:rPr>
                    <w:t>噪声源</w:t>
                  </w:r>
                  <w:r>
                    <w:rPr>
                      <w:rFonts w:hint="eastAsia"/>
                      <w:color w:val="auto"/>
                    </w:rPr>
                    <w:t>dB(A)</w:t>
                  </w:r>
                </w:p>
              </w:tc>
              <w:tc>
                <w:tcPr>
                  <w:tcW w:w="1675" w:type="pct"/>
                  <w:shd w:val="clear" w:color="auto" w:fill="auto"/>
                  <w:vAlign w:val="center"/>
                </w:tcPr>
                <w:p>
                  <w:pPr>
                    <w:adjustRightInd w:val="0"/>
                    <w:snapToGrid w:val="0"/>
                    <w:spacing w:line="240" w:lineRule="auto"/>
                    <w:ind w:firstLine="0" w:firstLineChars="0"/>
                    <w:jc w:val="center"/>
                    <w:rPr>
                      <w:rFonts w:hint="eastAsia" w:eastAsia="宋体"/>
                      <w:b/>
                      <w:color w:val="auto"/>
                      <w:sz w:val="21"/>
                      <w:szCs w:val="21"/>
                      <w:lang w:eastAsia="zh-CN"/>
                    </w:rPr>
                  </w:pPr>
                  <w:r>
                    <w:rPr>
                      <w:rFonts w:hint="eastAsia"/>
                      <w:b/>
                      <w:color w:val="auto"/>
                      <w:sz w:val="21"/>
                      <w:szCs w:val="21"/>
                      <w:lang w:eastAsia="zh-CN"/>
                    </w:rPr>
                    <w:t>噪声叠加值</w:t>
                  </w:r>
                  <w:r>
                    <w:rPr>
                      <w:rFonts w:hint="eastAsia"/>
                      <w:color w:val="auto"/>
                    </w:rPr>
                    <w:t>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574" w:type="pct"/>
                  <w:vAlign w:val="center"/>
                </w:tcPr>
                <w:p>
                  <w:pPr>
                    <w:adjustRightInd w:val="0"/>
                    <w:snapToGrid w:val="0"/>
                    <w:spacing w:line="240" w:lineRule="auto"/>
                    <w:ind w:firstLine="0" w:firstLineChars="0"/>
                    <w:jc w:val="center"/>
                    <w:rPr>
                      <w:color w:val="auto"/>
                      <w:sz w:val="21"/>
                      <w:szCs w:val="21"/>
                    </w:rPr>
                  </w:pPr>
                  <w:r>
                    <w:rPr>
                      <w:color w:val="auto"/>
                      <w:sz w:val="21"/>
                      <w:szCs w:val="21"/>
                    </w:rPr>
                    <w:t>1</w:t>
                  </w:r>
                </w:p>
              </w:tc>
              <w:tc>
                <w:tcPr>
                  <w:tcW w:w="1315"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印刷机</w:t>
                  </w:r>
                </w:p>
              </w:tc>
              <w:tc>
                <w:tcPr>
                  <w:tcW w:w="717" w:type="pct"/>
                  <w:shd w:val="clear" w:color="auto" w:fill="auto"/>
                  <w:vAlign w:val="center"/>
                </w:tcPr>
                <w:p>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1</w:t>
                  </w:r>
                </w:p>
              </w:tc>
              <w:tc>
                <w:tcPr>
                  <w:tcW w:w="71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80</w:t>
                  </w:r>
                </w:p>
              </w:tc>
              <w:tc>
                <w:tcPr>
                  <w:tcW w:w="1675" w:type="pct"/>
                  <w:vMerge w:val="restart"/>
                  <w:vAlign w:val="center"/>
                </w:tcPr>
                <w:p>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94.65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574" w:type="pct"/>
                  <w:vAlign w:val="center"/>
                </w:tcPr>
                <w:p>
                  <w:pPr>
                    <w:adjustRightInd w:val="0"/>
                    <w:snapToGrid w:val="0"/>
                    <w:spacing w:line="240" w:lineRule="auto"/>
                    <w:ind w:firstLine="0" w:firstLineChars="0"/>
                    <w:jc w:val="center"/>
                    <w:rPr>
                      <w:color w:val="auto"/>
                      <w:sz w:val="21"/>
                      <w:szCs w:val="21"/>
                    </w:rPr>
                  </w:pPr>
                  <w:r>
                    <w:rPr>
                      <w:color w:val="auto"/>
                      <w:sz w:val="21"/>
                      <w:szCs w:val="21"/>
                    </w:rPr>
                    <w:t>2</w:t>
                  </w:r>
                </w:p>
              </w:tc>
              <w:tc>
                <w:tcPr>
                  <w:tcW w:w="1315"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复合机</w:t>
                  </w:r>
                </w:p>
              </w:tc>
              <w:tc>
                <w:tcPr>
                  <w:tcW w:w="717" w:type="pct"/>
                  <w:shd w:val="clear" w:color="auto" w:fill="auto"/>
                  <w:vAlign w:val="center"/>
                </w:tcPr>
                <w:p>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71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70</w:t>
                  </w:r>
                </w:p>
              </w:tc>
              <w:tc>
                <w:tcPr>
                  <w:tcW w:w="1675" w:type="pct"/>
                  <w:vMerge w:val="continue"/>
                  <w:vAlign w:val="center"/>
                </w:tcPr>
                <w:p>
                  <w:pPr>
                    <w:adjustRightInd w:val="0"/>
                    <w:snapToGrid w:val="0"/>
                    <w:spacing w:line="240" w:lineRule="auto"/>
                    <w:ind w:firstLine="0" w:firstLineChars="0"/>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574" w:type="pct"/>
                  <w:vAlign w:val="center"/>
                </w:tcPr>
                <w:p>
                  <w:pPr>
                    <w:adjustRightInd w:val="0"/>
                    <w:snapToGrid w:val="0"/>
                    <w:spacing w:line="240" w:lineRule="auto"/>
                    <w:ind w:firstLine="0" w:firstLineChars="0"/>
                    <w:jc w:val="center"/>
                    <w:rPr>
                      <w:color w:val="auto"/>
                      <w:sz w:val="21"/>
                      <w:szCs w:val="21"/>
                    </w:rPr>
                  </w:pPr>
                  <w:r>
                    <w:rPr>
                      <w:color w:val="auto"/>
                      <w:sz w:val="21"/>
                      <w:szCs w:val="21"/>
                    </w:rPr>
                    <w:t>3</w:t>
                  </w:r>
                </w:p>
              </w:tc>
              <w:tc>
                <w:tcPr>
                  <w:tcW w:w="1315"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制袋机</w:t>
                  </w:r>
                </w:p>
              </w:tc>
              <w:tc>
                <w:tcPr>
                  <w:tcW w:w="717" w:type="pct"/>
                  <w:shd w:val="clear" w:color="auto" w:fill="auto"/>
                  <w:vAlign w:val="center"/>
                </w:tcPr>
                <w:p>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8</w:t>
                  </w:r>
                </w:p>
              </w:tc>
              <w:tc>
                <w:tcPr>
                  <w:tcW w:w="71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80</w:t>
                  </w:r>
                </w:p>
              </w:tc>
              <w:tc>
                <w:tcPr>
                  <w:tcW w:w="1675" w:type="pct"/>
                  <w:vMerge w:val="continue"/>
                  <w:vAlign w:val="center"/>
                </w:tcPr>
                <w:p>
                  <w:pPr>
                    <w:adjustRightInd w:val="0"/>
                    <w:snapToGrid w:val="0"/>
                    <w:spacing w:line="240" w:lineRule="auto"/>
                    <w:ind w:firstLine="0" w:firstLineChars="0"/>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5" w:hRule="atLeast"/>
                <w:jc w:val="center"/>
              </w:trPr>
              <w:tc>
                <w:tcPr>
                  <w:tcW w:w="574" w:type="pct"/>
                  <w:vAlign w:val="center"/>
                </w:tcPr>
                <w:p>
                  <w:pPr>
                    <w:adjustRightInd w:val="0"/>
                    <w:snapToGrid w:val="0"/>
                    <w:spacing w:line="240" w:lineRule="auto"/>
                    <w:ind w:firstLine="0" w:firstLineChars="0"/>
                    <w:jc w:val="center"/>
                    <w:rPr>
                      <w:color w:val="auto"/>
                      <w:sz w:val="21"/>
                      <w:szCs w:val="21"/>
                    </w:rPr>
                  </w:pPr>
                  <w:r>
                    <w:rPr>
                      <w:color w:val="auto"/>
                      <w:sz w:val="21"/>
                      <w:szCs w:val="21"/>
                    </w:rPr>
                    <w:t>4</w:t>
                  </w:r>
                </w:p>
              </w:tc>
              <w:tc>
                <w:tcPr>
                  <w:tcW w:w="1315"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风机</w:t>
                  </w:r>
                </w:p>
              </w:tc>
              <w:tc>
                <w:tcPr>
                  <w:tcW w:w="717" w:type="pct"/>
                  <w:shd w:val="clear" w:color="auto" w:fill="auto"/>
                  <w:vAlign w:val="center"/>
                </w:tcPr>
                <w:p>
                  <w:pPr>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w:t>
                  </w:r>
                </w:p>
              </w:tc>
              <w:tc>
                <w:tcPr>
                  <w:tcW w:w="717" w:type="pct"/>
                  <w:shd w:val="clear" w:color="auto" w:fill="auto"/>
                  <w:vAlign w:val="center"/>
                </w:tcPr>
                <w:p>
                  <w:pPr>
                    <w:adjustRightInd w:val="0"/>
                    <w:snapToGrid w:val="0"/>
                    <w:spacing w:line="240" w:lineRule="auto"/>
                    <w:ind w:firstLine="0" w:firstLineChars="0"/>
                    <w:jc w:val="center"/>
                    <w:rPr>
                      <w:color w:val="auto"/>
                      <w:sz w:val="21"/>
                      <w:szCs w:val="21"/>
                    </w:rPr>
                  </w:pPr>
                  <w:r>
                    <w:rPr>
                      <w:color w:val="auto"/>
                      <w:sz w:val="21"/>
                      <w:szCs w:val="21"/>
                    </w:rPr>
                    <w:t>90</w:t>
                  </w:r>
                </w:p>
              </w:tc>
              <w:tc>
                <w:tcPr>
                  <w:tcW w:w="1675" w:type="pct"/>
                  <w:vMerge w:val="continue"/>
                  <w:vAlign w:val="center"/>
                </w:tcPr>
                <w:p>
                  <w:pPr>
                    <w:adjustRightInd w:val="0"/>
                    <w:snapToGrid w:val="0"/>
                    <w:spacing w:line="240" w:lineRule="auto"/>
                    <w:ind w:firstLine="0" w:firstLineChars="0"/>
                    <w:jc w:val="center"/>
                    <w:rPr>
                      <w:color w:val="auto"/>
                      <w:sz w:val="21"/>
                      <w:szCs w:val="21"/>
                    </w:rPr>
                  </w:pPr>
                </w:p>
              </w:tc>
            </w:tr>
          </w:tbl>
          <w:p>
            <w:pPr>
              <w:ind w:firstLine="480"/>
              <w:jc w:val="both"/>
              <w:rPr>
                <w:color w:val="auto"/>
              </w:rPr>
            </w:pPr>
            <w:r>
              <w:rPr>
                <w:rFonts w:hint="eastAsia"/>
                <w:color w:val="auto"/>
              </w:rPr>
              <w:t>厂界四个点</w:t>
            </w:r>
            <w:r>
              <w:rPr>
                <w:color w:val="auto"/>
              </w:rPr>
              <w:t>评价标准采用《工业企业厂界环境噪声排放标准》（GB12348-2008）</w:t>
            </w:r>
            <w:r>
              <w:rPr>
                <w:rFonts w:hint="eastAsia"/>
                <w:color w:val="auto"/>
              </w:rPr>
              <w:t>3</w:t>
            </w:r>
            <w:r>
              <w:rPr>
                <w:color w:val="auto"/>
              </w:rPr>
              <w:t>类标准，即昼间6</w:t>
            </w:r>
            <w:r>
              <w:rPr>
                <w:rFonts w:hint="eastAsia"/>
                <w:color w:val="auto"/>
              </w:rPr>
              <w:t>5</w:t>
            </w:r>
            <w:r>
              <w:rPr>
                <w:color w:val="auto"/>
              </w:rPr>
              <w:t>dB(A)，夜间5</w:t>
            </w:r>
            <w:r>
              <w:rPr>
                <w:rFonts w:hint="eastAsia"/>
                <w:color w:val="auto"/>
              </w:rPr>
              <w:t>5</w:t>
            </w:r>
            <w:r>
              <w:rPr>
                <w:color w:val="auto"/>
              </w:rPr>
              <w:t xml:space="preserve"> dB(A)。</w:t>
            </w:r>
            <w:r>
              <w:rPr>
                <w:rFonts w:hint="eastAsia"/>
                <w:color w:val="auto"/>
              </w:rPr>
              <w:t>项目夜间</w:t>
            </w:r>
            <w:r>
              <w:rPr>
                <w:rFonts w:hint="eastAsia"/>
                <w:color w:val="auto"/>
                <w:lang w:eastAsia="zh-CN"/>
              </w:rPr>
              <w:t>（</w:t>
            </w:r>
            <w:r>
              <w:rPr>
                <w:rFonts w:hint="eastAsia"/>
                <w:color w:val="auto"/>
                <w:lang w:val="en-US" w:eastAsia="zh-CN"/>
              </w:rPr>
              <w:t>22：00-6:00</w:t>
            </w:r>
            <w:r>
              <w:rPr>
                <w:rFonts w:hint="eastAsia"/>
                <w:color w:val="auto"/>
                <w:lang w:eastAsia="zh-CN"/>
              </w:rPr>
              <w:t>）</w:t>
            </w:r>
            <w:r>
              <w:rPr>
                <w:rFonts w:hint="eastAsia"/>
                <w:color w:val="auto"/>
              </w:rPr>
              <w:t>不进行生产。</w:t>
            </w:r>
          </w:p>
          <w:p>
            <w:pPr>
              <w:snapToGrid w:val="0"/>
              <w:spacing w:line="360" w:lineRule="auto"/>
              <w:ind w:firstLine="480" w:firstLineChars="200"/>
              <w:rPr>
                <w:color w:val="auto"/>
                <w:kern w:val="0"/>
                <w:sz w:val="24"/>
                <w:szCs w:val="24"/>
              </w:rPr>
            </w:pPr>
            <w:r>
              <w:rPr>
                <w:rFonts w:hint="eastAsia" w:hAnsi="宋体"/>
                <w:color w:val="auto"/>
                <w:kern w:val="0"/>
                <w:sz w:val="24"/>
                <w:szCs w:val="24"/>
                <w:lang w:eastAsia="zh-CN"/>
              </w:rPr>
              <w:t>（</w:t>
            </w:r>
            <w:r>
              <w:rPr>
                <w:rFonts w:hint="eastAsia" w:hAnsi="宋体"/>
                <w:color w:val="auto"/>
                <w:kern w:val="0"/>
                <w:sz w:val="24"/>
                <w:szCs w:val="24"/>
                <w:lang w:val="en-US" w:eastAsia="zh-CN"/>
              </w:rPr>
              <w:t>2</w:t>
            </w:r>
            <w:r>
              <w:rPr>
                <w:rFonts w:hint="eastAsia" w:hAnsi="宋体"/>
                <w:color w:val="auto"/>
                <w:kern w:val="0"/>
                <w:sz w:val="24"/>
                <w:szCs w:val="24"/>
                <w:lang w:eastAsia="zh-CN"/>
              </w:rPr>
              <w:t>）</w:t>
            </w:r>
            <w:r>
              <w:rPr>
                <w:rFonts w:hAnsi="宋体"/>
                <w:color w:val="auto"/>
                <w:kern w:val="0"/>
                <w:sz w:val="24"/>
                <w:szCs w:val="24"/>
              </w:rPr>
              <w:t>计算公式</w:t>
            </w:r>
          </w:p>
          <w:p>
            <w:pPr>
              <w:snapToGrid w:val="0"/>
              <w:spacing w:line="360" w:lineRule="auto"/>
              <w:ind w:firstLine="480" w:firstLineChars="200"/>
              <w:rPr>
                <w:color w:val="auto"/>
                <w:kern w:val="0"/>
                <w:sz w:val="24"/>
                <w:szCs w:val="24"/>
              </w:rPr>
            </w:pPr>
            <w:r>
              <w:rPr>
                <w:rFonts w:hAnsi="宋体"/>
                <w:color w:val="auto"/>
                <w:kern w:val="0"/>
                <w:sz w:val="24"/>
                <w:szCs w:val="24"/>
              </w:rPr>
              <w:t>为了预测噪声对周围环境影响程度，以噪声点声源的距离衰减公式进行计算：</w:t>
            </w:r>
          </w:p>
          <w:p>
            <w:pPr>
              <w:snapToGrid w:val="0"/>
              <w:spacing w:line="360" w:lineRule="auto"/>
              <w:ind w:firstLine="480" w:firstLineChars="200"/>
              <w:rPr>
                <w:color w:val="auto"/>
                <w:kern w:val="0"/>
                <w:sz w:val="24"/>
                <w:szCs w:val="24"/>
              </w:rPr>
            </w:pPr>
            <w:r>
              <w:rPr>
                <w:color w:val="auto"/>
                <w:kern w:val="0"/>
                <w:sz w:val="24"/>
                <w:szCs w:val="24"/>
              </w:rPr>
              <w:t>a</w:t>
            </w:r>
            <w:r>
              <w:rPr>
                <w:rFonts w:hAnsi="宋体"/>
                <w:color w:val="auto"/>
                <w:kern w:val="0"/>
                <w:sz w:val="24"/>
                <w:szCs w:val="24"/>
              </w:rPr>
              <w:t>）点声源噪声衰减公式</w:t>
            </w:r>
          </w:p>
          <w:p>
            <w:pPr>
              <w:snapToGrid w:val="0"/>
              <w:spacing w:line="360" w:lineRule="auto"/>
              <w:ind w:firstLine="480" w:firstLineChars="200"/>
              <w:rPr>
                <w:color w:val="auto"/>
                <w:kern w:val="0"/>
                <w:sz w:val="24"/>
                <w:szCs w:val="24"/>
              </w:rPr>
            </w:pPr>
            <w:r>
              <w:rPr>
                <w:color w:val="auto"/>
                <w:kern w:val="0"/>
                <w:sz w:val="24"/>
                <w:szCs w:val="24"/>
              </w:rPr>
              <w:t>L(r)=L(r</w:t>
            </w:r>
            <w:r>
              <w:rPr>
                <w:color w:val="auto"/>
                <w:kern w:val="0"/>
                <w:sz w:val="24"/>
                <w:szCs w:val="24"/>
                <w:vertAlign w:val="subscript"/>
              </w:rPr>
              <w:t>0</w:t>
            </w:r>
            <w:r>
              <w:rPr>
                <w:color w:val="auto"/>
                <w:kern w:val="0"/>
                <w:sz w:val="24"/>
                <w:szCs w:val="24"/>
              </w:rPr>
              <w:t>)-20lg(r/r</w:t>
            </w:r>
            <w:r>
              <w:rPr>
                <w:color w:val="auto"/>
                <w:kern w:val="0"/>
                <w:sz w:val="24"/>
                <w:szCs w:val="24"/>
                <w:vertAlign w:val="subscript"/>
              </w:rPr>
              <w:t>0</w:t>
            </w:r>
            <w:r>
              <w:rPr>
                <w:color w:val="auto"/>
                <w:kern w:val="0"/>
                <w:sz w:val="24"/>
                <w:szCs w:val="24"/>
              </w:rPr>
              <w:t>)-α(r-r</w:t>
            </w:r>
            <w:r>
              <w:rPr>
                <w:color w:val="auto"/>
                <w:kern w:val="0"/>
                <w:sz w:val="24"/>
                <w:szCs w:val="24"/>
                <w:vertAlign w:val="subscript"/>
              </w:rPr>
              <w:t>0</w:t>
            </w:r>
            <w:r>
              <w:rPr>
                <w:color w:val="auto"/>
                <w:kern w:val="0"/>
                <w:sz w:val="24"/>
                <w:szCs w:val="24"/>
              </w:rPr>
              <w:t>)-R</w:t>
            </w:r>
          </w:p>
          <w:p>
            <w:pPr>
              <w:snapToGrid w:val="0"/>
              <w:spacing w:line="360" w:lineRule="auto"/>
              <w:ind w:firstLine="480" w:firstLineChars="200"/>
              <w:rPr>
                <w:color w:val="auto"/>
                <w:kern w:val="0"/>
                <w:sz w:val="24"/>
                <w:szCs w:val="24"/>
              </w:rPr>
            </w:pPr>
            <w:r>
              <w:rPr>
                <w:rFonts w:hAnsi="宋体"/>
                <w:color w:val="auto"/>
                <w:kern w:val="0"/>
                <w:sz w:val="24"/>
                <w:szCs w:val="24"/>
              </w:rPr>
              <w:t>式中：</w:t>
            </w:r>
            <w:r>
              <w:rPr>
                <w:color w:val="auto"/>
                <w:kern w:val="0"/>
                <w:sz w:val="24"/>
                <w:szCs w:val="24"/>
              </w:rPr>
              <w:t>L(r)——</w:t>
            </w:r>
            <w:r>
              <w:rPr>
                <w:rFonts w:hAnsi="宋体"/>
                <w:color w:val="auto"/>
                <w:kern w:val="0"/>
                <w:sz w:val="24"/>
                <w:szCs w:val="24"/>
              </w:rPr>
              <w:t>预测点处所接受的</w:t>
            </w:r>
            <w:r>
              <w:rPr>
                <w:color w:val="auto"/>
                <w:kern w:val="0"/>
                <w:sz w:val="24"/>
                <w:szCs w:val="24"/>
              </w:rPr>
              <w:t>A</w:t>
            </w:r>
            <w:r>
              <w:rPr>
                <w:rFonts w:hAnsi="宋体"/>
                <w:color w:val="auto"/>
                <w:kern w:val="0"/>
                <w:sz w:val="24"/>
                <w:szCs w:val="24"/>
              </w:rPr>
              <w:t>声级，</w:t>
            </w:r>
            <w:r>
              <w:rPr>
                <w:color w:val="auto"/>
                <w:kern w:val="0"/>
                <w:sz w:val="24"/>
                <w:szCs w:val="24"/>
              </w:rPr>
              <w:t>dB(A)</w:t>
            </w:r>
            <w:r>
              <w:rPr>
                <w:rFonts w:hAnsi="宋体"/>
                <w:color w:val="auto"/>
                <w:kern w:val="0"/>
                <w:sz w:val="24"/>
                <w:szCs w:val="24"/>
              </w:rPr>
              <w:t>；</w:t>
            </w:r>
          </w:p>
          <w:p>
            <w:pPr>
              <w:snapToGrid w:val="0"/>
              <w:spacing w:line="360" w:lineRule="auto"/>
              <w:ind w:firstLine="1200" w:firstLineChars="500"/>
              <w:rPr>
                <w:color w:val="auto"/>
                <w:kern w:val="0"/>
                <w:sz w:val="24"/>
                <w:szCs w:val="24"/>
              </w:rPr>
            </w:pPr>
            <w:r>
              <w:rPr>
                <w:color w:val="auto"/>
                <w:kern w:val="0"/>
                <w:sz w:val="24"/>
                <w:szCs w:val="24"/>
              </w:rPr>
              <w:t>L(r</w:t>
            </w:r>
            <w:r>
              <w:rPr>
                <w:color w:val="auto"/>
                <w:kern w:val="0"/>
                <w:sz w:val="24"/>
                <w:szCs w:val="24"/>
                <w:vertAlign w:val="subscript"/>
              </w:rPr>
              <w:t>0</w:t>
            </w:r>
            <w:r>
              <w:rPr>
                <w:color w:val="auto"/>
                <w:kern w:val="0"/>
                <w:sz w:val="24"/>
                <w:szCs w:val="24"/>
              </w:rPr>
              <w:t>)——</w:t>
            </w:r>
            <w:r>
              <w:rPr>
                <w:rFonts w:hAnsi="宋体"/>
                <w:color w:val="auto"/>
                <w:kern w:val="0"/>
                <w:sz w:val="24"/>
                <w:szCs w:val="24"/>
              </w:rPr>
              <w:t>参考点处的声源</w:t>
            </w:r>
            <w:r>
              <w:rPr>
                <w:color w:val="auto"/>
                <w:kern w:val="0"/>
                <w:sz w:val="24"/>
                <w:szCs w:val="24"/>
              </w:rPr>
              <w:t>A</w:t>
            </w:r>
            <w:r>
              <w:rPr>
                <w:rFonts w:hAnsi="宋体"/>
                <w:color w:val="auto"/>
                <w:kern w:val="0"/>
                <w:sz w:val="24"/>
                <w:szCs w:val="24"/>
              </w:rPr>
              <w:t>声级，</w:t>
            </w:r>
            <w:r>
              <w:rPr>
                <w:color w:val="auto"/>
                <w:kern w:val="0"/>
                <w:sz w:val="24"/>
                <w:szCs w:val="24"/>
              </w:rPr>
              <w:t>dB(A)</w:t>
            </w:r>
            <w:r>
              <w:rPr>
                <w:rFonts w:hAnsi="宋体"/>
                <w:color w:val="auto"/>
                <w:kern w:val="0"/>
                <w:sz w:val="24"/>
                <w:szCs w:val="24"/>
              </w:rPr>
              <w:t>；</w:t>
            </w:r>
          </w:p>
          <w:p>
            <w:pPr>
              <w:snapToGrid w:val="0"/>
              <w:spacing w:line="360" w:lineRule="auto"/>
              <w:ind w:firstLine="1200" w:firstLineChars="500"/>
              <w:rPr>
                <w:color w:val="auto"/>
                <w:kern w:val="0"/>
                <w:sz w:val="24"/>
                <w:szCs w:val="24"/>
              </w:rPr>
            </w:pPr>
            <w:r>
              <w:rPr>
                <w:color w:val="auto"/>
                <w:kern w:val="0"/>
                <w:sz w:val="24"/>
                <w:szCs w:val="24"/>
              </w:rPr>
              <w:t>r——</w:t>
            </w:r>
            <w:r>
              <w:rPr>
                <w:rFonts w:hAnsi="宋体"/>
                <w:color w:val="auto"/>
                <w:kern w:val="0"/>
                <w:sz w:val="24"/>
                <w:szCs w:val="24"/>
              </w:rPr>
              <w:t>声源至预测点的距离，</w:t>
            </w:r>
            <w:r>
              <w:rPr>
                <w:color w:val="auto"/>
                <w:kern w:val="0"/>
                <w:sz w:val="24"/>
                <w:szCs w:val="24"/>
              </w:rPr>
              <w:t>m</w:t>
            </w:r>
            <w:r>
              <w:rPr>
                <w:rFonts w:hAnsi="宋体"/>
                <w:color w:val="auto"/>
                <w:kern w:val="0"/>
                <w:sz w:val="24"/>
                <w:szCs w:val="24"/>
              </w:rPr>
              <w:t>；</w:t>
            </w:r>
          </w:p>
          <w:p>
            <w:pPr>
              <w:snapToGrid w:val="0"/>
              <w:spacing w:line="360" w:lineRule="auto"/>
              <w:ind w:firstLine="1200" w:firstLineChars="500"/>
              <w:rPr>
                <w:color w:val="auto"/>
                <w:kern w:val="0"/>
                <w:sz w:val="24"/>
                <w:szCs w:val="24"/>
              </w:rPr>
            </w:pPr>
            <w:r>
              <w:rPr>
                <w:color w:val="auto"/>
                <w:kern w:val="0"/>
                <w:sz w:val="24"/>
                <w:szCs w:val="24"/>
              </w:rPr>
              <w:t>r</w:t>
            </w:r>
            <w:r>
              <w:rPr>
                <w:color w:val="auto"/>
                <w:kern w:val="0"/>
                <w:sz w:val="24"/>
                <w:szCs w:val="24"/>
                <w:vertAlign w:val="subscript"/>
              </w:rPr>
              <w:t>0</w:t>
            </w:r>
            <w:r>
              <w:rPr>
                <w:color w:val="auto"/>
                <w:kern w:val="0"/>
                <w:sz w:val="24"/>
                <w:szCs w:val="24"/>
              </w:rPr>
              <w:t>——</w:t>
            </w:r>
            <w:r>
              <w:rPr>
                <w:rFonts w:hAnsi="宋体"/>
                <w:color w:val="auto"/>
                <w:kern w:val="0"/>
                <w:sz w:val="24"/>
                <w:szCs w:val="24"/>
              </w:rPr>
              <w:t>参考位置距离，</w:t>
            </w:r>
            <w:r>
              <w:rPr>
                <w:color w:val="auto"/>
                <w:kern w:val="0"/>
                <w:sz w:val="24"/>
                <w:szCs w:val="24"/>
              </w:rPr>
              <w:t>m</w:t>
            </w:r>
            <w:r>
              <w:rPr>
                <w:rFonts w:hAnsi="宋体"/>
                <w:color w:val="auto"/>
                <w:kern w:val="0"/>
                <w:sz w:val="24"/>
                <w:szCs w:val="24"/>
              </w:rPr>
              <w:t>，取</w:t>
            </w:r>
            <w:r>
              <w:rPr>
                <w:color w:val="auto"/>
                <w:kern w:val="0"/>
                <w:sz w:val="24"/>
                <w:szCs w:val="24"/>
              </w:rPr>
              <w:t>1m</w:t>
            </w:r>
            <w:r>
              <w:rPr>
                <w:rFonts w:hAnsi="宋体"/>
                <w:color w:val="auto"/>
                <w:kern w:val="0"/>
                <w:sz w:val="24"/>
                <w:szCs w:val="24"/>
              </w:rPr>
              <w:t>；</w:t>
            </w:r>
          </w:p>
          <w:p>
            <w:pPr>
              <w:snapToGrid w:val="0"/>
              <w:spacing w:line="360" w:lineRule="auto"/>
              <w:ind w:firstLine="1200" w:firstLineChars="500"/>
              <w:rPr>
                <w:color w:val="auto"/>
                <w:kern w:val="0"/>
                <w:sz w:val="24"/>
                <w:szCs w:val="24"/>
              </w:rPr>
            </w:pPr>
            <w:r>
              <w:rPr>
                <w:color w:val="auto"/>
                <w:kern w:val="0"/>
                <w:sz w:val="24"/>
                <w:szCs w:val="24"/>
              </w:rPr>
              <w:t>a——</w:t>
            </w:r>
            <w:r>
              <w:rPr>
                <w:rFonts w:hAnsi="宋体"/>
                <w:color w:val="auto"/>
                <w:kern w:val="0"/>
                <w:sz w:val="24"/>
                <w:szCs w:val="24"/>
              </w:rPr>
              <w:t>大气对声源的吸收系数，</w:t>
            </w:r>
            <w:r>
              <w:rPr>
                <w:color w:val="auto"/>
                <w:kern w:val="0"/>
                <w:sz w:val="24"/>
                <w:szCs w:val="24"/>
              </w:rPr>
              <w:t>dB(A)/m</w:t>
            </w:r>
            <w:r>
              <w:rPr>
                <w:rFonts w:hAnsi="宋体"/>
                <w:color w:val="auto"/>
                <w:kern w:val="0"/>
                <w:sz w:val="24"/>
                <w:szCs w:val="24"/>
              </w:rPr>
              <w:t>，取平均值</w:t>
            </w:r>
            <w:r>
              <w:rPr>
                <w:color w:val="auto"/>
                <w:kern w:val="0"/>
                <w:sz w:val="24"/>
                <w:szCs w:val="24"/>
              </w:rPr>
              <w:t>0.008dB(A)/m</w:t>
            </w:r>
            <w:r>
              <w:rPr>
                <w:rFonts w:hAnsi="宋体"/>
                <w:color w:val="auto"/>
                <w:kern w:val="0"/>
                <w:sz w:val="24"/>
                <w:szCs w:val="24"/>
              </w:rPr>
              <w:t>；</w:t>
            </w:r>
          </w:p>
          <w:p>
            <w:pPr>
              <w:snapToGrid w:val="0"/>
              <w:spacing w:line="360" w:lineRule="auto"/>
              <w:ind w:firstLine="1200" w:firstLineChars="500"/>
              <w:rPr>
                <w:color w:val="auto"/>
                <w:kern w:val="0"/>
                <w:sz w:val="24"/>
                <w:szCs w:val="24"/>
              </w:rPr>
            </w:pPr>
            <w:r>
              <w:rPr>
                <w:color w:val="auto"/>
                <w:kern w:val="0"/>
                <w:sz w:val="24"/>
                <w:szCs w:val="24"/>
              </w:rPr>
              <w:t>R——</w:t>
            </w:r>
            <w:r>
              <w:rPr>
                <w:rFonts w:hAnsi="宋体"/>
                <w:color w:val="auto"/>
                <w:kern w:val="0"/>
                <w:sz w:val="24"/>
                <w:szCs w:val="24"/>
              </w:rPr>
              <w:t>噪声源防护结构、车间、围墙以及树木等的隔声量，取</w:t>
            </w:r>
            <w:r>
              <w:rPr>
                <w:rFonts w:hint="eastAsia"/>
                <w:color w:val="auto"/>
                <w:kern w:val="0"/>
                <w:sz w:val="24"/>
                <w:szCs w:val="24"/>
                <w:lang w:val="en-US" w:eastAsia="zh-CN"/>
              </w:rPr>
              <w:t>20</w:t>
            </w:r>
            <w:r>
              <w:rPr>
                <w:color w:val="auto"/>
                <w:kern w:val="0"/>
                <w:sz w:val="24"/>
                <w:szCs w:val="24"/>
              </w:rPr>
              <w:t>dB(A)</w:t>
            </w:r>
            <w:r>
              <w:rPr>
                <w:rFonts w:hAnsi="宋体"/>
                <w:color w:val="auto"/>
                <w:kern w:val="0"/>
                <w:sz w:val="24"/>
                <w:szCs w:val="24"/>
              </w:rPr>
              <w:t>。</w:t>
            </w:r>
          </w:p>
          <w:p>
            <w:pPr>
              <w:snapToGrid w:val="0"/>
              <w:spacing w:line="360" w:lineRule="auto"/>
              <w:ind w:firstLine="480" w:firstLineChars="200"/>
              <w:rPr>
                <w:color w:val="auto"/>
                <w:kern w:val="0"/>
                <w:sz w:val="24"/>
                <w:szCs w:val="24"/>
              </w:rPr>
            </w:pPr>
            <w:r>
              <w:rPr>
                <w:color w:val="auto"/>
                <w:kern w:val="0"/>
                <w:sz w:val="24"/>
                <w:szCs w:val="24"/>
              </w:rPr>
              <w:t>b</w:t>
            </w:r>
            <w:r>
              <w:rPr>
                <w:rFonts w:hAnsi="宋体"/>
                <w:color w:val="auto"/>
                <w:kern w:val="0"/>
                <w:sz w:val="24"/>
                <w:szCs w:val="24"/>
              </w:rPr>
              <w:t>）噪声叠加模式</w:t>
            </w:r>
          </w:p>
          <w:p>
            <w:pPr>
              <w:snapToGrid w:val="0"/>
              <w:spacing w:line="360" w:lineRule="auto"/>
              <w:ind w:firstLine="480" w:firstLineChars="200"/>
              <w:rPr>
                <w:color w:val="auto"/>
                <w:kern w:val="0"/>
                <w:sz w:val="24"/>
                <w:szCs w:val="24"/>
              </w:rPr>
            </w:pPr>
            <w:r>
              <w:rPr>
                <w:color w:val="auto"/>
                <w:position w:val="-30"/>
                <w:sz w:val="24"/>
              </w:rPr>
              <w:object>
                <v:shape id="_x0000_i1026" o:spt="75" type="#_x0000_t75" style="height:36pt;width:114.1pt;" o:ole="t" filled="f" o:preferrelative="t" stroked="f" coordsize="21600,21600">
                  <v:path/>
                  <v:fill on="f" focussize="0,0"/>
                  <v:stroke on="f" joinstyle="miter"/>
                  <v:imagedata r:id="rId29" o:title=""/>
                  <o:lock v:ext="edit" aspectratio="t"/>
                  <w10:wrap type="none"/>
                  <w10:anchorlock/>
                </v:shape>
                <o:OLEObject Type="Embed" ProgID="Equations" ShapeID="_x0000_i1026" DrawAspect="Content" ObjectID="_1468075726" r:id="rId28">
                  <o:LockedField>false</o:LockedField>
                </o:OLEObject>
              </w:object>
            </w:r>
          </w:p>
          <w:p>
            <w:pPr>
              <w:snapToGrid w:val="0"/>
              <w:spacing w:line="360" w:lineRule="auto"/>
              <w:ind w:firstLine="480" w:firstLineChars="200"/>
              <w:rPr>
                <w:color w:val="auto"/>
                <w:kern w:val="0"/>
                <w:sz w:val="24"/>
                <w:szCs w:val="24"/>
              </w:rPr>
            </w:pPr>
            <w:r>
              <w:rPr>
                <w:rFonts w:hAnsi="宋体"/>
                <w:color w:val="auto"/>
                <w:kern w:val="0"/>
                <w:sz w:val="24"/>
                <w:szCs w:val="24"/>
              </w:rPr>
              <w:t>式中：</w:t>
            </w:r>
            <w:r>
              <w:rPr>
                <w:color w:val="auto"/>
                <w:kern w:val="0"/>
                <w:sz w:val="24"/>
                <w:szCs w:val="24"/>
              </w:rPr>
              <w:t>L——</w:t>
            </w:r>
            <w:r>
              <w:rPr>
                <w:rFonts w:hAnsi="宋体"/>
                <w:color w:val="auto"/>
                <w:kern w:val="0"/>
                <w:sz w:val="24"/>
                <w:szCs w:val="20"/>
              </w:rPr>
              <w:t>某预测</w:t>
            </w:r>
            <w:r>
              <w:rPr>
                <w:rFonts w:hAnsi="宋体"/>
                <w:color w:val="auto"/>
                <w:kern w:val="0"/>
                <w:sz w:val="24"/>
                <w:szCs w:val="24"/>
              </w:rPr>
              <w:t>受声点处的总声级，</w:t>
            </w:r>
            <w:r>
              <w:rPr>
                <w:color w:val="auto"/>
                <w:kern w:val="0"/>
                <w:sz w:val="24"/>
                <w:szCs w:val="24"/>
              </w:rPr>
              <w:t>dB(A)</w:t>
            </w:r>
            <w:r>
              <w:rPr>
                <w:rFonts w:hAnsi="宋体"/>
                <w:color w:val="auto"/>
                <w:kern w:val="0"/>
                <w:sz w:val="24"/>
                <w:szCs w:val="24"/>
              </w:rPr>
              <w:t>；</w:t>
            </w:r>
          </w:p>
          <w:p>
            <w:pPr>
              <w:snapToGrid w:val="0"/>
              <w:spacing w:line="360" w:lineRule="auto"/>
              <w:ind w:firstLine="1200" w:firstLineChars="500"/>
              <w:rPr>
                <w:color w:val="auto"/>
                <w:kern w:val="0"/>
                <w:sz w:val="24"/>
                <w:szCs w:val="24"/>
              </w:rPr>
            </w:pPr>
            <w:r>
              <w:rPr>
                <w:color w:val="auto"/>
                <w:kern w:val="0"/>
                <w:sz w:val="24"/>
                <w:szCs w:val="24"/>
              </w:rPr>
              <w:t>L</w:t>
            </w:r>
            <w:r>
              <w:rPr>
                <w:color w:val="auto"/>
                <w:kern w:val="0"/>
                <w:sz w:val="24"/>
                <w:szCs w:val="24"/>
                <w:vertAlign w:val="subscript"/>
              </w:rPr>
              <w:t>pi</w:t>
            </w:r>
            <w:r>
              <w:rPr>
                <w:color w:val="auto"/>
                <w:kern w:val="0"/>
                <w:sz w:val="24"/>
                <w:szCs w:val="24"/>
              </w:rPr>
              <w:t>——</w:t>
            </w:r>
            <w:r>
              <w:rPr>
                <w:rFonts w:hAnsi="宋体"/>
                <w:color w:val="auto"/>
                <w:kern w:val="0"/>
                <w:sz w:val="24"/>
                <w:szCs w:val="24"/>
              </w:rPr>
              <w:t>声源在预测受声点产生的声压级，</w:t>
            </w:r>
            <w:r>
              <w:rPr>
                <w:color w:val="auto"/>
                <w:kern w:val="0"/>
                <w:sz w:val="24"/>
                <w:szCs w:val="24"/>
              </w:rPr>
              <w:t>dB(A)</w:t>
            </w:r>
            <w:r>
              <w:rPr>
                <w:rFonts w:hAnsi="宋体"/>
                <w:color w:val="auto"/>
                <w:kern w:val="0"/>
                <w:sz w:val="24"/>
                <w:szCs w:val="24"/>
              </w:rPr>
              <w:t>；</w:t>
            </w:r>
          </w:p>
          <w:p>
            <w:pPr>
              <w:snapToGrid w:val="0"/>
              <w:ind w:firstLine="470" w:firstLineChars="196"/>
              <w:jc w:val="both"/>
              <w:rPr>
                <w:color w:val="auto"/>
                <w:szCs w:val="20"/>
              </w:rPr>
            </w:pPr>
            <w:r>
              <w:rPr>
                <w:color w:val="auto"/>
                <w:kern w:val="0"/>
                <w:sz w:val="24"/>
                <w:szCs w:val="24"/>
              </w:rPr>
              <w:t>n——</w:t>
            </w:r>
            <w:r>
              <w:rPr>
                <w:rFonts w:hAnsi="宋体"/>
                <w:color w:val="auto"/>
                <w:kern w:val="0"/>
                <w:sz w:val="24"/>
                <w:szCs w:val="24"/>
              </w:rPr>
              <w:t>声源数量。</w:t>
            </w:r>
          </w:p>
          <w:p>
            <w:pPr>
              <w:pStyle w:val="2"/>
              <w:snapToGrid w:val="0"/>
              <w:spacing w:after="0" w:line="360" w:lineRule="auto"/>
              <w:ind w:left="0" w:leftChars="0" w:firstLine="480"/>
              <w:rPr>
                <w:rStyle w:val="82"/>
                <w:rFonts w:hint="default" w:ascii="Times New Roman" w:hAnsi="Times New Roman"/>
                <w:color w:val="auto"/>
                <w:kern w:val="0"/>
                <w:u w:val="single"/>
              </w:rPr>
            </w:pPr>
            <w:r>
              <w:rPr>
                <w:rStyle w:val="82"/>
                <w:rFonts w:hint="eastAsia"/>
                <w:color w:val="auto"/>
                <w:kern w:val="0"/>
                <w:u w:val="single"/>
                <w:lang w:eastAsia="zh-CN"/>
              </w:rPr>
              <w:t>（</w:t>
            </w:r>
            <w:r>
              <w:rPr>
                <w:rStyle w:val="82"/>
                <w:rFonts w:hint="eastAsia"/>
                <w:color w:val="auto"/>
                <w:kern w:val="0"/>
                <w:u w:val="single"/>
                <w:lang w:val="en-US" w:eastAsia="zh-CN"/>
              </w:rPr>
              <w:t>3</w:t>
            </w:r>
            <w:r>
              <w:rPr>
                <w:rStyle w:val="82"/>
                <w:rFonts w:hint="eastAsia"/>
                <w:color w:val="auto"/>
                <w:kern w:val="0"/>
                <w:u w:val="single"/>
                <w:lang w:eastAsia="zh-CN"/>
              </w:rPr>
              <w:t>）</w:t>
            </w:r>
            <w:r>
              <w:rPr>
                <w:rStyle w:val="82"/>
                <w:rFonts w:hint="default" w:ascii="Times New Roman"/>
                <w:color w:val="auto"/>
                <w:kern w:val="0"/>
                <w:u w:val="single"/>
              </w:rPr>
              <w:t>噪声预测结果</w:t>
            </w:r>
          </w:p>
          <w:p>
            <w:pPr>
              <w:snapToGrid w:val="0"/>
              <w:ind w:firstLine="470" w:firstLineChars="196"/>
              <w:jc w:val="both"/>
              <w:rPr>
                <w:color w:val="auto"/>
                <w:szCs w:val="20"/>
                <w:u w:val="single"/>
              </w:rPr>
            </w:pPr>
            <w:r>
              <w:rPr>
                <w:rFonts w:hAnsi="宋体"/>
                <w:color w:val="auto"/>
                <w:kern w:val="0"/>
                <w:sz w:val="24"/>
                <w:szCs w:val="24"/>
                <w:u w:val="single"/>
              </w:rPr>
              <w:t>项目主</w:t>
            </w:r>
            <w:r>
              <w:rPr>
                <w:rFonts w:ascii="Times New Roman" w:hAnsi="Times New Roman" w:cs="Times New Roman"/>
                <w:color w:val="auto"/>
                <w:kern w:val="0"/>
                <w:sz w:val="24"/>
                <w:szCs w:val="24"/>
                <w:u w:val="single"/>
              </w:rPr>
              <w:t>要噪声源（生产车间）距厂界东、厂界南、厂界西、厂界北分别约为</w:t>
            </w:r>
            <w:r>
              <w:rPr>
                <w:rFonts w:hint="eastAsia" w:ascii="Times New Roman" w:hAnsi="Times New Roman" w:cs="Times New Roman"/>
                <w:color w:val="auto"/>
                <w:kern w:val="0"/>
                <w:sz w:val="24"/>
                <w:szCs w:val="24"/>
                <w:u w:val="single"/>
                <w:lang w:val="en-US" w:eastAsia="zh-CN"/>
              </w:rPr>
              <w:t>80</w:t>
            </w:r>
            <w:r>
              <w:rPr>
                <w:rFonts w:ascii="Times New Roman" w:hAnsi="Times New Roman" w:cs="Times New Roman"/>
                <w:color w:val="auto"/>
                <w:kern w:val="0"/>
                <w:sz w:val="24"/>
                <w:szCs w:val="24"/>
                <w:u w:val="single"/>
              </w:rPr>
              <w:t>米、</w:t>
            </w:r>
            <w:r>
              <w:rPr>
                <w:rFonts w:hint="eastAsia" w:ascii="Times New Roman" w:hAnsi="Times New Roman" w:cs="Times New Roman"/>
                <w:color w:val="auto"/>
                <w:kern w:val="0"/>
                <w:sz w:val="24"/>
                <w:szCs w:val="24"/>
                <w:u w:val="single"/>
                <w:lang w:val="en-US" w:eastAsia="zh-CN"/>
              </w:rPr>
              <w:t>44</w:t>
            </w:r>
            <w:r>
              <w:rPr>
                <w:rFonts w:ascii="Times New Roman" w:hAnsi="Times New Roman" w:cs="Times New Roman"/>
                <w:color w:val="auto"/>
                <w:kern w:val="0"/>
                <w:sz w:val="24"/>
                <w:szCs w:val="24"/>
                <w:u w:val="single"/>
              </w:rPr>
              <w:t>米、</w:t>
            </w:r>
            <w:r>
              <w:rPr>
                <w:rFonts w:hint="eastAsia" w:ascii="Times New Roman" w:hAnsi="Times New Roman" w:cs="Times New Roman"/>
                <w:color w:val="auto"/>
                <w:kern w:val="0"/>
                <w:sz w:val="24"/>
                <w:szCs w:val="24"/>
                <w:u w:val="single"/>
                <w:lang w:val="en-US" w:eastAsia="zh-CN"/>
              </w:rPr>
              <w:t>15</w:t>
            </w:r>
            <w:r>
              <w:rPr>
                <w:rFonts w:ascii="Times New Roman" w:hAnsi="Times New Roman" w:cs="Times New Roman"/>
                <w:color w:val="auto"/>
                <w:kern w:val="0"/>
                <w:sz w:val="24"/>
                <w:szCs w:val="24"/>
                <w:u w:val="single"/>
              </w:rPr>
              <w:t>米、</w:t>
            </w:r>
            <w:r>
              <w:rPr>
                <w:rFonts w:hint="eastAsia" w:ascii="Times New Roman" w:hAnsi="Times New Roman" w:cs="Times New Roman"/>
                <w:color w:val="auto"/>
                <w:kern w:val="0"/>
                <w:sz w:val="24"/>
                <w:szCs w:val="24"/>
                <w:u w:val="single"/>
                <w:lang w:val="en-US" w:eastAsia="zh-CN"/>
              </w:rPr>
              <w:t>46</w:t>
            </w:r>
            <w:r>
              <w:rPr>
                <w:rFonts w:ascii="Times New Roman" w:hAnsi="Times New Roman" w:cs="Times New Roman"/>
                <w:color w:val="auto"/>
                <w:kern w:val="0"/>
                <w:sz w:val="24"/>
                <w:szCs w:val="24"/>
                <w:u w:val="single"/>
              </w:rPr>
              <w:t>米。本项目为新建，因此根据《环境影响评价技术导则   声环境》（HJ2.4-2009）“进行边界噪声评价时，新建项目以工程噪声贡献值作为评价量”，因此本评价以计算的贡献值作为预测值，且本项目夜间（22:00-06:00）不进行生产，因此仅对昼间环境噪声进行预测分析，营运期噪声影响预测结果见本项目营运期噪声影响预</w:t>
            </w:r>
            <w:r>
              <w:rPr>
                <w:rFonts w:hAnsi="宋体"/>
                <w:color w:val="auto"/>
                <w:kern w:val="0"/>
                <w:sz w:val="24"/>
                <w:szCs w:val="24"/>
                <w:u w:val="single"/>
              </w:rPr>
              <w:t>测结果</w:t>
            </w:r>
            <w:r>
              <w:rPr>
                <w:rFonts w:ascii="Times New Roman" w:hAnsi="Times New Roman" w:cs="Times New Roman"/>
                <w:color w:val="auto"/>
                <w:kern w:val="0"/>
                <w:sz w:val="24"/>
                <w:szCs w:val="24"/>
                <w:u w:val="single"/>
              </w:rPr>
              <w:t>见表</w:t>
            </w:r>
            <w:r>
              <w:rPr>
                <w:rFonts w:hint="eastAsia"/>
                <w:color w:val="auto"/>
                <w:szCs w:val="20"/>
                <w:u w:val="single"/>
              </w:rPr>
              <w:t>7-14</w:t>
            </w:r>
            <w:r>
              <w:rPr>
                <w:color w:val="auto"/>
                <w:szCs w:val="20"/>
                <w:u w:val="single"/>
              </w:rPr>
              <w:t>。</w:t>
            </w:r>
          </w:p>
          <w:p>
            <w:pPr>
              <w:adjustRightInd w:val="0"/>
              <w:snapToGrid w:val="0"/>
              <w:spacing w:line="360" w:lineRule="auto"/>
              <w:jc w:val="center"/>
              <w:rPr>
                <w:rFonts w:ascii="Times New Roman" w:hAnsi="Times New Roman" w:cs="Times New Roman"/>
                <w:b/>
                <w:color w:val="auto"/>
                <w:kern w:val="0"/>
                <w:sz w:val="24"/>
                <w:szCs w:val="24"/>
                <w:u w:val="single"/>
              </w:rPr>
            </w:pPr>
            <w:r>
              <w:rPr>
                <w:rFonts w:ascii="Times New Roman" w:hAnsi="Times New Roman" w:cs="Times New Roman"/>
                <w:b/>
                <w:color w:val="auto"/>
                <w:kern w:val="0"/>
                <w:sz w:val="24"/>
                <w:szCs w:val="24"/>
                <w:u w:val="single"/>
              </w:rPr>
              <w:t>表</w:t>
            </w:r>
            <w:r>
              <w:rPr>
                <w:rFonts w:hint="eastAsia" w:ascii="Times New Roman" w:hAnsi="Times New Roman" w:cs="Times New Roman"/>
                <w:b/>
                <w:color w:val="auto"/>
                <w:kern w:val="0"/>
                <w:sz w:val="24"/>
                <w:szCs w:val="24"/>
                <w:u w:val="single"/>
                <w:lang w:val="en-US" w:eastAsia="zh-CN"/>
              </w:rPr>
              <w:t>7-1</w:t>
            </w:r>
            <w:r>
              <w:rPr>
                <w:rFonts w:hint="eastAsia" w:cs="Times New Roman"/>
                <w:b/>
                <w:color w:val="auto"/>
                <w:kern w:val="0"/>
                <w:sz w:val="24"/>
                <w:szCs w:val="24"/>
                <w:u w:val="single"/>
                <w:lang w:val="en-US" w:eastAsia="zh-CN"/>
              </w:rPr>
              <w:t>4</w:t>
            </w:r>
            <w:r>
              <w:rPr>
                <w:rFonts w:hint="eastAsia" w:ascii="Times New Roman" w:hAnsi="Times New Roman" w:cs="Times New Roman"/>
                <w:b/>
                <w:color w:val="auto"/>
                <w:kern w:val="0"/>
                <w:sz w:val="24"/>
                <w:szCs w:val="24"/>
                <w:u w:val="single"/>
              </w:rPr>
              <w:t xml:space="preserve"> </w:t>
            </w:r>
            <w:r>
              <w:rPr>
                <w:rFonts w:ascii="Times New Roman" w:hAnsi="Times New Roman" w:cs="Times New Roman"/>
                <w:b/>
                <w:color w:val="auto"/>
                <w:kern w:val="0"/>
                <w:sz w:val="24"/>
                <w:szCs w:val="24"/>
                <w:u w:val="single"/>
              </w:rPr>
              <w:t xml:space="preserve"> 营运期噪声预测过程一览表</w:t>
            </w:r>
          </w:p>
          <w:p>
            <w:pPr>
              <w:adjustRightInd w:val="0"/>
              <w:snapToGrid w:val="0"/>
              <w:spacing w:line="360" w:lineRule="auto"/>
              <w:ind w:right="360"/>
              <w:jc w:val="right"/>
              <w:rPr>
                <w:color w:val="auto"/>
                <w:kern w:val="0"/>
                <w:sz w:val="20"/>
                <w:szCs w:val="20"/>
                <w:u w:val="single"/>
              </w:rPr>
            </w:pPr>
            <w:r>
              <w:rPr>
                <w:rFonts w:hAnsi="宋体"/>
                <w:b/>
                <w:color w:val="auto"/>
                <w:kern w:val="0"/>
                <w:sz w:val="24"/>
                <w:szCs w:val="24"/>
                <w:u w:val="single"/>
              </w:rPr>
              <w:t>单位：</w:t>
            </w:r>
            <w:r>
              <w:rPr>
                <w:b/>
                <w:color w:val="auto"/>
                <w:kern w:val="0"/>
                <w:sz w:val="24"/>
                <w:szCs w:val="24"/>
                <w:u w:val="single"/>
              </w:rPr>
              <w:t>dB[A]</w:t>
            </w:r>
          </w:p>
          <w:tbl>
            <w:tblPr>
              <w:tblStyle w:val="25"/>
              <w:tblW w:w="86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7"/>
              <w:gridCol w:w="813"/>
              <w:gridCol w:w="1084"/>
              <w:gridCol w:w="1066"/>
              <w:gridCol w:w="1137"/>
              <w:gridCol w:w="1183"/>
              <w:gridCol w:w="1326"/>
              <w:gridCol w:w="11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tcBorders>
                    <w:tl2br w:val="nil"/>
                    <w:tr2bl w:val="nil"/>
                  </w:tcBorders>
                  <w:noWrap w:val="0"/>
                  <w:vAlign w:val="center"/>
                </w:tcPr>
                <w:p>
                  <w:pPr>
                    <w:bidi w:val="0"/>
                    <w:ind w:left="0" w:leftChars="0" w:firstLine="0" w:firstLineChars="0"/>
                    <w:jc w:val="center"/>
                    <w:rPr>
                      <w:rFonts w:hint="default"/>
                      <w:b/>
                      <w:bCs/>
                      <w:color w:val="auto"/>
                      <w:sz w:val="21"/>
                      <w:szCs w:val="21"/>
                      <w:u w:val="single"/>
                    </w:rPr>
                  </w:pPr>
                  <w:r>
                    <w:rPr>
                      <w:rFonts w:hint="default"/>
                      <w:b/>
                      <w:bCs/>
                      <w:color w:val="auto"/>
                      <w:sz w:val="21"/>
                      <w:szCs w:val="21"/>
                      <w:u w:val="single"/>
                    </w:rPr>
                    <w:t>位置</w:t>
                  </w:r>
                </w:p>
              </w:tc>
              <w:tc>
                <w:tcPr>
                  <w:tcW w:w="813" w:type="dxa"/>
                  <w:tcBorders>
                    <w:tl2br w:val="nil"/>
                    <w:tr2bl w:val="nil"/>
                  </w:tcBorders>
                  <w:noWrap w:val="0"/>
                  <w:vAlign w:val="center"/>
                </w:tcPr>
                <w:p>
                  <w:pPr>
                    <w:bidi w:val="0"/>
                    <w:ind w:left="0" w:leftChars="0" w:firstLine="0" w:firstLineChars="0"/>
                    <w:jc w:val="center"/>
                    <w:rPr>
                      <w:rFonts w:hint="default"/>
                      <w:b/>
                      <w:bCs/>
                      <w:color w:val="auto"/>
                      <w:sz w:val="21"/>
                      <w:szCs w:val="21"/>
                      <w:u w:val="single"/>
                    </w:rPr>
                  </w:pPr>
                  <w:r>
                    <w:rPr>
                      <w:rFonts w:hint="default"/>
                      <w:b/>
                      <w:bCs/>
                      <w:color w:val="auto"/>
                      <w:sz w:val="21"/>
                      <w:szCs w:val="21"/>
                      <w:u w:val="single"/>
                    </w:rPr>
                    <w:t>噪声源</w:t>
                  </w:r>
                </w:p>
              </w:tc>
              <w:tc>
                <w:tcPr>
                  <w:tcW w:w="1084" w:type="dxa"/>
                  <w:tcBorders>
                    <w:tl2br w:val="nil"/>
                    <w:tr2bl w:val="nil"/>
                  </w:tcBorders>
                  <w:noWrap w:val="0"/>
                  <w:vAlign w:val="center"/>
                </w:tcPr>
                <w:p>
                  <w:pPr>
                    <w:bidi w:val="0"/>
                    <w:ind w:left="0" w:leftChars="0" w:firstLine="0" w:firstLineChars="0"/>
                    <w:jc w:val="center"/>
                    <w:rPr>
                      <w:rFonts w:hint="default" w:ascii="Times New Roman" w:hAnsi="Times New Roman" w:eastAsia="宋体" w:cs="Times New Roman"/>
                      <w:b/>
                      <w:bCs/>
                      <w:color w:val="auto"/>
                      <w:kern w:val="2"/>
                      <w:sz w:val="21"/>
                      <w:szCs w:val="21"/>
                      <w:u w:val="single"/>
                      <w:lang w:val="en-US" w:eastAsia="zh-CN" w:bidi="ar-SA"/>
                    </w:rPr>
                  </w:pPr>
                  <w:r>
                    <w:rPr>
                      <w:rFonts w:hint="default"/>
                      <w:b/>
                      <w:bCs/>
                      <w:color w:val="auto"/>
                      <w:sz w:val="21"/>
                      <w:szCs w:val="21"/>
                      <w:u w:val="single"/>
                    </w:rPr>
                    <w:t>叠加源强</w:t>
                  </w:r>
                </w:p>
              </w:tc>
              <w:tc>
                <w:tcPr>
                  <w:tcW w:w="1066" w:type="dxa"/>
                  <w:tcBorders>
                    <w:tl2br w:val="nil"/>
                    <w:tr2bl w:val="nil"/>
                  </w:tcBorders>
                  <w:noWrap w:val="0"/>
                  <w:vAlign w:val="center"/>
                </w:tcPr>
                <w:p>
                  <w:pPr>
                    <w:bidi w:val="0"/>
                    <w:ind w:left="0" w:leftChars="0" w:firstLine="0" w:firstLineChars="0"/>
                    <w:jc w:val="center"/>
                    <w:rPr>
                      <w:rFonts w:hint="default" w:ascii="Times New Roman" w:hAnsi="Times New Roman" w:eastAsia="宋体" w:cs="Times New Roman"/>
                      <w:b/>
                      <w:bCs/>
                      <w:color w:val="auto"/>
                      <w:kern w:val="2"/>
                      <w:sz w:val="21"/>
                      <w:szCs w:val="21"/>
                      <w:u w:val="single"/>
                      <w:lang w:val="en-US" w:eastAsia="zh-CN" w:bidi="ar-SA"/>
                    </w:rPr>
                  </w:pPr>
                  <w:r>
                    <w:rPr>
                      <w:rFonts w:hint="default"/>
                      <w:b/>
                      <w:bCs/>
                      <w:color w:val="auto"/>
                      <w:sz w:val="21"/>
                      <w:szCs w:val="21"/>
                      <w:u w:val="single"/>
                    </w:rPr>
                    <w:t>距离衰减</w:t>
                  </w:r>
                </w:p>
              </w:tc>
              <w:tc>
                <w:tcPr>
                  <w:tcW w:w="1137" w:type="dxa"/>
                  <w:tcBorders>
                    <w:tl2br w:val="nil"/>
                    <w:tr2bl w:val="nil"/>
                  </w:tcBorders>
                  <w:noWrap w:val="0"/>
                  <w:vAlign w:val="center"/>
                </w:tcPr>
                <w:p>
                  <w:pPr>
                    <w:bidi w:val="0"/>
                    <w:ind w:left="0" w:leftChars="0" w:firstLine="0" w:firstLineChars="0"/>
                    <w:jc w:val="center"/>
                    <w:rPr>
                      <w:rFonts w:hint="default" w:ascii="Times New Roman" w:hAnsi="Times New Roman" w:eastAsia="宋体" w:cs="Times New Roman"/>
                      <w:b/>
                      <w:bCs/>
                      <w:color w:val="auto"/>
                      <w:kern w:val="2"/>
                      <w:sz w:val="21"/>
                      <w:szCs w:val="21"/>
                      <w:u w:val="single"/>
                      <w:lang w:val="en-US" w:eastAsia="zh-CN" w:bidi="ar-SA"/>
                    </w:rPr>
                  </w:pPr>
                  <w:r>
                    <w:rPr>
                      <w:rFonts w:hint="default"/>
                      <w:b/>
                      <w:bCs/>
                      <w:color w:val="auto"/>
                      <w:sz w:val="21"/>
                      <w:szCs w:val="21"/>
                      <w:u w:val="single"/>
                    </w:rPr>
                    <w:t>大气吸收</w:t>
                  </w:r>
                </w:p>
              </w:tc>
              <w:tc>
                <w:tcPr>
                  <w:tcW w:w="1183" w:type="dxa"/>
                  <w:tcBorders>
                    <w:tl2br w:val="nil"/>
                    <w:tr2bl w:val="nil"/>
                  </w:tcBorders>
                  <w:noWrap w:val="0"/>
                  <w:vAlign w:val="center"/>
                </w:tcPr>
                <w:p>
                  <w:pPr>
                    <w:bidi w:val="0"/>
                    <w:ind w:left="0" w:leftChars="0" w:firstLine="0" w:firstLineChars="0"/>
                    <w:jc w:val="center"/>
                    <w:rPr>
                      <w:rFonts w:hint="eastAsia" w:eastAsia="宋体"/>
                      <w:b/>
                      <w:bCs/>
                      <w:color w:val="auto"/>
                      <w:sz w:val="21"/>
                      <w:szCs w:val="21"/>
                      <w:u w:val="single"/>
                      <w:lang w:eastAsia="zh-CN"/>
                    </w:rPr>
                  </w:pPr>
                  <w:r>
                    <w:rPr>
                      <w:rFonts w:hint="eastAsia"/>
                      <w:b/>
                      <w:bCs/>
                      <w:color w:val="auto"/>
                      <w:sz w:val="21"/>
                      <w:szCs w:val="21"/>
                      <w:u w:val="single"/>
                      <w:lang w:eastAsia="zh-CN"/>
                    </w:rPr>
                    <w:t>厂房隔声衰减值</w:t>
                  </w:r>
                </w:p>
              </w:tc>
              <w:tc>
                <w:tcPr>
                  <w:tcW w:w="1326" w:type="dxa"/>
                  <w:tcBorders>
                    <w:tl2br w:val="nil"/>
                    <w:tr2bl w:val="nil"/>
                  </w:tcBorders>
                  <w:noWrap w:val="0"/>
                  <w:vAlign w:val="center"/>
                </w:tcPr>
                <w:p>
                  <w:pPr>
                    <w:bidi w:val="0"/>
                    <w:ind w:left="0" w:leftChars="0" w:firstLine="0" w:firstLineChars="0"/>
                    <w:jc w:val="center"/>
                    <w:rPr>
                      <w:rFonts w:hint="default"/>
                      <w:b/>
                      <w:bCs/>
                      <w:color w:val="auto"/>
                      <w:sz w:val="21"/>
                      <w:szCs w:val="21"/>
                      <w:u w:val="single"/>
                    </w:rPr>
                  </w:pPr>
                  <w:r>
                    <w:rPr>
                      <w:rFonts w:hint="eastAsia"/>
                      <w:b/>
                      <w:bCs/>
                      <w:color w:val="auto"/>
                      <w:sz w:val="21"/>
                      <w:szCs w:val="21"/>
                      <w:u w:val="single"/>
                      <w:lang w:eastAsia="zh-CN"/>
                    </w:rPr>
                    <w:t>采取措施总</w:t>
                  </w:r>
                  <w:r>
                    <w:rPr>
                      <w:rFonts w:hint="default"/>
                      <w:b/>
                      <w:bCs/>
                      <w:color w:val="auto"/>
                      <w:sz w:val="21"/>
                      <w:szCs w:val="21"/>
                      <w:u w:val="single"/>
                    </w:rPr>
                    <w:t>衰减值</w:t>
                  </w:r>
                </w:p>
              </w:tc>
              <w:tc>
                <w:tcPr>
                  <w:tcW w:w="1110" w:type="dxa"/>
                  <w:tcBorders>
                    <w:tl2br w:val="nil"/>
                    <w:tr2bl w:val="nil"/>
                  </w:tcBorders>
                  <w:noWrap w:val="0"/>
                  <w:vAlign w:val="center"/>
                </w:tcPr>
                <w:p>
                  <w:pPr>
                    <w:bidi w:val="0"/>
                    <w:ind w:left="0" w:leftChars="0" w:firstLine="0" w:firstLineChars="0"/>
                    <w:jc w:val="center"/>
                    <w:rPr>
                      <w:rFonts w:hint="default"/>
                      <w:b/>
                      <w:bCs/>
                      <w:color w:val="auto"/>
                      <w:sz w:val="21"/>
                      <w:szCs w:val="21"/>
                      <w:u w:val="single"/>
                    </w:rPr>
                  </w:pPr>
                  <w:r>
                    <w:rPr>
                      <w:rFonts w:hint="default"/>
                      <w:b/>
                      <w:bCs/>
                      <w:color w:val="auto"/>
                      <w:sz w:val="21"/>
                      <w:szCs w:val="21"/>
                      <w:u w:val="single"/>
                    </w:rPr>
                    <w:t>贡献值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tcBorders>
                    <w:tl2br w:val="nil"/>
                    <w:tr2bl w:val="nil"/>
                  </w:tcBorders>
                  <w:noWrap w:val="0"/>
                  <w:vAlign w:val="center"/>
                </w:tcPr>
                <w:p>
                  <w:pPr>
                    <w:bidi w:val="0"/>
                    <w:ind w:left="0" w:leftChars="0" w:firstLine="0" w:firstLineChars="0"/>
                    <w:jc w:val="center"/>
                    <w:rPr>
                      <w:rFonts w:hint="default"/>
                      <w:color w:val="auto"/>
                      <w:sz w:val="21"/>
                      <w:szCs w:val="21"/>
                      <w:u w:val="single"/>
                    </w:rPr>
                  </w:pPr>
                  <w:r>
                    <w:rPr>
                      <w:rFonts w:hint="default"/>
                      <w:color w:val="auto"/>
                      <w:sz w:val="21"/>
                      <w:szCs w:val="21"/>
                      <w:u w:val="single"/>
                    </w:rPr>
                    <w:t>厂界东</w:t>
                  </w:r>
                </w:p>
              </w:tc>
              <w:tc>
                <w:tcPr>
                  <w:tcW w:w="813" w:type="dxa"/>
                  <w:vMerge w:val="restart"/>
                  <w:tcBorders>
                    <w:tl2br w:val="nil"/>
                    <w:tr2bl w:val="nil"/>
                  </w:tcBorders>
                  <w:noWrap w:val="0"/>
                  <w:vAlign w:val="center"/>
                </w:tcPr>
                <w:p>
                  <w:pPr>
                    <w:bidi w:val="0"/>
                    <w:ind w:left="0" w:leftChars="0" w:firstLine="0" w:firstLineChars="0"/>
                    <w:jc w:val="center"/>
                    <w:rPr>
                      <w:rFonts w:hint="default"/>
                      <w:color w:val="auto"/>
                      <w:sz w:val="21"/>
                      <w:szCs w:val="21"/>
                      <w:u w:val="single"/>
                    </w:rPr>
                  </w:pPr>
                  <w:r>
                    <w:rPr>
                      <w:rFonts w:hint="default"/>
                      <w:color w:val="auto"/>
                      <w:sz w:val="21"/>
                      <w:szCs w:val="21"/>
                      <w:u w:val="single"/>
                      <w:lang w:val="en-US" w:eastAsia="zh-CN"/>
                    </w:rPr>
                    <w:t>机械设备</w:t>
                  </w:r>
                </w:p>
              </w:tc>
              <w:tc>
                <w:tcPr>
                  <w:tcW w:w="1084" w:type="dxa"/>
                  <w:vMerge w:val="restart"/>
                  <w:tcBorders>
                    <w:tl2br w:val="nil"/>
                    <w:tr2bl w:val="nil"/>
                  </w:tcBorders>
                  <w:noWrap w:val="0"/>
                  <w:vAlign w:val="center"/>
                </w:tcPr>
                <w:p>
                  <w:pPr>
                    <w:bidi w:val="0"/>
                    <w:ind w:left="0" w:leftChars="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94.65</w:t>
                  </w:r>
                </w:p>
              </w:tc>
              <w:tc>
                <w:tcPr>
                  <w:tcW w:w="1066"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38.07</w:t>
                  </w:r>
                </w:p>
              </w:tc>
              <w:tc>
                <w:tcPr>
                  <w:tcW w:w="1137"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0.64</w:t>
                  </w:r>
                </w:p>
              </w:tc>
              <w:tc>
                <w:tcPr>
                  <w:tcW w:w="1183" w:type="dxa"/>
                  <w:vMerge w:val="restart"/>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20</w:t>
                  </w:r>
                </w:p>
              </w:tc>
              <w:tc>
                <w:tcPr>
                  <w:tcW w:w="1326"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58.71</w:t>
                  </w:r>
                </w:p>
              </w:tc>
              <w:tc>
                <w:tcPr>
                  <w:tcW w:w="1110"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35.94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tcBorders>
                    <w:tl2br w:val="nil"/>
                    <w:tr2bl w:val="nil"/>
                  </w:tcBorders>
                  <w:noWrap w:val="0"/>
                  <w:vAlign w:val="center"/>
                </w:tcPr>
                <w:p>
                  <w:pPr>
                    <w:bidi w:val="0"/>
                    <w:ind w:left="0" w:leftChars="0" w:firstLine="0" w:firstLineChars="0"/>
                    <w:jc w:val="center"/>
                    <w:rPr>
                      <w:rFonts w:hint="default"/>
                      <w:color w:val="auto"/>
                      <w:sz w:val="21"/>
                      <w:szCs w:val="21"/>
                      <w:u w:val="single"/>
                    </w:rPr>
                  </w:pPr>
                  <w:r>
                    <w:rPr>
                      <w:rFonts w:hint="default"/>
                      <w:color w:val="auto"/>
                      <w:sz w:val="21"/>
                      <w:szCs w:val="21"/>
                      <w:u w:val="single"/>
                    </w:rPr>
                    <w:t>厂界南</w:t>
                  </w:r>
                </w:p>
              </w:tc>
              <w:tc>
                <w:tcPr>
                  <w:tcW w:w="813" w:type="dxa"/>
                  <w:vMerge w:val="continue"/>
                  <w:tcBorders>
                    <w:tl2br w:val="nil"/>
                    <w:tr2bl w:val="nil"/>
                  </w:tcBorders>
                  <w:noWrap w:val="0"/>
                  <w:vAlign w:val="center"/>
                </w:tcPr>
                <w:p>
                  <w:pPr>
                    <w:bidi w:val="0"/>
                    <w:jc w:val="center"/>
                    <w:rPr>
                      <w:rFonts w:hint="default"/>
                      <w:color w:val="auto"/>
                      <w:sz w:val="21"/>
                      <w:szCs w:val="21"/>
                      <w:u w:val="single"/>
                    </w:rPr>
                  </w:pPr>
                </w:p>
              </w:tc>
              <w:tc>
                <w:tcPr>
                  <w:tcW w:w="1084" w:type="dxa"/>
                  <w:vMerge w:val="continue"/>
                  <w:tcBorders>
                    <w:tl2br w:val="nil"/>
                    <w:tr2bl w:val="nil"/>
                  </w:tcBorders>
                  <w:noWrap w:val="0"/>
                  <w:vAlign w:val="center"/>
                </w:tcPr>
                <w:p>
                  <w:pPr>
                    <w:bidi w:val="0"/>
                    <w:jc w:val="center"/>
                    <w:rPr>
                      <w:rFonts w:hint="default"/>
                      <w:color w:val="auto"/>
                      <w:sz w:val="21"/>
                      <w:szCs w:val="21"/>
                      <w:u w:val="single"/>
                    </w:rPr>
                  </w:pPr>
                </w:p>
              </w:tc>
              <w:tc>
                <w:tcPr>
                  <w:tcW w:w="1066"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32.87</w:t>
                  </w:r>
                </w:p>
              </w:tc>
              <w:tc>
                <w:tcPr>
                  <w:tcW w:w="1137"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0.36</w:t>
                  </w:r>
                </w:p>
              </w:tc>
              <w:tc>
                <w:tcPr>
                  <w:tcW w:w="1183" w:type="dxa"/>
                  <w:vMerge w:val="continue"/>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p>
              </w:tc>
              <w:tc>
                <w:tcPr>
                  <w:tcW w:w="1326"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53.23</w:t>
                  </w:r>
                </w:p>
              </w:tc>
              <w:tc>
                <w:tcPr>
                  <w:tcW w:w="1110"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41.42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tcBorders>
                    <w:tl2br w:val="nil"/>
                    <w:tr2bl w:val="nil"/>
                  </w:tcBorders>
                  <w:noWrap w:val="0"/>
                  <w:vAlign w:val="center"/>
                </w:tcPr>
                <w:p>
                  <w:pPr>
                    <w:bidi w:val="0"/>
                    <w:ind w:left="0" w:leftChars="0" w:firstLine="0" w:firstLineChars="0"/>
                    <w:jc w:val="center"/>
                    <w:rPr>
                      <w:rFonts w:hint="default"/>
                      <w:color w:val="auto"/>
                      <w:sz w:val="21"/>
                      <w:szCs w:val="21"/>
                      <w:u w:val="single"/>
                    </w:rPr>
                  </w:pPr>
                  <w:r>
                    <w:rPr>
                      <w:rFonts w:hint="default"/>
                      <w:color w:val="auto"/>
                      <w:sz w:val="21"/>
                      <w:szCs w:val="21"/>
                      <w:u w:val="single"/>
                    </w:rPr>
                    <w:t>厂界西</w:t>
                  </w:r>
                </w:p>
              </w:tc>
              <w:tc>
                <w:tcPr>
                  <w:tcW w:w="813" w:type="dxa"/>
                  <w:vMerge w:val="continue"/>
                  <w:tcBorders>
                    <w:tl2br w:val="nil"/>
                    <w:tr2bl w:val="nil"/>
                  </w:tcBorders>
                  <w:noWrap w:val="0"/>
                  <w:vAlign w:val="center"/>
                </w:tcPr>
                <w:p>
                  <w:pPr>
                    <w:bidi w:val="0"/>
                    <w:jc w:val="center"/>
                    <w:rPr>
                      <w:rFonts w:hint="default"/>
                      <w:color w:val="auto"/>
                      <w:sz w:val="21"/>
                      <w:szCs w:val="21"/>
                      <w:u w:val="single"/>
                    </w:rPr>
                  </w:pPr>
                </w:p>
              </w:tc>
              <w:tc>
                <w:tcPr>
                  <w:tcW w:w="1084" w:type="dxa"/>
                  <w:vMerge w:val="continue"/>
                  <w:tcBorders>
                    <w:tl2br w:val="nil"/>
                    <w:tr2bl w:val="nil"/>
                  </w:tcBorders>
                  <w:noWrap w:val="0"/>
                  <w:vAlign w:val="center"/>
                </w:tcPr>
                <w:p>
                  <w:pPr>
                    <w:bidi w:val="0"/>
                    <w:jc w:val="center"/>
                    <w:rPr>
                      <w:rFonts w:hint="default"/>
                      <w:color w:val="auto"/>
                      <w:sz w:val="21"/>
                      <w:szCs w:val="21"/>
                      <w:u w:val="single"/>
                    </w:rPr>
                  </w:pPr>
                </w:p>
              </w:tc>
              <w:tc>
                <w:tcPr>
                  <w:tcW w:w="1066"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23.53</w:t>
                  </w:r>
                </w:p>
              </w:tc>
              <w:tc>
                <w:tcPr>
                  <w:tcW w:w="1137"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0.12</w:t>
                  </w:r>
                </w:p>
              </w:tc>
              <w:tc>
                <w:tcPr>
                  <w:tcW w:w="1183" w:type="dxa"/>
                  <w:vMerge w:val="continue"/>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p>
              </w:tc>
              <w:tc>
                <w:tcPr>
                  <w:tcW w:w="1326"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43.65</w:t>
                  </w:r>
                </w:p>
              </w:tc>
              <w:tc>
                <w:tcPr>
                  <w:tcW w:w="1110"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tcBorders>
                    <w:tl2br w:val="nil"/>
                    <w:tr2bl w:val="nil"/>
                  </w:tcBorders>
                  <w:noWrap w:val="0"/>
                  <w:vAlign w:val="center"/>
                </w:tcPr>
                <w:p>
                  <w:pPr>
                    <w:bidi w:val="0"/>
                    <w:ind w:left="0" w:leftChars="0" w:firstLine="0" w:firstLineChars="0"/>
                    <w:jc w:val="center"/>
                    <w:rPr>
                      <w:rFonts w:hint="default"/>
                      <w:color w:val="auto"/>
                      <w:sz w:val="21"/>
                      <w:szCs w:val="21"/>
                      <w:u w:val="single"/>
                    </w:rPr>
                  </w:pPr>
                  <w:r>
                    <w:rPr>
                      <w:rFonts w:hint="default"/>
                      <w:color w:val="auto"/>
                      <w:sz w:val="21"/>
                      <w:szCs w:val="21"/>
                      <w:u w:val="single"/>
                    </w:rPr>
                    <w:t>厂界北</w:t>
                  </w:r>
                </w:p>
              </w:tc>
              <w:tc>
                <w:tcPr>
                  <w:tcW w:w="813" w:type="dxa"/>
                  <w:vMerge w:val="continue"/>
                  <w:tcBorders>
                    <w:tl2br w:val="nil"/>
                    <w:tr2bl w:val="nil"/>
                  </w:tcBorders>
                  <w:noWrap w:val="0"/>
                  <w:vAlign w:val="center"/>
                </w:tcPr>
                <w:p>
                  <w:pPr>
                    <w:bidi w:val="0"/>
                    <w:jc w:val="center"/>
                    <w:rPr>
                      <w:rFonts w:hint="default"/>
                      <w:color w:val="auto"/>
                      <w:sz w:val="21"/>
                      <w:szCs w:val="21"/>
                      <w:u w:val="single"/>
                    </w:rPr>
                  </w:pPr>
                </w:p>
              </w:tc>
              <w:tc>
                <w:tcPr>
                  <w:tcW w:w="1084" w:type="dxa"/>
                  <w:vMerge w:val="continue"/>
                  <w:tcBorders>
                    <w:tl2br w:val="nil"/>
                    <w:tr2bl w:val="nil"/>
                  </w:tcBorders>
                  <w:noWrap w:val="0"/>
                  <w:vAlign w:val="center"/>
                </w:tcPr>
                <w:p>
                  <w:pPr>
                    <w:bidi w:val="0"/>
                    <w:jc w:val="center"/>
                    <w:rPr>
                      <w:rFonts w:hint="default"/>
                      <w:color w:val="auto"/>
                      <w:sz w:val="21"/>
                      <w:szCs w:val="21"/>
                      <w:u w:val="single"/>
                    </w:rPr>
                  </w:pPr>
                </w:p>
              </w:tc>
              <w:tc>
                <w:tcPr>
                  <w:tcW w:w="1066"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33.26</w:t>
                  </w:r>
                </w:p>
              </w:tc>
              <w:tc>
                <w:tcPr>
                  <w:tcW w:w="1137"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0.37</w:t>
                  </w:r>
                </w:p>
              </w:tc>
              <w:tc>
                <w:tcPr>
                  <w:tcW w:w="1183" w:type="dxa"/>
                  <w:vMerge w:val="continue"/>
                  <w:tcBorders>
                    <w:tl2br w:val="nil"/>
                    <w:tr2bl w:val="nil"/>
                  </w:tcBorders>
                  <w:noWrap w:val="0"/>
                  <w:vAlign w:val="center"/>
                </w:tcPr>
                <w:p>
                  <w:pPr>
                    <w:bidi w:val="0"/>
                    <w:jc w:val="center"/>
                    <w:rPr>
                      <w:rFonts w:hint="default"/>
                      <w:color w:val="auto"/>
                      <w:sz w:val="21"/>
                      <w:szCs w:val="21"/>
                      <w:u w:val="single"/>
                    </w:rPr>
                  </w:pPr>
                </w:p>
              </w:tc>
              <w:tc>
                <w:tcPr>
                  <w:tcW w:w="1326"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53.63</w:t>
                  </w:r>
                </w:p>
              </w:tc>
              <w:tc>
                <w:tcPr>
                  <w:tcW w:w="1110" w:type="dxa"/>
                  <w:tcBorders>
                    <w:tl2br w:val="nil"/>
                    <w:tr2bl w:val="nil"/>
                  </w:tcBorders>
                  <w:noWrap w:val="0"/>
                  <w:vAlign w:val="center"/>
                </w:tcPr>
                <w:p>
                  <w:pPr>
                    <w:bidi w:val="0"/>
                    <w:ind w:left="0" w:leftChars="0" w:firstLine="0" w:firstLineChars="0"/>
                    <w:jc w:val="center"/>
                    <w:rPr>
                      <w:rFonts w:hint="default" w:ascii="Times New Roman" w:hAnsi="Times New Roman" w:cs="Times New Roman"/>
                      <w:color w:val="auto"/>
                      <w:kern w:val="2"/>
                      <w:sz w:val="21"/>
                      <w:szCs w:val="21"/>
                      <w:u w:val="single"/>
                      <w:lang w:val="en-US" w:eastAsia="zh-CN" w:bidi="ar-SA"/>
                    </w:rPr>
                  </w:pPr>
                  <w:r>
                    <w:rPr>
                      <w:rFonts w:hint="eastAsia" w:ascii="Times New Roman" w:hAnsi="Times New Roman" w:cs="Times New Roman"/>
                      <w:color w:val="auto"/>
                      <w:kern w:val="2"/>
                      <w:sz w:val="21"/>
                      <w:szCs w:val="21"/>
                      <w:u w:val="single"/>
                      <w:lang w:val="en-US" w:eastAsia="zh-CN" w:bidi="ar-SA"/>
                    </w:rPr>
                    <w:t>41.02</w:t>
                  </w:r>
                </w:p>
              </w:tc>
            </w:tr>
          </w:tbl>
          <w:p>
            <w:pPr>
              <w:adjustRightInd w:val="0"/>
              <w:snapToGrid w:val="0"/>
              <w:ind w:firstLine="480"/>
              <w:rPr>
                <w:color w:val="auto"/>
                <w:szCs w:val="20"/>
              </w:rPr>
            </w:pPr>
            <w:r>
              <w:rPr>
                <w:color w:val="auto"/>
                <w:szCs w:val="20"/>
              </w:rPr>
              <w:t>本项目按照工程建设内容进行合理布局并采取低噪声的设备，在采取设计</w:t>
            </w:r>
            <w:r>
              <w:rPr>
                <w:color w:val="auto"/>
                <w:szCs w:val="20"/>
              </w:rPr>
              <w:t>拟采取的治理措施及环评要求措施后，以工程噪声贡献值作为评价量，运营期各厂界昼间、夜间噪声均可满足《工业企业厂界环境噪声排放标准》（GB12348-2008）3类标准（昼间65dB(A)限值要求。</w:t>
            </w:r>
          </w:p>
          <w:p>
            <w:pPr>
              <w:snapToGrid w:val="0"/>
              <w:ind w:firstLine="470" w:firstLineChars="196"/>
              <w:jc w:val="both"/>
              <w:rPr>
                <w:color w:val="auto"/>
                <w:szCs w:val="20"/>
              </w:rPr>
            </w:pPr>
            <w:r>
              <w:rPr>
                <w:color w:val="auto"/>
                <w:szCs w:val="20"/>
              </w:rPr>
              <w:t>同时企业仍需引起高度重视，积极采取有效措施，对项目各噪声源进行有效治理，落实相应的降噪、隔声处理，降低噪声对周边环境的影响，建设单位必须做好以下几点：</w:t>
            </w:r>
          </w:p>
          <w:p>
            <w:pPr>
              <w:snapToGrid w:val="0"/>
              <w:ind w:firstLine="470" w:firstLineChars="196"/>
              <w:jc w:val="both"/>
              <w:rPr>
                <w:color w:val="auto"/>
                <w:szCs w:val="20"/>
              </w:rPr>
            </w:pPr>
            <w:r>
              <w:rPr>
                <w:rFonts w:hint="eastAsia" w:ascii="宋体" w:hAnsi="宋体" w:cs="宋体"/>
                <w:color w:val="auto"/>
                <w:szCs w:val="20"/>
              </w:rPr>
              <w:t>①</w:t>
            </w:r>
            <w:r>
              <w:rPr>
                <w:color w:val="auto"/>
                <w:szCs w:val="20"/>
              </w:rPr>
              <w:t>选择噪声强度低的设备，从源头降低噪声强度，减轻噪声污染；噪声设备应设隔振基础或铺垫减振垫；</w:t>
            </w:r>
          </w:p>
          <w:p>
            <w:pPr>
              <w:snapToGrid w:val="0"/>
              <w:ind w:firstLine="470" w:firstLineChars="196"/>
              <w:jc w:val="both"/>
              <w:rPr>
                <w:color w:val="auto"/>
                <w:szCs w:val="20"/>
              </w:rPr>
            </w:pPr>
            <w:r>
              <w:rPr>
                <w:rFonts w:hint="eastAsia" w:ascii="宋体" w:hAnsi="宋体" w:cs="宋体"/>
                <w:color w:val="auto"/>
                <w:szCs w:val="20"/>
              </w:rPr>
              <w:t>②</w:t>
            </w:r>
            <w:r>
              <w:rPr>
                <w:color w:val="auto"/>
                <w:szCs w:val="20"/>
              </w:rPr>
              <w:t>生产车间安装隔声门窗，车间内工作人员配戴耳机机即防护罩等，以保证职工的身体健康；</w:t>
            </w:r>
          </w:p>
          <w:p>
            <w:pPr>
              <w:snapToGrid w:val="0"/>
              <w:ind w:firstLine="470" w:firstLineChars="196"/>
              <w:jc w:val="both"/>
              <w:rPr>
                <w:color w:val="auto"/>
                <w:szCs w:val="20"/>
              </w:rPr>
            </w:pPr>
            <w:r>
              <w:rPr>
                <w:rFonts w:hint="eastAsia" w:ascii="宋体" w:hAnsi="宋体" w:cs="宋体"/>
                <w:color w:val="auto"/>
                <w:szCs w:val="20"/>
              </w:rPr>
              <w:t>③</w:t>
            </w:r>
            <w:r>
              <w:rPr>
                <w:color w:val="auto"/>
                <w:szCs w:val="20"/>
              </w:rPr>
              <w:t>加强设备日常检修和维护，以保证各设备正常运转，以免由于设备故障原因产生较大噪声；</w:t>
            </w:r>
          </w:p>
          <w:p>
            <w:pPr>
              <w:snapToGrid w:val="0"/>
              <w:ind w:firstLine="470" w:firstLineChars="196"/>
              <w:jc w:val="both"/>
              <w:rPr>
                <w:color w:val="auto"/>
                <w:szCs w:val="20"/>
              </w:rPr>
            </w:pPr>
            <w:r>
              <w:rPr>
                <w:rFonts w:hint="eastAsia" w:ascii="宋体" w:hAnsi="宋体" w:cs="宋体"/>
                <w:color w:val="auto"/>
                <w:szCs w:val="20"/>
              </w:rPr>
              <w:t>④</w:t>
            </w:r>
            <w:r>
              <w:rPr>
                <w:color w:val="auto"/>
                <w:szCs w:val="20"/>
              </w:rPr>
              <w:t>定期对车间内设备进行检修，防止不良工况的故障噪声产生。</w:t>
            </w:r>
          </w:p>
          <w:p>
            <w:pPr>
              <w:snapToGrid w:val="0"/>
              <w:ind w:firstLine="470" w:firstLineChars="196"/>
              <w:jc w:val="both"/>
              <w:rPr>
                <w:color w:val="auto"/>
                <w:szCs w:val="20"/>
              </w:rPr>
            </w:pPr>
            <w:r>
              <w:rPr>
                <w:color w:val="auto"/>
                <w:szCs w:val="20"/>
              </w:rPr>
              <w:t>因此，本项目营运期噪声对周围声环境影响很小，能够做到厂界达标排放，不会对周围环境产生不良影响。</w:t>
            </w:r>
          </w:p>
          <w:p>
            <w:pPr>
              <w:keepNext/>
              <w:keepLines/>
              <w:ind w:firstLine="482"/>
              <w:jc w:val="both"/>
              <w:outlineLvl w:val="2"/>
              <w:rPr>
                <w:b/>
                <w:bCs/>
                <w:color w:val="auto"/>
                <w:szCs w:val="32"/>
              </w:rPr>
            </w:pPr>
            <w:r>
              <w:rPr>
                <w:b/>
                <w:bCs/>
                <w:color w:val="auto"/>
                <w:szCs w:val="32"/>
              </w:rPr>
              <w:t>四、固体废物环境影响分析</w:t>
            </w:r>
          </w:p>
          <w:p>
            <w:pPr>
              <w:snapToGrid w:val="0"/>
              <w:ind w:firstLine="470" w:firstLineChars="196"/>
              <w:jc w:val="both"/>
              <w:rPr>
                <w:rFonts w:hAnsi="宋体"/>
                <w:color w:val="auto"/>
                <w:szCs w:val="20"/>
              </w:rPr>
            </w:pPr>
            <w:r>
              <w:rPr>
                <w:rFonts w:hint="eastAsia" w:hAnsi="宋体"/>
                <w:color w:val="auto"/>
                <w:szCs w:val="20"/>
              </w:rPr>
              <w:t>本项目固体废物主要有废弃的油墨桶和胶桶、设备清洗产生的废抹布、制袋产生的废边角料、废清洗液、定期更换产生的废催化剂以及职工生活垃圾等。</w:t>
            </w:r>
          </w:p>
          <w:p>
            <w:pPr>
              <w:snapToGrid w:val="0"/>
              <w:ind w:firstLine="470" w:firstLineChars="196"/>
              <w:jc w:val="both"/>
              <w:rPr>
                <w:rFonts w:hAnsi="宋体"/>
                <w:color w:val="auto"/>
                <w:szCs w:val="20"/>
              </w:rPr>
            </w:pPr>
            <w:r>
              <w:rPr>
                <w:rFonts w:hint="eastAsia" w:hAnsi="宋体"/>
                <w:color w:val="auto"/>
                <w:szCs w:val="20"/>
              </w:rPr>
              <w:t>1）废油墨桶和胶桶</w:t>
            </w:r>
          </w:p>
          <w:p>
            <w:pPr>
              <w:snapToGrid w:val="0"/>
              <w:ind w:firstLine="470" w:firstLineChars="196"/>
              <w:jc w:val="both"/>
              <w:rPr>
                <w:rFonts w:hAnsi="宋体"/>
                <w:color w:val="auto"/>
                <w:szCs w:val="20"/>
              </w:rPr>
            </w:pPr>
            <w:r>
              <w:rPr>
                <w:rFonts w:hint="eastAsia" w:hAnsi="宋体"/>
                <w:color w:val="auto"/>
                <w:szCs w:val="20"/>
              </w:rPr>
              <w:t>本项目废包装桶属于危险废物，年产生量为1.7t/a。类别为HW49其他废物，废物代码为900-041-49 含有或沾染毒性、感染性危险废物的废弃包装物、容器、过滤吸附介质，经收集后交由厂家单位回收处理。</w:t>
            </w:r>
          </w:p>
          <w:p>
            <w:pPr>
              <w:snapToGrid w:val="0"/>
              <w:ind w:firstLine="470" w:firstLineChars="196"/>
              <w:jc w:val="both"/>
              <w:rPr>
                <w:rFonts w:hAnsi="宋体"/>
                <w:color w:val="auto"/>
                <w:szCs w:val="20"/>
              </w:rPr>
            </w:pPr>
            <w:r>
              <w:rPr>
                <w:rFonts w:hint="eastAsia" w:hAnsi="宋体"/>
                <w:color w:val="auto"/>
                <w:szCs w:val="20"/>
              </w:rPr>
              <w:t>2）废抹布</w:t>
            </w:r>
          </w:p>
          <w:p>
            <w:pPr>
              <w:snapToGrid w:val="0"/>
              <w:ind w:firstLine="470" w:firstLineChars="196"/>
              <w:jc w:val="both"/>
              <w:rPr>
                <w:rFonts w:hAnsi="宋体"/>
                <w:color w:val="auto"/>
                <w:szCs w:val="20"/>
              </w:rPr>
            </w:pPr>
            <w:r>
              <w:rPr>
                <w:rFonts w:hint="eastAsia" w:hAnsi="宋体"/>
                <w:color w:val="auto"/>
                <w:szCs w:val="20"/>
              </w:rPr>
              <w:t>印刷机的墨辊、墨槽等部件必须经常清洗，以防积聚干涸的油墨和粉尘，常用的清洁溶剂主要由水和乙醇按照一定比例调配而成。在清洗的过程中，采用废弃布料沾取一定量的清洗剂进行清洗，清洗完成后的布料因沾染油墨和清洗剂而成为危险废物，年产生量为20kg（干重）。属于危险废物，废物类别为HW49其他废物，废物代码900-041-49，含有或沾染毒性、感染性危险废物的废弃包装物、容器、过滤吸附介质，应暂存于危废暂存间，定期委托有资质的单位处置。</w:t>
            </w:r>
          </w:p>
          <w:p>
            <w:pPr>
              <w:snapToGrid w:val="0"/>
              <w:ind w:firstLine="470" w:firstLineChars="196"/>
              <w:jc w:val="both"/>
              <w:rPr>
                <w:rFonts w:hAnsi="宋体"/>
                <w:color w:val="auto"/>
                <w:szCs w:val="20"/>
              </w:rPr>
            </w:pPr>
            <w:r>
              <w:rPr>
                <w:rFonts w:hint="eastAsia" w:hAnsi="宋体"/>
                <w:color w:val="auto"/>
                <w:szCs w:val="20"/>
              </w:rPr>
              <w:t>3）废边角料</w:t>
            </w:r>
          </w:p>
          <w:p>
            <w:pPr>
              <w:snapToGrid w:val="0"/>
              <w:ind w:firstLine="470" w:firstLineChars="196"/>
              <w:jc w:val="both"/>
              <w:rPr>
                <w:rFonts w:hAnsi="宋体"/>
                <w:color w:val="auto"/>
                <w:szCs w:val="20"/>
              </w:rPr>
            </w:pPr>
            <w:r>
              <w:rPr>
                <w:rFonts w:hint="eastAsia" w:hAnsi="宋体"/>
                <w:color w:val="auto"/>
                <w:szCs w:val="20"/>
              </w:rPr>
              <w:t>在制袋和分切过程中，均需要按照设计尺寸对半成品塑料袋进行切割，切割产生的废边角料量约为7t。该部分边角料全部收集、打捆后外卖，由废塑料收购企业定期回收再利用。</w:t>
            </w:r>
          </w:p>
          <w:p>
            <w:pPr>
              <w:snapToGrid w:val="0"/>
              <w:ind w:firstLine="470" w:firstLineChars="196"/>
              <w:jc w:val="both"/>
              <w:rPr>
                <w:rFonts w:hAnsi="宋体"/>
                <w:color w:val="auto"/>
                <w:szCs w:val="20"/>
              </w:rPr>
            </w:pPr>
            <w:r>
              <w:rPr>
                <w:rFonts w:hint="eastAsia" w:hAnsi="宋体"/>
                <w:color w:val="auto"/>
                <w:szCs w:val="20"/>
              </w:rPr>
              <w:t>4）</w:t>
            </w:r>
            <w:r>
              <w:rPr>
                <w:color w:val="auto"/>
                <w:szCs w:val="21"/>
              </w:rPr>
              <w:t>废催化剂</w:t>
            </w:r>
          </w:p>
          <w:p>
            <w:pPr>
              <w:ind w:firstLine="480"/>
              <w:jc w:val="both"/>
              <w:rPr>
                <w:color w:val="auto"/>
                <w:szCs w:val="21"/>
              </w:rPr>
            </w:pPr>
            <w:r>
              <w:rPr>
                <w:color w:val="auto"/>
                <w:szCs w:val="21"/>
              </w:rPr>
              <w:t>废气拟收集后由一套蓄热式催化氧化(RCO)处理系统处理后达标排放，该系统采用铂、钯贵金属催化剂，运行过程中会产生一定量的废催化剂，催化剂一般两年更换一次，每次产生废催化剂量 2.6m</w:t>
            </w:r>
            <w:r>
              <w:rPr>
                <w:color w:val="auto"/>
                <w:szCs w:val="21"/>
                <w:vertAlign w:val="superscript"/>
              </w:rPr>
              <w:t>3</w:t>
            </w:r>
            <w:r>
              <w:rPr>
                <w:color w:val="auto"/>
                <w:szCs w:val="21"/>
              </w:rPr>
              <w:t>(600kg/m</w:t>
            </w:r>
            <w:r>
              <w:rPr>
                <w:color w:val="auto"/>
                <w:szCs w:val="21"/>
                <w:vertAlign w:val="superscript"/>
              </w:rPr>
              <w:t>3</w:t>
            </w:r>
            <w:r>
              <w:rPr>
                <w:color w:val="auto"/>
                <w:szCs w:val="21"/>
              </w:rPr>
              <w:t>)，一次更换量约 0.8t(0.4t/a)，</w:t>
            </w:r>
            <w:r>
              <w:rPr>
                <w:rFonts w:hint="eastAsia"/>
                <w:color w:val="auto"/>
                <w:szCs w:val="21"/>
                <w:lang w:eastAsia="zh-CN"/>
              </w:rPr>
              <w:t>统一分类收集后交由有资质的单位进行处置</w:t>
            </w:r>
            <w:r>
              <w:rPr>
                <w:color w:val="auto"/>
                <w:szCs w:val="21"/>
              </w:rPr>
              <w:t>。</w:t>
            </w:r>
          </w:p>
          <w:p>
            <w:pPr>
              <w:pStyle w:val="2"/>
              <w:ind w:left="0" w:leftChars="0" w:firstLine="480"/>
              <w:rPr>
                <w:color w:val="auto"/>
                <w:szCs w:val="21"/>
              </w:rPr>
            </w:pPr>
            <w:r>
              <w:rPr>
                <w:rFonts w:hint="eastAsia"/>
                <w:color w:val="auto"/>
                <w:szCs w:val="21"/>
              </w:rPr>
              <w:t>5）废清洗液</w:t>
            </w:r>
          </w:p>
          <w:p>
            <w:pPr>
              <w:pStyle w:val="2"/>
              <w:ind w:left="0" w:leftChars="0" w:firstLine="480"/>
              <w:rPr>
                <w:color w:val="auto"/>
                <w:szCs w:val="21"/>
              </w:rPr>
            </w:pPr>
            <w:r>
              <w:rPr>
                <w:rFonts w:hint="eastAsia"/>
                <w:color w:val="auto"/>
                <w:szCs w:val="21"/>
              </w:rPr>
              <w:t>根据工程分析，产生量约为0.1t/a，统一收集后置于危废暂存间交由有资质的单位处置。</w:t>
            </w:r>
          </w:p>
          <w:p>
            <w:pPr>
              <w:snapToGrid w:val="0"/>
              <w:ind w:firstLine="470" w:firstLineChars="196"/>
              <w:jc w:val="both"/>
              <w:rPr>
                <w:rFonts w:hAnsi="宋体"/>
                <w:color w:val="auto"/>
                <w:szCs w:val="20"/>
              </w:rPr>
            </w:pPr>
            <w:r>
              <w:rPr>
                <w:rFonts w:hint="eastAsia" w:hAnsi="宋体"/>
                <w:color w:val="auto"/>
                <w:szCs w:val="20"/>
              </w:rPr>
              <w:t>6）生活垃圾</w:t>
            </w:r>
          </w:p>
          <w:p>
            <w:pPr>
              <w:snapToGrid w:val="0"/>
              <w:ind w:firstLine="470" w:firstLineChars="196"/>
              <w:jc w:val="both"/>
              <w:rPr>
                <w:rFonts w:hAnsi="宋体"/>
                <w:color w:val="auto"/>
                <w:szCs w:val="20"/>
              </w:rPr>
            </w:pPr>
            <w:r>
              <w:rPr>
                <w:rFonts w:hint="eastAsia" w:hAnsi="宋体"/>
                <w:color w:val="auto"/>
                <w:szCs w:val="20"/>
              </w:rPr>
              <w:t>生活垃圾定期委托环卫部门清运。</w:t>
            </w:r>
          </w:p>
          <w:p>
            <w:pPr>
              <w:snapToGrid w:val="0"/>
              <w:spacing w:line="500" w:lineRule="exact"/>
              <w:ind w:firstLine="482"/>
              <w:jc w:val="both"/>
              <w:rPr>
                <w:b/>
                <w:bCs/>
                <w:color w:val="auto"/>
              </w:rPr>
            </w:pPr>
            <w:r>
              <w:rPr>
                <w:b/>
                <w:bCs/>
                <w:color w:val="auto"/>
              </w:rPr>
              <w:t>危险废物收集运输分析</w:t>
            </w:r>
          </w:p>
          <w:p>
            <w:pPr>
              <w:snapToGrid w:val="0"/>
              <w:spacing w:line="500" w:lineRule="exact"/>
              <w:ind w:firstLine="480"/>
              <w:jc w:val="both"/>
              <w:rPr>
                <w:color w:val="auto"/>
              </w:rPr>
            </w:pPr>
            <w:r>
              <w:rPr>
                <w:color w:val="auto"/>
              </w:rPr>
              <w:t>项目内固体废物均由专人负责，采用专门的工具从厂区内产生工艺环节运输到贮存场所，避免可能产生散落、泄漏所引起的环境影响。危险废物厂内转运参照《</w:t>
            </w:r>
            <w:r>
              <w:rPr>
                <w:color w:val="auto"/>
              </w:rPr>
              <w:fldChar w:fldCharType="begin"/>
            </w:r>
            <w:r>
              <w:rPr>
                <w:color w:val="auto"/>
              </w:rPr>
              <w:instrText xml:space="preserve"> HYPERLINK "http://www.zhb.gov.cn/gzfw_13107/kjbz/qthjbhbz/hjbhgcjsgf/201605/W020160522274232678433.pdf" </w:instrText>
            </w:r>
            <w:r>
              <w:rPr>
                <w:color w:val="auto"/>
              </w:rPr>
              <w:fldChar w:fldCharType="separate"/>
            </w:r>
            <w:r>
              <w:rPr>
                <w:color w:val="auto"/>
              </w:rPr>
              <w:t>危险废物收集贮存运输技术规范</w:t>
            </w:r>
            <w:r>
              <w:rPr>
                <w:color w:val="auto"/>
              </w:rPr>
              <w:fldChar w:fldCharType="end"/>
            </w:r>
            <w:r>
              <w:rPr>
                <w:color w:val="auto"/>
              </w:rPr>
              <w:t>》(HJ2025-2012)中附录B规范填写《危险废物厂内转运记录表》。内部转运结束后，应对转运路线进行检查和清理，确保无危险废物遗失在转运路线上。本项目厂内运输路线无环境敏感点。</w:t>
            </w:r>
          </w:p>
          <w:p>
            <w:pPr>
              <w:snapToGrid w:val="0"/>
              <w:spacing w:line="500" w:lineRule="exact"/>
              <w:ind w:firstLine="482"/>
              <w:jc w:val="both"/>
              <w:rPr>
                <w:b/>
                <w:bCs/>
                <w:color w:val="auto"/>
              </w:rPr>
            </w:pPr>
            <w:r>
              <w:rPr>
                <w:b/>
                <w:bCs/>
                <w:color w:val="auto"/>
              </w:rPr>
              <w:t>危险废物暂存分析</w:t>
            </w:r>
          </w:p>
          <w:p>
            <w:pPr>
              <w:snapToGrid w:val="0"/>
              <w:spacing w:line="500" w:lineRule="exact"/>
              <w:ind w:firstLine="480"/>
              <w:jc w:val="both"/>
              <w:rPr>
                <w:color w:val="auto"/>
              </w:rPr>
            </w:pPr>
            <w:r>
              <w:rPr>
                <w:color w:val="auto"/>
              </w:rPr>
              <w:t>危险固废委托处理前，将贮存于危险废物暂存间内。厂区拟建危险废物暂存间占地面积约</w:t>
            </w:r>
            <w:r>
              <w:rPr>
                <w:rFonts w:hint="eastAsia"/>
                <w:color w:val="auto"/>
              </w:rPr>
              <w:t>2</w:t>
            </w:r>
            <w:r>
              <w:rPr>
                <w:color w:val="auto"/>
              </w:rPr>
              <w:t>0m</w:t>
            </w:r>
            <w:r>
              <w:rPr>
                <w:color w:val="auto"/>
                <w:vertAlign w:val="superscript"/>
              </w:rPr>
              <w:t>2</w:t>
            </w:r>
            <w:r>
              <w:rPr>
                <w:color w:val="auto"/>
              </w:rPr>
              <w:t>。本项目危险废物年产生量约</w:t>
            </w:r>
            <w:r>
              <w:rPr>
                <w:rFonts w:hint="eastAsia"/>
                <w:color w:val="auto"/>
              </w:rPr>
              <w:t>1.72</w:t>
            </w:r>
            <w:r>
              <w:rPr>
                <w:color w:val="auto"/>
              </w:rPr>
              <w:t>t，</w:t>
            </w:r>
            <w:r>
              <w:rPr>
                <w:rFonts w:hint="eastAsia"/>
                <w:color w:val="auto"/>
              </w:rPr>
              <w:t>收集后</w:t>
            </w:r>
            <w:r>
              <w:rPr>
                <w:color w:val="auto"/>
              </w:rPr>
              <w:t>暂存</w:t>
            </w:r>
            <w:r>
              <w:rPr>
                <w:rFonts w:hint="eastAsia"/>
                <w:color w:val="auto"/>
              </w:rPr>
              <w:t>于</w:t>
            </w:r>
            <w:r>
              <w:rPr>
                <w:color w:val="auto"/>
              </w:rPr>
              <w:t>危险废物</w:t>
            </w:r>
            <w:r>
              <w:rPr>
                <w:rFonts w:hint="eastAsia"/>
                <w:color w:val="auto"/>
              </w:rPr>
              <w:t>暂存间</w:t>
            </w:r>
            <w:r>
              <w:rPr>
                <w:color w:val="auto"/>
              </w:rPr>
              <w:t>，转运周期按</w:t>
            </w:r>
            <w:r>
              <w:rPr>
                <w:rFonts w:hint="eastAsia"/>
                <w:color w:val="auto"/>
              </w:rPr>
              <w:t>6</w:t>
            </w:r>
            <w:r>
              <w:rPr>
                <w:color w:val="auto"/>
              </w:rPr>
              <w:t>个月设计，仓库面积设计时充分考虑不同种类危废分类堆存所需的额外面积，</w:t>
            </w:r>
            <w:r>
              <w:rPr>
                <w:rFonts w:hint="eastAsia"/>
                <w:color w:val="auto"/>
              </w:rPr>
              <w:t>20</w:t>
            </w:r>
            <w:r>
              <w:rPr>
                <w:color w:val="auto"/>
              </w:rPr>
              <w:t>m</w:t>
            </w:r>
            <w:r>
              <w:rPr>
                <w:color w:val="auto"/>
                <w:vertAlign w:val="superscript"/>
              </w:rPr>
              <w:t>2</w:t>
            </w:r>
            <w:r>
              <w:rPr>
                <w:rFonts w:hint="eastAsia"/>
                <w:color w:val="auto"/>
              </w:rPr>
              <w:t>危险废物</w:t>
            </w:r>
            <w:r>
              <w:rPr>
                <w:color w:val="auto"/>
              </w:rPr>
              <w:t>暂存</w:t>
            </w:r>
            <w:r>
              <w:rPr>
                <w:rFonts w:hint="eastAsia"/>
                <w:color w:val="auto"/>
              </w:rPr>
              <w:t>间</w:t>
            </w:r>
            <w:r>
              <w:rPr>
                <w:color w:val="auto"/>
              </w:rPr>
              <w:t>足够本项目危险废物在厂内的暂存需求。</w:t>
            </w:r>
          </w:p>
          <w:p>
            <w:pPr>
              <w:snapToGrid w:val="0"/>
              <w:spacing w:line="500" w:lineRule="exact"/>
              <w:ind w:firstLine="482"/>
              <w:jc w:val="both"/>
              <w:rPr>
                <w:b/>
                <w:bCs/>
                <w:color w:val="auto"/>
              </w:rPr>
            </w:pPr>
            <w:r>
              <w:rPr>
                <w:rFonts w:hint="eastAsia" w:ascii="宋体" w:hAnsi="宋体" w:cs="宋体"/>
                <w:b/>
                <w:bCs/>
                <w:color w:val="auto"/>
              </w:rPr>
              <w:t>①</w:t>
            </w:r>
            <w:r>
              <w:rPr>
                <w:b/>
                <w:bCs/>
                <w:color w:val="auto"/>
              </w:rPr>
              <w:t>危险废物贮存及管理要求：</w:t>
            </w:r>
          </w:p>
          <w:p>
            <w:pPr>
              <w:snapToGrid w:val="0"/>
              <w:spacing w:line="500" w:lineRule="exact"/>
              <w:ind w:firstLine="480"/>
              <w:jc w:val="both"/>
              <w:rPr>
                <w:color w:val="auto"/>
                <w:szCs w:val="20"/>
                <w:u w:val="single"/>
              </w:rPr>
            </w:pPr>
            <w:r>
              <w:rPr>
                <w:color w:val="auto"/>
                <w:szCs w:val="20"/>
                <w:u w:val="single"/>
              </w:rPr>
              <w:t>（1）贮存设施的选址与设计方面</w:t>
            </w:r>
          </w:p>
          <w:p>
            <w:pPr>
              <w:snapToGrid w:val="0"/>
              <w:spacing w:line="500" w:lineRule="exact"/>
              <w:ind w:firstLine="480"/>
              <w:jc w:val="both"/>
              <w:rPr>
                <w:color w:val="auto"/>
                <w:szCs w:val="20"/>
                <w:u w:val="single"/>
              </w:rPr>
            </w:pPr>
            <w:r>
              <w:rPr>
                <w:rFonts w:hint="eastAsia" w:ascii="宋体" w:hAnsi="宋体" w:cs="宋体"/>
                <w:color w:val="auto"/>
                <w:szCs w:val="20"/>
                <w:u w:val="single"/>
              </w:rPr>
              <w:t>①</w:t>
            </w:r>
            <w:r>
              <w:rPr>
                <w:color w:val="auto"/>
                <w:szCs w:val="20"/>
                <w:u w:val="single"/>
              </w:rPr>
              <w:t>贮存场所及设施底部必须高于地下水最高水位。</w:t>
            </w:r>
          </w:p>
          <w:p>
            <w:pPr>
              <w:snapToGrid w:val="0"/>
              <w:spacing w:line="500" w:lineRule="exact"/>
              <w:ind w:firstLine="480"/>
              <w:jc w:val="both"/>
              <w:rPr>
                <w:color w:val="auto"/>
                <w:szCs w:val="20"/>
                <w:u w:val="single"/>
              </w:rPr>
            </w:pPr>
            <w:r>
              <w:rPr>
                <w:rFonts w:hint="eastAsia" w:ascii="宋体" w:hAnsi="宋体" w:cs="宋体"/>
                <w:color w:val="auto"/>
                <w:szCs w:val="20"/>
                <w:u w:val="single"/>
              </w:rPr>
              <w:t>②</w:t>
            </w:r>
            <w:r>
              <w:rPr>
                <w:color w:val="auto"/>
                <w:szCs w:val="20"/>
                <w:u w:val="single"/>
              </w:rPr>
              <w:t>用以存危险废物容器的地方，必须有耐腐蚀的硬化地面，且表面无裂隙。</w:t>
            </w:r>
          </w:p>
          <w:p>
            <w:pPr>
              <w:snapToGrid w:val="0"/>
              <w:spacing w:line="500" w:lineRule="exact"/>
              <w:ind w:firstLine="480"/>
              <w:jc w:val="both"/>
              <w:rPr>
                <w:color w:val="auto"/>
                <w:szCs w:val="20"/>
                <w:u w:val="single"/>
              </w:rPr>
            </w:pPr>
            <w:r>
              <w:rPr>
                <w:rFonts w:hint="eastAsia" w:ascii="宋体" w:hAnsi="宋体" w:cs="宋体"/>
                <w:color w:val="auto"/>
                <w:szCs w:val="20"/>
                <w:u w:val="single"/>
              </w:rPr>
              <w:t>③</w:t>
            </w:r>
            <w:r>
              <w:rPr>
                <w:color w:val="auto"/>
                <w:szCs w:val="20"/>
                <w:u w:val="single"/>
              </w:rPr>
              <w:t>贮存场所及设施地面与裙脚要用坚固、防渗的材料建造，建筑材料必须与危险废物相容。地面与裙脚要用坚固、防渗的材料建造，底部采用整体砼基础，防止雨水径流进入厂房。厂房外排水沟应保证能防止25年一遇的暴雨不会流到厂房内。厂房地面必需为耐腐蚀的硬化地面，且表面无裂隙，基础必需防渗，人工防渗层厚度需大于2mm，渗透系数≤10×10</w:t>
            </w:r>
            <w:r>
              <w:rPr>
                <w:color w:val="auto"/>
                <w:szCs w:val="20"/>
                <w:u w:val="single"/>
                <w:vertAlign w:val="superscript"/>
              </w:rPr>
              <w:t>-10</w:t>
            </w:r>
            <w:r>
              <w:rPr>
                <w:color w:val="auto"/>
                <w:szCs w:val="20"/>
                <w:u w:val="single"/>
              </w:rPr>
              <w:t>cm/秒。</w:t>
            </w:r>
          </w:p>
          <w:p>
            <w:pPr>
              <w:snapToGrid w:val="0"/>
              <w:spacing w:line="500" w:lineRule="exact"/>
              <w:ind w:firstLine="480"/>
              <w:jc w:val="both"/>
              <w:rPr>
                <w:color w:val="auto"/>
                <w:szCs w:val="20"/>
                <w:u w:val="single"/>
              </w:rPr>
            </w:pPr>
            <w:r>
              <w:rPr>
                <w:rFonts w:hint="eastAsia" w:ascii="宋体" w:hAnsi="宋体" w:cs="宋体"/>
                <w:color w:val="auto"/>
                <w:szCs w:val="20"/>
                <w:u w:val="single"/>
              </w:rPr>
              <w:t>④</w:t>
            </w:r>
            <w:r>
              <w:rPr>
                <w:color w:val="auto"/>
                <w:szCs w:val="20"/>
                <w:u w:val="single"/>
              </w:rPr>
              <w:t>贮存场所及设施应设计堵截泄漏的裙脚，地面与裙脚所围建的容积不低于堵截最大容器的最大储量或总储量的五分之一。</w:t>
            </w:r>
          </w:p>
          <w:p>
            <w:pPr>
              <w:snapToGrid w:val="0"/>
              <w:spacing w:line="500" w:lineRule="exact"/>
              <w:ind w:firstLine="480"/>
              <w:jc w:val="both"/>
              <w:rPr>
                <w:color w:val="auto"/>
                <w:szCs w:val="20"/>
                <w:u w:val="single"/>
              </w:rPr>
            </w:pPr>
            <w:r>
              <w:rPr>
                <w:rFonts w:hint="eastAsia" w:ascii="宋体" w:hAnsi="宋体" w:cs="宋体"/>
                <w:color w:val="auto"/>
                <w:szCs w:val="20"/>
                <w:u w:val="single"/>
              </w:rPr>
              <w:t>⑤</w:t>
            </w:r>
            <w:r>
              <w:rPr>
                <w:color w:val="auto"/>
                <w:szCs w:val="20"/>
                <w:u w:val="single"/>
              </w:rPr>
              <w:t>贮存场所及设施必须有泄漏液体收集装置、气体导出口及气体净化装置。</w:t>
            </w:r>
          </w:p>
          <w:p>
            <w:pPr>
              <w:snapToGrid w:val="0"/>
              <w:spacing w:line="500" w:lineRule="exact"/>
              <w:ind w:firstLine="480"/>
              <w:jc w:val="both"/>
              <w:rPr>
                <w:color w:val="auto"/>
                <w:szCs w:val="20"/>
                <w:u w:val="single"/>
              </w:rPr>
            </w:pPr>
            <w:r>
              <w:rPr>
                <w:rFonts w:hint="eastAsia" w:ascii="宋体" w:hAnsi="宋体" w:cs="宋体"/>
                <w:color w:val="auto"/>
                <w:szCs w:val="20"/>
                <w:u w:val="single"/>
              </w:rPr>
              <w:t>⑥</w:t>
            </w:r>
            <w:r>
              <w:rPr>
                <w:color w:val="auto"/>
                <w:szCs w:val="20"/>
                <w:u w:val="single"/>
              </w:rPr>
              <w:t>贮存场所及设施内要有安全照明设施和观察窗口。</w:t>
            </w:r>
          </w:p>
          <w:p>
            <w:pPr>
              <w:snapToGrid w:val="0"/>
              <w:spacing w:line="500" w:lineRule="exact"/>
              <w:ind w:firstLine="480"/>
              <w:jc w:val="both"/>
              <w:rPr>
                <w:color w:val="auto"/>
                <w:szCs w:val="20"/>
                <w:u w:val="single"/>
              </w:rPr>
            </w:pPr>
            <w:r>
              <w:rPr>
                <w:color w:val="auto"/>
                <w:szCs w:val="20"/>
                <w:u w:val="single"/>
              </w:rPr>
              <w:t>（2）危险废物的堆放</w:t>
            </w:r>
          </w:p>
          <w:p>
            <w:pPr>
              <w:snapToGrid w:val="0"/>
              <w:spacing w:line="500" w:lineRule="exact"/>
              <w:ind w:firstLine="480"/>
              <w:jc w:val="both"/>
              <w:rPr>
                <w:color w:val="auto"/>
                <w:szCs w:val="20"/>
                <w:u w:val="single"/>
              </w:rPr>
            </w:pPr>
            <w:r>
              <w:rPr>
                <w:rFonts w:hint="eastAsia" w:ascii="宋体" w:hAnsi="宋体" w:cs="宋体"/>
                <w:color w:val="auto"/>
                <w:szCs w:val="20"/>
                <w:u w:val="single"/>
              </w:rPr>
              <w:t>①</w:t>
            </w:r>
            <w:r>
              <w:rPr>
                <w:color w:val="auto"/>
                <w:szCs w:val="20"/>
                <w:u w:val="single"/>
              </w:rPr>
              <w:t>基础必须防渗，防渗层为至少1米厚粘土层（渗透系数≤10</w:t>
            </w:r>
            <w:r>
              <w:rPr>
                <w:color w:val="auto"/>
                <w:szCs w:val="20"/>
                <w:u w:val="single"/>
                <w:vertAlign w:val="superscript"/>
              </w:rPr>
              <w:t>-7</w:t>
            </w:r>
            <w:r>
              <w:rPr>
                <w:color w:val="auto"/>
                <w:szCs w:val="20"/>
                <w:u w:val="single"/>
              </w:rPr>
              <w:t>厘米/秒），或2毫米厚高密度聚乙烯，或至少2毫米厚的其它人工材料，渗透系数≤10</w:t>
            </w:r>
            <w:r>
              <w:rPr>
                <w:color w:val="auto"/>
                <w:szCs w:val="20"/>
                <w:u w:val="single"/>
                <w:vertAlign w:val="superscript"/>
              </w:rPr>
              <w:t>-10</w:t>
            </w:r>
            <w:r>
              <w:rPr>
                <w:color w:val="auto"/>
                <w:szCs w:val="20"/>
                <w:u w:val="single"/>
              </w:rPr>
              <w:t>厘米/秒。</w:t>
            </w:r>
          </w:p>
          <w:p>
            <w:pPr>
              <w:snapToGrid w:val="0"/>
              <w:spacing w:line="500" w:lineRule="exact"/>
              <w:ind w:firstLine="480"/>
              <w:jc w:val="both"/>
              <w:rPr>
                <w:color w:val="auto"/>
                <w:szCs w:val="20"/>
                <w:u w:val="single"/>
              </w:rPr>
            </w:pPr>
            <w:r>
              <w:rPr>
                <w:rFonts w:hint="eastAsia" w:ascii="宋体" w:hAnsi="宋体" w:cs="宋体"/>
                <w:color w:val="auto"/>
                <w:szCs w:val="20"/>
                <w:u w:val="single"/>
              </w:rPr>
              <w:t>②</w:t>
            </w:r>
            <w:r>
              <w:rPr>
                <w:color w:val="auto"/>
                <w:szCs w:val="20"/>
                <w:u w:val="single"/>
              </w:rPr>
              <w:t>堆放危险废物的高度应根据地面承载能力确定。</w:t>
            </w:r>
          </w:p>
          <w:p>
            <w:pPr>
              <w:snapToGrid w:val="0"/>
              <w:spacing w:line="500" w:lineRule="exact"/>
              <w:ind w:firstLine="480"/>
              <w:jc w:val="both"/>
              <w:rPr>
                <w:color w:val="auto"/>
                <w:szCs w:val="20"/>
                <w:u w:val="single"/>
              </w:rPr>
            </w:pPr>
            <w:r>
              <w:rPr>
                <w:rFonts w:hint="eastAsia" w:ascii="宋体" w:hAnsi="宋体" w:cs="宋体"/>
                <w:color w:val="auto"/>
                <w:szCs w:val="20"/>
                <w:u w:val="single"/>
              </w:rPr>
              <w:t>③</w:t>
            </w:r>
            <w:r>
              <w:rPr>
                <w:color w:val="auto"/>
                <w:szCs w:val="20"/>
                <w:u w:val="single"/>
              </w:rPr>
              <w:t>衬里放在一个基础或底座上；衬里要能够覆盖危险废物或其溶出物可能涉及到的范围；衬里材料与堆放危险废物相容。</w:t>
            </w:r>
          </w:p>
          <w:p>
            <w:pPr>
              <w:snapToGrid w:val="0"/>
              <w:spacing w:line="500" w:lineRule="exact"/>
              <w:ind w:firstLine="480"/>
              <w:jc w:val="both"/>
              <w:rPr>
                <w:color w:val="auto"/>
                <w:szCs w:val="20"/>
                <w:u w:val="single"/>
              </w:rPr>
            </w:pPr>
            <w:r>
              <w:rPr>
                <w:rFonts w:hint="eastAsia" w:ascii="宋体" w:hAnsi="宋体" w:cs="宋体"/>
                <w:color w:val="auto"/>
                <w:szCs w:val="20"/>
                <w:u w:val="single"/>
              </w:rPr>
              <w:t>④</w:t>
            </w:r>
            <w:r>
              <w:rPr>
                <w:color w:val="auto"/>
                <w:szCs w:val="20"/>
                <w:u w:val="single"/>
              </w:rPr>
              <w:t>在衬里上设计、建造浸出液收集清除系统；应设计建造径流疏导系统，保证能防止25年一遇的暴雨不会流到危险废物堆里。</w:t>
            </w:r>
          </w:p>
          <w:p>
            <w:pPr>
              <w:snapToGrid w:val="0"/>
              <w:spacing w:line="500" w:lineRule="exact"/>
              <w:ind w:firstLine="480"/>
              <w:jc w:val="both"/>
              <w:rPr>
                <w:color w:val="auto"/>
                <w:szCs w:val="20"/>
                <w:u w:val="single"/>
              </w:rPr>
            </w:pPr>
            <w:r>
              <w:rPr>
                <w:color w:val="auto"/>
                <w:szCs w:val="20"/>
                <w:u w:val="single"/>
              </w:rPr>
              <w:t>（3）贮存设施的安全防护方面</w:t>
            </w:r>
          </w:p>
          <w:p>
            <w:pPr>
              <w:snapToGrid w:val="0"/>
              <w:spacing w:line="500" w:lineRule="exact"/>
              <w:ind w:firstLine="480"/>
              <w:jc w:val="both"/>
              <w:rPr>
                <w:color w:val="auto"/>
                <w:szCs w:val="20"/>
                <w:u w:val="single"/>
              </w:rPr>
            </w:pPr>
            <w:r>
              <w:rPr>
                <w:rFonts w:hint="eastAsia" w:ascii="宋体" w:hAnsi="宋体" w:cs="宋体"/>
                <w:color w:val="auto"/>
                <w:szCs w:val="20"/>
                <w:u w:val="single"/>
              </w:rPr>
              <w:t>①</w:t>
            </w:r>
            <w:r>
              <w:rPr>
                <w:color w:val="auto"/>
                <w:szCs w:val="20"/>
                <w:u w:val="single"/>
              </w:rPr>
              <w:t>贮存设施都必须按《环境保护图形标志-固体废物贮存（处置）场》（GB15562.2-1995）的规定设置警示标志。</w:t>
            </w:r>
          </w:p>
          <w:p>
            <w:pPr>
              <w:snapToGrid w:val="0"/>
              <w:spacing w:line="500" w:lineRule="exact"/>
              <w:ind w:firstLine="480"/>
              <w:jc w:val="both"/>
              <w:rPr>
                <w:color w:val="auto"/>
                <w:szCs w:val="20"/>
                <w:u w:val="single"/>
              </w:rPr>
            </w:pPr>
            <w:r>
              <w:rPr>
                <w:rFonts w:hint="eastAsia" w:ascii="宋体" w:hAnsi="宋体" w:cs="宋体"/>
                <w:color w:val="auto"/>
                <w:szCs w:val="20"/>
                <w:u w:val="single"/>
              </w:rPr>
              <w:t>②</w:t>
            </w:r>
            <w:r>
              <w:rPr>
                <w:color w:val="auto"/>
                <w:szCs w:val="20"/>
                <w:u w:val="single"/>
              </w:rPr>
              <w:t>贮存场所及设施周围应设置围墙或其它防护栅栏。</w:t>
            </w:r>
          </w:p>
          <w:p>
            <w:pPr>
              <w:snapToGrid w:val="0"/>
              <w:spacing w:line="500" w:lineRule="exact"/>
              <w:ind w:firstLine="480"/>
              <w:jc w:val="both"/>
              <w:rPr>
                <w:color w:val="auto"/>
                <w:szCs w:val="20"/>
                <w:u w:val="single"/>
              </w:rPr>
            </w:pPr>
            <w:r>
              <w:rPr>
                <w:rFonts w:hint="eastAsia" w:ascii="宋体" w:hAnsi="宋体" w:cs="宋体"/>
                <w:color w:val="auto"/>
                <w:szCs w:val="20"/>
                <w:u w:val="single"/>
              </w:rPr>
              <w:t>③</w:t>
            </w:r>
            <w:r>
              <w:rPr>
                <w:color w:val="auto"/>
                <w:szCs w:val="20"/>
                <w:u w:val="single"/>
              </w:rPr>
              <w:t>贮存场所及设施应配备通讯设备、照明设施、安全防护服装及工具，并设有应急防护设施。</w:t>
            </w:r>
          </w:p>
          <w:p>
            <w:pPr>
              <w:snapToGrid w:val="0"/>
              <w:spacing w:line="500" w:lineRule="exact"/>
              <w:ind w:firstLine="480"/>
              <w:jc w:val="both"/>
              <w:rPr>
                <w:color w:val="auto"/>
                <w:szCs w:val="20"/>
              </w:rPr>
            </w:pPr>
            <w:r>
              <w:rPr>
                <w:rFonts w:hint="eastAsia" w:ascii="宋体" w:hAnsi="宋体" w:cs="宋体"/>
                <w:color w:val="auto"/>
                <w:szCs w:val="20"/>
                <w:u w:val="single"/>
              </w:rPr>
              <w:t>④</w:t>
            </w:r>
            <w:r>
              <w:rPr>
                <w:color w:val="auto"/>
                <w:szCs w:val="20"/>
                <w:u w:val="single"/>
              </w:rPr>
              <w:t>贮存场所及设施内清理出来的泄漏物，一律按危险废物处理。</w:t>
            </w:r>
          </w:p>
          <w:p>
            <w:pPr>
              <w:pStyle w:val="2"/>
              <w:ind w:left="0" w:leftChars="0" w:firstLine="480"/>
              <w:rPr>
                <w:color w:val="auto"/>
                <w:szCs w:val="20"/>
                <w:u w:val="single"/>
              </w:rPr>
            </w:pPr>
            <w:r>
              <w:rPr>
                <w:rFonts w:hint="eastAsia"/>
                <w:color w:val="auto"/>
                <w:szCs w:val="20"/>
                <w:u w:val="single"/>
              </w:rPr>
              <w:t>（4）</w:t>
            </w:r>
            <w:r>
              <w:rPr>
                <w:color w:val="auto"/>
                <w:szCs w:val="20"/>
                <w:u w:val="single"/>
              </w:rPr>
              <w:t>贮存场所（设施）污染防治措施</w:t>
            </w:r>
          </w:p>
          <w:p>
            <w:pPr>
              <w:pStyle w:val="2"/>
              <w:ind w:left="0" w:leftChars="0" w:firstLine="0" w:firstLineChars="0"/>
              <w:jc w:val="center"/>
              <w:rPr>
                <w:b/>
                <w:bCs/>
                <w:color w:val="auto"/>
                <w:szCs w:val="20"/>
                <w:u w:val="single"/>
              </w:rPr>
            </w:pPr>
            <w:r>
              <w:rPr>
                <w:rFonts w:hint="eastAsia"/>
                <w:b/>
                <w:bCs/>
                <w:color w:val="auto"/>
                <w:szCs w:val="20"/>
                <w:u w:val="single"/>
              </w:rPr>
              <w:t>表7-15   建设项目危险废物贮存场所（设施）基本情况表</w:t>
            </w:r>
          </w:p>
          <w:tbl>
            <w:tblPr>
              <w:tblStyle w:val="25"/>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15"/>
              <w:gridCol w:w="1223"/>
              <w:gridCol w:w="877"/>
              <w:gridCol w:w="1144"/>
              <w:gridCol w:w="974"/>
              <w:gridCol w:w="1217"/>
              <w:gridCol w:w="731"/>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0"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序号</w:t>
                  </w:r>
                </w:p>
              </w:tc>
              <w:tc>
                <w:tcPr>
                  <w:tcW w:w="715"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贮存场所</w:t>
                  </w:r>
                </w:p>
              </w:tc>
              <w:tc>
                <w:tcPr>
                  <w:tcW w:w="1223"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危废名称</w:t>
                  </w:r>
                </w:p>
              </w:tc>
              <w:tc>
                <w:tcPr>
                  <w:tcW w:w="877"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危废类别</w:t>
                  </w:r>
                </w:p>
              </w:tc>
              <w:tc>
                <w:tcPr>
                  <w:tcW w:w="1144"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危废代码</w:t>
                  </w:r>
                </w:p>
              </w:tc>
              <w:tc>
                <w:tcPr>
                  <w:tcW w:w="974"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占地面积</w:t>
                  </w:r>
                </w:p>
              </w:tc>
              <w:tc>
                <w:tcPr>
                  <w:tcW w:w="1217"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贮存方式</w:t>
                  </w:r>
                </w:p>
              </w:tc>
              <w:tc>
                <w:tcPr>
                  <w:tcW w:w="731"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贮存能力</w:t>
                  </w:r>
                </w:p>
              </w:tc>
              <w:tc>
                <w:tcPr>
                  <w:tcW w:w="974" w:type="dxa"/>
                  <w:shd w:val="clear" w:color="auto" w:fill="auto"/>
                  <w:vAlign w:val="center"/>
                </w:tcPr>
                <w:p>
                  <w:pPr>
                    <w:adjustRightInd w:val="0"/>
                    <w:snapToGrid w:val="0"/>
                    <w:spacing w:line="240" w:lineRule="auto"/>
                    <w:ind w:firstLine="0" w:firstLineChars="0"/>
                    <w:jc w:val="center"/>
                    <w:rPr>
                      <w:b/>
                      <w:bCs/>
                      <w:color w:val="auto"/>
                      <w:kern w:val="0"/>
                      <w:sz w:val="21"/>
                      <w:szCs w:val="21"/>
                      <w:u w:val="single"/>
                    </w:rPr>
                  </w:pPr>
                  <w:r>
                    <w:rPr>
                      <w:rFonts w:hint="eastAsia"/>
                      <w:b/>
                      <w:bCs/>
                      <w:color w:val="auto"/>
                      <w:kern w:val="0"/>
                      <w:sz w:val="21"/>
                      <w:szCs w:val="21"/>
                      <w:u w:val="single"/>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0"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1</w:t>
                  </w:r>
                </w:p>
              </w:tc>
              <w:tc>
                <w:tcPr>
                  <w:tcW w:w="715" w:type="dxa"/>
                  <w:vMerge w:val="restart"/>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危废暂存间</w:t>
                  </w:r>
                </w:p>
              </w:tc>
              <w:tc>
                <w:tcPr>
                  <w:tcW w:w="1223"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废油墨桶与胶桶</w:t>
                  </w:r>
                </w:p>
              </w:tc>
              <w:tc>
                <w:tcPr>
                  <w:tcW w:w="87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HW49</w:t>
                  </w:r>
                </w:p>
              </w:tc>
              <w:tc>
                <w:tcPr>
                  <w:tcW w:w="1144"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ascii="TimesNewRomanPSMT" w:hAnsi="TimesNewRomanPSMT" w:eastAsia="TimesNewRomanPSMT" w:cs="TimesNewRomanPSMT"/>
                      <w:color w:val="auto"/>
                      <w:kern w:val="0"/>
                      <w:sz w:val="21"/>
                      <w:szCs w:val="21"/>
                    </w:rPr>
                    <w:t>900-041-49</w:t>
                  </w:r>
                </w:p>
              </w:tc>
              <w:tc>
                <w:tcPr>
                  <w:tcW w:w="974" w:type="dxa"/>
                  <w:vMerge w:val="restart"/>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10m</w:t>
                  </w:r>
                  <w:r>
                    <w:rPr>
                      <w:rFonts w:hint="eastAsia"/>
                      <w:color w:val="auto"/>
                      <w:kern w:val="0"/>
                      <w:sz w:val="21"/>
                      <w:szCs w:val="21"/>
                      <w:u w:val="single"/>
                      <w:vertAlign w:val="superscript"/>
                    </w:rPr>
                    <w:t>2</w:t>
                  </w:r>
                </w:p>
              </w:tc>
              <w:tc>
                <w:tcPr>
                  <w:tcW w:w="121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压缩打包</w:t>
                  </w:r>
                </w:p>
              </w:tc>
              <w:tc>
                <w:tcPr>
                  <w:tcW w:w="731"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2t</w:t>
                  </w:r>
                </w:p>
              </w:tc>
              <w:tc>
                <w:tcPr>
                  <w:tcW w:w="974"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lang w:val="en-US" w:eastAsia="zh-CN"/>
                    </w:rPr>
                    <w:t>3</w:t>
                  </w:r>
                  <w:r>
                    <w:rPr>
                      <w:rFonts w:hint="eastAsia"/>
                      <w:color w:val="auto"/>
                      <w:kern w:val="0"/>
                      <w:sz w:val="21"/>
                      <w:szCs w:val="21"/>
                      <w:u w:val="single"/>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0"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2</w:t>
                  </w:r>
                </w:p>
              </w:tc>
              <w:tc>
                <w:tcPr>
                  <w:tcW w:w="715" w:type="dxa"/>
                  <w:vMerge w:val="continue"/>
                  <w:shd w:val="clear" w:color="auto" w:fill="auto"/>
                  <w:vAlign w:val="center"/>
                </w:tcPr>
                <w:p>
                  <w:pPr>
                    <w:adjustRightInd w:val="0"/>
                    <w:snapToGrid w:val="0"/>
                    <w:spacing w:line="240" w:lineRule="auto"/>
                    <w:ind w:firstLine="0" w:firstLineChars="0"/>
                    <w:jc w:val="center"/>
                    <w:rPr>
                      <w:color w:val="auto"/>
                      <w:kern w:val="0"/>
                      <w:sz w:val="21"/>
                      <w:szCs w:val="21"/>
                      <w:u w:val="single"/>
                    </w:rPr>
                  </w:pPr>
                </w:p>
              </w:tc>
              <w:tc>
                <w:tcPr>
                  <w:tcW w:w="1223"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废活性炭</w:t>
                  </w:r>
                </w:p>
              </w:tc>
              <w:tc>
                <w:tcPr>
                  <w:tcW w:w="87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HW49</w:t>
                  </w:r>
                </w:p>
              </w:tc>
              <w:tc>
                <w:tcPr>
                  <w:tcW w:w="1144"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ascii="TimesNewRomanPSMT" w:hAnsi="TimesNewRomanPSMT" w:eastAsia="TimesNewRomanPSMT" w:cs="TimesNewRomanPSMT"/>
                      <w:color w:val="auto"/>
                      <w:kern w:val="0"/>
                      <w:sz w:val="21"/>
                      <w:szCs w:val="21"/>
                    </w:rPr>
                    <w:t>900-041-49</w:t>
                  </w:r>
                </w:p>
              </w:tc>
              <w:tc>
                <w:tcPr>
                  <w:tcW w:w="974" w:type="dxa"/>
                  <w:vMerge w:val="continue"/>
                  <w:shd w:val="clear" w:color="auto" w:fill="auto"/>
                  <w:vAlign w:val="center"/>
                </w:tcPr>
                <w:p>
                  <w:pPr>
                    <w:adjustRightInd w:val="0"/>
                    <w:snapToGrid w:val="0"/>
                    <w:spacing w:line="240" w:lineRule="auto"/>
                    <w:ind w:firstLine="0" w:firstLineChars="0"/>
                    <w:jc w:val="center"/>
                    <w:rPr>
                      <w:color w:val="auto"/>
                      <w:kern w:val="0"/>
                      <w:sz w:val="21"/>
                      <w:szCs w:val="21"/>
                      <w:u w:val="single"/>
                    </w:rPr>
                  </w:pPr>
                </w:p>
              </w:tc>
              <w:tc>
                <w:tcPr>
                  <w:tcW w:w="121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包装袋包装</w:t>
                  </w:r>
                </w:p>
              </w:tc>
              <w:tc>
                <w:tcPr>
                  <w:tcW w:w="731"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1t</w:t>
                  </w:r>
                </w:p>
              </w:tc>
              <w:tc>
                <w:tcPr>
                  <w:tcW w:w="974" w:type="dxa"/>
                  <w:shd w:val="clear" w:color="auto" w:fill="auto"/>
                  <w:vAlign w:val="center"/>
                </w:tcPr>
                <w:p>
                  <w:pPr>
                    <w:adjustRightInd w:val="0"/>
                    <w:snapToGrid w:val="0"/>
                    <w:spacing w:line="240" w:lineRule="auto"/>
                    <w:ind w:firstLine="0" w:firstLineChars="0"/>
                    <w:jc w:val="both"/>
                    <w:rPr>
                      <w:color w:val="auto"/>
                      <w:kern w:val="0"/>
                      <w:sz w:val="21"/>
                      <w:szCs w:val="21"/>
                      <w:u w:val="single"/>
                    </w:rPr>
                  </w:pPr>
                  <w:r>
                    <w:rPr>
                      <w:rFonts w:hint="eastAsia"/>
                      <w:color w:val="auto"/>
                      <w:kern w:val="0"/>
                      <w:sz w:val="21"/>
                      <w:szCs w:val="21"/>
                      <w:u w:val="single"/>
                      <w:lang w:val="en-US" w:eastAsia="zh-CN"/>
                    </w:rPr>
                    <w:t>3</w:t>
                  </w:r>
                  <w:r>
                    <w:rPr>
                      <w:rFonts w:hint="eastAsia"/>
                      <w:color w:val="auto"/>
                      <w:kern w:val="0"/>
                      <w:sz w:val="21"/>
                      <w:szCs w:val="21"/>
                      <w:u w:val="single"/>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0"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3</w:t>
                  </w:r>
                </w:p>
              </w:tc>
              <w:tc>
                <w:tcPr>
                  <w:tcW w:w="715" w:type="dxa"/>
                  <w:vMerge w:val="continue"/>
                  <w:shd w:val="clear" w:color="auto" w:fill="auto"/>
                  <w:vAlign w:val="center"/>
                </w:tcPr>
                <w:p>
                  <w:pPr>
                    <w:adjustRightInd w:val="0"/>
                    <w:snapToGrid w:val="0"/>
                    <w:spacing w:line="240" w:lineRule="auto"/>
                    <w:ind w:firstLine="0" w:firstLineChars="0"/>
                    <w:jc w:val="center"/>
                    <w:rPr>
                      <w:color w:val="auto"/>
                      <w:kern w:val="0"/>
                      <w:sz w:val="21"/>
                      <w:szCs w:val="21"/>
                      <w:u w:val="single"/>
                    </w:rPr>
                  </w:pPr>
                </w:p>
              </w:tc>
              <w:tc>
                <w:tcPr>
                  <w:tcW w:w="1223"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洗版废液</w:t>
                  </w:r>
                </w:p>
              </w:tc>
              <w:tc>
                <w:tcPr>
                  <w:tcW w:w="87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HW06</w:t>
                  </w:r>
                </w:p>
              </w:tc>
              <w:tc>
                <w:tcPr>
                  <w:tcW w:w="1144"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bCs/>
                      <w:color w:val="auto"/>
                      <w:u w:val="single"/>
                    </w:rPr>
                    <w:t>900-403-06</w:t>
                  </w:r>
                </w:p>
              </w:tc>
              <w:tc>
                <w:tcPr>
                  <w:tcW w:w="974" w:type="dxa"/>
                  <w:vMerge w:val="continue"/>
                  <w:shd w:val="clear" w:color="auto" w:fill="auto"/>
                  <w:vAlign w:val="center"/>
                </w:tcPr>
                <w:p>
                  <w:pPr>
                    <w:adjustRightInd w:val="0"/>
                    <w:snapToGrid w:val="0"/>
                    <w:spacing w:line="240" w:lineRule="auto"/>
                    <w:ind w:firstLine="0" w:firstLineChars="0"/>
                    <w:jc w:val="center"/>
                    <w:rPr>
                      <w:color w:val="auto"/>
                      <w:kern w:val="0"/>
                      <w:sz w:val="21"/>
                      <w:szCs w:val="21"/>
                      <w:u w:val="single"/>
                    </w:rPr>
                  </w:pPr>
                </w:p>
              </w:tc>
              <w:tc>
                <w:tcPr>
                  <w:tcW w:w="121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容器盛装</w:t>
                  </w:r>
                </w:p>
              </w:tc>
              <w:tc>
                <w:tcPr>
                  <w:tcW w:w="731"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1t</w:t>
                  </w:r>
                </w:p>
              </w:tc>
              <w:tc>
                <w:tcPr>
                  <w:tcW w:w="974" w:type="dxa"/>
                  <w:shd w:val="clear" w:color="auto" w:fill="auto"/>
                  <w:vAlign w:val="center"/>
                </w:tcPr>
                <w:p>
                  <w:pPr>
                    <w:adjustRightInd w:val="0"/>
                    <w:snapToGrid w:val="0"/>
                    <w:spacing w:line="240" w:lineRule="auto"/>
                    <w:ind w:firstLine="0" w:firstLineChars="0"/>
                    <w:jc w:val="both"/>
                    <w:rPr>
                      <w:color w:val="auto"/>
                      <w:kern w:val="0"/>
                      <w:sz w:val="21"/>
                      <w:szCs w:val="21"/>
                      <w:u w:val="single"/>
                    </w:rPr>
                  </w:pPr>
                  <w:r>
                    <w:rPr>
                      <w:rFonts w:hint="eastAsia"/>
                      <w:color w:val="auto"/>
                      <w:kern w:val="0"/>
                      <w:sz w:val="21"/>
                      <w:szCs w:val="21"/>
                      <w:u w:val="single"/>
                      <w:lang w:val="en-US" w:eastAsia="zh-CN"/>
                    </w:rPr>
                    <w:t>3</w:t>
                  </w:r>
                  <w:r>
                    <w:rPr>
                      <w:rFonts w:hint="eastAsia"/>
                      <w:color w:val="auto"/>
                      <w:kern w:val="0"/>
                      <w:sz w:val="21"/>
                      <w:szCs w:val="21"/>
                      <w:u w:val="single"/>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0"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4</w:t>
                  </w:r>
                </w:p>
              </w:tc>
              <w:tc>
                <w:tcPr>
                  <w:tcW w:w="715" w:type="dxa"/>
                  <w:vMerge w:val="continue"/>
                  <w:shd w:val="clear" w:color="auto" w:fill="auto"/>
                  <w:vAlign w:val="center"/>
                </w:tcPr>
                <w:p>
                  <w:pPr>
                    <w:adjustRightInd w:val="0"/>
                    <w:snapToGrid w:val="0"/>
                    <w:spacing w:line="240" w:lineRule="auto"/>
                    <w:ind w:firstLine="0" w:firstLineChars="0"/>
                    <w:jc w:val="center"/>
                    <w:rPr>
                      <w:color w:val="auto"/>
                      <w:kern w:val="0"/>
                      <w:sz w:val="21"/>
                      <w:szCs w:val="21"/>
                      <w:u w:val="single"/>
                    </w:rPr>
                  </w:pPr>
                </w:p>
              </w:tc>
              <w:tc>
                <w:tcPr>
                  <w:tcW w:w="1223"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废催化剂</w:t>
                  </w:r>
                </w:p>
              </w:tc>
              <w:tc>
                <w:tcPr>
                  <w:tcW w:w="87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w:t>
                  </w:r>
                </w:p>
              </w:tc>
              <w:tc>
                <w:tcPr>
                  <w:tcW w:w="1144"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w:t>
                  </w:r>
                </w:p>
              </w:tc>
              <w:tc>
                <w:tcPr>
                  <w:tcW w:w="974" w:type="dxa"/>
                  <w:vMerge w:val="continue"/>
                  <w:shd w:val="clear" w:color="auto" w:fill="auto"/>
                  <w:vAlign w:val="center"/>
                </w:tcPr>
                <w:p>
                  <w:pPr>
                    <w:adjustRightInd w:val="0"/>
                    <w:snapToGrid w:val="0"/>
                    <w:spacing w:line="240" w:lineRule="auto"/>
                    <w:ind w:firstLine="0" w:firstLineChars="0"/>
                    <w:jc w:val="center"/>
                    <w:rPr>
                      <w:color w:val="auto"/>
                      <w:kern w:val="0"/>
                      <w:sz w:val="21"/>
                      <w:szCs w:val="21"/>
                      <w:u w:val="single"/>
                    </w:rPr>
                  </w:pPr>
                </w:p>
              </w:tc>
              <w:tc>
                <w:tcPr>
                  <w:tcW w:w="121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容器盛装</w:t>
                  </w:r>
                </w:p>
              </w:tc>
              <w:tc>
                <w:tcPr>
                  <w:tcW w:w="731"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4t</w:t>
                  </w:r>
                </w:p>
              </w:tc>
              <w:tc>
                <w:tcPr>
                  <w:tcW w:w="974" w:type="dxa"/>
                  <w:shd w:val="clear" w:color="auto" w:fill="auto"/>
                  <w:vAlign w:val="center"/>
                </w:tcPr>
                <w:p>
                  <w:pPr>
                    <w:adjustRightInd w:val="0"/>
                    <w:snapToGrid w:val="0"/>
                    <w:spacing w:line="240" w:lineRule="auto"/>
                    <w:ind w:firstLine="0" w:firstLineChars="0"/>
                    <w:jc w:val="both"/>
                    <w:rPr>
                      <w:color w:val="auto"/>
                      <w:kern w:val="0"/>
                      <w:sz w:val="21"/>
                      <w:szCs w:val="21"/>
                      <w:u w:val="single"/>
                    </w:rPr>
                  </w:pPr>
                  <w:r>
                    <w:rPr>
                      <w:rFonts w:hint="eastAsia"/>
                      <w:color w:val="auto"/>
                      <w:kern w:val="0"/>
                      <w:sz w:val="21"/>
                      <w:szCs w:val="21"/>
                      <w:u w:val="single"/>
                      <w:lang w:val="en-US" w:eastAsia="zh-CN"/>
                    </w:rPr>
                    <w:t>3</w:t>
                  </w:r>
                  <w:r>
                    <w:rPr>
                      <w:rFonts w:hint="eastAsia"/>
                      <w:color w:val="auto"/>
                      <w:kern w:val="0"/>
                      <w:sz w:val="21"/>
                      <w:szCs w:val="21"/>
                      <w:u w:val="single"/>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0"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5</w:t>
                  </w:r>
                </w:p>
              </w:tc>
              <w:tc>
                <w:tcPr>
                  <w:tcW w:w="715" w:type="dxa"/>
                  <w:vMerge w:val="continue"/>
                  <w:shd w:val="clear" w:color="auto" w:fill="auto"/>
                  <w:vAlign w:val="center"/>
                </w:tcPr>
                <w:p>
                  <w:pPr>
                    <w:adjustRightInd w:val="0"/>
                    <w:snapToGrid w:val="0"/>
                    <w:spacing w:line="240" w:lineRule="auto"/>
                    <w:ind w:firstLine="0" w:firstLineChars="0"/>
                    <w:jc w:val="center"/>
                    <w:rPr>
                      <w:color w:val="auto"/>
                      <w:kern w:val="0"/>
                      <w:sz w:val="21"/>
                      <w:szCs w:val="21"/>
                      <w:u w:val="single"/>
                    </w:rPr>
                  </w:pPr>
                </w:p>
              </w:tc>
              <w:tc>
                <w:tcPr>
                  <w:tcW w:w="1223"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废抹布与手套</w:t>
                  </w:r>
                </w:p>
              </w:tc>
              <w:tc>
                <w:tcPr>
                  <w:tcW w:w="87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HW49</w:t>
                  </w:r>
                </w:p>
              </w:tc>
              <w:tc>
                <w:tcPr>
                  <w:tcW w:w="1144"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ascii="TimesNewRomanPSMT" w:hAnsi="TimesNewRomanPSMT" w:eastAsia="TimesNewRomanPSMT" w:cs="TimesNewRomanPSMT"/>
                      <w:color w:val="auto"/>
                      <w:kern w:val="0"/>
                      <w:sz w:val="21"/>
                      <w:szCs w:val="21"/>
                    </w:rPr>
                    <w:t>900-041-49</w:t>
                  </w:r>
                </w:p>
              </w:tc>
              <w:tc>
                <w:tcPr>
                  <w:tcW w:w="974" w:type="dxa"/>
                  <w:vMerge w:val="continue"/>
                  <w:shd w:val="clear" w:color="auto" w:fill="auto"/>
                  <w:vAlign w:val="center"/>
                </w:tcPr>
                <w:p>
                  <w:pPr>
                    <w:adjustRightInd w:val="0"/>
                    <w:snapToGrid w:val="0"/>
                    <w:spacing w:line="240" w:lineRule="auto"/>
                    <w:ind w:firstLine="0" w:firstLineChars="0"/>
                    <w:jc w:val="center"/>
                    <w:rPr>
                      <w:color w:val="auto"/>
                      <w:kern w:val="0"/>
                      <w:sz w:val="21"/>
                      <w:szCs w:val="21"/>
                      <w:u w:val="single"/>
                    </w:rPr>
                  </w:pPr>
                </w:p>
              </w:tc>
              <w:tc>
                <w:tcPr>
                  <w:tcW w:w="1217"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容器盛装</w:t>
                  </w:r>
                </w:p>
              </w:tc>
              <w:tc>
                <w:tcPr>
                  <w:tcW w:w="731" w:type="dxa"/>
                  <w:shd w:val="clear" w:color="auto" w:fill="auto"/>
                  <w:vAlign w:val="center"/>
                </w:tcPr>
                <w:p>
                  <w:pPr>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1t</w:t>
                  </w:r>
                </w:p>
              </w:tc>
              <w:tc>
                <w:tcPr>
                  <w:tcW w:w="974" w:type="dxa"/>
                  <w:shd w:val="clear" w:color="auto" w:fill="auto"/>
                  <w:vAlign w:val="center"/>
                </w:tcPr>
                <w:p>
                  <w:pPr>
                    <w:adjustRightInd w:val="0"/>
                    <w:snapToGrid w:val="0"/>
                    <w:spacing w:line="240" w:lineRule="auto"/>
                    <w:ind w:firstLine="0" w:firstLineChars="0"/>
                    <w:jc w:val="both"/>
                    <w:rPr>
                      <w:color w:val="auto"/>
                      <w:kern w:val="0"/>
                      <w:sz w:val="21"/>
                      <w:szCs w:val="21"/>
                      <w:u w:val="single"/>
                    </w:rPr>
                  </w:pPr>
                  <w:r>
                    <w:rPr>
                      <w:rFonts w:hint="eastAsia"/>
                      <w:color w:val="auto"/>
                      <w:kern w:val="0"/>
                      <w:sz w:val="21"/>
                      <w:szCs w:val="21"/>
                      <w:u w:val="single"/>
                      <w:lang w:val="en-US" w:eastAsia="zh-CN"/>
                    </w:rPr>
                    <w:t>3</w:t>
                  </w:r>
                  <w:r>
                    <w:rPr>
                      <w:rFonts w:hint="eastAsia"/>
                      <w:color w:val="auto"/>
                      <w:kern w:val="0"/>
                      <w:sz w:val="21"/>
                      <w:szCs w:val="21"/>
                      <w:u w:val="single"/>
                    </w:rPr>
                    <w:t>个月</w:t>
                  </w:r>
                </w:p>
              </w:tc>
            </w:tr>
          </w:tbl>
          <w:p>
            <w:pPr>
              <w:snapToGrid w:val="0"/>
              <w:spacing w:line="500" w:lineRule="exact"/>
              <w:ind w:firstLine="480"/>
              <w:jc w:val="both"/>
              <w:rPr>
                <w:color w:val="auto"/>
                <w:szCs w:val="20"/>
              </w:rPr>
            </w:pPr>
            <w:r>
              <w:rPr>
                <w:color w:val="auto"/>
                <w:szCs w:val="20"/>
              </w:rPr>
              <w:t>（4）运行管理</w:t>
            </w:r>
          </w:p>
          <w:p>
            <w:pPr>
              <w:snapToGrid w:val="0"/>
              <w:spacing w:line="500" w:lineRule="exact"/>
              <w:ind w:firstLine="480"/>
              <w:jc w:val="both"/>
              <w:rPr>
                <w:bCs/>
                <w:color w:val="auto"/>
              </w:rPr>
            </w:pPr>
            <w:r>
              <w:rPr>
                <w:bCs/>
                <w:color w:val="auto"/>
              </w:rPr>
              <w:t>日常生产管理过程中须作好危险废物情况的记录，记录上须注明危险废物的名称、来源、数量、特性和包装容器的类别、入库日期、存放库位、废物出库日期及接收单位名称。</w:t>
            </w:r>
          </w:p>
          <w:p>
            <w:pPr>
              <w:adjustRightInd w:val="0"/>
              <w:snapToGrid w:val="0"/>
              <w:spacing w:line="500" w:lineRule="exact"/>
              <w:ind w:firstLine="480"/>
              <w:rPr>
                <w:bCs/>
                <w:color w:val="auto"/>
              </w:rPr>
            </w:pPr>
            <w:r>
              <w:rPr>
                <w:bCs/>
                <w:color w:val="auto"/>
              </w:rPr>
              <w:t>危险废物的记录和货单在危险废物回取后应继续保留三年。</w:t>
            </w:r>
          </w:p>
          <w:p>
            <w:pPr>
              <w:snapToGrid w:val="0"/>
              <w:spacing w:line="500" w:lineRule="exact"/>
              <w:ind w:firstLine="480"/>
              <w:jc w:val="both"/>
              <w:rPr>
                <w:color w:val="auto"/>
                <w:szCs w:val="20"/>
              </w:rPr>
            </w:pPr>
            <w:r>
              <w:rPr>
                <w:bCs/>
                <w:color w:val="auto"/>
              </w:rPr>
              <w:t>厂区内危险固废的收集、暂存及运输必须严格遵守《危险废物贮存污染控制标准》(GB 18597-2001)</w:t>
            </w:r>
            <w:r>
              <w:rPr>
                <w:rFonts w:hint="default" w:ascii="Times New Roman" w:hAnsi="Times New Roman" w:eastAsia="宋体" w:cs="Times New Roman"/>
                <w:color w:val="auto"/>
                <w:sz w:val="24"/>
                <w:highlight w:val="none"/>
                <w:u w:val="none"/>
              </w:rPr>
              <w:t>及</w:t>
            </w:r>
            <w:r>
              <w:rPr>
                <w:rFonts w:hint="default" w:ascii="Times New Roman" w:hAnsi="Times New Roman" w:cs="Times New Roman"/>
                <w:color w:val="auto"/>
                <w:sz w:val="24"/>
                <w:highlight w:val="none"/>
                <w:u w:val="none"/>
                <w:lang w:val="en-US" w:eastAsia="zh-CN"/>
              </w:rPr>
              <w:t>2</w:t>
            </w:r>
            <w:r>
              <w:rPr>
                <w:rFonts w:hint="default" w:ascii="Times New Roman" w:hAnsi="Times New Roman" w:eastAsia="宋体" w:cs="Times New Roman"/>
                <w:color w:val="auto"/>
                <w:sz w:val="24"/>
                <w:highlight w:val="none"/>
                <w:u w:val="none"/>
              </w:rPr>
              <w:t>013修改单中的相关要求</w:t>
            </w:r>
            <w:r>
              <w:rPr>
                <w:bCs/>
                <w:color w:val="auto"/>
              </w:rPr>
              <w:t>、</w:t>
            </w:r>
            <w:r>
              <w:rPr>
                <w:color w:val="auto"/>
              </w:rPr>
              <w:t>《危险废物收集、贮存、运输技术规范》（HJ2025-2012）和《危险废物转移联单管理办法》中各项要求，并按照相关要求办理备案手续。</w:t>
            </w:r>
          </w:p>
          <w:p>
            <w:pPr>
              <w:snapToGrid w:val="0"/>
              <w:spacing w:line="500" w:lineRule="exact"/>
              <w:ind w:firstLine="480"/>
              <w:jc w:val="both"/>
              <w:rPr>
                <w:color w:val="auto"/>
              </w:rPr>
            </w:pPr>
            <w:r>
              <w:rPr>
                <w:color w:val="auto"/>
              </w:rPr>
              <w:t>将危险废物的实际产生、贮存、利用、处置等情况纳入生产记录，建立危险废物管理台账和企业内部产生和收集、贮存、转移等部门危险废物交接制度。</w:t>
            </w:r>
          </w:p>
          <w:p>
            <w:pPr>
              <w:snapToGrid w:val="0"/>
              <w:spacing w:line="500" w:lineRule="exact"/>
              <w:ind w:firstLine="480"/>
              <w:jc w:val="both"/>
              <w:rPr>
                <w:color w:val="auto"/>
              </w:rPr>
            </w:pPr>
            <w:r>
              <w:rPr>
                <w:color w:val="auto"/>
              </w:rPr>
              <w:t>企业为固体废物污染防治的责任主体，企业应建立风险管理及应急救援体系，执行环境监测计划、转移联单管理制度及国家和省有关转移管理的</w:t>
            </w:r>
            <w:r>
              <w:rPr>
                <w:color w:val="auto"/>
              </w:rPr>
              <w:t>相关规定、处置过程安全操作规程、人员培训考核制度、档案管理制度、专人专管负责制、台账保管制度、处置全过程管理制度等。</w:t>
            </w:r>
          </w:p>
          <w:p>
            <w:pPr>
              <w:adjustRightInd w:val="0"/>
              <w:snapToGrid w:val="0"/>
              <w:spacing w:line="500" w:lineRule="exact"/>
              <w:ind w:firstLine="482"/>
              <w:rPr>
                <w:color w:val="auto"/>
              </w:rPr>
            </w:pPr>
            <w:r>
              <w:rPr>
                <w:rFonts w:hint="eastAsia" w:ascii="宋体" w:hAnsi="宋体" w:cs="宋体"/>
                <w:b/>
                <w:color w:val="auto"/>
              </w:rPr>
              <w:t>②</w:t>
            </w:r>
            <w:r>
              <w:rPr>
                <w:b/>
                <w:bCs/>
                <w:color w:val="auto"/>
              </w:rPr>
              <w:t>一般固废贮存及管理要求：</w:t>
            </w:r>
          </w:p>
          <w:p>
            <w:pPr>
              <w:snapToGrid w:val="0"/>
              <w:spacing w:line="500" w:lineRule="exact"/>
              <w:ind w:firstLine="480"/>
              <w:jc w:val="both"/>
              <w:rPr>
                <w:color w:val="auto"/>
              </w:rPr>
            </w:pPr>
            <w:r>
              <w:rPr>
                <w:color w:val="auto"/>
              </w:rPr>
              <w:t>项目一般固废设有1个堆放区，且能够做到及时清理。一般工业固废虽不带毒性，但下渗也会对局部土壤、地下水造成一定的影响，因此项目一般固废堆场也要做好防雨、防晒、防扬散、防流失措施。</w:t>
            </w:r>
          </w:p>
          <w:p>
            <w:pPr>
              <w:snapToGrid w:val="0"/>
              <w:spacing w:line="500" w:lineRule="exact"/>
              <w:ind w:firstLine="482"/>
              <w:jc w:val="both"/>
              <w:rPr>
                <w:b/>
                <w:color w:val="auto"/>
                <w:szCs w:val="20"/>
              </w:rPr>
            </w:pPr>
            <w:r>
              <w:rPr>
                <w:b/>
                <w:color w:val="auto"/>
                <w:szCs w:val="20"/>
              </w:rPr>
              <w:t>危险废物委托处置污染防治措施分析</w:t>
            </w:r>
          </w:p>
          <w:p>
            <w:pPr>
              <w:snapToGrid w:val="0"/>
              <w:spacing w:line="500" w:lineRule="exact"/>
              <w:ind w:firstLine="480"/>
              <w:jc w:val="both"/>
              <w:rPr>
                <w:bCs/>
                <w:color w:val="auto"/>
                <w:szCs w:val="20"/>
              </w:rPr>
            </w:pPr>
            <w:r>
              <w:rPr>
                <w:bCs/>
                <w:color w:val="auto"/>
                <w:szCs w:val="20"/>
              </w:rPr>
              <w:t>生产中产生的废</w:t>
            </w:r>
            <w:r>
              <w:rPr>
                <w:rFonts w:hint="eastAsia"/>
                <w:bCs/>
                <w:color w:val="auto"/>
                <w:szCs w:val="20"/>
              </w:rPr>
              <w:t>油墨桶（</w:t>
            </w:r>
            <w:r>
              <w:rPr>
                <w:bCs/>
                <w:color w:val="auto"/>
                <w:szCs w:val="20"/>
              </w:rPr>
              <w:t>HW</w:t>
            </w:r>
            <w:r>
              <w:rPr>
                <w:rFonts w:hint="eastAsia"/>
                <w:bCs/>
                <w:color w:val="auto"/>
                <w:szCs w:val="20"/>
              </w:rPr>
              <w:t>49）、</w:t>
            </w:r>
            <w:r>
              <w:rPr>
                <w:bCs/>
                <w:color w:val="auto"/>
                <w:szCs w:val="20"/>
              </w:rPr>
              <w:t>废抹布</w:t>
            </w:r>
            <w:r>
              <w:rPr>
                <w:rFonts w:hint="eastAsia"/>
                <w:bCs/>
                <w:color w:val="auto"/>
                <w:szCs w:val="20"/>
              </w:rPr>
              <w:t>（</w:t>
            </w:r>
            <w:r>
              <w:rPr>
                <w:bCs/>
                <w:color w:val="auto"/>
                <w:szCs w:val="20"/>
              </w:rPr>
              <w:t>HW49</w:t>
            </w:r>
            <w:r>
              <w:rPr>
                <w:rFonts w:hint="eastAsia"/>
                <w:bCs/>
                <w:color w:val="auto"/>
                <w:szCs w:val="20"/>
              </w:rPr>
              <w:t>）</w:t>
            </w:r>
            <w:r>
              <w:rPr>
                <w:color w:val="auto"/>
              </w:rPr>
              <w:t>均</w:t>
            </w:r>
            <w:r>
              <w:rPr>
                <w:bCs/>
                <w:iCs/>
                <w:color w:val="auto"/>
                <w:szCs w:val="28"/>
              </w:rPr>
              <w:t>属于危险固废，需委托相关资质单位处理。</w:t>
            </w:r>
          </w:p>
          <w:p>
            <w:pPr>
              <w:spacing w:line="480" w:lineRule="exact"/>
              <w:ind w:firstLine="480"/>
              <w:jc w:val="both"/>
              <w:rPr>
                <w:color w:val="auto"/>
              </w:rPr>
            </w:pPr>
            <w:r>
              <w:rPr>
                <w:color w:val="auto"/>
              </w:rPr>
              <w:t>通过以上分析可知，项目产生的固体废物得到妥善处置和综合利用，符合《一般工业固体废物贮存、处置的污染控制标准》(GB18599-2001)及其修改单要求，《危险废物贮存污染控制标准》(GB18597-2001)及其修改单要求，其对环境影响较小。</w:t>
            </w:r>
          </w:p>
          <w:p>
            <w:pPr>
              <w:ind w:firstLine="480"/>
              <w:jc w:val="both"/>
              <w:rPr>
                <w:color w:val="auto"/>
              </w:rPr>
            </w:pPr>
            <w:r>
              <w:rPr>
                <w:bCs/>
                <w:color w:val="auto"/>
                <w:szCs w:val="21"/>
              </w:rPr>
              <w:t>综上，本项目</w:t>
            </w:r>
            <w:r>
              <w:rPr>
                <w:color w:val="auto"/>
              </w:rPr>
              <w:t>固废将全部得到妥善处置，无外排，对周围环境影响较小。</w:t>
            </w:r>
          </w:p>
          <w:p>
            <w:pPr>
              <w:keepNext/>
              <w:keepLines/>
              <w:ind w:firstLine="482"/>
              <w:jc w:val="both"/>
              <w:outlineLvl w:val="2"/>
              <w:rPr>
                <w:b/>
                <w:bCs/>
                <w:color w:val="auto"/>
                <w:szCs w:val="32"/>
              </w:rPr>
            </w:pPr>
            <w:r>
              <w:rPr>
                <w:b/>
                <w:bCs/>
                <w:color w:val="auto"/>
                <w:szCs w:val="32"/>
              </w:rPr>
              <w:t>五、环境风险分析</w:t>
            </w:r>
          </w:p>
          <w:p>
            <w:pPr>
              <w:ind w:firstLine="480"/>
              <w:jc w:val="both"/>
              <w:rPr>
                <w:color w:val="auto"/>
                <w:szCs w:val="21"/>
              </w:rPr>
            </w:pPr>
            <w:r>
              <w:rPr>
                <w:color w:val="auto"/>
                <w:szCs w:val="21"/>
              </w:rPr>
              <w:t>根据《建设项目环境风险评价技术导则》（HJ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ind w:firstLine="472" w:firstLineChars="196"/>
              <w:jc w:val="both"/>
              <w:rPr>
                <w:b/>
                <w:color w:val="auto"/>
                <w:szCs w:val="21"/>
              </w:rPr>
            </w:pPr>
            <w:r>
              <w:rPr>
                <w:b/>
                <w:color w:val="auto"/>
                <w:szCs w:val="21"/>
              </w:rPr>
              <w:t>A、风险调查</w:t>
            </w:r>
          </w:p>
          <w:p>
            <w:pPr>
              <w:ind w:firstLine="480"/>
              <w:jc w:val="both"/>
              <w:rPr>
                <w:color w:val="auto"/>
                <w:szCs w:val="21"/>
              </w:rPr>
            </w:pPr>
            <w:r>
              <w:rPr>
                <w:color w:val="auto"/>
                <w:szCs w:val="21"/>
              </w:rPr>
              <w:t>本项目风险识别范围包括生产过程中所涉及的质风险识别和生产设施风险识别。物质风险识别范围：原辅材料、产品以及生产过程中排放的“三废”污染物等。生产设施风险识别范围：生产装置及环保设施等。</w:t>
            </w:r>
          </w:p>
          <w:p>
            <w:pPr>
              <w:ind w:firstLine="480"/>
              <w:jc w:val="both"/>
              <w:rPr>
                <w:color w:val="auto"/>
                <w:szCs w:val="21"/>
                <w:u w:val="single"/>
              </w:rPr>
            </w:pPr>
            <w:r>
              <w:rPr>
                <w:color w:val="auto"/>
                <w:szCs w:val="21"/>
                <w:u w:val="single"/>
              </w:rPr>
              <w:t>（1）原辅材料及产品的危险性识别</w:t>
            </w:r>
          </w:p>
          <w:p>
            <w:pPr>
              <w:ind w:firstLine="480"/>
              <w:jc w:val="both"/>
              <w:rPr>
                <w:color w:val="auto"/>
                <w:szCs w:val="21"/>
                <w:u w:val="single"/>
              </w:rPr>
            </w:pPr>
            <w:r>
              <w:rPr>
                <w:color w:val="auto"/>
                <w:szCs w:val="21"/>
                <w:u w:val="single"/>
              </w:rPr>
              <w:t>根据《建设项目环境风险评价技术导则》（HJ169-2018）中辨识重大危险源的依据和方法：凡生产、加工、运输、使用或贮存危险性物质，且危险性物质的数量等于或超过临界量的功能单元，定为重大危险源。本项目主要原料为BOPP</w:t>
            </w:r>
            <w:r>
              <w:rPr>
                <w:rFonts w:hint="eastAsia"/>
                <w:color w:val="auto"/>
                <w:szCs w:val="21"/>
                <w:u w:val="single"/>
              </w:rPr>
              <w:t>、</w:t>
            </w:r>
            <w:r>
              <w:rPr>
                <w:color w:val="auto"/>
                <w:szCs w:val="21"/>
                <w:u w:val="single"/>
              </w:rPr>
              <w:t>PET</w:t>
            </w:r>
            <w:r>
              <w:rPr>
                <w:rFonts w:hint="eastAsia"/>
                <w:color w:val="auto"/>
                <w:szCs w:val="21"/>
                <w:u w:val="single"/>
              </w:rPr>
              <w:t>、</w:t>
            </w:r>
            <w:r>
              <w:rPr>
                <w:color w:val="auto"/>
                <w:szCs w:val="21"/>
                <w:u w:val="single"/>
              </w:rPr>
              <w:t>CPP</w:t>
            </w:r>
            <w:r>
              <w:rPr>
                <w:rFonts w:hint="eastAsia"/>
                <w:color w:val="auto"/>
                <w:szCs w:val="21"/>
                <w:u w:val="single"/>
              </w:rPr>
              <w:t>、铝箔、聚氨酯油墨、聚氨酯胶水、稀释剂（主要成分为乙酯、异丙醇和正丙酯），根据识别，本项目原辅材料中属于有毒、易燃助燃、易爆的化学品的主要包括聚氨酯油墨、聚氨酯胶水、稀释剂等，其主要风险因素为生产过程中产生的泄漏、火灾等。</w:t>
            </w:r>
          </w:p>
          <w:p>
            <w:pPr>
              <w:ind w:firstLine="480"/>
              <w:jc w:val="both"/>
              <w:rPr>
                <w:color w:val="auto"/>
                <w:szCs w:val="21"/>
                <w:u w:val="single"/>
              </w:rPr>
            </w:pPr>
            <w:r>
              <w:rPr>
                <w:color w:val="auto"/>
                <w:szCs w:val="21"/>
                <w:u w:val="single"/>
              </w:rPr>
              <w:t>（2）行业及生产工艺</w:t>
            </w:r>
          </w:p>
          <w:p>
            <w:pPr>
              <w:ind w:firstLine="480"/>
              <w:jc w:val="both"/>
              <w:rPr>
                <w:color w:val="auto"/>
                <w:szCs w:val="21"/>
                <w:u w:val="single"/>
              </w:rPr>
            </w:pPr>
            <w:r>
              <w:rPr>
                <w:color w:val="auto"/>
                <w:szCs w:val="21"/>
                <w:u w:val="single"/>
              </w:rPr>
              <w:t>根据《建设项目环境风险评价技术导则》（HJ169-2018）附录C中的表C.1行业及生产工艺，本项目属于其他行业里设计危险物质使用、贮存的项目。</w:t>
            </w:r>
          </w:p>
          <w:p>
            <w:pPr>
              <w:ind w:firstLine="585" w:firstLineChars="243"/>
              <w:jc w:val="both"/>
              <w:rPr>
                <w:b/>
                <w:color w:val="auto"/>
                <w:szCs w:val="21"/>
                <w:u w:val="single"/>
              </w:rPr>
            </w:pPr>
            <w:r>
              <w:rPr>
                <w:b/>
                <w:color w:val="auto"/>
                <w:szCs w:val="21"/>
                <w:u w:val="single"/>
              </w:rPr>
              <w:t>B、风险潜势初判</w:t>
            </w:r>
          </w:p>
          <w:p>
            <w:pPr>
              <w:adjustRightInd w:val="0"/>
              <w:snapToGrid w:val="0"/>
              <w:ind w:firstLine="583" w:firstLineChars="243"/>
              <w:jc w:val="both"/>
              <w:rPr>
                <w:color w:val="auto"/>
                <w:u w:val="single"/>
              </w:rPr>
            </w:pPr>
            <w:r>
              <w:rPr>
                <w:color w:val="auto"/>
                <w:u w:val="single"/>
              </w:rPr>
              <w:t>本项目原辅材料主要是使用的</w:t>
            </w:r>
            <w:r>
              <w:rPr>
                <w:rFonts w:hint="eastAsia"/>
                <w:color w:val="auto"/>
                <w:u w:val="single"/>
              </w:rPr>
              <w:t>油墨</w:t>
            </w:r>
            <w:r>
              <w:rPr>
                <w:color w:val="auto"/>
                <w:u w:val="single"/>
              </w:rPr>
              <w:t>，通过下表核算危险物质数量与临界量比值（Q）。</w:t>
            </w:r>
          </w:p>
          <w:p>
            <w:pPr>
              <w:adjustRightInd w:val="0"/>
              <w:snapToGrid w:val="0"/>
              <w:spacing w:line="240" w:lineRule="auto"/>
              <w:ind w:firstLine="480" w:firstLineChars="0"/>
              <w:jc w:val="center"/>
              <w:textAlignment w:val="baseline"/>
              <w:rPr>
                <w:b/>
                <w:color w:val="auto"/>
                <w:kern w:val="0"/>
                <w:sz w:val="21"/>
                <w:szCs w:val="20"/>
                <w:u w:val="single"/>
              </w:rPr>
            </w:pPr>
            <w:r>
              <w:rPr>
                <w:b/>
                <w:color w:val="auto"/>
                <w:kern w:val="0"/>
                <w:sz w:val="21"/>
                <w:szCs w:val="20"/>
                <w:u w:val="single"/>
              </w:rPr>
              <w:t>表</w:t>
            </w:r>
            <w:r>
              <w:rPr>
                <w:rFonts w:hint="eastAsia"/>
                <w:b/>
                <w:color w:val="auto"/>
                <w:kern w:val="0"/>
                <w:sz w:val="21"/>
                <w:szCs w:val="20"/>
                <w:u w:val="single"/>
              </w:rPr>
              <w:t>7-16</w:t>
            </w:r>
            <w:r>
              <w:rPr>
                <w:rFonts w:hint="eastAsia"/>
                <w:b/>
                <w:color w:val="auto"/>
                <w:kern w:val="0"/>
                <w:sz w:val="21"/>
                <w:szCs w:val="20"/>
                <w:u w:val="single"/>
                <w:lang w:val="en-US" w:eastAsia="zh-CN"/>
              </w:rPr>
              <w:t xml:space="preserve">   </w:t>
            </w:r>
            <w:r>
              <w:rPr>
                <w:b/>
                <w:color w:val="auto"/>
                <w:kern w:val="0"/>
                <w:sz w:val="21"/>
                <w:szCs w:val="20"/>
                <w:u w:val="single"/>
              </w:rPr>
              <w:t>本项目Q值确定表</w:t>
            </w:r>
          </w:p>
          <w:tbl>
            <w:tblPr>
              <w:tblStyle w:val="25"/>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979"/>
              <w:gridCol w:w="1716"/>
              <w:gridCol w:w="1847"/>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51"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序号</w:t>
                  </w:r>
                </w:p>
              </w:tc>
              <w:tc>
                <w:tcPr>
                  <w:tcW w:w="1979"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危险品名称</w:t>
                  </w:r>
                </w:p>
              </w:tc>
              <w:tc>
                <w:tcPr>
                  <w:tcW w:w="1716"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临界量（吨）</w:t>
                  </w:r>
                </w:p>
              </w:tc>
              <w:tc>
                <w:tcPr>
                  <w:tcW w:w="1847"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最大储存量（吨）</w:t>
                  </w:r>
                </w:p>
              </w:tc>
              <w:tc>
                <w:tcPr>
                  <w:tcW w:w="2265"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贮存量占临界量比值Q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51"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1</w:t>
                  </w:r>
                </w:p>
              </w:tc>
              <w:tc>
                <w:tcPr>
                  <w:tcW w:w="1979"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稀释剂</w:t>
                  </w:r>
                </w:p>
              </w:tc>
              <w:tc>
                <w:tcPr>
                  <w:tcW w:w="1716"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10</w:t>
                  </w:r>
                </w:p>
              </w:tc>
              <w:tc>
                <w:tcPr>
                  <w:tcW w:w="1847"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1</w:t>
                  </w:r>
                </w:p>
              </w:tc>
              <w:tc>
                <w:tcPr>
                  <w:tcW w:w="2265"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51"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2</w:t>
                  </w:r>
                </w:p>
              </w:tc>
              <w:tc>
                <w:tcPr>
                  <w:tcW w:w="1979"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油墨</w:t>
                  </w:r>
                </w:p>
              </w:tc>
              <w:tc>
                <w:tcPr>
                  <w:tcW w:w="1716"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2500</w:t>
                  </w:r>
                </w:p>
              </w:tc>
              <w:tc>
                <w:tcPr>
                  <w:tcW w:w="1847"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1</w:t>
                  </w:r>
                </w:p>
              </w:tc>
              <w:tc>
                <w:tcPr>
                  <w:tcW w:w="2265"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51"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3</w:t>
                  </w:r>
                </w:p>
              </w:tc>
              <w:tc>
                <w:tcPr>
                  <w:tcW w:w="1979"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聚酯氨胶水</w:t>
                  </w:r>
                </w:p>
              </w:tc>
              <w:tc>
                <w:tcPr>
                  <w:tcW w:w="1716"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2500</w:t>
                  </w:r>
                </w:p>
              </w:tc>
              <w:tc>
                <w:tcPr>
                  <w:tcW w:w="1847"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1</w:t>
                  </w:r>
                </w:p>
              </w:tc>
              <w:tc>
                <w:tcPr>
                  <w:tcW w:w="2265"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951"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4</w:t>
                  </w:r>
                </w:p>
              </w:tc>
              <w:tc>
                <w:tcPr>
                  <w:tcW w:w="1979"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废机油</w:t>
                  </w:r>
                </w:p>
              </w:tc>
              <w:tc>
                <w:tcPr>
                  <w:tcW w:w="1716" w:type="dxa"/>
                  <w:shd w:val="clear" w:color="auto" w:fill="auto"/>
                  <w:vAlign w:val="center"/>
                </w:tcPr>
                <w:p>
                  <w:pPr>
                    <w:adjustRightInd w:val="0"/>
                    <w:snapToGrid w:val="0"/>
                    <w:spacing w:line="240" w:lineRule="auto"/>
                    <w:ind w:firstLine="0" w:firstLineChars="0"/>
                    <w:jc w:val="center"/>
                    <w:rPr>
                      <w:color w:val="auto"/>
                      <w:kern w:val="0"/>
                      <w:sz w:val="21"/>
                      <w:u w:val="single"/>
                    </w:rPr>
                  </w:pPr>
                  <w:r>
                    <w:rPr>
                      <w:color w:val="auto"/>
                      <w:kern w:val="0"/>
                      <w:sz w:val="21"/>
                      <w:u w:val="single"/>
                    </w:rPr>
                    <w:t>2500</w:t>
                  </w:r>
                </w:p>
              </w:tc>
              <w:tc>
                <w:tcPr>
                  <w:tcW w:w="1847"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0.005</w:t>
                  </w:r>
                </w:p>
              </w:tc>
              <w:tc>
                <w:tcPr>
                  <w:tcW w:w="2265"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0.000002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493" w:type="dxa"/>
                  <w:gridSpan w:val="4"/>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合计</w:t>
                  </w:r>
                </w:p>
              </w:tc>
              <w:tc>
                <w:tcPr>
                  <w:tcW w:w="2265" w:type="dxa"/>
                  <w:shd w:val="clear" w:color="auto" w:fill="auto"/>
                  <w:vAlign w:val="center"/>
                </w:tcPr>
                <w:p>
                  <w:pPr>
                    <w:adjustRightInd w:val="0"/>
                    <w:snapToGrid w:val="0"/>
                    <w:spacing w:line="240" w:lineRule="auto"/>
                    <w:ind w:firstLine="0" w:firstLineChars="0"/>
                    <w:jc w:val="center"/>
                    <w:rPr>
                      <w:color w:val="auto"/>
                      <w:kern w:val="0"/>
                      <w:sz w:val="21"/>
                      <w:u w:val="single"/>
                    </w:rPr>
                  </w:pPr>
                  <w:r>
                    <w:rPr>
                      <w:rFonts w:hint="eastAsia"/>
                      <w:color w:val="auto"/>
                      <w:kern w:val="0"/>
                      <w:sz w:val="21"/>
                      <w:u w:val="single"/>
                    </w:rPr>
                    <w:t>0.100802</w:t>
                  </w:r>
                </w:p>
              </w:tc>
            </w:tr>
          </w:tbl>
          <w:p>
            <w:pPr>
              <w:adjustRightInd w:val="0"/>
              <w:snapToGrid w:val="0"/>
              <w:spacing w:line="240" w:lineRule="auto"/>
              <w:ind w:firstLine="420"/>
              <w:jc w:val="both"/>
              <w:rPr>
                <w:color w:val="auto"/>
                <w:kern w:val="0"/>
                <w:u w:val="single"/>
              </w:rPr>
            </w:pPr>
            <w:r>
              <w:rPr>
                <w:color w:val="auto"/>
                <w:kern w:val="0"/>
                <w:sz w:val="21"/>
                <w:u w:val="single"/>
              </w:rPr>
              <w:t>备注：</w:t>
            </w:r>
            <w:r>
              <w:rPr>
                <w:rFonts w:hint="eastAsia"/>
                <w:color w:val="auto"/>
                <w:kern w:val="0"/>
                <w:sz w:val="21"/>
                <w:u w:val="single"/>
              </w:rPr>
              <w:t>油墨、胶水和废机油</w:t>
            </w:r>
            <w:r>
              <w:rPr>
                <w:color w:val="auto"/>
                <w:kern w:val="0"/>
                <w:sz w:val="21"/>
                <w:u w:val="single"/>
              </w:rPr>
              <w:t>参照HJ169-2018表B.1油类物质的临界量，取2</w:t>
            </w:r>
            <w:r>
              <w:rPr>
                <w:color w:val="auto"/>
                <w:kern w:val="0"/>
                <w:sz w:val="21"/>
                <w:u w:val="single"/>
              </w:rPr>
              <w:t>500t</w:t>
            </w:r>
            <w:r>
              <w:rPr>
                <w:rFonts w:hint="eastAsia"/>
                <w:color w:val="auto"/>
                <w:kern w:val="0"/>
                <w:sz w:val="21"/>
                <w:u w:val="single"/>
              </w:rPr>
              <w:t>；稀释剂参照GB18218-2018中表2易燃液体的临界量</w:t>
            </w:r>
            <w:r>
              <w:rPr>
                <w:color w:val="auto"/>
                <w:kern w:val="0"/>
                <w:u w:val="single"/>
              </w:rPr>
              <w:t>。</w:t>
            </w:r>
          </w:p>
          <w:p>
            <w:pPr>
              <w:adjustRightInd w:val="0"/>
              <w:snapToGrid w:val="0"/>
              <w:ind w:firstLine="480"/>
              <w:jc w:val="both"/>
              <w:rPr>
                <w:color w:val="auto"/>
                <w:szCs w:val="21"/>
                <w:u w:val="single"/>
              </w:rPr>
            </w:pPr>
            <w:r>
              <w:rPr>
                <w:color w:val="auto"/>
                <w:szCs w:val="21"/>
                <w:u w:val="single"/>
              </w:rPr>
              <w:t>经计算∑Q=</w:t>
            </w:r>
            <w:r>
              <w:rPr>
                <w:rFonts w:hint="eastAsia"/>
                <w:color w:val="auto"/>
                <w:szCs w:val="21"/>
                <w:u w:val="single"/>
              </w:rPr>
              <w:t>0.100802</w:t>
            </w:r>
            <w:r>
              <w:rPr>
                <w:color w:val="auto"/>
                <w:szCs w:val="21"/>
                <w:u w:val="single"/>
              </w:rPr>
              <w:t>＜1，《建设项目环境风险评价技术导则》（HJ169</w:t>
            </w:r>
            <w:r>
              <w:rPr>
                <w:color w:val="auto"/>
                <w:szCs w:val="21"/>
                <w:u w:val="single"/>
              </w:rPr>
              <w:t>-2018）附录C（根据当Q小于1时，该项目环境风险潜势为</w:t>
            </w:r>
            <w:r>
              <w:rPr>
                <w:rFonts w:hint="eastAsia" w:ascii="宋体" w:hAnsi="宋体" w:cs="宋体"/>
                <w:color w:val="auto"/>
                <w:szCs w:val="21"/>
                <w:u w:val="single"/>
              </w:rPr>
              <w:t>Ⅰ</w:t>
            </w:r>
            <w:r>
              <w:rPr>
                <w:color w:val="auto"/>
                <w:szCs w:val="21"/>
                <w:u w:val="single"/>
              </w:rPr>
              <w:t>），因此本项目风险潜势为</w:t>
            </w:r>
            <w:r>
              <w:rPr>
                <w:rFonts w:hint="eastAsia" w:ascii="宋体" w:hAnsi="宋体" w:cs="宋体"/>
                <w:color w:val="auto"/>
                <w:szCs w:val="21"/>
                <w:u w:val="single"/>
              </w:rPr>
              <w:t>Ⅰ</w:t>
            </w:r>
            <w:r>
              <w:rPr>
                <w:color w:val="auto"/>
                <w:szCs w:val="21"/>
                <w:u w:val="single"/>
              </w:rPr>
              <w:t>。</w:t>
            </w:r>
          </w:p>
          <w:p>
            <w:pPr>
              <w:numPr>
                <w:ilvl w:val="0"/>
                <w:numId w:val="6"/>
              </w:numPr>
              <w:spacing w:line="240" w:lineRule="auto"/>
              <w:ind w:firstLineChars="0"/>
              <w:jc w:val="both"/>
              <w:rPr>
                <w:b/>
                <w:color w:val="auto"/>
                <w:szCs w:val="21"/>
              </w:rPr>
            </w:pPr>
            <w:r>
              <w:rPr>
                <w:b/>
                <w:color w:val="auto"/>
                <w:szCs w:val="21"/>
              </w:rPr>
              <w:t>评价等级</w:t>
            </w:r>
          </w:p>
          <w:p>
            <w:pPr>
              <w:ind w:firstLine="480"/>
              <w:jc w:val="both"/>
              <w:rPr>
                <w:color w:val="auto"/>
                <w:szCs w:val="21"/>
              </w:rPr>
            </w:pPr>
            <w:r>
              <w:rPr>
                <w:color w:val="auto"/>
                <w:szCs w:val="21"/>
              </w:rPr>
              <w:t>环境风险评价工作等级划分为一级、二级、三级。根据建设项目涉及的物质及工艺系统危险性和所在地的环境敏感性确定环境风险潜势，按照下表确定评价工作等级。风险潜势为</w:t>
            </w:r>
            <w:r>
              <w:rPr>
                <w:rFonts w:hint="eastAsia" w:ascii="宋体" w:hAnsi="宋体" w:cs="宋体"/>
                <w:color w:val="auto"/>
                <w:szCs w:val="21"/>
              </w:rPr>
              <w:t>Ⅳ</w:t>
            </w:r>
            <w:r>
              <w:rPr>
                <w:color w:val="auto"/>
                <w:szCs w:val="21"/>
              </w:rPr>
              <w:t>及以上，进行一级评价；风险潜势为</w:t>
            </w:r>
            <w:r>
              <w:rPr>
                <w:rFonts w:hint="eastAsia" w:ascii="宋体" w:hAnsi="宋体" w:cs="宋体"/>
                <w:color w:val="auto"/>
                <w:szCs w:val="21"/>
              </w:rPr>
              <w:t>Ⅲ</w:t>
            </w:r>
            <w:r>
              <w:rPr>
                <w:color w:val="auto"/>
                <w:szCs w:val="21"/>
              </w:rPr>
              <w:t>，进行二级评价；风险潜势为</w:t>
            </w:r>
            <w:r>
              <w:rPr>
                <w:rFonts w:hint="eastAsia" w:ascii="宋体" w:hAnsi="宋体" w:cs="宋体"/>
                <w:color w:val="auto"/>
                <w:szCs w:val="21"/>
              </w:rPr>
              <w:t>Ⅱ</w:t>
            </w:r>
            <w:r>
              <w:rPr>
                <w:color w:val="auto"/>
                <w:szCs w:val="21"/>
              </w:rPr>
              <w:t>，进行三级评价；风险潜势为</w:t>
            </w:r>
            <w:r>
              <w:rPr>
                <w:rFonts w:hint="eastAsia" w:ascii="宋体" w:hAnsi="宋体" w:cs="宋体"/>
                <w:color w:val="auto"/>
                <w:szCs w:val="21"/>
              </w:rPr>
              <w:t>Ⅰ</w:t>
            </w:r>
            <w:r>
              <w:rPr>
                <w:color w:val="auto"/>
                <w:szCs w:val="21"/>
              </w:rPr>
              <w:t>，可开展简单分析。</w:t>
            </w:r>
          </w:p>
          <w:p>
            <w:pPr>
              <w:ind w:left="420" w:hanging="420" w:firstLineChars="0"/>
              <w:jc w:val="center"/>
              <w:outlineLvl w:val="1"/>
              <w:rPr>
                <w:b/>
                <w:bCs/>
                <w:color w:val="auto"/>
                <w:kern w:val="28"/>
                <w:szCs w:val="32"/>
              </w:rPr>
            </w:pPr>
          </w:p>
          <w:p>
            <w:pPr>
              <w:ind w:left="420" w:hanging="420" w:firstLineChars="0"/>
              <w:jc w:val="center"/>
              <w:outlineLvl w:val="1"/>
              <w:rPr>
                <w:b/>
                <w:bCs/>
                <w:color w:val="auto"/>
                <w:kern w:val="28"/>
                <w:szCs w:val="32"/>
              </w:rPr>
            </w:pPr>
            <w:r>
              <w:rPr>
                <w:b/>
                <w:bCs/>
                <w:color w:val="auto"/>
                <w:kern w:val="28"/>
                <w:szCs w:val="32"/>
              </w:rPr>
              <w:t>表</w:t>
            </w:r>
            <w:r>
              <w:rPr>
                <w:rFonts w:hint="eastAsia"/>
                <w:b/>
                <w:bCs/>
                <w:color w:val="auto"/>
                <w:kern w:val="28"/>
                <w:szCs w:val="32"/>
              </w:rPr>
              <w:t>7-17</w:t>
            </w:r>
            <w:r>
              <w:rPr>
                <w:rFonts w:hint="eastAsia"/>
                <w:b/>
                <w:bCs/>
                <w:color w:val="auto"/>
                <w:kern w:val="28"/>
                <w:szCs w:val="32"/>
                <w:lang w:val="en-US" w:eastAsia="zh-CN"/>
              </w:rPr>
              <w:t xml:space="preserve">   </w:t>
            </w:r>
            <w:r>
              <w:rPr>
                <w:b/>
                <w:bCs/>
                <w:color w:val="auto"/>
                <w:kern w:val="28"/>
                <w:szCs w:val="32"/>
              </w:rPr>
              <w:t>评价工作等级划分</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581"/>
              <w:gridCol w:w="1819"/>
              <w:gridCol w:w="1819"/>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7" w:type="pct"/>
                  <w:vAlign w:val="center"/>
                </w:tcPr>
                <w:p>
                  <w:pPr>
                    <w:spacing w:line="240" w:lineRule="auto"/>
                    <w:ind w:firstLine="0" w:firstLineChars="0"/>
                    <w:jc w:val="center"/>
                    <w:rPr>
                      <w:color w:val="auto"/>
                      <w:sz w:val="21"/>
                      <w:szCs w:val="21"/>
                    </w:rPr>
                  </w:pPr>
                  <w:r>
                    <w:rPr>
                      <w:color w:val="auto"/>
                      <w:sz w:val="21"/>
                      <w:szCs w:val="21"/>
                    </w:rPr>
                    <w:t>环境风险潜势</w:t>
                  </w:r>
                </w:p>
              </w:tc>
              <w:tc>
                <w:tcPr>
                  <w:tcW w:w="883" w:type="pct"/>
                  <w:vAlign w:val="center"/>
                </w:tcPr>
                <w:p>
                  <w:pPr>
                    <w:spacing w:line="240" w:lineRule="auto"/>
                    <w:ind w:firstLine="0" w:firstLineChars="0"/>
                    <w:jc w:val="center"/>
                    <w:rPr>
                      <w:color w:val="auto"/>
                      <w:sz w:val="21"/>
                      <w:szCs w:val="21"/>
                    </w:rPr>
                  </w:pPr>
                  <w:r>
                    <w:rPr>
                      <w:rFonts w:hint="eastAsia" w:ascii="宋体" w:hAnsi="宋体" w:cs="宋体"/>
                      <w:color w:val="auto"/>
                      <w:sz w:val="21"/>
                      <w:szCs w:val="21"/>
                    </w:rPr>
                    <w:t>Ⅳ</w:t>
                  </w:r>
                  <w:r>
                    <w:rPr>
                      <w:color w:val="auto"/>
                      <w:sz w:val="21"/>
                      <w:szCs w:val="21"/>
                    </w:rPr>
                    <w:t>、</w:t>
                  </w:r>
                  <w:r>
                    <w:rPr>
                      <w:rFonts w:hint="eastAsia" w:ascii="宋体" w:hAnsi="宋体" w:cs="宋体"/>
                      <w:color w:val="auto"/>
                      <w:sz w:val="21"/>
                      <w:szCs w:val="21"/>
                    </w:rPr>
                    <w:t>Ⅳ</w:t>
                  </w:r>
                  <w:r>
                    <w:rPr>
                      <w:color w:val="auto"/>
                      <w:sz w:val="21"/>
                      <w:szCs w:val="21"/>
                    </w:rPr>
                    <w:t>+</w:t>
                  </w:r>
                </w:p>
              </w:tc>
              <w:tc>
                <w:tcPr>
                  <w:tcW w:w="1016" w:type="pct"/>
                  <w:vAlign w:val="center"/>
                </w:tcPr>
                <w:p>
                  <w:pPr>
                    <w:spacing w:line="240" w:lineRule="auto"/>
                    <w:ind w:firstLine="0" w:firstLineChars="0"/>
                    <w:jc w:val="center"/>
                    <w:rPr>
                      <w:color w:val="auto"/>
                      <w:sz w:val="21"/>
                      <w:szCs w:val="21"/>
                    </w:rPr>
                  </w:pPr>
                  <w:r>
                    <w:rPr>
                      <w:rFonts w:hint="eastAsia" w:ascii="宋体" w:hAnsi="宋体" w:cs="宋体"/>
                      <w:color w:val="auto"/>
                      <w:sz w:val="21"/>
                      <w:szCs w:val="21"/>
                    </w:rPr>
                    <w:t>Ⅲ</w:t>
                  </w:r>
                </w:p>
              </w:tc>
              <w:tc>
                <w:tcPr>
                  <w:tcW w:w="1016" w:type="pct"/>
                  <w:vAlign w:val="center"/>
                </w:tcPr>
                <w:p>
                  <w:pPr>
                    <w:spacing w:line="240" w:lineRule="auto"/>
                    <w:ind w:firstLine="0" w:firstLineChars="0"/>
                    <w:jc w:val="center"/>
                    <w:rPr>
                      <w:color w:val="auto"/>
                      <w:sz w:val="21"/>
                      <w:szCs w:val="21"/>
                    </w:rPr>
                  </w:pPr>
                  <w:r>
                    <w:rPr>
                      <w:rFonts w:hint="eastAsia" w:ascii="宋体" w:hAnsi="宋体" w:cs="宋体"/>
                      <w:color w:val="auto"/>
                      <w:sz w:val="21"/>
                      <w:szCs w:val="21"/>
                    </w:rPr>
                    <w:t>Ⅱ</w:t>
                  </w:r>
                </w:p>
              </w:tc>
              <w:tc>
                <w:tcPr>
                  <w:tcW w:w="1148" w:type="pct"/>
                  <w:vAlign w:val="center"/>
                </w:tcPr>
                <w:p>
                  <w:pPr>
                    <w:spacing w:line="240" w:lineRule="auto"/>
                    <w:ind w:firstLine="0" w:firstLineChars="0"/>
                    <w:jc w:val="center"/>
                    <w:rPr>
                      <w:b/>
                      <w:color w:val="auto"/>
                      <w:sz w:val="21"/>
                      <w:szCs w:val="21"/>
                    </w:rPr>
                  </w:pPr>
                  <w:r>
                    <w:rPr>
                      <w:rFonts w:hint="eastAsia" w:ascii="宋体" w:hAnsi="宋体" w:cs="宋体"/>
                      <w:b/>
                      <w:color w:val="auto"/>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7" w:type="pct"/>
                  <w:vAlign w:val="center"/>
                </w:tcPr>
                <w:p>
                  <w:pPr>
                    <w:spacing w:line="240" w:lineRule="auto"/>
                    <w:ind w:firstLine="0" w:firstLineChars="0"/>
                    <w:jc w:val="center"/>
                    <w:rPr>
                      <w:color w:val="auto"/>
                      <w:sz w:val="21"/>
                      <w:szCs w:val="21"/>
                    </w:rPr>
                  </w:pPr>
                  <w:r>
                    <w:rPr>
                      <w:color w:val="auto"/>
                      <w:sz w:val="21"/>
                      <w:szCs w:val="21"/>
                    </w:rPr>
                    <w:t>评价工作等级</w:t>
                  </w:r>
                </w:p>
              </w:tc>
              <w:tc>
                <w:tcPr>
                  <w:tcW w:w="883" w:type="pct"/>
                  <w:vAlign w:val="center"/>
                </w:tcPr>
                <w:p>
                  <w:pPr>
                    <w:spacing w:line="240" w:lineRule="auto"/>
                    <w:ind w:firstLine="0" w:firstLineChars="0"/>
                    <w:jc w:val="center"/>
                    <w:rPr>
                      <w:color w:val="auto"/>
                      <w:sz w:val="21"/>
                      <w:szCs w:val="21"/>
                    </w:rPr>
                  </w:pPr>
                  <w:r>
                    <w:rPr>
                      <w:color w:val="auto"/>
                      <w:sz w:val="21"/>
                      <w:szCs w:val="21"/>
                    </w:rPr>
                    <w:t>一</w:t>
                  </w:r>
                </w:p>
              </w:tc>
              <w:tc>
                <w:tcPr>
                  <w:tcW w:w="1016" w:type="pct"/>
                  <w:vAlign w:val="center"/>
                </w:tcPr>
                <w:p>
                  <w:pPr>
                    <w:spacing w:line="240" w:lineRule="auto"/>
                    <w:ind w:firstLine="0" w:firstLineChars="0"/>
                    <w:jc w:val="center"/>
                    <w:rPr>
                      <w:color w:val="auto"/>
                      <w:sz w:val="21"/>
                      <w:szCs w:val="21"/>
                    </w:rPr>
                  </w:pPr>
                  <w:r>
                    <w:rPr>
                      <w:color w:val="auto"/>
                      <w:sz w:val="21"/>
                      <w:szCs w:val="21"/>
                    </w:rPr>
                    <w:t>二</w:t>
                  </w:r>
                </w:p>
              </w:tc>
              <w:tc>
                <w:tcPr>
                  <w:tcW w:w="1016" w:type="pct"/>
                  <w:vAlign w:val="center"/>
                </w:tcPr>
                <w:p>
                  <w:pPr>
                    <w:spacing w:line="240" w:lineRule="auto"/>
                    <w:ind w:firstLine="0" w:firstLineChars="0"/>
                    <w:jc w:val="center"/>
                    <w:rPr>
                      <w:color w:val="auto"/>
                      <w:sz w:val="21"/>
                      <w:szCs w:val="21"/>
                    </w:rPr>
                  </w:pPr>
                  <w:r>
                    <w:rPr>
                      <w:color w:val="auto"/>
                      <w:sz w:val="21"/>
                      <w:szCs w:val="21"/>
                    </w:rPr>
                    <w:t>三</w:t>
                  </w:r>
                </w:p>
              </w:tc>
              <w:tc>
                <w:tcPr>
                  <w:tcW w:w="1148" w:type="pct"/>
                  <w:vAlign w:val="center"/>
                </w:tcPr>
                <w:p>
                  <w:pPr>
                    <w:spacing w:line="240" w:lineRule="auto"/>
                    <w:ind w:firstLine="0" w:firstLineChars="0"/>
                    <w:jc w:val="center"/>
                    <w:rPr>
                      <w:b/>
                      <w:color w:val="auto"/>
                      <w:sz w:val="21"/>
                      <w:szCs w:val="21"/>
                    </w:rPr>
                  </w:pPr>
                  <w:r>
                    <w:rPr>
                      <w:b/>
                      <w:color w:val="auto"/>
                      <w:sz w:val="21"/>
                      <w:szCs w:val="21"/>
                    </w:rPr>
                    <w:t>简单分析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spacing w:line="240" w:lineRule="auto"/>
                    <w:ind w:firstLine="0" w:firstLineChars="0"/>
                    <w:jc w:val="center"/>
                    <w:rPr>
                      <w:color w:val="auto"/>
                      <w:sz w:val="21"/>
                      <w:szCs w:val="21"/>
                    </w:rPr>
                  </w:pPr>
                  <w:r>
                    <w:rPr>
                      <w:color w:val="auto"/>
                      <w:sz w:val="21"/>
                      <w:szCs w:val="21"/>
                    </w:rPr>
                    <w:t>a 是相对于详细评价工作内容而言，在描述危险物质、环境影响途径、环境危害后果、风险防范措施等方面给 出定性的说明。见附录 A。</w:t>
                  </w:r>
                </w:p>
              </w:tc>
            </w:tr>
          </w:tbl>
          <w:p>
            <w:pPr>
              <w:ind w:firstLine="480"/>
              <w:jc w:val="both"/>
              <w:rPr>
                <w:color w:val="auto"/>
                <w:szCs w:val="21"/>
              </w:rPr>
            </w:pPr>
            <w:r>
              <w:rPr>
                <w:color w:val="auto"/>
                <w:szCs w:val="21"/>
              </w:rPr>
              <w:t>根据风险潜势初判，本项目风险潜势为</w:t>
            </w:r>
            <w:r>
              <w:rPr>
                <w:rFonts w:hint="eastAsia" w:ascii="宋体" w:hAnsi="宋体" w:cs="宋体"/>
                <w:color w:val="auto"/>
                <w:szCs w:val="21"/>
              </w:rPr>
              <w:t>Ⅰ</w:t>
            </w:r>
            <w:r>
              <w:rPr>
                <w:color w:val="auto"/>
                <w:szCs w:val="21"/>
              </w:rPr>
              <w:t>，因此本次风险评价等级定位简单分级，具体参照附录A。</w:t>
            </w:r>
          </w:p>
          <w:p>
            <w:pPr>
              <w:numPr>
                <w:ilvl w:val="0"/>
                <w:numId w:val="6"/>
              </w:numPr>
              <w:spacing w:line="240" w:lineRule="auto"/>
              <w:ind w:firstLineChars="0"/>
              <w:jc w:val="both"/>
              <w:rPr>
                <w:b/>
                <w:color w:val="auto"/>
                <w:szCs w:val="21"/>
              </w:rPr>
            </w:pPr>
            <w:r>
              <w:rPr>
                <w:b/>
                <w:color w:val="auto"/>
                <w:szCs w:val="21"/>
              </w:rPr>
              <w:t>环境风险识别</w:t>
            </w:r>
          </w:p>
          <w:p>
            <w:pPr>
              <w:ind w:firstLine="480"/>
              <w:jc w:val="both"/>
              <w:rPr>
                <w:color w:val="auto"/>
              </w:rPr>
            </w:pPr>
            <w:r>
              <w:rPr>
                <w:color w:val="auto"/>
              </w:rPr>
              <w:t>（1）项目存在的潜在风险</w:t>
            </w:r>
          </w:p>
          <w:p>
            <w:pPr>
              <w:autoSpaceDE w:val="0"/>
              <w:autoSpaceDN w:val="0"/>
              <w:adjustRightInd w:val="0"/>
              <w:snapToGrid w:val="0"/>
              <w:ind w:firstLine="480"/>
              <w:rPr>
                <w:color w:val="auto"/>
                <w:kern w:val="0"/>
              </w:rPr>
            </w:pPr>
            <w:r>
              <w:rPr>
                <w:color w:val="auto"/>
                <w:kern w:val="0"/>
              </w:rPr>
              <w:t>根据项目建设方案和工艺流程，项目运营期设施风险因素分析表见</w:t>
            </w:r>
            <w:r>
              <w:rPr>
                <w:rFonts w:hint="eastAsia"/>
                <w:color w:val="auto"/>
                <w:kern w:val="0"/>
              </w:rPr>
              <w:t>表</w:t>
            </w:r>
            <w:r>
              <w:rPr>
                <w:rFonts w:hint="eastAsia"/>
                <w:b/>
                <w:color w:val="auto"/>
                <w:kern w:val="0"/>
              </w:rPr>
              <w:t>7-18</w:t>
            </w:r>
            <w:r>
              <w:rPr>
                <w:color w:val="auto"/>
                <w:kern w:val="0"/>
              </w:rPr>
              <w:t>。</w:t>
            </w:r>
          </w:p>
          <w:p>
            <w:pPr>
              <w:adjustRightInd w:val="0"/>
              <w:snapToGrid w:val="0"/>
              <w:ind w:firstLine="0" w:firstLineChars="0"/>
              <w:jc w:val="center"/>
              <w:rPr>
                <w:b/>
                <w:color w:val="auto"/>
                <w:kern w:val="0"/>
              </w:rPr>
            </w:pPr>
            <w:bookmarkStart w:id="1" w:name="_Ref502047717"/>
            <w:r>
              <w:rPr>
                <w:b/>
                <w:color w:val="auto"/>
                <w:kern w:val="0"/>
              </w:rPr>
              <w:t>表</w:t>
            </w:r>
            <w:r>
              <w:rPr>
                <w:rFonts w:hint="eastAsia"/>
                <w:b/>
                <w:color w:val="auto"/>
                <w:kern w:val="0"/>
              </w:rPr>
              <w:t>7-18</w:t>
            </w:r>
            <w:r>
              <w:rPr>
                <w:rFonts w:hint="eastAsia"/>
                <w:b/>
                <w:color w:val="auto"/>
                <w:kern w:val="0"/>
                <w:lang w:val="en-US" w:eastAsia="zh-CN"/>
              </w:rPr>
              <w:t xml:space="preserve">   </w:t>
            </w:r>
            <w:r>
              <w:rPr>
                <w:b/>
                <w:color w:val="auto"/>
                <w:kern w:val="0"/>
              </w:rPr>
              <w:t>生产设施风险因素分析</w:t>
            </w:r>
            <w:bookmarkEnd w:id="1"/>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176"/>
              <w:gridCol w:w="2319"/>
              <w:gridCol w:w="5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27" w:hRule="atLeast"/>
                <w:jc w:val="center"/>
              </w:trPr>
              <w:tc>
                <w:tcPr>
                  <w:tcW w:w="1176" w:type="dxa"/>
                  <w:shd w:val="clear" w:color="auto" w:fill="auto"/>
                  <w:vAlign w:val="center"/>
                </w:tcPr>
                <w:p>
                  <w:pPr>
                    <w:autoSpaceDE w:val="0"/>
                    <w:autoSpaceDN w:val="0"/>
                    <w:adjustRightInd w:val="0"/>
                    <w:snapToGrid w:val="0"/>
                    <w:spacing w:line="240" w:lineRule="auto"/>
                    <w:ind w:firstLine="0" w:firstLineChars="0"/>
                    <w:jc w:val="center"/>
                    <w:rPr>
                      <w:b/>
                      <w:color w:val="auto"/>
                      <w:kern w:val="0"/>
                      <w:sz w:val="21"/>
                      <w:szCs w:val="21"/>
                    </w:rPr>
                  </w:pPr>
                  <w:r>
                    <w:rPr>
                      <w:b/>
                      <w:color w:val="auto"/>
                      <w:kern w:val="0"/>
                      <w:sz w:val="21"/>
                      <w:szCs w:val="21"/>
                    </w:rPr>
                    <w:t>事故原因</w:t>
                  </w:r>
                </w:p>
              </w:tc>
              <w:tc>
                <w:tcPr>
                  <w:tcW w:w="2319" w:type="dxa"/>
                  <w:shd w:val="clear" w:color="auto" w:fill="auto"/>
                  <w:vAlign w:val="center"/>
                </w:tcPr>
                <w:p>
                  <w:pPr>
                    <w:autoSpaceDE w:val="0"/>
                    <w:autoSpaceDN w:val="0"/>
                    <w:adjustRightInd w:val="0"/>
                    <w:snapToGrid w:val="0"/>
                    <w:spacing w:line="240" w:lineRule="auto"/>
                    <w:ind w:firstLine="0" w:firstLineChars="0"/>
                    <w:jc w:val="center"/>
                    <w:rPr>
                      <w:b/>
                      <w:color w:val="auto"/>
                      <w:kern w:val="0"/>
                      <w:sz w:val="21"/>
                      <w:szCs w:val="21"/>
                    </w:rPr>
                  </w:pPr>
                  <w:r>
                    <w:rPr>
                      <w:b/>
                      <w:color w:val="auto"/>
                      <w:kern w:val="0"/>
                      <w:sz w:val="21"/>
                      <w:szCs w:val="21"/>
                    </w:rPr>
                    <w:t>风险类型</w:t>
                  </w:r>
                </w:p>
              </w:tc>
              <w:tc>
                <w:tcPr>
                  <w:tcW w:w="5457" w:type="dxa"/>
                  <w:shd w:val="clear" w:color="auto" w:fill="auto"/>
                  <w:vAlign w:val="center"/>
                </w:tcPr>
                <w:p>
                  <w:pPr>
                    <w:autoSpaceDE w:val="0"/>
                    <w:autoSpaceDN w:val="0"/>
                    <w:adjustRightInd w:val="0"/>
                    <w:snapToGrid w:val="0"/>
                    <w:spacing w:line="240" w:lineRule="auto"/>
                    <w:ind w:firstLine="0" w:firstLineChars="0"/>
                    <w:jc w:val="center"/>
                    <w:rPr>
                      <w:b/>
                      <w:color w:val="auto"/>
                      <w:kern w:val="0"/>
                      <w:sz w:val="21"/>
                      <w:szCs w:val="21"/>
                    </w:rPr>
                  </w:pPr>
                  <w:r>
                    <w:rPr>
                      <w:b/>
                      <w:color w:val="auto"/>
                      <w:kern w:val="0"/>
                      <w:sz w:val="21"/>
                      <w:szCs w:val="21"/>
                    </w:rPr>
                    <w:t>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4" w:hRule="atLeast"/>
                <w:jc w:val="center"/>
              </w:trPr>
              <w:tc>
                <w:tcPr>
                  <w:tcW w:w="1176" w:type="dxa"/>
                  <w:shd w:val="clear" w:color="auto" w:fill="auto"/>
                  <w:vAlign w:val="center"/>
                </w:tcPr>
                <w:p>
                  <w:pPr>
                    <w:autoSpaceDE w:val="0"/>
                    <w:autoSpaceDN w:val="0"/>
                    <w:adjustRightInd w:val="0"/>
                    <w:snapToGrid w:val="0"/>
                    <w:spacing w:line="240" w:lineRule="auto"/>
                    <w:ind w:firstLine="0" w:firstLineChars="0"/>
                    <w:jc w:val="center"/>
                    <w:rPr>
                      <w:color w:val="auto"/>
                      <w:kern w:val="0"/>
                      <w:sz w:val="21"/>
                      <w:szCs w:val="21"/>
                    </w:rPr>
                  </w:pPr>
                  <w:r>
                    <w:rPr>
                      <w:rFonts w:hint="eastAsia"/>
                      <w:color w:val="auto"/>
                      <w:kern w:val="0"/>
                      <w:sz w:val="21"/>
                      <w:szCs w:val="21"/>
                    </w:rPr>
                    <w:t>生产车间</w:t>
                  </w:r>
                </w:p>
              </w:tc>
              <w:tc>
                <w:tcPr>
                  <w:tcW w:w="2319" w:type="dxa"/>
                  <w:shd w:val="clear" w:color="auto" w:fill="auto"/>
                  <w:vAlign w:val="center"/>
                </w:tcPr>
                <w:p>
                  <w:pPr>
                    <w:autoSpaceDE w:val="0"/>
                    <w:autoSpaceDN w:val="0"/>
                    <w:adjustRightInd w:val="0"/>
                    <w:snapToGrid w:val="0"/>
                    <w:spacing w:line="240" w:lineRule="auto"/>
                    <w:ind w:firstLine="0" w:firstLineChars="0"/>
                    <w:jc w:val="center"/>
                    <w:rPr>
                      <w:color w:val="auto"/>
                      <w:kern w:val="0"/>
                      <w:sz w:val="21"/>
                      <w:szCs w:val="21"/>
                    </w:rPr>
                  </w:pPr>
                  <w:r>
                    <w:rPr>
                      <w:rFonts w:hint="eastAsia"/>
                      <w:color w:val="auto"/>
                      <w:kern w:val="0"/>
                      <w:sz w:val="21"/>
                      <w:szCs w:val="21"/>
                    </w:rPr>
                    <w:t>厂区泄漏以及</w:t>
                  </w:r>
                  <w:r>
                    <w:rPr>
                      <w:color w:val="auto"/>
                      <w:kern w:val="0"/>
                      <w:sz w:val="21"/>
                      <w:szCs w:val="21"/>
                    </w:rPr>
                    <w:t>火灾</w:t>
                  </w:r>
                </w:p>
              </w:tc>
              <w:tc>
                <w:tcPr>
                  <w:tcW w:w="5457" w:type="dxa"/>
                  <w:shd w:val="clear" w:color="auto" w:fill="auto"/>
                  <w:vAlign w:val="center"/>
                </w:tcPr>
                <w:p>
                  <w:pPr>
                    <w:autoSpaceDE w:val="0"/>
                    <w:autoSpaceDN w:val="0"/>
                    <w:adjustRightInd w:val="0"/>
                    <w:snapToGrid w:val="0"/>
                    <w:spacing w:line="240" w:lineRule="auto"/>
                    <w:ind w:firstLine="0" w:firstLineChars="0"/>
                    <w:rPr>
                      <w:color w:val="auto"/>
                      <w:kern w:val="0"/>
                      <w:sz w:val="21"/>
                      <w:szCs w:val="21"/>
                    </w:rPr>
                  </w:pPr>
                  <w:r>
                    <w:rPr>
                      <w:color w:val="auto"/>
                      <w:kern w:val="0"/>
                      <w:sz w:val="21"/>
                      <w:szCs w:val="21"/>
                    </w:rPr>
                    <w:t>环境危害：大气污染、水体污染、土壤污染、生态污染</w:t>
                  </w:r>
                </w:p>
                <w:p>
                  <w:pPr>
                    <w:autoSpaceDE w:val="0"/>
                    <w:autoSpaceDN w:val="0"/>
                    <w:adjustRightInd w:val="0"/>
                    <w:snapToGrid w:val="0"/>
                    <w:spacing w:line="240" w:lineRule="auto"/>
                    <w:ind w:firstLine="0" w:firstLineChars="0"/>
                    <w:rPr>
                      <w:color w:val="auto"/>
                      <w:kern w:val="0"/>
                      <w:sz w:val="21"/>
                      <w:szCs w:val="21"/>
                    </w:rPr>
                  </w:pPr>
                  <w:r>
                    <w:rPr>
                      <w:color w:val="auto"/>
                      <w:kern w:val="0"/>
                      <w:sz w:val="21"/>
                      <w:szCs w:val="21"/>
                    </w:rPr>
                    <w:t>健康危害：致死、至伤</w:t>
                  </w:r>
                </w:p>
              </w:tc>
            </w:tr>
          </w:tbl>
          <w:p>
            <w:pPr>
              <w:ind w:firstLine="480"/>
              <w:jc w:val="both"/>
              <w:rPr>
                <w:color w:val="auto"/>
              </w:rPr>
            </w:pPr>
            <w:r>
              <w:rPr>
                <w:color w:val="auto"/>
              </w:rPr>
              <w:t>（2）事故概率分析</w:t>
            </w:r>
          </w:p>
          <w:p>
            <w:pPr>
              <w:ind w:firstLine="480"/>
              <w:jc w:val="both"/>
              <w:rPr>
                <w:color w:val="auto"/>
              </w:rPr>
            </w:pPr>
            <w:r>
              <w:rPr>
                <w:rFonts w:hint="eastAsia" w:ascii="宋体" w:hAnsi="宋体" w:cs="宋体"/>
                <w:color w:val="auto"/>
              </w:rPr>
              <w:t>①</w:t>
            </w:r>
            <w:r>
              <w:rPr>
                <w:color w:val="auto"/>
              </w:rPr>
              <w:t xml:space="preserve">重大事故概率 </w:t>
            </w:r>
          </w:p>
          <w:p>
            <w:pPr>
              <w:ind w:firstLine="480"/>
              <w:jc w:val="both"/>
              <w:rPr>
                <w:color w:val="auto"/>
              </w:rPr>
            </w:pPr>
            <w:r>
              <w:rPr>
                <w:color w:val="auto"/>
              </w:rPr>
              <w:t>国际工业界通常将重大事故的标准定义为：导致反应装置及其它经济损失超过2.5万美元，或造成严重人员伤亡的事故。项目生产装置发生重大事故的概率很小。参照我国近年来各类石油化工设备事故概率，同时考虑到维护和检修水平，项目装置重大事故概率拟定为2类事故，概率为0.03125～0.01次/年，即在装置寿命内发生一次事故。</w:t>
            </w:r>
          </w:p>
          <w:p>
            <w:pPr>
              <w:spacing w:line="240" w:lineRule="auto"/>
              <w:ind w:firstLine="0" w:firstLineChars="0"/>
              <w:jc w:val="center"/>
              <w:rPr>
                <w:b/>
                <w:color w:val="auto"/>
              </w:rPr>
            </w:pPr>
            <w:r>
              <w:rPr>
                <w:b/>
                <w:color w:val="auto"/>
              </w:rPr>
              <w:t>表</w:t>
            </w:r>
            <w:r>
              <w:rPr>
                <w:rFonts w:hint="eastAsia"/>
                <w:b/>
                <w:color w:val="auto"/>
              </w:rPr>
              <w:t>7-19</w:t>
            </w:r>
            <w:r>
              <w:rPr>
                <w:rFonts w:hint="eastAsia"/>
                <w:b/>
                <w:color w:val="auto"/>
                <w:lang w:val="en-US" w:eastAsia="zh-CN"/>
              </w:rPr>
              <w:t xml:space="preserve">   </w:t>
            </w:r>
            <w:r>
              <w:rPr>
                <w:b/>
                <w:color w:val="auto"/>
              </w:rPr>
              <w:t>重大事故概率分类</w:t>
            </w:r>
          </w:p>
          <w:tbl>
            <w:tblPr>
              <w:tblStyle w:val="25"/>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8"/>
              <w:gridCol w:w="1573"/>
              <w:gridCol w:w="3105"/>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dxa"/>
                  <w:vAlign w:val="center"/>
                </w:tcPr>
                <w:p>
                  <w:pPr>
                    <w:adjustRightInd w:val="0"/>
                    <w:snapToGrid w:val="0"/>
                    <w:spacing w:line="240" w:lineRule="auto"/>
                    <w:ind w:firstLine="0" w:firstLineChars="0"/>
                    <w:jc w:val="center"/>
                    <w:rPr>
                      <w:color w:val="auto"/>
                      <w:sz w:val="21"/>
                      <w:szCs w:val="21"/>
                    </w:rPr>
                  </w:pPr>
                  <w:r>
                    <w:rPr>
                      <w:color w:val="auto"/>
                      <w:sz w:val="21"/>
                      <w:szCs w:val="21"/>
                    </w:rPr>
                    <w:t>分类</w:t>
                  </w:r>
                </w:p>
              </w:tc>
              <w:tc>
                <w:tcPr>
                  <w:tcW w:w="1566" w:type="dxa"/>
                  <w:vAlign w:val="center"/>
                </w:tcPr>
                <w:p>
                  <w:pPr>
                    <w:adjustRightInd w:val="0"/>
                    <w:snapToGrid w:val="0"/>
                    <w:spacing w:line="240" w:lineRule="auto"/>
                    <w:ind w:firstLine="0" w:firstLineChars="0"/>
                    <w:jc w:val="center"/>
                    <w:rPr>
                      <w:color w:val="auto"/>
                      <w:sz w:val="21"/>
                      <w:szCs w:val="21"/>
                    </w:rPr>
                  </w:pPr>
                  <w:r>
                    <w:rPr>
                      <w:color w:val="auto"/>
                      <w:sz w:val="21"/>
                      <w:szCs w:val="21"/>
                    </w:rPr>
                    <w:t>情况说明</w:t>
                  </w:r>
                </w:p>
              </w:tc>
              <w:tc>
                <w:tcPr>
                  <w:tcW w:w="3091" w:type="dxa"/>
                  <w:vAlign w:val="center"/>
                </w:tcPr>
                <w:p>
                  <w:pPr>
                    <w:adjustRightInd w:val="0"/>
                    <w:snapToGrid w:val="0"/>
                    <w:spacing w:line="240" w:lineRule="auto"/>
                    <w:ind w:firstLine="0" w:firstLineChars="0"/>
                    <w:jc w:val="center"/>
                    <w:rPr>
                      <w:color w:val="auto"/>
                      <w:sz w:val="21"/>
                      <w:szCs w:val="21"/>
                    </w:rPr>
                  </w:pPr>
                  <w:r>
                    <w:rPr>
                      <w:color w:val="auto"/>
                      <w:sz w:val="21"/>
                      <w:szCs w:val="21"/>
                    </w:rPr>
                    <w:t>定义</w:t>
                  </w:r>
                </w:p>
              </w:tc>
              <w:tc>
                <w:tcPr>
                  <w:tcW w:w="2764" w:type="dxa"/>
                  <w:vAlign w:val="center"/>
                </w:tcPr>
                <w:p>
                  <w:pPr>
                    <w:adjustRightInd w:val="0"/>
                    <w:snapToGrid w:val="0"/>
                    <w:spacing w:line="240" w:lineRule="auto"/>
                    <w:ind w:firstLine="0" w:firstLineChars="0"/>
                    <w:jc w:val="center"/>
                    <w:rPr>
                      <w:color w:val="auto"/>
                      <w:sz w:val="21"/>
                      <w:szCs w:val="21"/>
                    </w:rPr>
                  </w:pPr>
                  <w:r>
                    <w:rPr>
                      <w:color w:val="auto"/>
                      <w:sz w:val="21"/>
                      <w:szCs w:val="21"/>
                    </w:rPr>
                    <w:t>事故概率(次/年)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dxa"/>
                  <w:vAlign w:val="center"/>
                </w:tcPr>
                <w:p>
                  <w:pPr>
                    <w:adjustRightInd w:val="0"/>
                    <w:snapToGrid w:val="0"/>
                    <w:spacing w:line="240" w:lineRule="auto"/>
                    <w:ind w:firstLine="0" w:firstLineChars="0"/>
                    <w:jc w:val="center"/>
                    <w:rPr>
                      <w:color w:val="auto"/>
                      <w:sz w:val="21"/>
                      <w:szCs w:val="21"/>
                    </w:rPr>
                  </w:pPr>
                  <w:r>
                    <w:rPr>
                      <w:color w:val="auto"/>
                      <w:sz w:val="21"/>
                      <w:szCs w:val="21"/>
                    </w:rPr>
                    <w:t>0</w:t>
                  </w:r>
                </w:p>
              </w:tc>
              <w:tc>
                <w:tcPr>
                  <w:tcW w:w="1566" w:type="dxa"/>
                  <w:vAlign w:val="center"/>
                </w:tcPr>
                <w:p>
                  <w:pPr>
                    <w:adjustRightInd w:val="0"/>
                    <w:snapToGrid w:val="0"/>
                    <w:spacing w:line="240" w:lineRule="auto"/>
                    <w:ind w:firstLine="0" w:firstLineChars="0"/>
                    <w:jc w:val="center"/>
                    <w:rPr>
                      <w:color w:val="auto"/>
                      <w:sz w:val="21"/>
                      <w:szCs w:val="21"/>
                    </w:rPr>
                  </w:pPr>
                  <w:r>
                    <w:rPr>
                      <w:color w:val="auto"/>
                      <w:sz w:val="21"/>
                      <w:szCs w:val="21"/>
                    </w:rPr>
                    <w:t>极端少</w:t>
                  </w:r>
                </w:p>
              </w:tc>
              <w:tc>
                <w:tcPr>
                  <w:tcW w:w="3091" w:type="dxa"/>
                  <w:vAlign w:val="center"/>
                </w:tcPr>
                <w:p>
                  <w:pPr>
                    <w:adjustRightInd w:val="0"/>
                    <w:snapToGrid w:val="0"/>
                    <w:spacing w:line="240" w:lineRule="auto"/>
                    <w:ind w:firstLine="0" w:firstLineChars="0"/>
                    <w:jc w:val="center"/>
                    <w:rPr>
                      <w:color w:val="auto"/>
                      <w:sz w:val="21"/>
                      <w:szCs w:val="21"/>
                    </w:rPr>
                  </w:pPr>
                  <w:r>
                    <w:rPr>
                      <w:color w:val="auto"/>
                      <w:sz w:val="21"/>
                      <w:szCs w:val="21"/>
                    </w:rPr>
                    <w:t>从不发生</w:t>
                  </w:r>
                </w:p>
              </w:tc>
              <w:tc>
                <w:tcPr>
                  <w:tcW w:w="2764" w:type="dxa"/>
                  <w:vAlign w:val="center"/>
                </w:tcPr>
                <w:p>
                  <w:pPr>
                    <w:adjustRightInd w:val="0"/>
                    <w:snapToGrid w:val="0"/>
                    <w:spacing w:line="240" w:lineRule="auto"/>
                    <w:ind w:firstLine="0" w:firstLineChars="0"/>
                    <w:jc w:val="center"/>
                    <w:rPr>
                      <w:color w:val="auto"/>
                      <w:sz w:val="21"/>
                      <w:szCs w:val="21"/>
                    </w:rPr>
                  </w:pPr>
                  <w:r>
                    <w:rPr>
                      <w:color w:val="auto"/>
                      <w:sz w:val="21"/>
                      <w:szCs w:val="21"/>
                    </w:rPr>
                    <w:t>&lt;3.125×10</w:t>
                  </w:r>
                  <w:r>
                    <w:rPr>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dxa"/>
                  <w:vAlign w:val="center"/>
                </w:tcPr>
                <w:p>
                  <w:pPr>
                    <w:adjustRightInd w:val="0"/>
                    <w:snapToGrid w:val="0"/>
                    <w:spacing w:line="240" w:lineRule="auto"/>
                    <w:ind w:firstLine="0" w:firstLineChars="0"/>
                    <w:jc w:val="center"/>
                    <w:rPr>
                      <w:color w:val="auto"/>
                      <w:sz w:val="21"/>
                      <w:szCs w:val="21"/>
                    </w:rPr>
                  </w:pPr>
                  <w:r>
                    <w:rPr>
                      <w:color w:val="auto"/>
                      <w:sz w:val="21"/>
                      <w:szCs w:val="21"/>
                    </w:rPr>
                    <w:t>1</w:t>
                  </w:r>
                </w:p>
              </w:tc>
              <w:tc>
                <w:tcPr>
                  <w:tcW w:w="1566" w:type="dxa"/>
                  <w:vAlign w:val="center"/>
                </w:tcPr>
                <w:p>
                  <w:pPr>
                    <w:adjustRightInd w:val="0"/>
                    <w:snapToGrid w:val="0"/>
                    <w:spacing w:line="240" w:lineRule="auto"/>
                    <w:ind w:firstLine="0" w:firstLineChars="0"/>
                    <w:jc w:val="center"/>
                    <w:rPr>
                      <w:color w:val="auto"/>
                      <w:sz w:val="21"/>
                      <w:szCs w:val="21"/>
                    </w:rPr>
                  </w:pPr>
                  <w:r>
                    <w:rPr>
                      <w:color w:val="auto"/>
                      <w:sz w:val="21"/>
                      <w:szCs w:val="21"/>
                    </w:rPr>
                    <w:t>少</w:t>
                  </w:r>
                </w:p>
              </w:tc>
              <w:tc>
                <w:tcPr>
                  <w:tcW w:w="3091" w:type="dxa"/>
                  <w:vAlign w:val="center"/>
                </w:tcPr>
                <w:p>
                  <w:pPr>
                    <w:adjustRightInd w:val="0"/>
                    <w:snapToGrid w:val="0"/>
                    <w:spacing w:line="240" w:lineRule="auto"/>
                    <w:ind w:firstLine="0" w:firstLineChars="0"/>
                    <w:jc w:val="center"/>
                    <w:rPr>
                      <w:color w:val="auto"/>
                      <w:sz w:val="21"/>
                      <w:szCs w:val="21"/>
                    </w:rPr>
                  </w:pPr>
                  <w:r>
                    <w:rPr>
                      <w:color w:val="auto"/>
                      <w:sz w:val="21"/>
                      <w:szCs w:val="21"/>
                    </w:rPr>
                    <w:t>装置寿命内从不发生</w:t>
                  </w:r>
                </w:p>
              </w:tc>
              <w:tc>
                <w:tcPr>
                  <w:tcW w:w="2764" w:type="dxa"/>
                  <w:vAlign w:val="center"/>
                </w:tcPr>
                <w:p>
                  <w:pPr>
                    <w:adjustRightInd w:val="0"/>
                    <w:snapToGrid w:val="0"/>
                    <w:spacing w:line="240" w:lineRule="auto"/>
                    <w:ind w:firstLine="0" w:firstLineChars="0"/>
                    <w:jc w:val="center"/>
                    <w:rPr>
                      <w:color w:val="auto"/>
                      <w:sz w:val="21"/>
                      <w:szCs w:val="21"/>
                    </w:rPr>
                  </w:pPr>
                  <w:r>
                    <w:rPr>
                      <w:color w:val="auto"/>
                      <w:sz w:val="21"/>
                      <w:szCs w:val="21"/>
                    </w:rPr>
                    <w:t>l×10-</w:t>
                  </w:r>
                  <w:r>
                    <w:rPr>
                      <w:color w:val="auto"/>
                      <w:sz w:val="21"/>
                      <w:szCs w:val="21"/>
                      <w:vertAlign w:val="superscript"/>
                    </w:rPr>
                    <w:t>2</w:t>
                  </w:r>
                  <w:r>
                    <w:rPr>
                      <w:color w:val="auto"/>
                      <w:sz w:val="21"/>
                      <w:szCs w:val="21"/>
                    </w:rPr>
                    <w:t>～3.125×10</w:t>
                  </w:r>
                  <w:r>
                    <w:rPr>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dxa"/>
                  <w:vAlign w:val="center"/>
                </w:tcPr>
                <w:p>
                  <w:pPr>
                    <w:adjustRightInd w:val="0"/>
                    <w:snapToGrid w:val="0"/>
                    <w:spacing w:line="240" w:lineRule="auto"/>
                    <w:ind w:firstLine="0" w:firstLineChars="0"/>
                    <w:jc w:val="center"/>
                    <w:rPr>
                      <w:color w:val="auto"/>
                      <w:sz w:val="21"/>
                      <w:szCs w:val="21"/>
                    </w:rPr>
                  </w:pPr>
                  <w:r>
                    <w:rPr>
                      <w:color w:val="auto"/>
                      <w:sz w:val="21"/>
                      <w:szCs w:val="21"/>
                    </w:rPr>
                    <w:t>2</w:t>
                  </w:r>
                </w:p>
              </w:tc>
              <w:tc>
                <w:tcPr>
                  <w:tcW w:w="1566" w:type="dxa"/>
                  <w:vAlign w:val="center"/>
                </w:tcPr>
                <w:p>
                  <w:pPr>
                    <w:adjustRightInd w:val="0"/>
                    <w:snapToGrid w:val="0"/>
                    <w:spacing w:line="240" w:lineRule="auto"/>
                    <w:ind w:firstLine="0" w:firstLineChars="0"/>
                    <w:jc w:val="center"/>
                    <w:rPr>
                      <w:color w:val="auto"/>
                      <w:sz w:val="21"/>
                      <w:szCs w:val="21"/>
                    </w:rPr>
                  </w:pPr>
                  <w:r>
                    <w:rPr>
                      <w:color w:val="auto"/>
                      <w:sz w:val="21"/>
                      <w:szCs w:val="21"/>
                    </w:rPr>
                    <w:t>不大可能</w:t>
                  </w:r>
                </w:p>
              </w:tc>
              <w:tc>
                <w:tcPr>
                  <w:tcW w:w="3091" w:type="dxa"/>
                  <w:vAlign w:val="center"/>
                </w:tcPr>
                <w:p>
                  <w:pPr>
                    <w:adjustRightInd w:val="0"/>
                    <w:snapToGrid w:val="0"/>
                    <w:spacing w:line="240" w:lineRule="auto"/>
                    <w:ind w:firstLine="0" w:firstLineChars="0"/>
                    <w:jc w:val="center"/>
                    <w:rPr>
                      <w:color w:val="auto"/>
                      <w:sz w:val="21"/>
                      <w:szCs w:val="21"/>
                    </w:rPr>
                  </w:pPr>
                  <w:r>
                    <w:rPr>
                      <w:color w:val="auto"/>
                      <w:sz w:val="21"/>
                      <w:szCs w:val="21"/>
                    </w:rPr>
                    <w:t>装置寿命内发生一次</w:t>
                  </w:r>
                </w:p>
              </w:tc>
              <w:tc>
                <w:tcPr>
                  <w:tcW w:w="2764" w:type="dxa"/>
                  <w:vAlign w:val="center"/>
                </w:tcPr>
                <w:p>
                  <w:pPr>
                    <w:adjustRightInd w:val="0"/>
                    <w:snapToGrid w:val="0"/>
                    <w:spacing w:line="240" w:lineRule="auto"/>
                    <w:ind w:firstLine="0" w:firstLineChars="0"/>
                    <w:jc w:val="center"/>
                    <w:rPr>
                      <w:color w:val="auto"/>
                      <w:sz w:val="21"/>
                      <w:szCs w:val="21"/>
                    </w:rPr>
                  </w:pPr>
                  <w:r>
                    <w:rPr>
                      <w:color w:val="auto"/>
                      <w:sz w:val="21"/>
                      <w:szCs w:val="21"/>
                    </w:rPr>
                    <w:t>3.125×10</w:t>
                  </w:r>
                  <w:r>
                    <w:rPr>
                      <w:color w:val="auto"/>
                      <w:sz w:val="21"/>
                      <w:szCs w:val="21"/>
                      <w:vertAlign w:val="superscript"/>
                    </w:rPr>
                    <w:t>-2</w:t>
                  </w:r>
                  <w:r>
                    <w:rPr>
                      <w:color w:val="auto"/>
                      <w:sz w:val="21"/>
                      <w:szCs w:val="21"/>
                    </w:rPr>
                    <w:t>～l×10</w:t>
                  </w:r>
                  <w:r>
                    <w:rPr>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dxa"/>
                  <w:vAlign w:val="center"/>
                </w:tcPr>
                <w:p>
                  <w:pPr>
                    <w:adjustRightInd w:val="0"/>
                    <w:snapToGrid w:val="0"/>
                    <w:spacing w:line="240" w:lineRule="auto"/>
                    <w:ind w:firstLine="0" w:firstLineChars="0"/>
                    <w:jc w:val="center"/>
                    <w:rPr>
                      <w:color w:val="auto"/>
                      <w:sz w:val="21"/>
                      <w:szCs w:val="21"/>
                    </w:rPr>
                  </w:pPr>
                  <w:r>
                    <w:rPr>
                      <w:color w:val="auto"/>
                      <w:sz w:val="21"/>
                      <w:szCs w:val="21"/>
                    </w:rPr>
                    <w:t>3</w:t>
                  </w:r>
                </w:p>
              </w:tc>
              <w:tc>
                <w:tcPr>
                  <w:tcW w:w="1566" w:type="dxa"/>
                  <w:vAlign w:val="center"/>
                </w:tcPr>
                <w:p>
                  <w:pPr>
                    <w:adjustRightInd w:val="0"/>
                    <w:snapToGrid w:val="0"/>
                    <w:spacing w:line="240" w:lineRule="auto"/>
                    <w:ind w:firstLine="0" w:firstLineChars="0"/>
                    <w:jc w:val="center"/>
                    <w:rPr>
                      <w:color w:val="auto"/>
                      <w:sz w:val="21"/>
                      <w:szCs w:val="21"/>
                    </w:rPr>
                  </w:pPr>
                  <w:r>
                    <w:rPr>
                      <w:color w:val="auto"/>
                      <w:sz w:val="21"/>
                      <w:szCs w:val="21"/>
                    </w:rPr>
                    <w:t>也许可能</w:t>
                  </w:r>
                </w:p>
              </w:tc>
              <w:tc>
                <w:tcPr>
                  <w:tcW w:w="3091" w:type="dxa"/>
                  <w:vAlign w:val="center"/>
                </w:tcPr>
                <w:p>
                  <w:pPr>
                    <w:adjustRightInd w:val="0"/>
                    <w:snapToGrid w:val="0"/>
                    <w:spacing w:line="240" w:lineRule="auto"/>
                    <w:ind w:firstLine="0" w:firstLineChars="0"/>
                    <w:jc w:val="center"/>
                    <w:rPr>
                      <w:color w:val="auto"/>
                      <w:sz w:val="21"/>
                      <w:szCs w:val="21"/>
                    </w:rPr>
                  </w:pPr>
                  <w:r>
                    <w:rPr>
                      <w:color w:val="auto"/>
                      <w:sz w:val="21"/>
                      <w:szCs w:val="21"/>
                    </w:rPr>
                    <w:t>装置寿命内发生一次以上</w:t>
                  </w:r>
                </w:p>
              </w:tc>
              <w:tc>
                <w:tcPr>
                  <w:tcW w:w="2764" w:type="dxa"/>
                  <w:vAlign w:val="center"/>
                </w:tcPr>
                <w:p>
                  <w:pPr>
                    <w:adjustRightInd w:val="0"/>
                    <w:snapToGrid w:val="0"/>
                    <w:spacing w:line="240" w:lineRule="auto"/>
                    <w:ind w:firstLine="0" w:firstLineChars="0"/>
                    <w:jc w:val="center"/>
                    <w:rPr>
                      <w:color w:val="auto"/>
                      <w:sz w:val="21"/>
                      <w:szCs w:val="21"/>
                    </w:rPr>
                  </w:pPr>
                  <w:r>
                    <w:rPr>
                      <w:color w:val="auto"/>
                      <w:sz w:val="21"/>
                      <w:szCs w:val="21"/>
                    </w:rPr>
                    <w:t>0.10～0.03125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dxa"/>
                  <w:vAlign w:val="center"/>
                </w:tcPr>
                <w:p>
                  <w:pPr>
                    <w:adjustRightInd w:val="0"/>
                    <w:snapToGrid w:val="0"/>
                    <w:spacing w:line="240" w:lineRule="auto"/>
                    <w:ind w:firstLine="0" w:firstLineChars="0"/>
                    <w:jc w:val="center"/>
                    <w:rPr>
                      <w:color w:val="auto"/>
                      <w:sz w:val="21"/>
                      <w:szCs w:val="21"/>
                    </w:rPr>
                  </w:pPr>
                  <w:r>
                    <w:rPr>
                      <w:color w:val="auto"/>
                      <w:sz w:val="21"/>
                      <w:szCs w:val="21"/>
                    </w:rPr>
                    <w:t>4</w:t>
                  </w:r>
                </w:p>
              </w:tc>
              <w:tc>
                <w:tcPr>
                  <w:tcW w:w="1566" w:type="dxa"/>
                  <w:vAlign w:val="center"/>
                </w:tcPr>
                <w:p>
                  <w:pPr>
                    <w:adjustRightInd w:val="0"/>
                    <w:snapToGrid w:val="0"/>
                    <w:spacing w:line="240" w:lineRule="auto"/>
                    <w:ind w:firstLine="0" w:firstLineChars="0"/>
                    <w:jc w:val="center"/>
                    <w:rPr>
                      <w:color w:val="auto"/>
                      <w:sz w:val="21"/>
                      <w:szCs w:val="21"/>
                    </w:rPr>
                  </w:pPr>
                  <w:r>
                    <w:rPr>
                      <w:color w:val="auto"/>
                      <w:sz w:val="21"/>
                      <w:szCs w:val="21"/>
                    </w:rPr>
                    <w:t>偶然</w:t>
                  </w:r>
                </w:p>
              </w:tc>
              <w:tc>
                <w:tcPr>
                  <w:tcW w:w="3091" w:type="dxa"/>
                  <w:vAlign w:val="center"/>
                </w:tcPr>
                <w:p>
                  <w:pPr>
                    <w:adjustRightInd w:val="0"/>
                    <w:snapToGrid w:val="0"/>
                    <w:spacing w:line="240" w:lineRule="auto"/>
                    <w:ind w:firstLine="0" w:firstLineChars="0"/>
                    <w:jc w:val="center"/>
                    <w:rPr>
                      <w:color w:val="auto"/>
                      <w:sz w:val="21"/>
                      <w:szCs w:val="21"/>
                    </w:rPr>
                  </w:pPr>
                  <w:r>
                    <w:rPr>
                      <w:color w:val="auto"/>
                      <w:sz w:val="21"/>
                      <w:szCs w:val="21"/>
                    </w:rPr>
                    <w:t>装置寿命内发生几次</w:t>
                  </w:r>
                </w:p>
              </w:tc>
              <w:tc>
                <w:tcPr>
                  <w:tcW w:w="2764" w:type="dxa"/>
                  <w:vAlign w:val="center"/>
                </w:tcPr>
                <w:p>
                  <w:pPr>
                    <w:adjustRightInd w:val="0"/>
                    <w:snapToGrid w:val="0"/>
                    <w:spacing w:line="240" w:lineRule="auto"/>
                    <w:ind w:firstLine="0" w:firstLineChars="0"/>
                    <w:jc w:val="center"/>
                    <w:rPr>
                      <w:color w:val="auto"/>
                      <w:sz w:val="21"/>
                      <w:szCs w:val="21"/>
                    </w:rPr>
                  </w:pPr>
                  <w:r>
                    <w:rPr>
                      <w:color w:val="auto"/>
                      <w:sz w:val="21"/>
                      <w:szCs w:val="21"/>
                    </w:rPr>
                    <w:t>0.3333～0.10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dxa"/>
                  <w:vAlign w:val="center"/>
                </w:tcPr>
                <w:p>
                  <w:pPr>
                    <w:adjustRightInd w:val="0"/>
                    <w:snapToGrid w:val="0"/>
                    <w:spacing w:line="240" w:lineRule="auto"/>
                    <w:ind w:firstLine="0" w:firstLineChars="0"/>
                    <w:jc w:val="center"/>
                    <w:rPr>
                      <w:color w:val="auto"/>
                      <w:sz w:val="21"/>
                      <w:szCs w:val="21"/>
                    </w:rPr>
                  </w:pPr>
                  <w:r>
                    <w:rPr>
                      <w:color w:val="auto"/>
                      <w:sz w:val="21"/>
                      <w:szCs w:val="21"/>
                    </w:rPr>
                    <w:t>5</w:t>
                  </w:r>
                </w:p>
              </w:tc>
              <w:tc>
                <w:tcPr>
                  <w:tcW w:w="1566" w:type="dxa"/>
                  <w:vAlign w:val="center"/>
                </w:tcPr>
                <w:p>
                  <w:pPr>
                    <w:adjustRightInd w:val="0"/>
                    <w:snapToGrid w:val="0"/>
                    <w:spacing w:line="240" w:lineRule="auto"/>
                    <w:ind w:firstLine="0" w:firstLineChars="0"/>
                    <w:jc w:val="center"/>
                    <w:rPr>
                      <w:color w:val="auto"/>
                      <w:sz w:val="21"/>
                      <w:szCs w:val="21"/>
                    </w:rPr>
                  </w:pPr>
                  <w:r>
                    <w:rPr>
                      <w:color w:val="auto"/>
                      <w:sz w:val="21"/>
                      <w:szCs w:val="21"/>
                    </w:rPr>
                    <w:t>可能</w:t>
                  </w:r>
                </w:p>
              </w:tc>
              <w:tc>
                <w:tcPr>
                  <w:tcW w:w="3091" w:type="dxa"/>
                  <w:vAlign w:val="center"/>
                </w:tcPr>
                <w:p>
                  <w:pPr>
                    <w:adjustRightInd w:val="0"/>
                    <w:snapToGrid w:val="0"/>
                    <w:spacing w:line="240" w:lineRule="auto"/>
                    <w:ind w:firstLine="0" w:firstLineChars="0"/>
                    <w:jc w:val="center"/>
                    <w:rPr>
                      <w:color w:val="auto"/>
                      <w:sz w:val="21"/>
                      <w:szCs w:val="21"/>
                    </w:rPr>
                  </w:pPr>
                  <w:r>
                    <w:rPr>
                      <w:color w:val="auto"/>
                      <w:sz w:val="21"/>
                      <w:szCs w:val="21"/>
                    </w:rPr>
                    <w:t>预计一年发生一次</w:t>
                  </w:r>
                </w:p>
              </w:tc>
              <w:tc>
                <w:tcPr>
                  <w:tcW w:w="2764" w:type="dxa"/>
                  <w:vAlign w:val="center"/>
                </w:tcPr>
                <w:p>
                  <w:pPr>
                    <w:adjustRightInd w:val="0"/>
                    <w:snapToGrid w:val="0"/>
                    <w:spacing w:line="240" w:lineRule="auto"/>
                    <w:ind w:firstLine="0" w:firstLineChars="0"/>
                    <w:jc w:val="center"/>
                    <w:rPr>
                      <w:color w:val="auto"/>
                      <w:sz w:val="21"/>
                      <w:szCs w:val="21"/>
                    </w:rPr>
                  </w:pPr>
                  <w:r>
                    <w:rPr>
                      <w:color w:val="auto"/>
                      <w:sz w:val="21"/>
                      <w:szCs w:val="21"/>
                    </w:rPr>
                    <w:t>1～0.3333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dxa"/>
                  <w:vAlign w:val="center"/>
                </w:tcPr>
                <w:p>
                  <w:pPr>
                    <w:adjustRightInd w:val="0"/>
                    <w:snapToGrid w:val="0"/>
                    <w:spacing w:line="240" w:lineRule="auto"/>
                    <w:ind w:firstLine="0" w:firstLineChars="0"/>
                    <w:jc w:val="center"/>
                    <w:rPr>
                      <w:color w:val="auto"/>
                      <w:sz w:val="21"/>
                      <w:szCs w:val="21"/>
                    </w:rPr>
                  </w:pPr>
                  <w:r>
                    <w:rPr>
                      <w:color w:val="auto"/>
                      <w:sz w:val="21"/>
                      <w:szCs w:val="21"/>
                    </w:rPr>
                    <w:t>6</w:t>
                  </w:r>
                </w:p>
              </w:tc>
              <w:tc>
                <w:tcPr>
                  <w:tcW w:w="1566" w:type="dxa"/>
                  <w:vAlign w:val="center"/>
                </w:tcPr>
                <w:p>
                  <w:pPr>
                    <w:adjustRightInd w:val="0"/>
                    <w:snapToGrid w:val="0"/>
                    <w:spacing w:line="240" w:lineRule="auto"/>
                    <w:ind w:firstLine="0" w:firstLineChars="0"/>
                    <w:jc w:val="center"/>
                    <w:rPr>
                      <w:color w:val="auto"/>
                      <w:sz w:val="21"/>
                      <w:szCs w:val="21"/>
                    </w:rPr>
                  </w:pPr>
                  <w:r>
                    <w:rPr>
                      <w:color w:val="auto"/>
                      <w:sz w:val="21"/>
                      <w:szCs w:val="21"/>
                    </w:rPr>
                    <w:t>频繁</w:t>
                  </w:r>
                </w:p>
              </w:tc>
              <w:tc>
                <w:tcPr>
                  <w:tcW w:w="3091" w:type="dxa"/>
                  <w:vAlign w:val="center"/>
                </w:tcPr>
                <w:p>
                  <w:pPr>
                    <w:adjustRightInd w:val="0"/>
                    <w:snapToGrid w:val="0"/>
                    <w:spacing w:line="240" w:lineRule="auto"/>
                    <w:ind w:firstLine="0" w:firstLineChars="0"/>
                    <w:jc w:val="center"/>
                    <w:rPr>
                      <w:color w:val="auto"/>
                      <w:sz w:val="21"/>
                      <w:szCs w:val="21"/>
                    </w:rPr>
                  </w:pPr>
                  <w:r>
                    <w:rPr>
                      <w:color w:val="auto"/>
                      <w:sz w:val="21"/>
                      <w:szCs w:val="21"/>
                    </w:rPr>
                    <w:t>预计一年发生一次以上</w:t>
                  </w:r>
                </w:p>
              </w:tc>
              <w:tc>
                <w:tcPr>
                  <w:tcW w:w="2764" w:type="dxa"/>
                  <w:vAlign w:val="center"/>
                </w:tcPr>
                <w:p>
                  <w:pPr>
                    <w:adjustRightInd w:val="0"/>
                    <w:snapToGrid w:val="0"/>
                    <w:spacing w:line="240" w:lineRule="auto"/>
                    <w:ind w:firstLine="0" w:firstLineChars="0"/>
                    <w:jc w:val="center"/>
                    <w:rPr>
                      <w:color w:val="auto"/>
                      <w:sz w:val="21"/>
                      <w:szCs w:val="21"/>
                    </w:rPr>
                  </w:pPr>
                  <w:r>
                    <w:rPr>
                      <w:color w:val="auto"/>
                      <w:sz w:val="21"/>
                      <w:szCs w:val="21"/>
                    </w:rPr>
                    <w:t>&gt;1</w:t>
                  </w:r>
                </w:p>
              </w:tc>
            </w:tr>
          </w:tbl>
          <w:p>
            <w:pPr>
              <w:spacing w:beforeLines="50"/>
              <w:ind w:firstLine="480"/>
              <w:jc w:val="both"/>
              <w:rPr>
                <w:color w:val="auto"/>
              </w:rPr>
            </w:pPr>
            <w:r>
              <w:rPr>
                <w:color w:val="auto"/>
              </w:rPr>
              <w:fldChar w:fldCharType="begin"/>
            </w:r>
            <w:r>
              <w:rPr>
                <w:color w:val="auto"/>
              </w:rPr>
              <w:instrText xml:space="preserve"> = 2 \* GB3 </w:instrText>
            </w:r>
            <w:r>
              <w:rPr>
                <w:color w:val="auto"/>
              </w:rPr>
              <w:fldChar w:fldCharType="separate"/>
            </w:r>
            <w:r>
              <w:rPr>
                <w:rFonts w:hint="eastAsia" w:ascii="宋体" w:hAnsi="宋体" w:cs="宋体"/>
                <w:color w:val="auto"/>
              </w:rPr>
              <w:t>②</w:t>
            </w:r>
            <w:r>
              <w:rPr>
                <w:color w:val="auto"/>
              </w:rPr>
              <w:fldChar w:fldCharType="end"/>
            </w:r>
            <w:r>
              <w:rPr>
                <w:color w:val="auto"/>
              </w:rPr>
              <w:t>一般事故概率</w:t>
            </w:r>
          </w:p>
          <w:p>
            <w:pPr>
              <w:ind w:firstLine="480"/>
              <w:jc w:val="both"/>
              <w:rPr>
                <w:color w:val="auto"/>
              </w:rPr>
            </w:pPr>
            <w:r>
              <w:rPr>
                <w:color w:val="auto"/>
              </w:rPr>
              <w:t>一般事故是指那些没有造成重大经济损失和人员伤亡的事故，此类事故如处置不当，将对环境产生不利影响。对化工生产装置事故调查统计可知，因生产装置原因造成的事故中以设备、管道、贮罐破损泄漏出现几率最大；因人为因素造成的事故中以操作失误、违章操作、维护不当出现几率最大。</w:t>
            </w:r>
          </w:p>
          <w:p>
            <w:pPr>
              <w:numPr>
                <w:ilvl w:val="0"/>
                <w:numId w:val="6"/>
              </w:numPr>
              <w:spacing w:line="240" w:lineRule="auto"/>
              <w:ind w:firstLineChars="0"/>
              <w:jc w:val="both"/>
              <w:rPr>
                <w:b/>
                <w:color w:val="auto"/>
                <w:szCs w:val="21"/>
              </w:rPr>
            </w:pPr>
            <w:r>
              <w:rPr>
                <w:b/>
                <w:color w:val="auto"/>
                <w:szCs w:val="21"/>
              </w:rPr>
              <w:t>环境风险分析</w:t>
            </w:r>
          </w:p>
          <w:p>
            <w:pPr>
              <w:adjustRightInd w:val="0"/>
              <w:snapToGrid w:val="0"/>
              <w:ind w:firstLine="480"/>
              <w:jc w:val="both"/>
              <w:rPr>
                <w:color w:val="auto"/>
              </w:rPr>
            </w:pPr>
            <w:bookmarkStart w:id="2" w:name="_Toc454888890"/>
            <w:r>
              <w:rPr>
                <w:rFonts w:hint="eastAsia"/>
                <w:color w:val="auto"/>
              </w:rPr>
              <w:t>风险事故的特征及其对环境的影响包括火灾、爆炸、液（气）体化学品泄漏等几个方面。根据对生产过程中各个工序的工程分析结果及本产品生产过程的调查了解，本评价考虑发生水性油墨的泄漏、火灾对环境的影响以及引发的伴生、次生环境污染。</w:t>
            </w:r>
          </w:p>
          <w:p>
            <w:pPr>
              <w:adjustRightInd w:val="0"/>
              <w:snapToGrid w:val="0"/>
              <w:ind w:firstLine="480"/>
              <w:jc w:val="both"/>
              <w:rPr>
                <w:color w:val="auto"/>
              </w:rPr>
            </w:pPr>
            <w:r>
              <w:rPr>
                <w:rFonts w:hint="eastAsia"/>
                <w:color w:val="auto"/>
              </w:rPr>
              <w:t>项目需要使用水性油墨、清洗剂泄漏后会对周边地下水和地表水造成一定的影响。厂区物料存放点和包装袋存放点遇明火</w:t>
            </w:r>
            <w:r>
              <w:rPr>
                <w:color w:val="auto"/>
              </w:rPr>
              <w:t>则发生火灾事故。</w:t>
            </w:r>
          </w:p>
          <w:bookmarkEnd w:id="2"/>
          <w:p>
            <w:pPr>
              <w:numPr>
                <w:ilvl w:val="0"/>
                <w:numId w:val="6"/>
              </w:numPr>
              <w:spacing w:line="240" w:lineRule="auto"/>
              <w:ind w:firstLineChars="0"/>
              <w:jc w:val="both"/>
              <w:rPr>
                <w:b/>
                <w:color w:val="auto"/>
                <w:szCs w:val="21"/>
              </w:rPr>
            </w:pPr>
            <w:r>
              <w:rPr>
                <w:b/>
                <w:color w:val="auto"/>
                <w:szCs w:val="21"/>
              </w:rPr>
              <w:t>风险防范措施</w:t>
            </w:r>
          </w:p>
          <w:p>
            <w:pPr>
              <w:adjustRightInd w:val="0"/>
              <w:snapToGrid w:val="0"/>
              <w:ind w:firstLine="480"/>
              <w:jc w:val="both"/>
              <w:rPr>
                <w:color w:val="auto"/>
              </w:rPr>
            </w:pPr>
            <w:r>
              <w:rPr>
                <w:color w:val="auto"/>
              </w:rPr>
              <w:t>项目厂区虽然燃烧或爆炸出现的几率很小，但必须引起建设单位的高度重视。</w:t>
            </w:r>
          </w:p>
          <w:p>
            <w:pPr>
              <w:adjustRightInd w:val="0"/>
              <w:snapToGrid w:val="0"/>
              <w:ind w:firstLine="480"/>
              <w:jc w:val="both"/>
              <w:rPr>
                <w:color w:val="auto"/>
              </w:rPr>
            </w:pPr>
            <w:r>
              <w:rPr>
                <w:rFonts w:hint="eastAsia"/>
                <w:color w:val="auto"/>
              </w:rPr>
              <w:t>涉及水性油墨的泄漏、及火灾，具体应急对策详见表7-20。</w:t>
            </w:r>
          </w:p>
          <w:p>
            <w:pPr>
              <w:snapToGrid w:val="0"/>
              <w:spacing w:line="240" w:lineRule="auto"/>
              <w:ind w:right="120" w:rightChars="50" w:firstLine="0" w:firstLineChars="0"/>
              <w:jc w:val="center"/>
              <w:rPr>
                <w:rFonts w:ascii="宋体" w:hAnsi="宋体"/>
                <w:b/>
                <w:color w:val="auto"/>
              </w:rPr>
            </w:pPr>
            <w:r>
              <w:rPr>
                <w:rFonts w:ascii="宋体" w:hAnsi="宋体"/>
                <w:b/>
                <w:color w:val="auto"/>
              </w:rPr>
              <w:t>表</w:t>
            </w:r>
            <w:r>
              <w:rPr>
                <w:rFonts w:hint="eastAsia" w:ascii="宋体" w:hAnsi="宋体"/>
                <w:b/>
                <w:color w:val="auto"/>
              </w:rPr>
              <w:t>7-20</w:t>
            </w:r>
            <w:r>
              <w:rPr>
                <w:rFonts w:hint="eastAsia" w:ascii="宋体" w:hAnsi="宋体"/>
                <w:b/>
                <w:color w:val="auto"/>
                <w:lang w:val="en-US" w:eastAsia="zh-CN"/>
              </w:rPr>
              <w:t xml:space="preserve">   </w:t>
            </w:r>
            <w:r>
              <w:rPr>
                <w:rFonts w:ascii="宋体" w:hAnsi="宋体"/>
                <w:b/>
                <w:color w:val="auto"/>
              </w:rPr>
              <w:t>泄漏、火灾应急对策汇总表</w:t>
            </w:r>
          </w:p>
          <w:tbl>
            <w:tblPr>
              <w:tblStyle w:val="25"/>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21"/>
              <w:gridCol w:w="1694"/>
              <w:gridCol w:w="2019"/>
              <w:gridCol w:w="2533"/>
              <w:gridCol w:w="15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26" w:type="pct"/>
                  <w:vAlign w:val="center"/>
                </w:tcPr>
                <w:p>
                  <w:pPr>
                    <w:spacing w:line="320" w:lineRule="exact"/>
                    <w:ind w:firstLine="0" w:firstLineChars="0"/>
                    <w:jc w:val="center"/>
                    <w:rPr>
                      <w:color w:val="auto"/>
                      <w:sz w:val="21"/>
                    </w:rPr>
                  </w:pPr>
                  <w:r>
                    <w:rPr>
                      <w:color w:val="auto"/>
                      <w:sz w:val="21"/>
                    </w:rPr>
                    <w:t>物料名称</w:t>
                  </w:r>
                </w:p>
              </w:tc>
              <w:tc>
                <w:tcPr>
                  <w:tcW w:w="946" w:type="pct"/>
                  <w:vAlign w:val="center"/>
                </w:tcPr>
                <w:p>
                  <w:pPr>
                    <w:spacing w:line="320" w:lineRule="exact"/>
                    <w:ind w:firstLine="0" w:firstLineChars="0"/>
                    <w:jc w:val="center"/>
                    <w:rPr>
                      <w:color w:val="auto"/>
                      <w:sz w:val="21"/>
                    </w:rPr>
                  </w:pPr>
                  <w:r>
                    <w:rPr>
                      <w:color w:val="auto"/>
                      <w:sz w:val="21"/>
                    </w:rPr>
                    <w:t>泄漏应急处理</w:t>
                  </w:r>
                </w:p>
              </w:tc>
              <w:tc>
                <w:tcPr>
                  <w:tcW w:w="1127" w:type="pct"/>
                  <w:vAlign w:val="center"/>
                </w:tcPr>
                <w:p>
                  <w:pPr>
                    <w:spacing w:line="320" w:lineRule="exact"/>
                    <w:ind w:firstLine="0" w:firstLineChars="0"/>
                    <w:jc w:val="center"/>
                    <w:rPr>
                      <w:color w:val="auto"/>
                      <w:sz w:val="21"/>
                    </w:rPr>
                  </w:pPr>
                  <w:r>
                    <w:rPr>
                      <w:color w:val="auto"/>
                      <w:sz w:val="21"/>
                    </w:rPr>
                    <w:t>防护措施</w:t>
                  </w:r>
                </w:p>
              </w:tc>
              <w:tc>
                <w:tcPr>
                  <w:tcW w:w="1414" w:type="pct"/>
                  <w:vAlign w:val="center"/>
                </w:tcPr>
                <w:p>
                  <w:pPr>
                    <w:spacing w:line="320" w:lineRule="exact"/>
                    <w:ind w:firstLine="0" w:firstLineChars="0"/>
                    <w:jc w:val="center"/>
                    <w:rPr>
                      <w:color w:val="auto"/>
                      <w:sz w:val="21"/>
                    </w:rPr>
                  </w:pPr>
                  <w:r>
                    <w:rPr>
                      <w:color w:val="auto"/>
                      <w:sz w:val="21"/>
                    </w:rPr>
                    <w:t>急救措施</w:t>
                  </w:r>
                </w:p>
              </w:tc>
              <w:tc>
                <w:tcPr>
                  <w:tcW w:w="887" w:type="pct"/>
                  <w:vAlign w:val="center"/>
                </w:tcPr>
                <w:p>
                  <w:pPr>
                    <w:spacing w:line="320" w:lineRule="exact"/>
                    <w:ind w:firstLine="0" w:firstLineChars="0"/>
                    <w:jc w:val="center"/>
                    <w:rPr>
                      <w:color w:val="auto"/>
                      <w:sz w:val="21"/>
                    </w:rPr>
                  </w:pPr>
                  <w:r>
                    <w:rPr>
                      <w:color w:val="auto"/>
                      <w:sz w:val="21"/>
                    </w:rPr>
                    <w:t>灭火方法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26" w:type="pct"/>
                  <w:vAlign w:val="center"/>
                </w:tcPr>
                <w:p>
                  <w:pPr>
                    <w:spacing w:line="320" w:lineRule="exact"/>
                    <w:ind w:firstLine="0" w:firstLineChars="0"/>
                    <w:jc w:val="center"/>
                    <w:rPr>
                      <w:color w:val="auto"/>
                      <w:sz w:val="21"/>
                    </w:rPr>
                  </w:pPr>
                  <w:r>
                    <w:rPr>
                      <w:color w:val="auto"/>
                      <w:sz w:val="21"/>
                    </w:rPr>
                    <w:t>水性油墨</w:t>
                  </w:r>
                  <w:r>
                    <w:rPr>
                      <w:rFonts w:hint="eastAsia"/>
                      <w:color w:val="auto"/>
                      <w:sz w:val="21"/>
                    </w:rPr>
                    <w:t>、稀释剂、清洗剂</w:t>
                  </w:r>
                </w:p>
              </w:tc>
              <w:tc>
                <w:tcPr>
                  <w:tcW w:w="946" w:type="pct"/>
                  <w:vAlign w:val="center"/>
                </w:tcPr>
                <w:p>
                  <w:pPr>
                    <w:spacing w:line="320" w:lineRule="exact"/>
                    <w:ind w:firstLine="0" w:firstLineChars="0"/>
                    <w:jc w:val="center"/>
                    <w:rPr>
                      <w:color w:val="auto"/>
                      <w:sz w:val="21"/>
                    </w:rPr>
                  </w:pPr>
                  <w:r>
                    <w:rPr>
                      <w:color w:val="auto"/>
                      <w:sz w:val="21"/>
                    </w:rPr>
                    <w:t>对泄漏区进行通风，避免吸入蒸汽，大量泄漏用泡沫覆盖，降低蒸汽危害。用砂土或其他类似物质吸收，按环保部门的要求处置。</w:t>
                  </w:r>
                </w:p>
              </w:tc>
              <w:tc>
                <w:tcPr>
                  <w:tcW w:w="1127" w:type="pct"/>
                  <w:vAlign w:val="center"/>
                </w:tcPr>
                <w:p>
                  <w:pPr>
                    <w:spacing w:line="320" w:lineRule="exact"/>
                    <w:ind w:firstLine="0" w:firstLineChars="0"/>
                    <w:jc w:val="center"/>
                    <w:rPr>
                      <w:color w:val="auto"/>
                      <w:sz w:val="21"/>
                    </w:rPr>
                  </w:pPr>
                  <w:r>
                    <w:rPr>
                      <w:color w:val="auto"/>
                      <w:sz w:val="21"/>
                    </w:rPr>
                    <w:t>呼吸系统防护：一般不需要特殊防护，高浓度接触时可佩戴通气式面罩或自吸过滤式防毒面具；眼睛防护：戴化学安全防护眼镜；身体防护：穿一般作业防护服；手防护：戴防化学品手套；其他：工作毕，淋浴更衣，避免长期反复接触。</w:t>
                  </w:r>
                </w:p>
              </w:tc>
              <w:tc>
                <w:tcPr>
                  <w:tcW w:w="1414" w:type="pct"/>
                  <w:vAlign w:val="center"/>
                </w:tcPr>
                <w:p>
                  <w:pPr>
                    <w:spacing w:line="320" w:lineRule="exact"/>
                    <w:ind w:firstLine="0" w:firstLineChars="0"/>
                    <w:jc w:val="center"/>
                    <w:rPr>
                      <w:color w:val="auto"/>
                      <w:sz w:val="21"/>
                    </w:rPr>
                  </w:pPr>
                  <w:r>
                    <w:rPr>
                      <w:color w:val="auto"/>
                      <w:sz w:val="21"/>
                    </w:rPr>
                    <w:t>眼睛接触：用流动清水冲洗15分钟，如仍感刺激，就医；吸入：迅速脱离现场至空气新鲜处，保持呼吸道畅通。如呼吸困难，给输氧，如呼吸停止，立即进行人工呼吸，就医；皮肤接触：立即脱去污染衣着，用大量流动清水和肥皂水或专用洗涤剂冲洗；误服：饮足量温水，催吐，就医。</w:t>
                  </w:r>
                </w:p>
              </w:tc>
              <w:tc>
                <w:tcPr>
                  <w:tcW w:w="887" w:type="pct"/>
                  <w:vAlign w:val="center"/>
                </w:tcPr>
                <w:p>
                  <w:pPr>
                    <w:spacing w:line="320" w:lineRule="exact"/>
                    <w:ind w:firstLine="0" w:firstLineChars="0"/>
                    <w:jc w:val="center"/>
                    <w:rPr>
                      <w:color w:val="auto"/>
                      <w:sz w:val="21"/>
                    </w:rPr>
                  </w:pPr>
                  <w:r>
                    <w:rPr>
                      <w:color w:val="auto"/>
                      <w:sz w:val="21"/>
                    </w:rPr>
                    <w:t>灭火剂：二氧化碳、干粉、泡沫。</w:t>
                  </w:r>
                </w:p>
                <w:p>
                  <w:pPr>
                    <w:spacing w:line="320" w:lineRule="exact"/>
                    <w:ind w:firstLine="0" w:firstLineChars="0"/>
                    <w:jc w:val="center"/>
                    <w:rPr>
                      <w:color w:val="auto"/>
                      <w:sz w:val="21"/>
                    </w:rPr>
                  </w:pPr>
                  <w:r>
                    <w:rPr>
                      <w:color w:val="auto"/>
                      <w:sz w:val="21"/>
                    </w:rPr>
                    <w:t>灭火注意事项：用水喷雾冷却火场中的容器。消防员必须佩戴通气式面罩或正压自给式呼吸器。</w:t>
                  </w:r>
                </w:p>
              </w:tc>
            </w:tr>
          </w:tbl>
          <w:p>
            <w:pPr>
              <w:snapToGrid w:val="0"/>
              <w:ind w:firstLine="480"/>
              <w:jc w:val="both"/>
              <w:rPr>
                <w:rFonts w:ascii="宋体" w:hAnsi="宋体"/>
                <w:bCs/>
                <w:color w:val="auto"/>
              </w:rPr>
            </w:pPr>
            <w:r>
              <w:rPr>
                <w:rFonts w:ascii="宋体" w:hAnsi="宋体"/>
                <w:bCs/>
                <w:color w:val="auto"/>
              </w:rPr>
              <w:t>（</w:t>
            </w:r>
            <w:r>
              <w:rPr>
                <w:rFonts w:hint="eastAsia" w:ascii="宋体" w:hAnsi="宋体"/>
                <w:bCs/>
                <w:color w:val="auto"/>
              </w:rPr>
              <w:t>6</w:t>
            </w:r>
            <w:r>
              <w:rPr>
                <w:rFonts w:ascii="宋体" w:hAnsi="宋体"/>
                <w:bCs/>
                <w:color w:val="auto"/>
              </w:rPr>
              <w:t>）风险防范措施</w:t>
            </w:r>
          </w:p>
          <w:p>
            <w:pPr>
              <w:snapToGrid w:val="0"/>
              <w:ind w:firstLine="480"/>
              <w:jc w:val="both"/>
              <w:rPr>
                <w:rFonts w:ascii="宋体" w:hAnsi="宋体"/>
                <w:color w:val="auto"/>
              </w:rPr>
            </w:pPr>
            <w:r>
              <w:rPr>
                <w:rFonts w:hint="eastAsia" w:ascii="宋体" w:hAnsi="宋体" w:cs="宋体"/>
                <w:color w:val="auto"/>
              </w:rPr>
              <w:t>①</w:t>
            </w:r>
            <w:r>
              <w:rPr>
                <w:rFonts w:ascii="宋体" w:hAnsi="宋体"/>
                <w:color w:val="auto"/>
              </w:rPr>
              <w:t>为了防止油墨</w:t>
            </w:r>
            <w:r>
              <w:rPr>
                <w:rFonts w:hint="eastAsia" w:ascii="宋体" w:hAnsi="宋体"/>
                <w:color w:val="auto"/>
              </w:rPr>
              <w:t>、清洗剂</w:t>
            </w:r>
            <w:r>
              <w:rPr>
                <w:rFonts w:ascii="宋体" w:hAnsi="宋体"/>
                <w:color w:val="auto"/>
              </w:rPr>
              <w:t>等泄漏对环境造成污染，应对车间的地面进行防腐防渗处理，</w:t>
            </w:r>
            <w:r>
              <w:rPr>
                <w:rFonts w:hint="eastAsia" w:ascii="宋体" w:hAnsi="宋体"/>
                <w:color w:val="auto"/>
                <w:lang w:eastAsia="zh-CN"/>
              </w:rPr>
              <w:t>而且应该</w:t>
            </w:r>
            <w:r>
              <w:rPr>
                <w:color w:val="auto"/>
              </w:rPr>
              <w:t>要</w:t>
            </w:r>
            <w:r>
              <w:rPr>
                <w:rFonts w:hint="eastAsia"/>
                <w:color w:val="auto"/>
                <w:lang w:eastAsia="zh-CN"/>
              </w:rPr>
              <w:t>修筑防</w:t>
            </w:r>
            <w:r>
              <w:rPr>
                <w:color w:val="auto"/>
              </w:rPr>
              <w:t>泄漏裙角或围堰</w:t>
            </w:r>
            <w:r>
              <w:rPr>
                <w:rFonts w:hint="eastAsia"/>
                <w:color w:val="auto"/>
              </w:rPr>
              <w:t>，</w:t>
            </w:r>
            <w:r>
              <w:rPr>
                <w:color w:val="auto"/>
              </w:rPr>
              <w:t>或者将物料贮存于防渗漏托盘内</w:t>
            </w:r>
            <w:r>
              <w:rPr>
                <w:rFonts w:hint="eastAsia"/>
                <w:color w:val="auto"/>
                <w:lang w:eastAsia="zh-CN"/>
              </w:rPr>
              <w:t>。</w:t>
            </w:r>
            <w:r>
              <w:rPr>
                <w:rFonts w:ascii="宋体" w:hAnsi="宋体"/>
                <w:color w:val="auto"/>
              </w:rPr>
              <w:t>严禁污染地表水、地下水及土壤。</w:t>
            </w:r>
          </w:p>
          <w:p>
            <w:pPr>
              <w:snapToGrid w:val="0"/>
              <w:ind w:firstLine="480"/>
              <w:jc w:val="both"/>
              <w:rPr>
                <w:rFonts w:ascii="宋体" w:hAnsi="宋体"/>
                <w:color w:val="auto"/>
              </w:rPr>
            </w:pPr>
            <w:r>
              <w:rPr>
                <w:rFonts w:hint="eastAsia" w:ascii="宋体" w:hAnsi="宋体" w:cs="宋体"/>
                <w:color w:val="auto"/>
              </w:rPr>
              <w:t>②</w:t>
            </w:r>
            <w:r>
              <w:rPr>
                <w:rFonts w:ascii="宋体" w:hAnsi="宋体"/>
                <w:color w:val="auto"/>
              </w:rPr>
              <w:t>配备相应品种和数量的消防器材。原料储存区应备有合适的材料收容泄漏物。</w:t>
            </w:r>
          </w:p>
          <w:p>
            <w:pPr>
              <w:snapToGrid w:val="0"/>
              <w:ind w:firstLine="480"/>
              <w:jc w:val="both"/>
              <w:rPr>
                <w:rFonts w:ascii="宋体" w:hAnsi="宋体"/>
                <w:color w:val="auto"/>
              </w:rPr>
            </w:pPr>
            <w:r>
              <w:rPr>
                <w:rFonts w:hint="eastAsia" w:ascii="宋体" w:hAnsi="宋体" w:cs="宋体"/>
                <w:color w:val="auto"/>
              </w:rPr>
              <w:t>③</w:t>
            </w:r>
            <w:r>
              <w:rPr>
                <w:rFonts w:ascii="宋体" w:hAnsi="宋体"/>
                <w:color w:val="auto"/>
              </w:rPr>
              <w:t>定期进行电路、电气检查、消除安全隐患；车间和仓库的电气装置必须符合国家现行的有关电气设计的施工安装验收标准规范的规定。</w:t>
            </w:r>
          </w:p>
          <w:p>
            <w:pPr>
              <w:snapToGrid w:val="0"/>
              <w:ind w:firstLine="480"/>
              <w:jc w:val="both"/>
              <w:rPr>
                <w:rFonts w:ascii="宋体" w:hAnsi="宋体"/>
                <w:color w:val="auto"/>
              </w:rPr>
            </w:pPr>
            <w:r>
              <w:rPr>
                <w:rFonts w:hint="eastAsia" w:ascii="宋体" w:hAnsi="宋体" w:cs="宋体"/>
                <w:color w:val="auto"/>
              </w:rPr>
              <w:t>④</w:t>
            </w:r>
            <w:r>
              <w:rPr>
                <w:rFonts w:ascii="宋体" w:hAnsi="宋体"/>
                <w:color w:val="auto"/>
              </w:rPr>
              <w:t>组织对职工进行消防宣传、业务培训和考核，提高职工的安全素质，组织开展防火检查，消除火险隐患。</w:t>
            </w:r>
          </w:p>
          <w:p>
            <w:pPr>
              <w:snapToGrid w:val="0"/>
              <w:ind w:firstLine="480"/>
              <w:jc w:val="both"/>
              <w:rPr>
                <w:rFonts w:ascii="宋体" w:hAnsi="宋体"/>
                <w:bCs/>
                <w:color w:val="auto"/>
              </w:rPr>
            </w:pPr>
            <w:r>
              <w:rPr>
                <w:rFonts w:ascii="宋体" w:hAnsi="宋体"/>
                <w:bCs/>
                <w:color w:val="auto"/>
              </w:rPr>
              <w:t>（</w:t>
            </w:r>
            <w:r>
              <w:rPr>
                <w:rFonts w:hint="eastAsia" w:ascii="宋体" w:hAnsi="宋体"/>
                <w:bCs/>
                <w:color w:val="auto"/>
              </w:rPr>
              <w:t>7</w:t>
            </w:r>
            <w:r>
              <w:rPr>
                <w:rFonts w:ascii="宋体" w:hAnsi="宋体"/>
                <w:bCs/>
                <w:color w:val="auto"/>
              </w:rPr>
              <w:t>）生产管理防范措施</w:t>
            </w:r>
          </w:p>
          <w:p>
            <w:pPr>
              <w:snapToGrid w:val="0"/>
              <w:ind w:firstLine="480"/>
              <w:jc w:val="both"/>
              <w:rPr>
                <w:rFonts w:ascii="宋体" w:hAnsi="宋体"/>
                <w:color w:val="auto"/>
              </w:rPr>
            </w:pPr>
            <w:r>
              <w:rPr>
                <w:rFonts w:hint="eastAsia" w:ascii="宋体" w:hAnsi="宋体" w:cs="宋体"/>
                <w:color w:val="auto"/>
              </w:rPr>
              <w:t>①</w:t>
            </w:r>
            <w:r>
              <w:rPr>
                <w:rFonts w:ascii="宋体" w:hAnsi="宋体"/>
                <w:color w:val="auto"/>
              </w:rPr>
              <w:t>建立和完善各级安全生产责任制，并切实落实到实处。各级领导和生产管理人员必须重视安全生产，积极推广科学安全的管理方法，强化安全操作制度和劳动纪律。</w:t>
            </w:r>
          </w:p>
          <w:p>
            <w:pPr>
              <w:snapToGrid w:val="0"/>
              <w:ind w:firstLine="480"/>
              <w:jc w:val="both"/>
              <w:rPr>
                <w:rFonts w:ascii="宋体" w:hAnsi="宋体"/>
                <w:color w:val="auto"/>
              </w:rPr>
            </w:pPr>
            <w:r>
              <w:rPr>
                <w:rFonts w:hint="eastAsia" w:ascii="宋体" w:hAnsi="宋体" w:cs="宋体"/>
                <w:color w:val="auto"/>
              </w:rPr>
              <w:t>②</w:t>
            </w:r>
            <w:r>
              <w:rPr>
                <w:rFonts w:ascii="宋体" w:hAnsi="宋体"/>
                <w:color w:val="auto"/>
              </w:rPr>
              <w:t>对职工要加强职业培训和安全教育。培养职工高度的安全生产责任心，并且要熟悉相应的业务，有熟练的操作技能，具备有关物料、设备、设施、工艺参数变动及泄漏等的危险、危害知识，在紧急情况下能采取正确的应急方法。</w:t>
            </w:r>
          </w:p>
          <w:p>
            <w:pPr>
              <w:snapToGrid w:val="0"/>
              <w:ind w:firstLine="480"/>
              <w:jc w:val="both"/>
              <w:rPr>
                <w:rFonts w:ascii="宋体" w:hAnsi="宋体"/>
                <w:color w:val="auto"/>
              </w:rPr>
            </w:pPr>
            <w:r>
              <w:rPr>
                <w:rFonts w:hint="eastAsia" w:ascii="宋体" w:hAnsi="宋体" w:cs="宋体"/>
                <w:color w:val="auto"/>
              </w:rPr>
              <w:t>③</w:t>
            </w:r>
            <w:r>
              <w:rPr>
                <w:rFonts w:ascii="宋体" w:hAnsi="宋体"/>
                <w:color w:val="auto"/>
              </w:rPr>
              <w:t>加强对新职工和转岗职工的专业培训、安全教育和考核。新进人员必须进过专业培训和三级安全教育，并经考试合格后方可持证上岗。对转岗、复工职工应参照新进职工的办法进行培训和考试。</w:t>
            </w:r>
          </w:p>
          <w:p>
            <w:pPr>
              <w:snapToGrid w:val="0"/>
              <w:ind w:firstLine="480"/>
              <w:jc w:val="both"/>
              <w:rPr>
                <w:rFonts w:ascii="宋体" w:hAnsi="宋体"/>
                <w:color w:val="auto"/>
              </w:rPr>
            </w:pPr>
            <w:r>
              <w:rPr>
                <w:rFonts w:hint="eastAsia" w:ascii="宋体" w:hAnsi="宋体" w:cs="宋体"/>
                <w:color w:val="auto"/>
              </w:rPr>
              <w:t>④</w:t>
            </w:r>
            <w:r>
              <w:rPr>
                <w:rFonts w:ascii="宋体" w:hAnsi="宋体"/>
                <w:color w:val="auto"/>
              </w:rPr>
              <w:t>应制定出尽可能完善的各项安全生产规章制度并贯彻执行。如建立并严格执行现场动火制度，现场动火前必须办理书面申请手续和批准手续；建立设备定期保养等维修制度，规定定期检修的周期、程序和批准手续，规定定期安全检查和整改的制度等。设备检修前，应进行彻底置换，需要进入容器内进行维修工作时，应严格执行进入容器作业的各项安全管理规定，严禁违章作业。</w:t>
            </w:r>
          </w:p>
          <w:p>
            <w:pPr>
              <w:snapToGrid w:val="0"/>
              <w:ind w:firstLine="480"/>
              <w:jc w:val="both"/>
              <w:rPr>
                <w:rFonts w:ascii="宋体" w:hAnsi="宋体"/>
                <w:color w:val="auto"/>
              </w:rPr>
            </w:pPr>
            <w:r>
              <w:rPr>
                <w:rFonts w:hint="eastAsia" w:ascii="宋体" w:hAnsi="宋体" w:cs="宋体"/>
                <w:color w:val="auto"/>
              </w:rPr>
              <w:t>⑤</w:t>
            </w:r>
            <w:r>
              <w:rPr>
                <w:rFonts w:ascii="宋体" w:hAnsi="宋体"/>
                <w:color w:val="auto"/>
              </w:rPr>
              <w:t>建立健全各工种安全操作规程并坚持执行。</w:t>
            </w:r>
          </w:p>
          <w:p>
            <w:pPr>
              <w:snapToGrid w:val="0"/>
              <w:ind w:firstLine="480"/>
              <w:jc w:val="both"/>
              <w:rPr>
                <w:rFonts w:ascii="宋体" w:hAnsi="宋体"/>
                <w:color w:val="auto"/>
              </w:rPr>
            </w:pPr>
            <w:r>
              <w:rPr>
                <w:rFonts w:hint="eastAsia" w:ascii="宋体" w:hAnsi="宋体" w:cs="宋体"/>
                <w:color w:val="auto"/>
              </w:rPr>
              <w:t>⑥</w:t>
            </w:r>
            <w:r>
              <w:rPr>
                <w:rFonts w:ascii="宋体" w:hAnsi="宋体"/>
                <w:color w:val="auto"/>
              </w:rPr>
              <w:t>针对事故发生情况制定详细的事故应急救援预案，并定期进行演练和检查救援设施器具的良好度。</w:t>
            </w:r>
          </w:p>
          <w:p>
            <w:pPr>
              <w:numPr>
                <w:ilvl w:val="0"/>
                <w:numId w:val="6"/>
              </w:numPr>
              <w:spacing w:line="240" w:lineRule="auto"/>
              <w:ind w:firstLineChars="0"/>
              <w:jc w:val="both"/>
              <w:rPr>
                <w:b/>
                <w:color w:val="auto"/>
                <w:szCs w:val="21"/>
              </w:rPr>
            </w:pPr>
            <w:r>
              <w:rPr>
                <w:b/>
                <w:color w:val="auto"/>
                <w:szCs w:val="21"/>
              </w:rPr>
              <w:t>事故应急救援预案</w:t>
            </w:r>
          </w:p>
          <w:p>
            <w:pPr>
              <w:ind w:firstLine="480"/>
              <w:jc w:val="both"/>
              <w:rPr>
                <w:color w:val="auto"/>
              </w:rPr>
            </w:pPr>
            <w:r>
              <w:rPr>
                <w:color w:val="auto"/>
              </w:rPr>
              <w:t>由于自然灾害或人为原因，当事故灾害不可避免的时候，有效的应急救援行动是唯一可以抵御事故灾害蔓延和减缓灾害后果的有力措施。所以，如果在事故灾害发生前建立完善的应急救援系统，制定周密的救援计划及应急预案，从而在灾害发生的时，能够及时采取有效的应急救援行动，以及系统的恢复和善后处理，可以拯救生命、保护财产、保护环境。</w:t>
            </w:r>
          </w:p>
          <w:p>
            <w:pPr>
              <w:ind w:firstLine="480"/>
              <w:jc w:val="both"/>
              <w:rPr>
                <w:color w:val="auto"/>
              </w:rPr>
            </w:pPr>
            <w:r>
              <w:rPr>
                <w:color w:val="auto"/>
              </w:rPr>
              <w:t>应急计划区：危险目标为装置区、环境保护目标。</w:t>
            </w:r>
          </w:p>
          <w:p>
            <w:pPr>
              <w:ind w:firstLine="480"/>
              <w:jc w:val="both"/>
              <w:rPr>
                <w:color w:val="auto"/>
              </w:rPr>
            </w:pPr>
            <w:r>
              <w:rPr>
                <w:color w:val="auto"/>
              </w:rPr>
              <w:t>应急组织及职责：在异常情况发生后，应快速组织应急队伍进行堵漏和收集泄漏的物品，尽最大程度地减少物品的泄漏量和挥发量，控制影响范围。同时，迅速报请政府有关部门，共同组织应急。对应急状态中有关人员的职责必须明确到每一个岗位和人员，切实负责自始至终。</w:t>
            </w:r>
          </w:p>
          <w:p>
            <w:pPr>
              <w:ind w:firstLine="480"/>
              <w:jc w:val="both"/>
              <w:rPr>
                <w:color w:val="auto"/>
              </w:rPr>
            </w:pPr>
            <w:r>
              <w:rPr>
                <w:color w:val="auto"/>
              </w:rPr>
              <w:t>·应急设施、设备与器材：主要是安全防护设施、消防设备与器材、通讯工具等的应急准备。</w:t>
            </w:r>
          </w:p>
          <w:p>
            <w:pPr>
              <w:ind w:firstLine="480"/>
              <w:jc w:val="both"/>
              <w:rPr>
                <w:color w:val="auto"/>
              </w:rPr>
            </w:pPr>
            <w:r>
              <w:rPr>
                <w:color w:val="auto"/>
              </w:rPr>
              <w:t>·应急通讯联络：在应急状态，应采取各种可能的通讯联络方式，如手机、对讲机、固定电话等，确保联络畅通，以保证应急计划的顺利实施。</w:t>
            </w:r>
          </w:p>
          <w:p>
            <w:pPr>
              <w:ind w:firstLine="480"/>
              <w:jc w:val="both"/>
              <w:rPr>
                <w:color w:val="auto"/>
              </w:rPr>
            </w:pPr>
            <w:r>
              <w:rPr>
                <w:color w:val="auto"/>
              </w:rPr>
              <w:t>·异常后果评价：对异常所造成的后果进行评估，形成书面报告，报送有关部门。</w:t>
            </w:r>
          </w:p>
          <w:p>
            <w:pPr>
              <w:ind w:firstLine="480"/>
              <w:jc w:val="both"/>
              <w:rPr>
                <w:color w:val="auto"/>
              </w:rPr>
            </w:pPr>
            <w:r>
              <w:rPr>
                <w:color w:val="auto"/>
              </w:rPr>
              <w:t>·应急监测：与环境监测、气象及相关部门联合实施应急监测，对已出现的污染异常及可能发生的污染进行及时监测并提出应对措施。</w:t>
            </w:r>
          </w:p>
          <w:p>
            <w:pPr>
              <w:ind w:firstLine="480"/>
              <w:jc w:val="both"/>
              <w:rPr>
                <w:color w:val="auto"/>
              </w:rPr>
            </w:pPr>
            <w:r>
              <w:rPr>
                <w:color w:val="auto"/>
              </w:rPr>
              <w:t>·应急安全、保卫：与公安、消防、医疗等部门联合采取应急安全保卫工作。</w:t>
            </w:r>
          </w:p>
          <w:p>
            <w:pPr>
              <w:ind w:firstLine="480"/>
              <w:jc w:val="both"/>
              <w:rPr>
                <w:color w:val="auto"/>
              </w:rPr>
            </w:pPr>
            <w:r>
              <w:rPr>
                <w:color w:val="auto"/>
              </w:rPr>
              <w:t>·应急医学救援：拨打120、122等急救电话，或请专业医疗机构迅速派人赶赴现场实施医学救援。</w:t>
            </w:r>
          </w:p>
          <w:p>
            <w:pPr>
              <w:ind w:firstLine="480"/>
              <w:jc w:val="both"/>
              <w:rPr>
                <w:color w:val="auto"/>
              </w:rPr>
            </w:pPr>
            <w:r>
              <w:rPr>
                <w:color w:val="auto"/>
              </w:rPr>
              <w:t>·应急撤离措施：主要是异常现场人员、可能影响的周边群众、财产等的暂时撤离、回避，以避免造成更大的不必要的损失。</w:t>
            </w:r>
          </w:p>
          <w:p>
            <w:pPr>
              <w:ind w:firstLine="480"/>
              <w:jc w:val="both"/>
              <w:rPr>
                <w:color w:val="auto"/>
              </w:rPr>
            </w:pPr>
            <w:r>
              <w:rPr>
                <w:color w:val="auto"/>
              </w:rPr>
              <w:t>·应急报告：对应急异常前后、过程及有关事项要形成完整的书面报告，报送有关部门。</w:t>
            </w:r>
          </w:p>
          <w:p>
            <w:pPr>
              <w:ind w:firstLine="480"/>
              <w:jc w:val="both"/>
              <w:rPr>
                <w:color w:val="auto"/>
              </w:rPr>
            </w:pPr>
            <w:r>
              <w:rPr>
                <w:color w:val="auto"/>
              </w:rPr>
              <w:t>·应急救援：与公安、消防、医疗等部门联合采取应急救援。</w:t>
            </w:r>
          </w:p>
          <w:p>
            <w:pPr>
              <w:ind w:firstLine="480"/>
              <w:jc w:val="both"/>
              <w:rPr>
                <w:color w:val="auto"/>
              </w:rPr>
            </w:pPr>
            <w:r>
              <w:rPr>
                <w:color w:val="auto"/>
              </w:rPr>
              <w:t>·应急状态终止：有关部门共同对异常妥善处理完毕后，方可终止应急状态。</w:t>
            </w:r>
          </w:p>
          <w:p>
            <w:pPr>
              <w:ind w:firstLine="480"/>
              <w:jc w:val="both"/>
              <w:rPr>
                <w:color w:val="auto"/>
              </w:rPr>
            </w:pPr>
            <w:r>
              <w:rPr>
                <w:color w:val="auto"/>
              </w:rPr>
              <w:t>·应急演习：每年定期进行至少1次应急演习。并对应急演习情况进行总结、完善，制定相应改进措施。</w:t>
            </w:r>
          </w:p>
          <w:p>
            <w:pPr>
              <w:ind w:firstLine="480"/>
              <w:jc w:val="both"/>
              <w:rPr>
                <w:color w:val="auto"/>
              </w:rPr>
            </w:pPr>
            <w:r>
              <w:rPr>
                <w:color w:val="auto"/>
              </w:rPr>
              <w:t>根据本次环评环境风险分析的结果，对于可能造成环境风险的突发性事故制定应急预案纲要，见表</w:t>
            </w:r>
            <w:r>
              <w:rPr>
                <w:rFonts w:hint="eastAsia"/>
                <w:color w:val="auto"/>
              </w:rPr>
              <w:t>7-21</w:t>
            </w:r>
            <w:r>
              <w:rPr>
                <w:color w:val="auto"/>
              </w:rPr>
              <w:t>。</w:t>
            </w: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p>
          <w:p>
            <w:pPr>
              <w:spacing w:line="240" w:lineRule="auto"/>
              <w:ind w:firstLine="0" w:firstLineChars="0"/>
              <w:jc w:val="center"/>
              <w:rPr>
                <w:b/>
                <w:color w:val="auto"/>
              </w:rPr>
            </w:pPr>
            <w:r>
              <w:rPr>
                <w:b/>
                <w:color w:val="auto"/>
              </w:rPr>
              <w:t>表</w:t>
            </w:r>
            <w:r>
              <w:rPr>
                <w:rFonts w:hint="eastAsia"/>
                <w:b/>
                <w:color w:val="auto"/>
              </w:rPr>
              <w:t>7-21</w:t>
            </w:r>
            <w:r>
              <w:rPr>
                <w:rFonts w:hint="eastAsia"/>
                <w:b/>
                <w:color w:val="auto"/>
                <w:lang w:val="en-US" w:eastAsia="zh-CN"/>
              </w:rPr>
              <w:t xml:space="preserve">   </w:t>
            </w:r>
            <w:r>
              <w:rPr>
                <w:b/>
                <w:color w:val="auto"/>
              </w:rPr>
              <w:t>环境风险突发事故应急预案</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5"/>
              <w:gridCol w:w="2004"/>
              <w:gridCol w:w="6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adjustRightInd w:val="0"/>
                    <w:snapToGrid w:val="0"/>
                    <w:spacing w:line="240" w:lineRule="auto"/>
                    <w:ind w:firstLine="0" w:firstLineChars="0"/>
                    <w:jc w:val="center"/>
                    <w:rPr>
                      <w:b/>
                      <w:bCs/>
                      <w:color w:val="auto"/>
                      <w:sz w:val="21"/>
                      <w:szCs w:val="21"/>
                    </w:rPr>
                  </w:pPr>
                  <w:r>
                    <w:rPr>
                      <w:b/>
                      <w:bCs/>
                      <w:color w:val="auto"/>
                      <w:sz w:val="21"/>
                      <w:szCs w:val="21"/>
                    </w:rPr>
                    <w:t>序号</w:t>
                  </w:r>
                </w:p>
              </w:tc>
              <w:tc>
                <w:tcPr>
                  <w:tcW w:w="2004" w:type="dxa"/>
                  <w:vAlign w:val="center"/>
                </w:tcPr>
                <w:p>
                  <w:pPr>
                    <w:adjustRightInd w:val="0"/>
                    <w:snapToGrid w:val="0"/>
                    <w:spacing w:line="240" w:lineRule="auto"/>
                    <w:ind w:firstLine="0" w:firstLineChars="0"/>
                    <w:jc w:val="center"/>
                    <w:rPr>
                      <w:b/>
                      <w:bCs/>
                      <w:color w:val="auto"/>
                      <w:sz w:val="21"/>
                      <w:szCs w:val="21"/>
                    </w:rPr>
                  </w:pPr>
                  <w:r>
                    <w:rPr>
                      <w:b/>
                      <w:bCs/>
                      <w:color w:val="auto"/>
                      <w:sz w:val="21"/>
                      <w:szCs w:val="21"/>
                    </w:rPr>
                    <w:t>项目</w:t>
                  </w:r>
                </w:p>
              </w:tc>
              <w:tc>
                <w:tcPr>
                  <w:tcW w:w="6303" w:type="dxa"/>
                  <w:vAlign w:val="center"/>
                </w:tcPr>
                <w:p>
                  <w:pPr>
                    <w:adjustRightInd w:val="0"/>
                    <w:snapToGrid w:val="0"/>
                    <w:spacing w:line="240" w:lineRule="auto"/>
                    <w:ind w:firstLine="0" w:firstLineChars="0"/>
                    <w:jc w:val="center"/>
                    <w:rPr>
                      <w:b/>
                      <w:bCs/>
                      <w:color w:val="auto"/>
                      <w:sz w:val="21"/>
                      <w:szCs w:val="21"/>
                    </w:rPr>
                  </w:pPr>
                  <w:r>
                    <w:rPr>
                      <w:b/>
                      <w:bCs/>
                      <w:color w:val="auto"/>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adjustRightInd w:val="0"/>
                    <w:snapToGrid w:val="0"/>
                    <w:spacing w:line="240" w:lineRule="auto"/>
                    <w:ind w:firstLine="0" w:firstLineChars="0"/>
                    <w:jc w:val="center"/>
                    <w:rPr>
                      <w:color w:val="auto"/>
                      <w:sz w:val="21"/>
                      <w:szCs w:val="21"/>
                    </w:rPr>
                  </w:pPr>
                  <w:r>
                    <w:rPr>
                      <w:color w:val="auto"/>
                      <w:sz w:val="21"/>
                      <w:szCs w:val="21"/>
                    </w:rPr>
                    <w:t>1</w:t>
                  </w:r>
                </w:p>
              </w:tc>
              <w:tc>
                <w:tcPr>
                  <w:tcW w:w="2004" w:type="dxa"/>
                  <w:vAlign w:val="center"/>
                </w:tcPr>
                <w:p>
                  <w:pPr>
                    <w:adjustRightInd w:val="0"/>
                    <w:snapToGrid w:val="0"/>
                    <w:spacing w:line="240" w:lineRule="auto"/>
                    <w:ind w:firstLine="0" w:firstLineChars="0"/>
                    <w:jc w:val="center"/>
                    <w:rPr>
                      <w:color w:val="auto"/>
                      <w:sz w:val="21"/>
                      <w:szCs w:val="21"/>
                    </w:rPr>
                  </w:pPr>
                  <w:r>
                    <w:rPr>
                      <w:color w:val="auto"/>
                      <w:sz w:val="21"/>
                      <w:szCs w:val="21"/>
                    </w:rPr>
                    <w:t>总则</w:t>
                  </w:r>
                </w:p>
              </w:tc>
              <w:tc>
                <w:tcPr>
                  <w:tcW w:w="6303" w:type="dxa"/>
                  <w:vAlign w:val="center"/>
                </w:tcPr>
                <w:p>
                  <w:pPr>
                    <w:adjustRightInd w:val="0"/>
                    <w:snapToGrid w:val="0"/>
                    <w:spacing w:line="240" w:lineRule="auto"/>
                    <w:ind w:firstLine="0" w:firstLineChars="0"/>
                    <w:jc w:val="both"/>
                    <w:rPr>
                      <w:color w:val="auto"/>
                      <w:sz w:val="21"/>
                      <w:szCs w:val="21"/>
                    </w:rPr>
                  </w:pPr>
                  <w:r>
                    <w:rPr>
                      <w:color w:val="auto"/>
                      <w:sz w:val="21"/>
                      <w:szCs w:val="21"/>
                    </w:rPr>
                    <w:t>说明该预案针对的风险事故名称，制定的原则及目的等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adjustRightInd w:val="0"/>
                    <w:snapToGrid w:val="0"/>
                    <w:spacing w:line="240" w:lineRule="auto"/>
                    <w:ind w:firstLine="0" w:firstLineChars="0"/>
                    <w:jc w:val="center"/>
                    <w:rPr>
                      <w:color w:val="auto"/>
                      <w:sz w:val="21"/>
                      <w:szCs w:val="21"/>
                    </w:rPr>
                  </w:pPr>
                  <w:r>
                    <w:rPr>
                      <w:color w:val="auto"/>
                      <w:sz w:val="21"/>
                      <w:szCs w:val="21"/>
                    </w:rPr>
                    <w:t>2</w:t>
                  </w:r>
                </w:p>
              </w:tc>
              <w:tc>
                <w:tcPr>
                  <w:tcW w:w="2004" w:type="dxa"/>
                  <w:vAlign w:val="center"/>
                </w:tcPr>
                <w:p>
                  <w:pPr>
                    <w:adjustRightInd w:val="0"/>
                    <w:snapToGrid w:val="0"/>
                    <w:spacing w:line="240" w:lineRule="auto"/>
                    <w:ind w:firstLine="0" w:firstLineChars="0"/>
                    <w:jc w:val="center"/>
                    <w:rPr>
                      <w:color w:val="auto"/>
                      <w:sz w:val="21"/>
                      <w:szCs w:val="21"/>
                    </w:rPr>
                  </w:pPr>
                  <w:r>
                    <w:rPr>
                      <w:color w:val="auto"/>
                      <w:sz w:val="21"/>
                      <w:szCs w:val="21"/>
                    </w:rPr>
                    <w:t>危险源概况</w:t>
                  </w:r>
                </w:p>
              </w:tc>
              <w:tc>
                <w:tcPr>
                  <w:tcW w:w="6303" w:type="dxa"/>
                  <w:vAlign w:val="center"/>
                </w:tcPr>
                <w:p>
                  <w:pPr>
                    <w:adjustRightInd w:val="0"/>
                    <w:snapToGrid w:val="0"/>
                    <w:spacing w:line="240" w:lineRule="auto"/>
                    <w:ind w:firstLine="0" w:firstLineChars="0"/>
                    <w:jc w:val="both"/>
                    <w:rPr>
                      <w:color w:val="auto"/>
                      <w:sz w:val="21"/>
                      <w:szCs w:val="21"/>
                    </w:rPr>
                  </w:pPr>
                  <w:r>
                    <w:rPr>
                      <w:color w:val="auto"/>
                      <w:sz w:val="21"/>
                      <w:szCs w:val="21"/>
                    </w:rPr>
                    <w:t>详述危险源类型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adjustRightInd w:val="0"/>
                    <w:snapToGrid w:val="0"/>
                    <w:spacing w:line="240" w:lineRule="auto"/>
                    <w:ind w:firstLine="0" w:firstLineChars="0"/>
                    <w:jc w:val="center"/>
                    <w:rPr>
                      <w:color w:val="auto"/>
                      <w:sz w:val="21"/>
                      <w:szCs w:val="21"/>
                    </w:rPr>
                  </w:pPr>
                  <w:r>
                    <w:rPr>
                      <w:color w:val="auto"/>
                      <w:sz w:val="21"/>
                      <w:szCs w:val="21"/>
                    </w:rPr>
                    <w:t>3</w:t>
                  </w:r>
                </w:p>
              </w:tc>
              <w:tc>
                <w:tcPr>
                  <w:tcW w:w="2004" w:type="dxa"/>
                  <w:vAlign w:val="center"/>
                </w:tcPr>
                <w:p>
                  <w:pPr>
                    <w:adjustRightInd w:val="0"/>
                    <w:snapToGrid w:val="0"/>
                    <w:spacing w:line="240" w:lineRule="auto"/>
                    <w:ind w:firstLine="0" w:firstLineChars="0"/>
                    <w:jc w:val="center"/>
                    <w:rPr>
                      <w:color w:val="auto"/>
                      <w:sz w:val="21"/>
                      <w:szCs w:val="21"/>
                    </w:rPr>
                  </w:pPr>
                  <w:r>
                    <w:rPr>
                      <w:color w:val="auto"/>
                      <w:sz w:val="21"/>
                      <w:szCs w:val="21"/>
                    </w:rPr>
                    <w:t>应急计划区</w:t>
                  </w:r>
                </w:p>
              </w:tc>
              <w:tc>
                <w:tcPr>
                  <w:tcW w:w="6303" w:type="dxa"/>
                  <w:vAlign w:val="center"/>
                </w:tcPr>
                <w:p>
                  <w:pPr>
                    <w:adjustRightInd w:val="0"/>
                    <w:snapToGrid w:val="0"/>
                    <w:spacing w:line="240" w:lineRule="auto"/>
                    <w:ind w:firstLine="0" w:firstLineChars="0"/>
                    <w:jc w:val="both"/>
                    <w:rPr>
                      <w:color w:val="auto"/>
                      <w:sz w:val="21"/>
                      <w:szCs w:val="21"/>
                    </w:rPr>
                  </w:pPr>
                  <w:r>
                    <w:rPr>
                      <w:color w:val="auto"/>
                      <w:sz w:val="21"/>
                      <w:szCs w:val="21"/>
                    </w:rPr>
                    <w:t>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4</w:t>
                  </w:r>
                </w:p>
              </w:tc>
              <w:tc>
                <w:tcPr>
                  <w:tcW w:w="2004" w:type="dxa"/>
                  <w:vAlign w:val="center"/>
                </w:tcPr>
                <w:p>
                  <w:pPr>
                    <w:spacing w:line="240" w:lineRule="auto"/>
                    <w:ind w:firstLine="0" w:firstLineChars="0"/>
                    <w:jc w:val="center"/>
                    <w:rPr>
                      <w:color w:val="auto"/>
                      <w:sz w:val="21"/>
                      <w:szCs w:val="21"/>
                    </w:rPr>
                  </w:pPr>
                  <w:r>
                    <w:rPr>
                      <w:color w:val="auto"/>
                      <w:sz w:val="21"/>
                      <w:szCs w:val="21"/>
                    </w:rPr>
                    <w:t>应急组织</w:t>
                  </w:r>
                </w:p>
              </w:tc>
              <w:tc>
                <w:tcPr>
                  <w:tcW w:w="6303" w:type="dxa"/>
                  <w:vAlign w:val="center"/>
                </w:tcPr>
                <w:p>
                  <w:pPr>
                    <w:spacing w:line="240" w:lineRule="auto"/>
                    <w:ind w:firstLine="0" w:firstLineChars="0"/>
                    <w:jc w:val="both"/>
                    <w:rPr>
                      <w:color w:val="auto"/>
                      <w:sz w:val="21"/>
                      <w:szCs w:val="21"/>
                    </w:rPr>
                  </w:pPr>
                  <w:r>
                    <w:rPr>
                      <w:color w:val="auto"/>
                      <w:sz w:val="21"/>
                      <w:szCs w:val="21"/>
                    </w:rPr>
                    <w:t>企业：指挥部－负责现场全面指挥。</w:t>
                  </w:r>
                </w:p>
                <w:p>
                  <w:pPr>
                    <w:spacing w:line="240" w:lineRule="auto"/>
                    <w:ind w:firstLine="0" w:firstLineChars="0"/>
                    <w:jc w:val="both"/>
                    <w:rPr>
                      <w:color w:val="auto"/>
                      <w:sz w:val="21"/>
                      <w:szCs w:val="21"/>
                    </w:rPr>
                  </w:pPr>
                  <w:r>
                    <w:rPr>
                      <w:color w:val="auto"/>
                      <w:sz w:val="21"/>
                      <w:szCs w:val="21"/>
                    </w:rPr>
                    <w:t>救援队伍－负责事故控制、救援、善后处理。</w:t>
                  </w:r>
                </w:p>
                <w:p>
                  <w:pPr>
                    <w:spacing w:line="240" w:lineRule="auto"/>
                    <w:ind w:firstLine="0" w:firstLineChars="0"/>
                    <w:jc w:val="both"/>
                    <w:rPr>
                      <w:color w:val="auto"/>
                      <w:sz w:val="21"/>
                      <w:szCs w:val="21"/>
                    </w:rPr>
                  </w:pPr>
                  <w:r>
                    <w:rPr>
                      <w:color w:val="auto"/>
                      <w:sz w:val="21"/>
                      <w:szCs w:val="21"/>
                    </w:rPr>
                    <w:t>地区：地区指挥部－负责企业附近地区指挥、救援、管制、疏散。</w:t>
                  </w:r>
                </w:p>
                <w:p>
                  <w:pPr>
                    <w:spacing w:line="240" w:lineRule="auto"/>
                    <w:ind w:firstLine="0" w:firstLineChars="0"/>
                    <w:jc w:val="both"/>
                    <w:rPr>
                      <w:color w:val="auto"/>
                      <w:sz w:val="21"/>
                      <w:szCs w:val="21"/>
                    </w:rPr>
                  </w:pPr>
                  <w:r>
                    <w:rPr>
                      <w:color w:val="auto"/>
                      <w:sz w:val="21"/>
                      <w:szCs w:val="21"/>
                    </w:rPr>
                    <w:t>专业救援队伍－负责对项目救援队伍的支援。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5</w:t>
                  </w:r>
                </w:p>
              </w:tc>
              <w:tc>
                <w:tcPr>
                  <w:tcW w:w="2004" w:type="dxa"/>
                  <w:vAlign w:val="center"/>
                </w:tcPr>
                <w:p>
                  <w:pPr>
                    <w:spacing w:line="240" w:lineRule="auto"/>
                    <w:ind w:firstLine="0" w:firstLineChars="0"/>
                    <w:jc w:val="center"/>
                    <w:rPr>
                      <w:color w:val="auto"/>
                      <w:sz w:val="21"/>
                      <w:szCs w:val="21"/>
                    </w:rPr>
                  </w:pPr>
                  <w:r>
                    <w:rPr>
                      <w:color w:val="auto"/>
                      <w:sz w:val="21"/>
                      <w:szCs w:val="21"/>
                    </w:rPr>
                    <w:t>应急状态分类及应急响应程序</w:t>
                  </w:r>
                </w:p>
              </w:tc>
              <w:tc>
                <w:tcPr>
                  <w:tcW w:w="6303" w:type="dxa"/>
                  <w:vAlign w:val="center"/>
                </w:tcPr>
                <w:p>
                  <w:pPr>
                    <w:spacing w:line="240" w:lineRule="auto"/>
                    <w:ind w:firstLine="0" w:firstLineChars="0"/>
                    <w:jc w:val="both"/>
                    <w:rPr>
                      <w:color w:val="auto"/>
                      <w:sz w:val="21"/>
                      <w:szCs w:val="21"/>
                    </w:rPr>
                  </w:pPr>
                  <w:r>
                    <w:rPr>
                      <w:color w:val="auto"/>
                      <w:sz w:val="21"/>
                      <w:szCs w:val="21"/>
                    </w:rPr>
                    <w:t>规定事故的级别及相应的应急分类响应程序。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6</w:t>
                  </w:r>
                </w:p>
              </w:tc>
              <w:tc>
                <w:tcPr>
                  <w:tcW w:w="2004" w:type="dxa"/>
                  <w:vAlign w:val="center"/>
                </w:tcPr>
                <w:p>
                  <w:pPr>
                    <w:spacing w:line="240" w:lineRule="auto"/>
                    <w:ind w:firstLine="0" w:firstLineChars="0"/>
                    <w:jc w:val="center"/>
                    <w:rPr>
                      <w:color w:val="auto"/>
                      <w:sz w:val="21"/>
                      <w:szCs w:val="21"/>
                    </w:rPr>
                  </w:pPr>
                  <w:r>
                    <w:rPr>
                      <w:color w:val="auto"/>
                      <w:sz w:val="21"/>
                      <w:szCs w:val="21"/>
                    </w:rPr>
                    <w:t>应急设施、设备与材料</w:t>
                  </w:r>
                </w:p>
              </w:tc>
              <w:tc>
                <w:tcPr>
                  <w:tcW w:w="6303" w:type="dxa"/>
                  <w:vAlign w:val="center"/>
                </w:tcPr>
                <w:p>
                  <w:pPr>
                    <w:spacing w:line="240" w:lineRule="auto"/>
                    <w:ind w:firstLine="0" w:firstLineChars="0"/>
                    <w:jc w:val="both"/>
                    <w:rPr>
                      <w:color w:val="auto"/>
                      <w:sz w:val="21"/>
                      <w:szCs w:val="21"/>
                    </w:rPr>
                  </w:pPr>
                  <w:r>
                    <w:rPr>
                      <w:color w:val="auto"/>
                      <w:sz w:val="21"/>
                      <w:szCs w:val="21"/>
                    </w:rPr>
                    <w:t>防止污染物外溢、扩散的设备等。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7</w:t>
                  </w:r>
                </w:p>
              </w:tc>
              <w:tc>
                <w:tcPr>
                  <w:tcW w:w="2004" w:type="dxa"/>
                  <w:vAlign w:val="center"/>
                </w:tcPr>
                <w:p>
                  <w:pPr>
                    <w:spacing w:line="240" w:lineRule="auto"/>
                    <w:ind w:firstLine="0" w:firstLineChars="0"/>
                    <w:jc w:val="center"/>
                    <w:rPr>
                      <w:color w:val="auto"/>
                      <w:sz w:val="21"/>
                      <w:szCs w:val="21"/>
                    </w:rPr>
                  </w:pPr>
                  <w:r>
                    <w:rPr>
                      <w:color w:val="auto"/>
                      <w:sz w:val="21"/>
                      <w:szCs w:val="21"/>
                    </w:rPr>
                    <w:t>应急通讯和交通</w:t>
                  </w:r>
                </w:p>
              </w:tc>
              <w:tc>
                <w:tcPr>
                  <w:tcW w:w="6303" w:type="dxa"/>
                  <w:vAlign w:val="center"/>
                </w:tcPr>
                <w:p>
                  <w:pPr>
                    <w:spacing w:line="240" w:lineRule="auto"/>
                    <w:ind w:firstLine="0" w:firstLineChars="0"/>
                    <w:jc w:val="both"/>
                    <w:rPr>
                      <w:color w:val="auto"/>
                      <w:sz w:val="21"/>
                      <w:szCs w:val="21"/>
                    </w:rPr>
                  </w:pPr>
                  <w:r>
                    <w:rPr>
                      <w:color w:val="auto"/>
                      <w:sz w:val="21"/>
                      <w:szCs w:val="21"/>
                    </w:rPr>
                    <w:t>规定应急状态下的通讯方式、通知方式和交通保障、管制。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8</w:t>
                  </w:r>
                </w:p>
              </w:tc>
              <w:tc>
                <w:tcPr>
                  <w:tcW w:w="2004" w:type="dxa"/>
                  <w:vAlign w:val="center"/>
                </w:tcPr>
                <w:p>
                  <w:pPr>
                    <w:spacing w:line="240" w:lineRule="auto"/>
                    <w:ind w:firstLine="0" w:firstLineChars="0"/>
                    <w:jc w:val="center"/>
                    <w:rPr>
                      <w:color w:val="auto"/>
                      <w:sz w:val="21"/>
                      <w:szCs w:val="21"/>
                    </w:rPr>
                  </w:pPr>
                  <w:r>
                    <w:rPr>
                      <w:color w:val="auto"/>
                      <w:sz w:val="21"/>
                      <w:szCs w:val="21"/>
                    </w:rPr>
                    <w:t>应急环境监测及</w:t>
                  </w:r>
                </w:p>
                <w:p>
                  <w:pPr>
                    <w:spacing w:line="240" w:lineRule="auto"/>
                    <w:ind w:firstLine="0" w:firstLineChars="0"/>
                    <w:jc w:val="center"/>
                    <w:rPr>
                      <w:color w:val="auto"/>
                      <w:sz w:val="21"/>
                      <w:szCs w:val="21"/>
                    </w:rPr>
                  </w:pPr>
                  <w:r>
                    <w:rPr>
                      <w:color w:val="auto"/>
                      <w:sz w:val="21"/>
                      <w:szCs w:val="21"/>
                    </w:rPr>
                    <w:t>事故后评估</w:t>
                  </w:r>
                </w:p>
              </w:tc>
              <w:tc>
                <w:tcPr>
                  <w:tcW w:w="6303" w:type="dxa"/>
                  <w:vAlign w:val="center"/>
                </w:tcPr>
                <w:p>
                  <w:pPr>
                    <w:spacing w:line="240" w:lineRule="auto"/>
                    <w:ind w:firstLine="0" w:firstLineChars="0"/>
                    <w:jc w:val="both"/>
                    <w:rPr>
                      <w:color w:val="auto"/>
                      <w:sz w:val="21"/>
                      <w:szCs w:val="21"/>
                    </w:rPr>
                  </w:pPr>
                  <w:r>
                    <w:rPr>
                      <w:color w:val="auto"/>
                      <w:sz w:val="21"/>
                      <w:szCs w:val="21"/>
                    </w:rPr>
                    <w:t>由专业队伍负责对事故现场进行侦察监测，对事故性质、参数与</w:t>
                  </w:r>
                </w:p>
                <w:p>
                  <w:pPr>
                    <w:spacing w:line="240" w:lineRule="auto"/>
                    <w:ind w:firstLine="0" w:firstLineChars="0"/>
                    <w:jc w:val="both"/>
                    <w:rPr>
                      <w:color w:val="auto"/>
                      <w:sz w:val="21"/>
                      <w:szCs w:val="21"/>
                    </w:rPr>
                  </w:pPr>
                  <w:r>
                    <w:rPr>
                      <w:color w:val="auto"/>
                      <w:sz w:val="21"/>
                      <w:szCs w:val="21"/>
                    </w:rPr>
                    <w:t>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9</w:t>
                  </w:r>
                </w:p>
              </w:tc>
              <w:tc>
                <w:tcPr>
                  <w:tcW w:w="2004" w:type="dxa"/>
                  <w:vAlign w:val="center"/>
                </w:tcPr>
                <w:p>
                  <w:pPr>
                    <w:spacing w:line="240" w:lineRule="auto"/>
                    <w:ind w:firstLine="0" w:firstLineChars="0"/>
                    <w:jc w:val="center"/>
                    <w:rPr>
                      <w:color w:val="auto"/>
                      <w:sz w:val="21"/>
                      <w:szCs w:val="21"/>
                    </w:rPr>
                  </w:pPr>
                  <w:r>
                    <w:rPr>
                      <w:color w:val="auto"/>
                      <w:sz w:val="21"/>
                      <w:szCs w:val="21"/>
                    </w:rPr>
                    <w:t>应急防护措施、消除泄漏措施方法和器材</w:t>
                  </w:r>
                </w:p>
              </w:tc>
              <w:tc>
                <w:tcPr>
                  <w:tcW w:w="6303" w:type="dxa"/>
                  <w:vAlign w:val="center"/>
                </w:tcPr>
                <w:p>
                  <w:pPr>
                    <w:spacing w:line="240" w:lineRule="auto"/>
                    <w:ind w:firstLine="0" w:firstLineChars="0"/>
                    <w:jc w:val="both"/>
                    <w:rPr>
                      <w:color w:val="auto"/>
                      <w:sz w:val="21"/>
                      <w:szCs w:val="21"/>
                    </w:rPr>
                  </w:pPr>
                  <w:r>
                    <w:rPr>
                      <w:color w:val="auto"/>
                      <w:sz w:val="21"/>
                      <w:szCs w:val="21"/>
                    </w:rPr>
                    <w:t>事故现场：控制事故、防止扩大、蔓延及连锁反应，清除现场泄漏物，降低危害相应的设施器材配置。</w:t>
                  </w:r>
                </w:p>
                <w:p>
                  <w:pPr>
                    <w:spacing w:line="240" w:lineRule="auto"/>
                    <w:ind w:firstLine="0" w:firstLineChars="0"/>
                    <w:jc w:val="both"/>
                    <w:rPr>
                      <w:color w:val="auto"/>
                      <w:sz w:val="21"/>
                      <w:szCs w:val="21"/>
                    </w:rPr>
                  </w:pPr>
                  <w:r>
                    <w:rPr>
                      <w:color w:val="auto"/>
                      <w:sz w:val="21"/>
                      <w:szCs w:val="21"/>
                    </w:rPr>
                    <w:t>邻近区域：控制区域，控制和消除污染措施及相应设备。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10</w:t>
                  </w:r>
                </w:p>
              </w:tc>
              <w:tc>
                <w:tcPr>
                  <w:tcW w:w="2004" w:type="dxa"/>
                  <w:vAlign w:val="center"/>
                </w:tcPr>
                <w:p>
                  <w:pPr>
                    <w:spacing w:line="240" w:lineRule="auto"/>
                    <w:ind w:firstLine="0" w:firstLineChars="0"/>
                    <w:jc w:val="center"/>
                    <w:rPr>
                      <w:color w:val="auto"/>
                      <w:sz w:val="21"/>
                      <w:szCs w:val="21"/>
                    </w:rPr>
                  </w:pPr>
                  <w:r>
                    <w:rPr>
                      <w:color w:val="auto"/>
                      <w:sz w:val="21"/>
                      <w:szCs w:val="21"/>
                    </w:rPr>
                    <w:t>应急剂量控制、</w:t>
                  </w:r>
                </w:p>
                <w:p>
                  <w:pPr>
                    <w:spacing w:line="240" w:lineRule="auto"/>
                    <w:ind w:firstLine="0" w:firstLineChars="0"/>
                    <w:jc w:val="center"/>
                    <w:rPr>
                      <w:color w:val="auto"/>
                      <w:sz w:val="21"/>
                      <w:szCs w:val="21"/>
                    </w:rPr>
                  </w:pPr>
                  <w:r>
                    <w:rPr>
                      <w:color w:val="auto"/>
                      <w:sz w:val="21"/>
                      <w:szCs w:val="21"/>
                    </w:rPr>
                    <w:t>撤离组织计划、</w:t>
                  </w:r>
                </w:p>
                <w:p>
                  <w:pPr>
                    <w:spacing w:line="240" w:lineRule="auto"/>
                    <w:ind w:firstLine="0" w:firstLineChars="0"/>
                    <w:jc w:val="center"/>
                    <w:rPr>
                      <w:color w:val="auto"/>
                      <w:sz w:val="21"/>
                      <w:szCs w:val="21"/>
                    </w:rPr>
                  </w:pPr>
                  <w:r>
                    <w:rPr>
                      <w:color w:val="auto"/>
                      <w:sz w:val="21"/>
                      <w:szCs w:val="21"/>
                    </w:rPr>
                    <w:t>医护救护与公众</w:t>
                  </w:r>
                </w:p>
                <w:p>
                  <w:pPr>
                    <w:spacing w:line="240" w:lineRule="auto"/>
                    <w:ind w:firstLine="0" w:firstLineChars="0"/>
                    <w:jc w:val="center"/>
                    <w:rPr>
                      <w:color w:val="auto"/>
                      <w:sz w:val="21"/>
                      <w:szCs w:val="21"/>
                    </w:rPr>
                  </w:pPr>
                  <w:r>
                    <w:rPr>
                      <w:color w:val="auto"/>
                      <w:sz w:val="21"/>
                      <w:szCs w:val="21"/>
                    </w:rPr>
                    <w:t>健康</w:t>
                  </w:r>
                </w:p>
              </w:tc>
              <w:tc>
                <w:tcPr>
                  <w:tcW w:w="6303" w:type="dxa"/>
                  <w:vAlign w:val="center"/>
                </w:tcPr>
                <w:p>
                  <w:pPr>
                    <w:spacing w:line="240" w:lineRule="auto"/>
                    <w:ind w:firstLine="0" w:firstLineChars="0"/>
                    <w:jc w:val="both"/>
                    <w:rPr>
                      <w:color w:val="auto"/>
                      <w:sz w:val="21"/>
                      <w:szCs w:val="21"/>
                    </w:rPr>
                  </w:pPr>
                  <w:r>
                    <w:rPr>
                      <w:color w:val="auto"/>
                      <w:sz w:val="21"/>
                      <w:szCs w:val="21"/>
                    </w:rPr>
                    <w:t>事故现场：事故处理人员对毒性的应急剂量控制制定，现场及临</w:t>
                  </w:r>
                </w:p>
                <w:p>
                  <w:pPr>
                    <w:spacing w:line="240" w:lineRule="auto"/>
                    <w:ind w:firstLine="0" w:firstLineChars="0"/>
                    <w:jc w:val="both"/>
                    <w:rPr>
                      <w:color w:val="auto"/>
                      <w:sz w:val="21"/>
                      <w:szCs w:val="21"/>
                    </w:rPr>
                  </w:pPr>
                  <w:r>
                    <w:rPr>
                      <w:color w:val="auto"/>
                      <w:sz w:val="21"/>
                      <w:szCs w:val="21"/>
                    </w:rPr>
                    <w:t>近装置人员撤离组织计划及救护。</w:t>
                  </w:r>
                </w:p>
                <w:p>
                  <w:pPr>
                    <w:spacing w:line="240" w:lineRule="auto"/>
                    <w:ind w:firstLine="0" w:firstLineChars="0"/>
                    <w:jc w:val="both"/>
                    <w:rPr>
                      <w:color w:val="auto"/>
                      <w:sz w:val="21"/>
                      <w:szCs w:val="21"/>
                    </w:rPr>
                  </w:pPr>
                  <w:r>
                    <w:rPr>
                      <w:color w:val="auto"/>
                      <w:sz w:val="21"/>
                      <w:szCs w:val="21"/>
                    </w:rPr>
                    <w:t>邻近区：受事故影响的邻近区域人员及公众对毒性的应急剂量控</w:t>
                  </w:r>
                </w:p>
                <w:p>
                  <w:pPr>
                    <w:spacing w:line="240" w:lineRule="auto"/>
                    <w:ind w:firstLine="0" w:firstLineChars="0"/>
                    <w:jc w:val="both"/>
                    <w:rPr>
                      <w:color w:val="auto"/>
                      <w:sz w:val="21"/>
                      <w:szCs w:val="21"/>
                    </w:rPr>
                  </w:pPr>
                  <w:r>
                    <w:rPr>
                      <w:color w:val="auto"/>
                      <w:sz w:val="21"/>
                      <w:szCs w:val="21"/>
                    </w:rPr>
                    <w:t>制规定，撤离组织计划及救护。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11</w:t>
                  </w:r>
                </w:p>
              </w:tc>
              <w:tc>
                <w:tcPr>
                  <w:tcW w:w="2004" w:type="dxa"/>
                  <w:vAlign w:val="center"/>
                </w:tcPr>
                <w:p>
                  <w:pPr>
                    <w:spacing w:line="240" w:lineRule="auto"/>
                    <w:ind w:firstLine="0" w:firstLineChars="0"/>
                    <w:jc w:val="center"/>
                    <w:rPr>
                      <w:color w:val="auto"/>
                      <w:sz w:val="21"/>
                      <w:szCs w:val="21"/>
                    </w:rPr>
                  </w:pPr>
                  <w:r>
                    <w:rPr>
                      <w:color w:val="auto"/>
                      <w:sz w:val="21"/>
                      <w:szCs w:val="21"/>
                    </w:rPr>
                    <w:t>应急状态终止与</w:t>
                  </w:r>
                </w:p>
                <w:p>
                  <w:pPr>
                    <w:spacing w:line="240" w:lineRule="auto"/>
                    <w:ind w:firstLine="0" w:firstLineChars="0"/>
                    <w:jc w:val="center"/>
                    <w:rPr>
                      <w:color w:val="auto"/>
                      <w:sz w:val="21"/>
                      <w:szCs w:val="21"/>
                    </w:rPr>
                  </w:pPr>
                  <w:r>
                    <w:rPr>
                      <w:color w:val="auto"/>
                      <w:sz w:val="21"/>
                      <w:szCs w:val="21"/>
                    </w:rPr>
                    <w:t>恢复措施</w:t>
                  </w:r>
                </w:p>
              </w:tc>
              <w:tc>
                <w:tcPr>
                  <w:tcW w:w="6303" w:type="dxa"/>
                  <w:vAlign w:val="center"/>
                </w:tcPr>
                <w:p>
                  <w:pPr>
                    <w:spacing w:line="240" w:lineRule="auto"/>
                    <w:ind w:firstLine="0" w:firstLineChars="0"/>
                    <w:jc w:val="both"/>
                    <w:rPr>
                      <w:color w:val="auto"/>
                      <w:sz w:val="21"/>
                      <w:szCs w:val="21"/>
                    </w:rPr>
                  </w:pPr>
                  <w:r>
                    <w:rPr>
                      <w:color w:val="auto"/>
                      <w:sz w:val="21"/>
                      <w:szCs w:val="21"/>
                    </w:rPr>
                    <w:t>规定应急状态终止程序。</w:t>
                  </w:r>
                </w:p>
                <w:p>
                  <w:pPr>
                    <w:spacing w:line="240" w:lineRule="auto"/>
                    <w:ind w:firstLine="0" w:firstLineChars="0"/>
                    <w:jc w:val="both"/>
                    <w:rPr>
                      <w:color w:val="auto"/>
                      <w:sz w:val="21"/>
                      <w:szCs w:val="21"/>
                    </w:rPr>
                  </w:pPr>
                  <w:r>
                    <w:rPr>
                      <w:color w:val="auto"/>
                      <w:sz w:val="21"/>
                      <w:szCs w:val="21"/>
                    </w:rPr>
                    <w:t>事故现场善后处理，恢复措施。</w:t>
                  </w:r>
                </w:p>
                <w:p>
                  <w:pPr>
                    <w:spacing w:line="240" w:lineRule="auto"/>
                    <w:ind w:firstLine="0" w:firstLineChars="0"/>
                    <w:jc w:val="both"/>
                    <w:rPr>
                      <w:color w:val="auto"/>
                      <w:sz w:val="21"/>
                      <w:szCs w:val="21"/>
                    </w:rPr>
                  </w:pPr>
                  <w:r>
                    <w:rPr>
                      <w:color w:val="auto"/>
                      <w:sz w:val="21"/>
                      <w:szCs w:val="21"/>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12</w:t>
                  </w:r>
                </w:p>
              </w:tc>
              <w:tc>
                <w:tcPr>
                  <w:tcW w:w="2004" w:type="dxa"/>
                  <w:vAlign w:val="center"/>
                </w:tcPr>
                <w:p>
                  <w:pPr>
                    <w:spacing w:line="240" w:lineRule="auto"/>
                    <w:ind w:firstLine="0" w:firstLineChars="0"/>
                    <w:jc w:val="center"/>
                    <w:rPr>
                      <w:color w:val="auto"/>
                      <w:sz w:val="21"/>
                      <w:szCs w:val="21"/>
                    </w:rPr>
                  </w:pPr>
                  <w:r>
                    <w:rPr>
                      <w:color w:val="auto"/>
                      <w:sz w:val="21"/>
                      <w:szCs w:val="21"/>
                    </w:rPr>
                    <w:t>人员培训与演练</w:t>
                  </w:r>
                </w:p>
              </w:tc>
              <w:tc>
                <w:tcPr>
                  <w:tcW w:w="6303" w:type="dxa"/>
                  <w:vAlign w:val="center"/>
                </w:tcPr>
                <w:p>
                  <w:pPr>
                    <w:spacing w:line="240" w:lineRule="auto"/>
                    <w:ind w:firstLine="0" w:firstLineChars="0"/>
                    <w:jc w:val="both"/>
                    <w:rPr>
                      <w:color w:val="auto"/>
                      <w:sz w:val="21"/>
                      <w:szCs w:val="21"/>
                    </w:rPr>
                  </w:pPr>
                  <w:r>
                    <w:rPr>
                      <w:color w:val="auto"/>
                      <w:sz w:val="21"/>
                      <w:szCs w:val="21"/>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13</w:t>
                  </w:r>
                </w:p>
              </w:tc>
              <w:tc>
                <w:tcPr>
                  <w:tcW w:w="2004" w:type="dxa"/>
                  <w:vAlign w:val="center"/>
                </w:tcPr>
                <w:p>
                  <w:pPr>
                    <w:spacing w:line="240" w:lineRule="auto"/>
                    <w:ind w:firstLine="0" w:firstLineChars="0"/>
                    <w:jc w:val="center"/>
                    <w:rPr>
                      <w:color w:val="auto"/>
                      <w:sz w:val="21"/>
                      <w:szCs w:val="21"/>
                    </w:rPr>
                  </w:pPr>
                  <w:r>
                    <w:rPr>
                      <w:color w:val="auto"/>
                      <w:sz w:val="21"/>
                      <w:szCs w:val="21"/>
                    </w:rPr>
                    <w:t>公众教育和信息</w:t>
                  </w:r>
                </w:p>
              </w:tc>
              <w:tc>
                <w:tcPr>
                  <w:tcW w:w="6303" w:type="dxa"/>
                  <w:vAlign w:val="center"/>
                </w:tcPr>
                <w:p>
                  <w:pPr>
                    <w:spacing w:line="240" w:lineRule="auto"/>
                    <w:ind w:firstLine="0" w:firstLineChars="0"/>
                    <w:jc w:val="both"/>
                    <w:rPr>
                      <w:color w:val="auto"/>
                      <w:sz w:val="21"/>
                      <w:szCs w:val="21"/>
                    </w:rPr>
                  </w:pPr>
                  <w:r>
                    <w:rPr>
                      <w:color w:val="auto"/>
                      <w:sz w:val="21"/>
                      <w:szCs w:val="21"/>
                    </w:rPr>
                    <w:t>对项目邻近地区开展公众教育、培训和发布有关信息。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14</w:t>
                  </w:r>
                </w:p>
              </w:tc>
              <w:tc>
                <w:tcPr>
                  <w:tcW w:w="2004" w:type="dxa"/>
                  <w:vAlign w:val="center"/>
                </w:tcPr>
                <w:p>
                  <w:pPr>
                    <w:spacing w:line="240" w:lineRule="auto"/>
                    <w:ind w:firstLine="0" w:firstLineChars="0"/>
                    <w:jc w:val="center"/>
                    <w:rPr>
                      <w:color w:val="auto"/>
                      <w:sz w:val="21"/>
                      <w:szCs w:val="21"/>
                    </w:rPr>
                  </w:pPr>
                  <w:r>
                    <w:rPr>
                      <w:color w:val="auto"/>
                      <w:sz w:val="21"/>
                      <w:szCs w:val="21"/>
                    </w:rPr>
                    <w:t>记录和报告</w:t>
                  </w:r>
                </w:p>
              </w:tc>
              <w:tc>
                <w:tcPr>
                  <w:tcW w:w="6303" w:type="dxa"/>
                  <w:vAlign w:val="center"/>
                </w:tcPr>
                <w:p>
                  <w:pPr>
                    <w:spacing w:line="240" w:lineRule="auto"/>
                    <w:ind w:firstLine="0" w:firstLineChars="0"/>
                    <w:jc w:val="both"/>
                    <w:rPr>
                      <w:color w:val="auto"/>
                      <w:sz w:val="21"/>
                      <w:szCs w:val="21"/>
                    </w:rPr>
                  </w:pPr>
                  <w:r>
                    <w:rPr>
                      <w:color w:val="auto"/>
                      <w:sz w:val="21"/>
                      <w:szCs w:val="21"/>
                    </w:rPr>
                    <w:t>设置应急事故专门记录，建档案和专门报告制度，设专门部门负</w:t>
                  </w:r>
                </w:p>
                <w:p>
                  <w:pPr>
                    <w:spacing w:line="240" w:lineRule="auto"/>
                    <w:ind w:firstLine="0" w:firstLineChars="0"/>
                    <w:jc w:val="both"/>
                    <w:rPr>
                      <w:color w:val="auto"/>
                      <w:sz w:val="21"/>
                      <w:szCs w:val="21"/>
                    </w:rPr>
                  </w:pPr>
                  <w:r>
                    <w:rPr>
                      <w:color w:val="auto"/>
                      <w:sz w:val="21"/>
                      <w:szCs w:val="21"/>
                    </w:rPr>
                    <w:t>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dxa"/>
                  <w:vAlign w:val="center"/>
                </w:tcPr>
                <w:p>
                  <w:pPr>
                    <w:spacing w:line="240" w:lineRule="auto"/>
                    <w:ind w:firstLine="0" w:firstLineChars="0"/>
                    <w:jc w:val="center"/>
                    <w:rPr>
                      <w:color w:val="auto"/>
                      <w:sz w:val="21"/>
                      <w:szCs w:val="21"/>
                    </w:rPr>
                  </w:pPr>
                  <w:r>
                    <w:rPr>
                      <w:color w:val="auto"/>
                      <w:sz w:val="21"/>
                      <w:szCs w:val="21"/>
                    </w:rPr>
                    <w:t>15</w:t>
                  </w:r>
                </w:p>
              </w:tc>
              <w:tc>
                <w:tcPr>
                  <w:tcW w:w="2004" w:type="dxa"/>
                  <w:vAlign w:val="center"/>
                </w:tcPr>
                <w:p>
                  <w:pPr>
                    <w:spacing w:line="240" w:lineRule="auto"/>
                    <w:ind w:firstLine="0" w:firstLineChars="0"/>
                    <w:jc w:val="center"/>
                    <w:rPr>
                      <w:color w:val="auto"/>
                      <w:sz w:val="21"/>
                      <w:szCs w:val="21"/>
                    </w:rPr>
                  </w:pPr>
                  <w:r>
                    <w:rPr>
                      <w:color w:val="auto"/>
                      <w:sz w:val="21"/>
                      <w:szCs w:val="21"/>
                    </w:rPr>
                    <w:t>附件</w:t>
                  </w:r>
                </w:p>
              </w:tc>
              <w:tc>
                <w:tcPr>
                  <w:tcW w:w="6303" w:type="dxa"/>
                  <w:vAlign w:val="center"/>
                </w:tcPr>
                <w:p>
                  <w:pPr>
                    <w:spacing w:line="240" w:lineRule="auto"/>
                    <w:ind w:firstLine="0" w:firstLineChars="0"/>
                    <w:jc w:val="both"/>
                    <w:rPr>
                      <w:color w:val="auto"/>
                      <w:sz w:val="21"/>
                      <w:szCs w:val="21"/>
                    </w:rPr>
                  </w:pPr>
                  <w:r>
                    <w:rPr>
                      <w:color w:val="auto"/>
                      <w:sz w:val="21"/>
                      <w:szCs w:val="21"/>
                    </w:rPr>
                    <w:t>与应急事故有关的多种附件材料的准备和形成。</w:t>
                  </w:r>
                </w:p>
              </w:tc>
            </w:tr>
          </w:tbl>
          <w:p>
            <w:pPr>
              <w:ind w:firstLine="0" w:firstLineChars="0"/>
              <w:jc w:val="both"/>
              <w:rPr>
                <w:color w:val="auto"/>
                <w:szCs w:val="21"/>
              </w:rPr>
            </w:pPr>
            <w:r>
              <w:rPr>
                <w:color w:val="auto"/>
                <w:szCs w:val="21"/>
              </w:rPr>
              <w:t>建设项目环境简单分析内容见下表</w:t>
            </w:r>
          </w:p>
          <w:p>
            <w:pPr>
              <w:ind w:firstLine="0" w:firstLineChars="0"/>
              <w:jc w:val="center"/>
              <w:outlineLvl w:val="1"/>
              <w:rPr>
                <w:b/>
                <w:bCs/>
                <w:color w:val="auto"/>
                <w:kern w:val="28"/>
                <w:szCs w:val="32"/>
              </w:rPr>
            </w:pPr>
            <w:r>
              <w:rPr>
                <w:b/>
                <w:bCs/>
                <w:color w:val="auto"/>
                <w:kern w:val="28"/>
                <w:szCs w:val="32"/>
              </w:rPr>
              <w:t>表</w:t>
            </w:r>
            <w:r>
              <w:rPr>
                <w:rFonts w:hint="eastAsia"/>
                <w:b/>
                <w:bCs/>
                <w:color w:val="auto"/>
                <w:kern w:val="28"/>
                <w:szCs w:val="32"/>
              </w:rPr>
              <w:t>7-22</w:t>
            </w:r>
            <w:r>
              <w:rPr>
                <w:rFonts w:hint="eastAsia"/>
                <w:b/>
                <w:bCs/>
                <w:color w:val="auto"/>
                <w:kern w:val="28"/>
                <w:szCs w:val="32"/>
                <w:lang w:val="en-US" w:eastAsia="zh-CN"/>
              </w:rPr>
              <w:t xml:space="preserve">   </w:t>
            </w:r>
            <w:r>
              <w:rPr>
                <w:b/>
                <w:bCs/>
                <w:color w:val="auto"/>
                <w:kern w:val="28"/>
                <w:szCs w:val="32"/>
              </w:rPr>
              <w:t>建设项目环境简单分析内容</w:t>
            </w:r>
          </w:p>
          <w:tbl>
            <w:tblPr>
              <w:tblStyle w:val="25"/>
              <w:tblW w:w="8962" w:type="dxa"/>
              <w:jc w:val="center"/>
              <w:tblLayout w:type="fixed"/>
              <w:tblCellMar>
                <w:top w:w="0" w:type="dxa"/>
                <w:left w:w="0" w:type="dxa"/>
                <w:bottom w:w="0" w:type="dxa"/>
                <w:right w:w="0" w:type="dxa"/>
              </w:tblCellMar>
            </w:tblPr>
            <w:tblGrid>
              <w:gridCol w:w="2588"/>
              <w:gridCol w:w="1441"/>
              <w:gridCol w:w="1253"/>
              <w:gridCol w:w="1153"/>
              <w:gridCol w:w="2527"/>
            </w:tblGrid>
            <w:tr>
              <w:tblPrEx>
                <w:tblCellMar>
                  <w:top w:w="0" w:type="dxa"/>
                  <w:left w:w="0" w:type="dxa"/>
                  <w:bottom w:w="0" w:type="dxa"/>
                  <w:right w:w="0" w:type="dxa"/>
                </w:tblCellMar>
              </w:tblPrEx>
              <w:trPr>
                <w:trHeight w:val="386" w:hRule="atLeast"/>
                <w:jc w:val="center"/>
              </w:trPr>
              <w:tc>
                <w:tcPr>
                  <w:tcW w:w="1443" w:type="pct"/>
                  <w:tcBorders>
                    <w:top w:val="single" w:color="000000" w:sz="8" w:space="0"/>
                    <w:left w:val="single" w:color="000000" w:sz="8" w:space="0"/>
                    <w:bottom w:val="single" w:color="000000" w:sz="4" w:space="0"/>
                    <w:right w:val="single" w:color="000000" w:sz="4" w:space="0"/>
                  </w:tcBorders>
                  <w:shd w:val="clear" w:color="auto" w:fill="auto"/>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建设项目名称</w:t>
                  </w:r>
                </w:p>
              </w:tc>
              <w:tc>
                <w:tcPr>
                  <w:tcW w:w="3556" w:type="pct"/>
                  <w:gridSpan w:val="4"/>
                  <w:tcBorders>
                    <w:top w:val="single" w:color="000000" w:sz="8" w:space="0"/>
                    <w:left w:val="single" w:color="000000" w:sz="4" w:space="0"/>
                    <w:bottom w:val="single" w:color="000000" w:sz="4" w:space="0"/>
                    <w:right w:val="single" w:color="000000" w:sz="8" w:space="0"/>
                  </w:tcBorders>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益阳三鼎包装有限公司年产100t食品包装袋建设项目</w:t>
                  </w:r>
                </w:p>
              </w:tc>
            </w:tr>
            <w:tr>
              <w:tblPrEx>
                <w:tblCellMar>
                  <w:top w:w="0" w:type="dxa"/>
                  <w:left w:w="0" w:type="dxa"/>
                  <w:bottom w:w="0" w:type="dxa"/>
                  <w:right w:w="0" w:type="dxa"/>
                </w:tblCellMar>
              </w:tblPrEx>
              <w:trPr>
                <w:trHeight w:val="386" w:hRule="atLeast"/>
                <w:jc w:val="center"/>
              </w:trPr>
              <w:tc>
                <w:tcPr>
                  <w:tcW w:w="1443" w:type="pct"/>
                  <w:tcBorders>
                    <w:top w:val="single" w:color="000000" w:sz="4" w:space="0"/>
                    <w:left w:val="single" w:color="000000" w:sz="8" w:space="0"/>
                    <w:bottom w:val="single" w:color="000000" w:sz="4" w:space="0"/>
                    <w:right w:val="single" w:color="000000" w:sz="4" w:space="0"/>
                  </w:tcBorders>
                  <w:shd w:val="clear" w:color="auto" w:fill="auto"/>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建设地点</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湖南</w:t>
                  </w:r>
                  <w:r>
                    <w:rPr>
                      <w:color w:val="auto"/>
                      <w:sz w:val="21"/>
                      <w:szCs w:val="21"/>
                    </w:rPr>
                    <w:t>省</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益阳市</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沅江市</w:t>
                  </w:r>
                </w:p>
              </w:tc>
              <w:tc>
                <w:tcPr>
                  <w:tcW w:w="1409" w:type="pct"/>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240" w:lineRule="auto"/>
                    <w:ind w:firstLine="0" w:firstLineChars="0"/>
                    <w:jc w:val="center"/>
                    <w:rPr>
                      <w:color w:val="auto"/>
                      <w:sz w:val="21"/>
                      <w:szCs w:val="21"/>
                    </w:rPr>
                  </w:pPr>
                  <w:r>
                    <w:rPr>
                      <w:rFonts w:hint="eastAsia"/>
                      <w:color w:val="auto"/>
                      <w:sz w:val="21"/>
                      <w:szCs w:val="21"/>
                    </w:rPr>
                    <w:t>高新技术产业园</w:t>
                  </w:r>
                </w:p>
              </w:tc>
            </w:tr>
            <w:tr>
              <w:tblPrEx>
                <w:tblCellMar>
                  <w:top w:w="0" w:type="dxa"/>
                  <w:left w:w="0" w:type="dxa"/>
                  <w:bottom w:w="0" w:type="dxa"/>
                  <w:right w:w="0" w:type="dxa"/>
                </w:tblCellMar>
              </w:tblPrEx>
              <w:trPr>
                <w:trHeight w:val="386" w:hRule="atLeast"/>
                <w:jc w:val="center"/>
              </w:trPr>
              <w:tc>
                <w:tcPr>
                  <w:tcW w:w="1443" w:type="pct"/>
                  <w:tcBorders>
                    <w:top w:val="single" w:color="000000" w:sz="4" w:space="0"/>
                    <w:left w:val="single" w:color="000000" w:sz="8" w:space="0"/>
                    <w:bottom w:val="single" w:color="000000" w:sz="4" w:space="0"/>
                    <w:right w:val="single" w:color="000000" w:sz="4" w:space="0"/>
                  </w:tcBorders>
                  <w:shd w:val="clear" w:color="auto" w:fill="auto"/>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地理坐标</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sz w:val="21"/>
                      <w:szCs w:val="21"/>
                    </w:rPr>
                  </w:pPr>
                  <w:r>
                    <w:rPr>
                      <w:color w:val="auto"/>
                      <w:sz w:val="21"/>
                      <w:szCs w:val="21"/>
                    </w:rPr>
                    <w:t>经度</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sz w:val="21"/>
                      <w:szCs w:val="21"/>
                    </w:rPr>
                  </w:pPr>
                  <w:r>
                    <w:rPr>
                      <w:color w:val="auto"/>
                      <w:sz w:val="21"/>
                      <w:szCs w:val="21"/>
                    </w:rPr>
                    <w:t>112.350866</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sz w:val="21"/>
                      <w:szCs w:val="21"/>
                    </w:rPr>
                  </w:pPr>
                  <w:r>
                    <w:rPr>
                      <w:color w:val="auto"/>
                      <w:sz w:val="21"/>
                      <w:szCs w:val="21"/>
                    </w:rPr>
                    <w:t>纬度</w:t>
                  </w:r>
                </w:p>
              </w:tc>
              <w:tc>
                <w:tcPr>
                  <w:tcW w:w="1409" w:type="pct"/>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240" w:lineRule="auto"/>
                    <w:ind w:firstLine="0" w:firstLineChars="0"/>
                    <w:jc w:val="center"/>
                    <w:rPr>
                      <w:color w:val="auto"/>
                      <w:sz w:val="21"/>
                      <w:szCs w:val="21"/>
                    </w:rPr>
                  </w:pPr>
                  <w:r>
                    <w:rPr>
                      <w:color w:val="auto"/>
                      <w:sz w:val="21"/>
                      <w:szCs w:val="21"/>
                    </w:rPr>
                    <w:t>28.805833</w:t>
                  </w:r>
                </w:p>
              </w:tc>
            </w:tr>
            <w:tr>
              <w:tblPrEx>
                <w:tblCellMar>
                  <w:top w:w="0" w:type="dxa"/>
                  <w:left w:w="0" w:type="dxa"/>
                  <w:bottom w:w="0" w:type="dxa"/>
                  <w:right w:w="0" w:type="dxa"/>
                </w:tblCellMar>
              </w:tblPrEx>
              <w:trPr>
                <w:trHeight w:val="386" w:hRule="atLeast"/>
                <w:jc w:val="center"/>
              </w:trPr>
              <w:tc>
                <w:tcPr>
                  <w:tcW w:w="1443" w:type="pct"/>
                  <w:tcBorders>
                    <w:top w:val="single" w:color="000000" w:sz="4" w:space="0"/>
                    <w:left w:val="single" w:color="000000" w:sz="8" w:space="0"/>
                    <w:bottom w:val="single" w:color="000000" w:sz="4" w:space="0"/>
                    <w:right w:val="single" w:color="000000" w:sz="4" w:space="0"/>
                  </w:tcBorders>
                  <w:shd w:val="clear" w:color="auto" w:fill="auto"/>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主要危险物质及分布</w:t>
                  </w:r>
                </w:p>
              </w:tc>
              <w:tc>
                <w:tcPr>
                  <w:tcW w:w="3556" w:type="pct"/>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240" w:lineRule="auto"/>
                    <w:ind w:firstLine="0" w:firstLineChars="0"/>
                    <w:jc w:val="both"/>
                    <w:rPr>
                      <w:color w:val="auto"/>
                      <w:sz w:val="21"/>
                      <w:szCs w:val="21"/>
                    </w:rPr>
                  </w:pPr>
                  <w:r>
                    <w:rPr>
                      <w:rFonts w:hint="eastAsia"/>
                      <w:color w:val="auto"/>
                      <w:sz w:val="21"/>
                      <w:szCs w:val="21"/>
                    </w:rPr>
                    <w:t>原辅料及危险废物</w:t>
                  </w:r>
                </w:p>
              </w:tc>
            </w:tr>
            <w:tr>
              <w:tblPrEx>
                <w:tblCellMar>
                  <w:top w:w="0" w:type="dxa"/>
                  <w:left w:w="0" w:type="dxa"/>
                  <w:bottom w:w="0" w:type="dxa"/>
                  <w:right w:w="0" w:type="dxa"/>
                </w:tblCellMar>
              </w:tblPrEx>
              <w:trPr>
                <w:trHeight w:val="386" w:hRule="atLeast"/>
                <w:jc w:val="center"/>
              </w:trPr>
              <w:tc>
                <w:tcPr>
                  <w:tcW w:w="1443" w:type="pct"/>
                  <w:tcBorders>
                    <w:top w:val="single" w:color="000000" w:sz="4" w:space="0"/>
                    <w:left w:val="single" w:color="000000" w:sz="8" w:space="0"/>
                    <w:bottom w:val="single" w:color="000000" w:sz="4" w:space="0"/>
                    <w:right w:val="single" w:color="000000" w:sz="4" w:space="0"/>
                  </w:tcBorders>
                  <w:shd w:val="clear" w:color="auto" w:fill="auto"/>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环境影响途径及危害后果（大气、地表水、地下水等）</w:t>
                  </w:r>
                </w:p>
              </w:tc>
              <w:tc>
                <w:tcPr>
                  <w:tcW w:w="3556" w:type="pct"/>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240" w:lineRule="auto"/>
                    <w:ind w:firstLine="0" w:firstLineChars="0"/>
                    <w:jc w:val="both"/>
                    <w:rPr>
                      <w:color w:val="auto"/>
                      <w:sz w:val="21"/>
                      <w:szCs w:val="21"/>
                    </w:rPr>
                  </w:pPr>
                  <w:r>
                    <w:rPr>
                      <w:rFonts w:hint="eastAsia"/>
                      <w:color w:val="auto"/>
                      <w:sz w:val="21"/>
                      <w:szCs w:val="21"/>
                    </w:rPr>
                    <w:t>项目需要使用油墨、清洗剂泄漏后会对周边地下水和地表水造成一定的影响。厂区物料存放点和包装袋存放点遇明火则发生火灾事故。</w:t>
                  </w:r>
                </w:p>
              </w:tc>
            </w:tr>
            <w:tr>
              <w:tblPrEx>
                <w:tblCellMar>
                  <w:top w:w="0" w:type="dxa"/>
                  <w:left w:w="0" w:type="dxa"/>
                  <w:bottom w:w="0" w:type="dxa"/>
                  <w:right w:w="0" w:type="dxa"/>
                </w:tblCellMar>
              </w:tblPrEx>
              <w:trPr>
                <w:trHeight w:val="386" w:hRule="atLeast"/>
                <w:jc w:val="center"/>
              </w:trPr>
              <w:tc>
                <w:tcPr>
                  <w:tcW w:w="1443" w:type="pct"/>
                  <w:tcBorders>
                    <w:top w:val="single" w:color="000000" w:sz="4" w:space="0"/>
                    <w:left w:val="single" w:color="000000" w:sz="8" w:space="0"/>
                    <w:bottom w:val="single" w:color="000000" w:sz="4" w:space="0"/>
                    <w:right w:val="single" w:color="000000" w:sz="4" w:space="0"/>
                  </w:tcBorders>
                  <w:shd w:val="clear" w:color="auto" w:fill="auto"/>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风险防范措施要求</w:t>
                  </w:r>
                </w:p>
              </w:tc>
              <w:tc>
                <w:tcPr>
                  <w:tcW w:w="3556" w:type="pct"/>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spacing w:line="240" w:lineRule="auto"/>
                    <w:ind w:firstLine="0" w:firstLineChars="0"/>
                    <w:jc w:val="both"/>
                    <w:rPr>
                      <w:color w:val="auto"/>
                      <w:sz w:val="21"/>
                      <w:szCs w:val="21"/>
                    </w:rPr>
                  </w:pPr>
                  <w:r>
                    <w:rPr>
                      <w:bCs/>
                      <w:color w:val="auto"/>
                      <w:sz w:val="21"/>
                      <w:szCs w:val="21"/>
                    </w:rPr>
                    <w:t>加强明火管理，严防火种进入，搞好事故抢险演练，及时堵住泄漏点</w:t>
                  </w:r>
                </w:p>
              </w:tc>
            </w:tr>
            <w:tr>
              <w:tblPrEx>
                <w:tblCellMar>
                  <w:top w:w="0" w:type="dxa"/>
                  <w:left w:w="0" w:type="dxa"/>
                  <w:bottom w:w="0" w:type="dxa"/>
                  <w:right w:w="0" w:type="dxa"/>
                </w:tblCellMar>
              </w:tblPrEx>
              <w:trPr>
                <w:trHeight w:val="386" w:hRule="atLeast"/>
                <w:jc w:val="center"/>
              </w:trPr>
              <w:tc>
                <w:tcPr>
                  <w:tcW w:w="5000" w:type="pct"/>
                  <w:gridSpan w:val="5"/>
                  <w:tcBorders>
                    <w:top w:val="single" w:color="000000" w:sz="4" w:space="0"/>
                    <w:left w:val="single" w:color="000000" w:sz="8" w:space="0"/>
                    <w:bottom w:val="single" w:color="000000" w:sz="8" w:space="0"/>
                    <w:right w:val="single" w:color="000000" w:sz="8" w:space="0"/>
                  </w:tcBorders>
                  <w:shd w:val="clear" w:color="auto" w:fill="auto"/>
                  <w:vAlign w:val="center"/>
                </w:tcPr>
                <w:p>
                  <w:pPr>
                    <w:autoSpaceDE w:val="0"/>
                    <w:autoSpaceDN w:val="0"/>
                    <w:adjustRightInd w:val="0"/>
                    <w:spacing w:line="240" w:lineRule="auto"/>
                    <w:ind w:firstLine="0" w:firstLineChars="0"/>
                    <w:rPr>
                      <w:color w:val="auto"/>
                      <w:kern w:val="0"/>
                      <w:sz w:val="21"/>
                      <w:szCs w:val="21"/>
                    </w:rPr>
                  </w:pPr>
                  <w:r>
                    <w:rPr>
                      <w:color w:val="auto"/>
                      <w:kern w:val="0"/>
                      <w:sz w:val="21"/>
                      <w:szCs w:val="21"/>
                    </w:rPr>
                    <w:t>填表说明（列出项目相关信息及评价说明</w:t>
                  </w:r>
                  <w:r>
                    <w:rPr>
                      <w:color w:val="auto"/>
                      <w:spacing w:val="-90"/>
                      <w:kern w:val="0"/>
                      <w:sz w:val="21"/>
                      <w:szCs w:val="21"/>
                    </w:rPr>
                    <w:t>）</w:t>
                  </w:r>
                  <w:r>
                    <w:rPr>
                      <w:color w:val="auto"/>
                      <w:kern w:val="0"/>
                      <w:sz w:val="21"/>
                      <w:szCs w:val="21"/>
                    </w:rPr>
                    <w:t>：/</w:t>
                  </w:r>
                </w:p>
              </w:tc>
            </w:tr>
          </w:tbl>
          <w:p>
            <w:pPr>
              <w:keepNext/>
              <w:keepLines/>
              <w:ind w:firstLine="482"/>
              <w:jc w:val="both"/>
              <w:outlineLvl w:val="2"/>
              <w:rPr>
                <w:b/>
                <w:bCs/>
                <w:color w:val="auto"/>
                <w:szCs w:val="32"/>
                <w:u w:val="single"/>
              </w:rPr>
            </w:pPr>
            <w:r>
              <w:rPr>
                <w:rFonts w:hint="eastAsia"/>
                <w:b/>
                <w:bCs/>
                <w:color w:val="auto"/>
                <w:szCs w:val="32"/>
                <w:u w:val="single"/>
              </w:rPr>
              <w:t>六、产业政策及选址和合理性分析</w:t>
            </w:r>
          </w:p>
          <w:p>
            <w:pPr>
              <w:ind w:firstLine="480"/>
              <w:jc w:val="both"/>
              <w:rPr>
                <w:bCs/>
                <w:color w:val="auto"/>
                <w:kern w:val="0"/>
              </w:rPr>
            </w:pPr>
            <w:r>
              <w:rPr>
                <w:rFonts w:hint="eastAsia"/>
                <w:bCs/>
                <w:color w:val="auto"/>
                <w:kern w:val="0"/>
              </w:rPr>
              <w:t>1、</w:t>
            </w:r>
            <w:r>
              <w:rPr>
                <w:bCs/>
                <w:color w:val="auto"/>
                <w:kern w:val="0"/>
              </w:rPr>
              <w:t>产业政策符合性</w:t>
            </w:r>
          </w:p>
          <w:p>
            <w:pPr>
              <w:ind w:firstLine="480"/>
              <w:jc w:val="both"/>
              <w:rPr>
                <w:color w:val="auto"/>
              </w:rPr>
            </w:pPr>
            <w:r>
              <w:rPr>
                <w:rFonts w:hint="eastAsia"/>
                <w:color w:val="auto"/>
              </w:rPr>
              <w:t>根据《产业结构调整指导目录(2019年本)》，本项目不属于其中的限制类和淘汰类，属于允许类，符合国家产业政策。另外，项目所使用的设备及工艺均不属于《部分工业行业淘汰落后生产工艺装备和产品指导目录（2010年本）》中“淘汰落后生产工艺装备和产品”。综上，项目建设符合国家产业政策。</w:t>
            </w:r>
            <w:r>
              <w:rPr>
                <w:color w:val="auto"/>
              </w:rPr>
              <w:t>因此，</w:t>
            </w:r>
            <w:r>
              <w:rPr>
                <w:rFonts w:hint="eastAsia"/>
                <w:color w:val="auto"/>
              </w:rPr>
              <w:t>拟建</w:t>
            </w:r>
            <w:r>
              <w:rPr>
                <w:color w:val="auto"/>
              </w:rPr>
              <w:t>项目建设符合国家当前产业政策要求。</w:t>
            </w:r>
          </w:p>
          <w:p>
            <w:pPr>
              <w:ind w:firstLine="480"/>
              <w:jc w:val="both"/>
              <w:rPr>
                <w:bCs/>
                <w:color w:val="auto"/>
                <w:kern w:val="0"/>
              </w:rPr>
            </w:pPr>
            <w:r>
              <w:rPr>
                <w:rFonts w:hint="eastAsia"/>
                <w:bCs/>
                <w:color w:val="auto"/>
                <w:kern w:val="0"/>
              </w:rPr>
              <w:t>2、总平布置与周边环境关系</w:t>
            </w:r>
          </w:p>
          <w:p>
            <w:pPr>
              <w:ind w:firstLine="480"/>
              <w:jc w:val="both"/>
              <w:rPr>
                <w:color w:val="auto"/>
              </w:rPr>
            </w:pPr>
            <w:r>
              <w:rPr>
                <w:rFonts w:hint="eastAsia"/>
                <w:color w:val="auto"/>
              </w:rPr>
              <w:t>总平布置总体采用生产办公分开的原则，办公区位于西南角，印刷机位于项目西北角，2台复印机位于项目东北角，原材料区、成品区位于项目西侧中部，仓库位于复印机南侧，8台制袋机位于项目东侧中部，印版仓库位于项目东南角。</w:t>
            </w:r>
          </w:p>
          <w:p>
            <w:pPr>
              <w:ind w:firstLine="480"/>
              <w:jc w:val="both"/>
              <w:rPr>
                <w:color w:val="auto"/>
              </w:rPr>
            </w:pPr>
            <w:r>
              <w:rPr>
                <w:rFonts w:hint="eastAsia"/>
                <w:color w:val="auto"/>
              </w:rPr>
              <w:t>本项目总图布置根据所处位置及周围情况，按照工艺流程的要求，保证工艺流程通顺，操作方便，结合现场地形，按照有关规范、标准的规定考虑消防、卫生、安全及检修要求，合理的进行功能分区，采用封闭式管理，做到布置紧凑，统一规划，以利于生产管理和环境保护。</w:t>
            </w:r>
          </w:p>
          <w:p>
            <w:pPr>
              <w:ind w:firstLine="480"/>
              <w:jc w:val="both"/>
              <w:rPr>
                <w:color w:val="auto"/>
              </w:rPr>
            </w:pPr>
            <w:r>
              <w:rPr>
                <w:rFonts w:hint="eastAsia"/>
                <w:color w:val="auto"/>
              </w:rPr>
              <w:t>工程厂区平面布置既考虑了厂区内生产、生活环境，又兼顾了厂区外附近环境情况，对各污染因素采取了有效的防治措施，较大程度地避免了各污染因素对厂区和厂区附近环境的影响，从环保角度分析是比较合理的。因此厂区布置是合理的。综合考虑，本项目厂区总平面布置是较合理。</w:t>
            </w:r>
          </w:p>
          <w:p>
            <w:pPr>
              <w:pStyle w:val="2"/>
              <w:ind w:left="0" w:leftChars="0" w:firstLine="480"/>
              <w:rPr>
                <w:color w:val="auto"/>
                <w:u w:val="single"/>
              </w:rPr>
            </w:pPr>
            <w:r>
              <w:rPr>
                <w:rFonts w:hint="eastAsia"/>
                <w:color w:val="auto"/>
                <w:u w:val="single"/>
              </w:rPr>
              <w:t>3、与周边企业相容性分析</w:t>
            </w:r>
          </w:p>
          <w:p>
            <w:pPr>
              <w:ind w:firstLine="480"/>
              <w:jc w:val="both"/>
              <w:rPr>
                <w:color w:val="auto"/>
                <w:u w:val="single"/>
              </w:rPr>
            </w:pPr>
            <w:r>
              <w:rPr>
                <w:rFonts w:hint="eastAsia"/>
                <w:color w:val="auto"/>
                <w:u w:val="single"/>
              </w:rPr>
              <w:t>根据现场勘查，本项目选址为工业园区，周边多为工业企业，西侧为中涛起重科技有限公司，东侧为湖南科旺科技有限公司，本项目楼上（2层）为湖南冠均木业有限公司，东侧和西侧均为机械加工企业，主要污染物为粉尘和一般固废，因此对本项目周边的影响较小，不会制约本项目的生产运行。楼上为家具加工生产企业，主要污染物为粉尘和喷漆产生的有机废气，根据现场勘查，家具加工企业已通过益阳市生态环境局的审批，有机废气采取了喷淋塔+光氧催化设备+活性炭吸附装置处理后由25m排气筒排放，加工粉尘采取了吸尘装置进行处理，因此废气均能得到有效处置进行达标排放，不会制约本项目在营运期的正常生产，因此本项目与周边的项目具有相容性，对周边环境影响较小。</w:t>
            </w:r>
          </w:p>
          <w:p>
            <w:pPr>
              <w:ind w:firstLine="480"/>
              <w:outlineLvl w:val="2"/>
              <w:rPr>
                <w:b/>
                <w:color w:val="auto"/>
              </w:rPr>
            </w:pPr>
            <w:r>
              <w:rPr>
                <w:rFonts w:hint="eastAsia" w:eastAsia="黑体"/>
                <w:color w:val="auto"/>
                <w:szCs w:val="32"/>
              </w:rPr>
              <w:t>4、</w:t>
            </w:r>
            <w:r>
              <w:rPr>
                <w:rFonts w:hint="eastAsia"/>
                <w:b/>
                <w:color w:val="auto"/>
              </w:rPr>
              <w:t>“三线一单符合性分析”</w:t>
            </w:r>
          </w:p>
          <w:p>
            <w:pPr>
              <w:tabs>
                <w:tab w:val="left" w:pos="1350"/>
                <w:tab w:val="left" w:pos="1560"/>
              </w:tabs>
              <w:ind w:firstLine="480"/>
              <w:jc w:val="both"/>
              <w:rPr>
                <w:color w:val="auto"/>
                <w:kern w:val="0"/>
              </w:rPr>
            </w:pPr>
            <w:r>
              <w:rPr>
                <w:rFonts w:hint="eastAsia"/>
                <w:color w:val="auto"/>
                <w:kern w:val="0"/>
              </w:rPr>
              <w:t>本项目与“三线一单”文件符合性分析具体见下表：</w:t>
            </w:r>
          </w:p>
          <w:p>
            <w:pPr>
              <w:ind w:firstLine="0" w:firstLineChars="0"/>
              <w:jc w:val="center"/>
              <w:rPr>
                <w:b/>
                <w:color w:val="auto"/>
              </w:rPr>
            </w:pPr>
            <w:r>
              <w:rPr>
                <w:rFonts w:hint="eastAsia"/>
                <w:b/>
                <w:color w:val="auto"/>
              </w:rPr>
              <w:t>表7-23   本项目与“三线一单”文件符合性分析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401"/>
              <w:gridCol w:w="4759"/>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通知</w:t>
                  </w:r>
                  <w:r>
                    <w:rPr>
                      <w:rFonts w:ascii="Times New Roman" w:hAnsi="Times New Roman" w:eastAsia="宋体" w:cs="Times New Roman"/>
                      <w:color w:val="auto"/>
                      <w:spacing w:val="-3"/>
                      <w:sz w:val="21"/>
                      <w:szCs w:val="21"/>
                      <w:lang w:eastAsia="zh-CN"/>
                    </w:rPr>
                    <w:t>文</w:t>
                  </w:r>
                  <w:r>
                    <w:rPr>
                      <w:rFonts w:ascii="Times New Roman" w:hAnsi="Times New Roman" w:eastAsia="宋体" w:cs="Times New Roman"/>
                      <w:color w:val="auto"/>
                      <w:sz w:val="21"/>
                      <w:szCs w:val="21"/>
                      <w:lang w:eastAsia="zh-CN"/>
                    </w:rPr>
                    <w:t>号</w:t>
                  </w:r>
                </w:p>
              </w:tc>
              <w:tc>
                <w:tcPr>
                  <w:tcW w:w="1417"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类别</w:t>
                  </w:r>
                </w:p>
              </w:tc>
              <w:tc>
                <w:tcPr>
                  <w:tcW w:w="4820"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相符</w:t>
                  </w:r>
                  <w:r>
                    <w:rPr>
                      <w:rFonts w:ascii="Times New Roman" w:hAnsi="Times New Roman" w:eastAsia="宋体" w:cs="Times New Roman"/>
                      <w:color w:val="auto"/>
                      <w:spacing w:val="-3"/>
                      <w:sz w:val="21"/>
                      <w:szCs w:val="21"/>
                      <w:lang w:eastAsia="zh-CN"/>
                    </w:rPr>
                    <w:t>性</w:t>
                  </w:r>
                  <w:r>
                    <w:rPr>
                      <w:rFonts w:ascii="Times New Roman" w:hAnsi="Times New Roman" w:eastAsia="宋体" w:cs="Times New Roman"/>
                      <w:color w:val="auto"/>
                      <w:sz w:val="21"/>
                      <w:szCs w:val="21"/>
                      <w:lang w:eastAsia="zh-CN"/>
                    </w:rPr>
                    <w:t>分析</w:t>
                  </w:r>
                </w:p>
              </w:tc>
              <w:tc>
                <w:tcPr>
                  <w:tcW w:w="1268"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w:t>
                  </w:r>
                  <w:r>
                    <w:rPr>
                      <w:rFonts w:ascii="Times New Roman" w:hAnsi="Times New Roman" w:eastAsia="宋体" w:cs="Times New Roman"/>
                      <w:color w:val="auto"/>
                      <w:sz w:val="21"/>
                      <w:szCs w:val="21"/>
                      <w:lang w:eastAsia="zh-CN"/>
                    </w:rPr>
                    <w:cr/>
                  </w:r>
                  <w:r>
                    <w:rPr>
                      <w:rFonts w:ascii="Times New Roman" w:hAnsi="Times New Roman" w:eastAsia="宋体" w:cs="Times New Roman"/>
                      <w:color w:val="auto"/>
                      <w:sz w:val="21"/>
                      <w:szCs w:val="21"/>
                      <w:lang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pPr>
                    <w:pStyle w:val="64"/>
                    <w:adjustRightInd w:val="0"/>
                    <w:snapToGrid w:val="0"/>
                    <w:jc w:val="center"/>
                    <w:rPr>
                      <w:rFonts w:ascii="Times New Roman" w:hAnsi="Times New Roman" w:eastAsia="宋体" w:cs="Times New Roman"/>
                      <w:color w:val="auto"/>
                      <w:spacing w:val="6"/>
                      <w:sz w:val="21"/>
                      <w:szCs w:val="21"/>
                      <w:lang w:eastAsia="zh-CN"/>
                    </w:rPr>
                  </w:pPr>
                  <w:r>
                    <w:rPr>
                      <w:rFonts w:hint="eastAsia" w:ascii="Times New Roman" w:hAnsi="Times New Roman" w:eastAsia="宋体" w:cs="Times New Roman"/>
                      <w:color w:val="auto"/>
                      <w:spacing w:val="6"/>
                      <w:sz w:val="21"/>
                      <w:szCs w:val="21"/>
                      <w:lang w:eastAsia="zh-CN"/>
                    </w:rPr>
                    <w:t>《“十三五”环境影响评价实施方案》（环环评【2016】95号）</w:t>
                  </w:r>
                </w:p>
              </w:tc>
              <w:tc>
                <w:tcPr>
                  <w:tcW w:w="1417" w:type="dxa"/>
                  <w:vAlign w:val="center"/>
                </w:tcPr>
                <w:p>
                  <w:pPr>
                    <w:pStyle w:val="64"/>
                    <w:adjustRightInd w:val="0"/>
                    <w:snapToGrid w:val="0"/>
                    <w:jc w:val="center"/>
                    <w:rPr>
                      <w:rFonts w:ascii="Times New Roman" w:hAnsi="Times New Roman" w:eastAsia="宋体" w:cs="Times New Roman"/>
                      <w:color w:val="auto"/>
                      <w:spacing w:val="6"/>
                      <w:sz w:val="21"/>
                      <w:szCs w:val="21"/>
                      <w:lang w:eastAsia="zh-CN"/>
                    </w:rPr>
                  </w:pPr>
                  <w:r>
                    <w:rPr>
                      <w:rFonts w:ascii="Times New Roman" w:hAnsi="Times New Roman" w:eastAsia="宋体" w:cs="Times New Roman"/>
                      <w:color w:val="auto"/>
                      <w:spacing w:val="6"/>
                      <w:sz w:val="21"/>
                      <w:szCs w:val="21"/>
                      <w:lang w:eastAsia="zh-CN"/>
                    </w:rPr>
                    <w:t>生态保护红线</w:t>
                  </w:r>
                </w:p>
              </w:tc>
              <w:tc>
                <w:tcPr>
                  <w:tcW w:w="4820"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6"/>
                      <w:sz w:val="21"/>
                      <w:szCs w:val="21"/>
                      <w:lang w:eastAsia="zh-CN"/>
                    </w:rPr>
                    <w:t>项</w:t>
                  </w:r>
                  <w:r>
                    <w:rPr>
                      <w:rFonts w:ascii="Times New Roman" w:hAnsi="Times New Roman" w:eastAsia="宋体" w:cs="Times New Roman"/>
                      <w:color w:val="auto"/>
                      <w:spacing w:val="9"/>
                      <w:sz w:val="21"/>
                      <w:szCs w:val="21"/>
                      <w:lang w:eastAsia="zh-CN"/>
                    </w:rPr>
                    <w:t>目</w:t>
                  </w:r>
                  <w:r>
                    <w:rPr>
                      <w:rFonts w:ascii="Times New Roman" w:hAnsi="Times New Roman" w:eastAsia="宋体" w:cs="Times New Roman"/>
                      <w:color w:val="auto"/>
                      <w:spacing w:val="6"/>
                      <w:sz w:val="21"/>
                      <w:szCs w:val="21"/>
                      <w:lang w:eastAsia="zh-CN"/>
                    </w:rPr>
                    <w:t>位于</w:t>
                  </w:r>
                  <w:r>
                    <w:rPr>
                      <w:rFonts w:hint="eastAsia" w:ascii="Times New Roman" w:hAnsi="Times New Roman" w:eastAsia="宋体" w:cs="Times New Roman"/>
                      <w:color w:val="auto"/>
                      <w:spacing w:val="6"/>
                      <w:sz w:val="21"/>
                      <w:szCs w:val="21"/>
                      <w:lang w:eastAsia="zh-CN"/>
                    </w:rPr>
                    <w:t>湖南省沅江市高新技术产业园区</w:t>
                  </w:r>
                  <w:r>
                    <w:rPr>
                      <w:rFonts w:ascii="Times New Roman" w:hAnsi="Times New Roman" w:eastAsia="宋体" w:cs="Times New Roman"/>
                      <w:color w:val="auto"/>
                      <w:spacing w:val="6"/>
                      <w:sz w:val="21"/>
                      <w:szCs w:val="21"/>
                      <w:lang w:eastAsia="zh-CN"/>
                    </w:rPr>
                    <w:t>内，</w:t>
                  </w:r>
                  <w:r>
                    <w:rPr>
                      <w:rFonts w:ascii="Times New Roman" w:hAnsi="Times New Roman" w:eastAsia="宋体" w:cs="Times New Roman"/>
                      <w:color w:val="auto"/>
                      <w:spacing w:val="9"/>
                      <w:sz w:val="21"/>
                      <w:szCs w:val="21"/>
                      <w:lang w:eastAsia="zh-CN"/>
                    </w:rPr>
                    <w:t>项</w:t>
                  </w:r>
                  <w:r>
                    <w:rPr>
                      <w:rFonts w:ascii="Times New Roman" w:hAnsi="Times New Roman" w:eastAsia="宋体" w:cs="Times New Roman"/>
                      <w:color w:val="auto"/>
                      <w:sz w:val="21"/>
                      <w:szCs w:val="21"/>
                      <w:lang w:eastAsia="zh-CN"/>
                    </w:rPr>
                    <w:t>目不</w:t>
                  </w:r>
                  <w:r>
                    <w:rPr>
                      <w:rFonts w:hint="eastAsia" w:ascii="Times New Roman" w:hAnsi="Times New Roman" w:eastAsia="宋体" w:cs="Times New Roman"/>
                      <w:color w:val="auto"/>
                      <w:sz w:val="21"/>
                      <w:szCs w:val="21"/>
                      <w:lang w:eastAsia="zh-CN"/>
                    </w:rPr>
                    <w:t>在</w:t>
                  </w:r>
                  <w:r>
                    <w:rPr>
                      <w:rFonts w:ascii="Times New Roman" w:hAnsi="Times New Roman" w:eastAsia="宋体" w:cs="Times New Roman"/>
                      <w:color w:val="auto"/>
                      <w:sz w:val="21"/>
                      <w:szCs w:val="21"/>
                      <w:lang w:eastAsia="zh-CN"/>
                    </w:rPr>
                    <w:t>生</w:t>
                  </w:r>
                  <w:r>
                    <w:rPr>
                      <w:rFonts w:ascii="Times New Roman" w:hAnsi="Times New Roman" w:eastAsia="宋体" w:cs="Times New Roman"/>
                      <w:color w:val="auto"/>
                      <w:spacing w:val="-3"/>
                      <w:sz w:val="21"/>
                      <w:szCs w:val="21"/>
                      <w:lang w:eastAsia="zh-CN"/>
                    </w:rPr>
                    <w:t>态</w:t>
                  </w:r>
                  <w:r>
                    <w:rPr>
                      <w:rFonts w:ascii="Times New Roman" w:hAnsi="Times New Roman" w:eastAsia="宋体" w:cs="Times New Roman"/>
                      <w:color w:val="auto"/>
                      <w:sz w:val="21"/>
                      <w:szCs w:val="21"/>
                      <w:lang w:eastAsia="zh-CN"/>
                    </w:rPr>
                    <w:t>红</w:t>
                  </w:r>
                  <w:r>
                    <w:rPr>
                      <w:rFonts w:ascii="Times New Roman" w:hAnsi="Times New Roman" w:eastAsia="宋体" w:cs="Times New Roman"/>
                      <w:color w:val="auto"/>
                      <w:spacing w:val="-3"/>
                      <w:sz w:val="21"/>
                      <w:szCs w:val="21"/>
                      <w:lang w:eastAsia="zh-CN"/>
                    </w:rPr>
                    <w:t>线</w:t>
                  </w:r>
                  <w:r>
                    <w:rPr>
                      <w:rFonts w:ascii="Times New Roman" w:hAnsi="Times New Roman" w:eastAsia="宋体" w:cs="Times New Roman"/>
                      <w:color w:val="auto"/>
                      <w:sz w:val="21"/>
                      <w:szCs w:val="21"/>
                      <w:lang w:eastAsia="zh-CN"/>
                    </w:rPr>
                    <w:t>区</w:t>
                  </w:r>
                  <w:r>
                    <w:rPr>
                      <w:rFonts w:ascii="Times New Roman" w:hAnsi="Times New Roman" w:eastAsia="宋体" w:cs="Times New Roman"/>
                      <w:color w:val="auto"/>
                      <w:spacing w:val="-3"/>
                      <w:sz w:val="21"/>
                      <w:szCs w:val="21"/>
                      <w:lang w:eastAsia="zh-CN"/>
                    </w:rPr>
                    <w:t>域</w:t>
                  </w:r>
                  <w:r>
                    <w:rPr>
                      <w:rFonts w:hint="eastAsia" w:ascii="Times New Roman" w:hAnsi="Times New Roman" w:eastAsia="宋体" w:cs="Times New Roman"/>
                      <w:color w:val="auto"/>
                      <w:spacing w:val="-3"/>
                      <w:sz w:val="21"/>
                      <w:szCs w:val="21"/>
                      <w:lang w:eastAsia="zh-CN"/>
                    </w:rPr>
                    <w:t>内</w:t>
                  </w:r>
                  <w:r>
                    <w:rPr>
                      <w:rFonts w:ascii="Times New Roman" w:hAnsi="Times New Roman" w:eastAsia="宋体" w:cs="Times New Roman"/>
                      <w:color w:val="auto"/>
                      <w:sz w:val="21"/>
                      <w:szCs w:val="21"/>
                      <w:lang w:eastAsia="zh-CN"/>
                    </w:rPr>
                    <w:t>。</w:t>
                  </w:r>
                </w:p>
              </w:tc>
              <w:tc>
                <w:tcPr>
                  <w:tcW w:w="1268" w:type="dxa"/>
                  <w:vAlign w:val="center"/>
                </w:tcPr>
                <w:p>
                  <w:pPr>
                    <w:pStyle w:val="64"/>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pPr>
                    <w:pStyle w:val="64"/>
                    <w:adjustRightInd w:val="0"/>
                    <w:snapToGrid w:val="0"/>
                    <w:jc w:val="center"/>
                    <w:rPr>
                      <w:rFonts w:ascii="Times New Roman" w:hAnsi="Times New Roman" w:eastAsia="宋体" w:cs="Times New Roman"/>
                      <w:color w:val="auto"/>
                      <w:spacing w:val="6"/>
                      <w:sz w:val="21"/>
                      <w:szCs w:val="21"/>
                      <w:lang w:eastAsia="zh-CN"/>
                    </w:rPr>
                  </w:pPr>
                </w:p>
              </w:tc>
              <w:tc>
                <w:tcPr>
                  <w:tcW w:w="1417" w:type="dxa"/>
                  <w:vAlign w:val="center"/>
                </w:tcPr>
                <w:p>
                  <w:pPr>
                    <w:pStyle w:val="64"/>
                    <w:adjustRightInd w:val="0"/>
                    <w:snapToGrid w:val="0"/>
                    <w:jc w:val="center"/>
                    <w:rPr>
                      <w:rFonts w:ascii="Times New Roman" w:hAnsi="Times New Roman" w:eastAsia="宋体" w:cs="Times New Roman"/>
                      <w:color w:val="auto"/>
                      <w:spacing w:val="6"/>
                      <w:sz w:val="21"/>
                      <w:szCs w:val="21"/>
                      <w:lang w:eastAsia="zh-CN"/>
                    </w:rPr>
                  </w:pPr>
                  <w:r>
                    <w:rPr>
                      <w:rFonts w:ascii="Times New Roman" w:hAnsi="Times New Roman" w:eastAsia="宋体" w:cs="Times New Roman"/>
                      <w:color w:val="auto"/>
                      <w:spacing w:val="6"/>
                      <w:sz w:val="21"/>
                      <w:szCs w:val="21"/>
                      <w:lang w:eastAsia="zh-CN"/>
                    </w:rPr>
                    <w:t>环境质量底线</w:t>
                  </w:r>
                </w:p>
              </w:tc>
              <w:tc>
                <w:tcPr>
                  <w:tcW w:w="4820"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6"/>
                      <w:sz w:val="21"/>
                      <w:szCs w:val="21"/>
                      <w:lang w:eastAsia="zh-CN"/>
                    </w:rPr>
                    <w:t>根</w:t>
                  </w:r>
                  <w:r>
                    <w:rPr>
                      <w:rFonts w:ascii="Times New Roman" w:hAnsi="Times New Roman" w:eastAsia="宋体" w:cs="Times New Roman"/>
                      <w:color w:val="auto"/>
                      <w:spacing w:val="9"/>
                      <w:sz w:val="21"/>
                      <w:szCs w:val="21"/>
                      <w:lang w:eastAsia="zh-CN"/>
                    </w:rPr>
                    <w:t>据</w:t>
                  </w:r>
                  <w:r>
                    <w:rPr>
                      <w:rFonts w:ascii="Times New Roman" w:hAnsi="Times New Roman" w:eastAsia="宋体" w:cs="Times New Roman"/>
                      <w:color w:val="auto"/>
                      <w:spacing w:val="6"/>
                      <w:sz w:val="21"/>
                      <w:szCs w:val="21"/>
                      <w:lang w:eastAsia="zh-CN"/>
                    </w:rPr>
                    <w:t>环境质</w:t>
                  </w:r>
                  <w:r>
                    <w:rPr>
                      <w:rFonts w:ascii="Times New Roman" w:hAnsi="Times New Roman" w:eastAsia="宋体" w:cs="Times New Roman"/>
                      <w:color w:val="auto"/>
                      <w:spacing w:val="9"/>
                      <w:sz w:val="21"/>
                      <w:szCs w:val="21"/>
                      <w:lang w:eastAsia="zh-CN"/>
                    </w:rPr>
                    <w:t>量</w:t>
                  </w:r>
                  <w:r>
                    <w:rPr>
                      <w:rFonts w:ascii="Times New Roman" w:hAnsi="Times New Roman" w:eastAsia="宋体" w:cs="Times New Roman"/>
                      <w:color w:val="auto"/>
                      <w:spacing w:val="6"/>
                      <w:sz w:val="21"/>
                      <w:szCs w:val="21"/>
                      <w:lang w:eastAsia="zh-CN"/>
                    </w:rPr>
                    <w:t>现状调</w:t>
                  </w:r>
                  <w:r>
                    <w:rPr>
                      <w:rFonts w:ascii="Times New Roman" w:hAnsi="Times New Roman" w:eastAsia="宋体" w:cs="Times New Roman"/>
                      <w:color w:val="auto"/>
                      <w:spacing w:val="9"/>
                      <w:sz w:val="21"/>
                      <w:szCs w:val="21"/>
                      <w:lang w:eastAsia="zh-CN"/>
                    </w:rPr>
                    <w:t>查</w:t>
                  </w:r>
                  <w:r>
                    <w:rPr>
                      <w:rFonts w:ascii="Times New Roman" w:hAnsi="Times New Roman" w:eastAsia="宋体" w:cs="Times New Roman"/>
                      <w:color w:val="auto"/>
                      <w:spacing w:val="6"/>
                      <w:sz w:val="21"/>
                      <w:szCs w:val="21"/>
                      <w:lang w:eastAsia="zh-CN"/>
                    </w:rPr>
                    <w:t>和环</w:t>
                  </w:r>
                  <w:r>
                    <w:rPr>
                      <w:rFonts w:ascii="Times New Roman" w:hAnsi="Times New Roman" w:eastAsia="宋体" w:cs="Times New Roman"/>
                      <w:color w:val="auto"/>
                      <w:spacing w:val="9"/>
                      <w:sz w:val="21"/>
                      <w:szCs w:val="21"/>
                      <w:lang w:eastAsia="zh-CN"/>
                    </w:rPr>
                    <w:t>境</w:t>
                  </w:r>
                  <w:r>
                    <w:rPr>
                      <w:rFonts w:ascii="Times New Roman" w:hAnsi="Times New Roman" w:eastAsia="宋体" w:cs="Times New Roman"/>
                      <w:color w:val="auto"/>
                      <w:spacing w:val="6"/>
                      <w:sz w:val="21"/>
                      <w:szCs w:val="21"/>
                      <w:lang w:eastAsia="zh-CN"/>
                    </w:rPr>
                    <w:t>影响预</w:t>
                  </w:r>
                  <w:r>
                    <w:rPr>
                      <w:rFonts w:ascii="Times New Roman" w:hAnsi="Times New Roman" w:eastAsia="宋体" w:cs="Times New Roman"/>
                      <w:color w:val="auto"/>
                      <w:spacing w:val="9"/>
                      <w:sz w:val="21"/>
                      <w:szCs w:val="21"/>
                      <w:lang w:eastAsia="zh-CN"/>
                    </w:rPr>
                    <w:t>测</w:t>
                  </w:r>
                  <w:r>
                    <w:rPr>
                      <w:rFonts w:ascii="Times New Roman" w:hAnsi="Times New Roman" w:eastAsia="宋体" w:cs="Times New Roman"/>
                      <w:color w:val="auto"/>
                      <w:spacing w:val="6"/>
                      <w:sz w:val="21"/>
                      <w:szCs w:val="21"/>
                      <w:lang w:eastAsia="zh-CN"/>
                    </w:rPr>
                    <w:t>分析</w:t>
                  </w:r>
                  <w:r>
                    <w:rPr>
                      <w:rFonts w:ascii="Times New Roman" w:hAnsi="Times New Roman" w:eastAsia="宋体" w:cs="Times New Roman"/>
                      <w:color w:val="auto"/>
                      <w:spacing w:val="9"/>
                      <w:sz w:val="21"/>
                      <w:szCs w:val="21"/>
                      <w:lang w:eastAsia="zh-CN"/>
                    </w:rPr>
                    <w:t>，</w:t>
                  </w:r>
                  <w:r>
                    <w:rPr>
                      <w:rFonts w:ascii="Times New Roman" w:hAnsi="Times New Roman" w:eastAsia="宋体" w:cs="Times New Roman"/>
                      <w:color w:val="auto"/>
                      <w:sz w:val="21"/>
                      <w:szCs w:val="21"/>
                      <w:lang w:eastAsia="zh-CN"/>
                    </w:rPr>
                    <w:t>本</w:t>
                  </w:r>
                  <w:r>
                    <w:rPr>
                      <w:rFonts w:ascii="Times New Roman" w:hAnsi="Times New Roman" w:eastAsia="宋体" w:cs="Times New Roman"/>
                      <w:color w:val="auto"/>
                      <w:spacing w:val="6"/>
                      <w:sz w:val="21"/>
                      <w:szCs w:val="21"/>
                      <w:lang w:eastAsia="zh-CN"/>
                    </w:rPr>
                    <w:t>项</w:t>
                  </w:r>
                  <w:r>
                    <w:rPr>
                      <w:rFonts w:ascii="Times New Roman" w:hAnsi="Times New Roman" w:eastAsia="宋体" w:cs="Times New Roman"/>
                      <w:color w:val="auto"/>
                      <w:spacing w:val="9"/>
                      <w:sz w:val="21"/>
                      <w:szCs w:val="21"/>
                      <w:lang w:eastAsia="zh-CN"/>
                    </w:rPr>
                    <w:t>目</w:t>
                  </w:r>
                  <w:r>
                    <w:rPr>
                      <w:rFonts w:ascii="Times New Roman" w:hAnsi="Times New Roman" w:eastAsia="宋体" w:cs="Times New Roman"/>
                      <w:color w:val="auto"/>
                      <w:spacing w:val="6"/>
                      <w:sz w:val="21"/>
                      <w:szCs w:val="21"/>
                      <w:lang w:eastAsia="zh-CN"/>
                    </w:rPr>
                    <w:t>的运营</w:t>
                  </w:r>
                  <w:r>
                    <w:rPr>
                      <w:rFonts w:ascii="Times New Roman" w:hAnsi="Times New Roman" w:eastAsia="宋体" w:cs="Times New Roman"/>
                      <w:color w:val="auto"/>
                      <w:spacing w:val="9"/>
                      <w:sz w:val="21"/>
                      <w:szCs w:val="21"/>
                      <w:lang w:eastAsia="zh-CN"/>
                    </w:rPr>
                    <w:t>对</w:t>
                  </w:r>
                  <w:r>
                    <w:rPr>
                      <w:rFonts w:ascii="Times New Roman" w:hAnsi="Times New Roman" w:eastAsia="宋体" w:cs="Times New Roman"/>
                      <w:color w:val="auto"/>
                      <w:spacing w:val="6"/>
                      <w:sz w:val="21"/>
                      <w:szCs w:val="21"/>
                      <w:lang w:eastAsia="zh-CN"/>
                    </w:rPr>
                    <w:t>区域内</w:t>
                  </w:r>
                  <w:r>
                    <w:rPr>
                      <w:rFonts w:ascii="Times New Roman" w:hAnsi="Times New Roman" w:eastAsia="宋体" w:cs="Times New Roman"/>
                      <w:color w:val="auto"/>
                      <w:spacing w:val="9"/>
                      <w:sz w:val="21"/>
                      <w:szCs w:val="21"/>
                      <w:lang w:eastAsia="zh-CN"/>
                    </w:rPr>
                    <w:t>环</w:t>
                  </w:r>
                  <w:r>
                    <w:rPr>
                      <w:rFonts w:ascii="Times New Roman" w:hAnsi="Times New Roman" w:eastAsia="宋体" w:cs="Times New Roman"/>
                      <w:color w:val="auto"/>
                      <w:spacing w:val="6"/>
                      <w:sz w:val="21"/>
                      <w:szCs w:val="21"/>
                      <w:lang w:eastAsia="zh-CN"/>
                    </w:rPr>
                    <w:t>境影</w:t>
                  </w:r>
                  <w:r>
                    <w:rPr>
                      <w:rFonts w:ascii="Times New Roman" w:hAnsi="Times New Roman" w:eastAsia="宋体" w:cs="Times New Roman"/>
                      <w:color w:val="auto"/>
                      <w:spacing w:val="9"/>
                      <w:sz w:val="21"/>
                      <w:szCs w:val="21"/>
                      <w:lang w:eastAsia="zh-CN"/>
                    </w:rPr>
                    <w:t>响</w:t>
                  </w:r>
                  <w:r>
                    <w:rPr>
                      <w:rFonts w:ascii="Times New Roman" w:hAnsi="Times New Roman" w:eastAsia="宋体" w:cs="Times New Roman"/>
                      <w:color w:val="auto"/>
                      <w:spacing w:val="6"/>
                      <w:sz w:val="21"/>
                      <w:szCs w:val="21"/>
                      <w:lang w:eastAsia="zh-CN"/>
                    </w:rPr>
                    <w:t>较小，</w:t>
                  </w:r>
                  <w:r>
                    <w:rPr>
                      <w:rFonts w:ascii="Times New Roman" w:hAnsi="Times New Roman" w:eastAsia="宋体" w:cs="Times New Roman"/>
                      <w:color w:val="auto"/>
                      <w:spacing w:val="9"/>
                      <w:sz w:val="21"/>
                      <w:szCs w:val="21"/>
                      <w:lang w:eastAsia="zh-CN"/>
                    </w:rPr>
                    <w:t>不</w:t>
                  </w:r>
                  <w:r>
                    <w:rPr>
                      <w:rFonts w:ascii="Times New Roman" w:hAnsi="Times New Roman" w:eastAsia="宋体" w:cs="Times New Roman"/>
                      <w:color w:val="auto"/>
                      <w:spacing w:val="6"/>
                      <w:sz w:val="21"/>
                      <w:szCs w:val="21"/>
                      <w:lang w:eastAsia="zh-CN"/>
                    </w:rPr>
                    <w:t>会降</w:t>
                  </w:r>
                  <w:r>
                    <w:rPr>
                      <w:rFonts w:ascii="Times New Roman" w:hAnsi="Times New Roman" w:eastAsia="宋体" w:cs="Times New Roman"/>
                      <w:color w:val="auto"/>
                      <w:spacing w:val="9"/>
                      <w:sz w:val="21"/>
                      <w:szCs w:val="21"/>
                      <w:lang w:eastAsia="zh-CN"/>
                    </w:rPr>
                    <w:t>低</w:t>
                  </w:r>
                  <w:r>
                    <w:rPr>
                      <w:rFonts w:ascii="Times New Roman" w:hAnsi="Times New Roman" w:eastAsia="宋体" w:cs="Times New Roman"/>
                      <w:color w:val="auto"/>
                      <w:sz w:val="21"/>
                      <w:szCs w:val="21"/>
                      <w:lang w:eastAsia="zh-CN"/>
                    </w:rPr>
                    <w:t>区域环</w:t>
                  </w:r>
                  <w:r>
                    <w:rPr>
                      <w:rFonts w:ascii="Times New Roman" w:hAnsi="Times New Roman" w:eastAsia="宋体" w:cs="Times New Roman"/>
                      <w:color w:val="auto"/>
                      <w:spacing w:val="-3"/>
                      <w:sz w:val="21"/>
                      <w:szCs w:val="21"/>
                      <w:lang w:eastAsia="zh-CN"/>
                    </w:rPr>
                    <w:t>境</w:t>
                  </w:r>
                  <w:r>
                    <w:rPr>
                      <w:rFonts w:ascii="Times New Roman" w:hAnsi="Times New Roman" w:eastAsia="宋体" w:cs="Times New Roman"/>
                      <w:color w:val="auto"/>
                      <w:sz w:val="21"/>
                      <w:szCs w:val="21"/>
                      <w:lang w:eastAsia="zh-CN"/>
                    </w:rPr>
                    <w:t>质</w:t>
                  </w:r>
                  <w:r>
                    <w:rPr>
                      <w:rFonts w:ascii="Times New Roman" w:hAnsi="Times New Roman" w:eastAsia="宋体" w:cs="Times New Roman"/>
                      <w:color w:val="auto"/>
                      <w:spacing w:val="-3"/>
                      <w:sz w:val="21"/>
                      <w:szCs w:val="21"/>
                      <w:lang w:eastAsia="zh-CN"/>
                    </w:rPr>
                    <w:t>量</w:t>
                  </w:r>
                  <w:r>
                    <w:rPr>
                      <w:rFonts w:ascii="Times New Roman" w:hAnsi="Times New Roman" w:eastAsia="宋体" w:cs="Times New Roman"/>
                      <w:color w:val="auto"/>
                      <w:sz w:val="21"/>
                      <w:szCs w:val="21"/>
                      <w:lang w:eastAsia="zh-CN"/>
                    </w:rPr>
                    <w:t>等</w:t>
                  </w:r>
                  <w:r>
                    <w:rPr>
                      <w:rFonts w:ascii="Times New Roman" w:hAnsi="Times New Roman" w:eastAsia="宋体" w:cs="Times New Roman"/>
                      <w:color w:val="auto"/>
                      <w:spacing w:val="-3"/>
                      <w:sz w:val="21"/>
                      <w:szCs w:val="21"/>
                      <w:lang w:eastAsia="zh-CN"/>
                    </w:rPr>
                    <w:t>级</w:t>
                  </w:r>
                  <w:r>
                    <w:rPr>
                      <w:rFonts w:ascii="Times New Roman" w:hAnsi="Times New Roman" w:eastAsia="宋体" w:cs="Times New Roman"/>
                      <w:color w:val="auto"/>
                      <w:sz w:val="21"/>
                      <w:szCs w:val="21"/>
                      <w:lang w:eastAsia="zh-CN"/>
                    </w:rPr>
                    <w:t>。</w:t>
                  </w:r>
                </w:p>
              </w:tc>
              <w:tc>
                <w:tcPr>
                  <w:tcW w:w="1268" w:type="dxa"/>
                  <w:vAlign w:val="center"/>
                </w:tcPr>
                <w:p>
                  <w:pPr>
                    <w:pStyle w:val="64"/>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pPr>
                    <w:pStyle w:val="64"/>
                    <w:adjustRightInd w:val="0"/>
                    <w:snapToGrid w:val="0"/>
                    <w:jc w:val="center"/>
                    <w:rPr>
                      <w:rFonts w:ascii="Times New Roman" w:hAnsi="Times New Roman" w:eastAsia="宋体" w:cs="Times New Roman"/>
                      <w:color w:val="auto"/>
                      <w:spacing w:val="6"/>
                      <w:sz w:val="21"/>
                      <w:szCs w:val="21"/>
                      <w:lang w:eastAsia="zh-CN"/>
                    </w:rPr>
                  </w:pPr>
                </w:p>
              </w:tc>
              <w:tc>
                <w:tcPr>
                  <w:tcW w:w="1417" w:type="dxa"/>
                  <w:vAlign w:val="center"/>
                </w:tcPr>
                <w:p>
                  <w:pPr>
                    <w:pStyle w:val="64"/>
                    <w:adjustRightInd w:val="0"/>
                    <w:snapToGrid w:val="0"/>
                    <w:jc w:val="center"/>
                    <w:rPr>
                      <w:rFonts w:ascii="Times New Roman" w:hAnsi="Times New Roman" w:eastAsia="宋体" w:cs="Times New Roman"/>
                      <w:color w:val="auto"/>
                      <w:spacing w:val="6"/>
                      <w:sz w:val="21"/>
                      <w:szCs w:val="21"/>
                      <w:lang w:eastAsia="zh-CN"/>
                    </w:rPr>
                  </w:pPr>
                  <w:r>
                    <w:rPr>
                      <w:rFonts w:ascii="Times New Roman" w:hAnsi="Times New Roman" w:eastAsia="宋体" w:cs="Times New Roman"/>
                      <w:color w:val="auto"/>
                      <w:spacing w:val="6"/>
                      <w:sz w:val="21"/>
                      <w:szCs w:val="21"/>
                      <w:lang w:eastAsia="zh-CN"/>
                    </w:rPr>
                    <w:t>资源利用上限</w:t>
                  </w:r>
                </w:p>
              </w:tc>
              <w:tc>
                <w:tcPr>
                  <w:tcW w:w="4820"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6"/>
                      <w:sz w:val="21"/>
                      <w:szCs w:val="21"/>
                      <w:lang w:eastAsia="zh-CN"/>
                    </w:rPr>
                    <w:t>项</w:t>
                  </w:r>
                  <w:r>
                    <w:rPr>
                      <w:rFonts w:ascii="Times New Roman" w:hAnsi="Times New Roman" w:eastAsia="宋体" w:cs="Times New Roman"/>
                      <w:color w:val="auto"/>
                      <w:spacing w:val="9"/>
                      <w:sz w:val="21"/>
                      <w:szCs w:val="21"/>
                      <w:lang w:eastAsia="zh-CN"/>
                    </w:rPr>
                    <w:t>目</w:t>
                  </w:r>
                  <w:r>
                    <w:rPr>
                      <w:rFonts w:hint="eastAsia" w:ascii="Times New Roman" w:hAnsi="Times New Roman" w:eastAsia="宋体" w:cs="Times New Roman"/>
                      <w:color w:val="auto"/>
                      <w:spacing w:val="6"/>
                      <w:sz w:val="21"/>
                      <w:szCs w:val="21"/>
                      <w:lang w:eastAsia="zh-CN"/>
                    </w:rPr>
                    <w:t>不开采地下水，不属于高耗能、高耗水项目</w:t>
                  </w:r>
                  <w:r>
                    <w:rPr>
                      <w:rFonts w:ascii="Times New Roman" w:hAnsi="Times New Roman" w:eastAsia="宋体" w:cs="Times New Roman"/>
                      <w:color w:val="auto"/>
                      <w:sz w:val="21"/>
                      <w:szCs w:val="21"/>
                      <w:lang w:eastAsia="zh-CN"/>
                    </w:rPr>
                    <w:t>。</w:t>
                  </w:r>
                </w:p>
              </w:tc>
              <w:tc>
                <w:tcPr>
                  <w:tcW w:w="1268" w:type="dxa"/>
                  <w:vAlign w:val="center"/>
                </w:tcPr>
                <w:p>
                  <w:pPr>
                    <w:pStyle w:val="64"/>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pPr>
                    <w:pStyle w:val="64"/>
                    <w:adjustRightInd w:val="0"/>
                    <w:snapToGrid w:val="0"/>
                    <w:jc w:val="center"/>
                    <w:rPr>
                      <w:rFonts w:ascii="Times New Roman" w:hAnsi="Times New Roman" w:eastAsia="宋体" w:cs="Times New Roman"/>
                      <w:color w:val="auto"/>
                      <w:spacing w:val="6"/>
                      <w:sz w:val="21"/>
                      <w:szCs w:val="21"/>
                      <w:lang w:eastAsia="zh-CN"/>
                    </w:rPr>
                  </w:pPr>
                </w:p>
              </w:tc>
              <w:tc>
                <w:tcPr>
                  <w:tcW w:w="1417" w:type="dxa"/>
                  <w:vAlign w:val="center"/>
                </w:tcPr>
                <w:p>
                  <w:pPr>
                    <w:pStyle w:val="64"/>
                    <w:adjustRightInd w:val="0"/>
                    <w:snapToGrid w:val="0"/>
                    <w:jc w:val="center"/>
                    <w:rPr>
                      <w:rFonts w:ascii="Times New Roman" w:hAnsi="Times New Roman" w:eastAsia="宋体" w:cs="Times New Roman"/>
                      <w:color w:val="auto"/>
                      <w:spacing w:val="6"/>
                      <w:sz w:val="21"/>
                      <w:szCs w:val="21"/>
                      <w:lang w:eastAsia="zh-CN"/>
                    </w:rPr>
                  </w:pPr>
                  <w:r>
                    <w:rPr>
                      <w:rFonts w:ascii="Times New Roman" w:hAnsi="Times New Roman" w:eastAsia="宋体" w:cs="Times New Roman"/>
                      <w:color w:val="auto"/>
                      <w:spacing w:val="6"/>
                      <w:sz w:val="21"/>
                      <w:szCs w:val="21"/>
                      <w:lang w:eastAsia="zh-CN"/>
                    </w:rPr>
                    <w:t>环境准入负面清单</w:t>
                  </w:r>
                </w:p>
              </w:tc>
              <w:tc>
                <w:tcPr>
                  <w:tcW w:w="4820"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6"/>
                      <w:sz w:val="21"/>
                      <w:szCs w:val="21"/>
                      <w:lang w:eastAsia="zh-CN"/>
                    </w:rPr>
                    <w:t>项</w:t>
                  </w:r>
                  <w:r>
                    <w:rPr>
                      <w:rFonts w:ascii="Times New Roman" w:hAnsi="Times New Roman" w:eastAsia="宋体" w:cs="Times New Roman"/>
                      <w:color w:val="auto"/>
                      <w:spacing w:val="9"/>
                      <w:sz w:val="21"/>
                      <w:szCs w:val="21"/>
                      <w:lang w:eastAsia="zh-CN"/>
                    </w:rPr>
                    <w:t>目</w:t>
                  </w:r>
                  <w:r>
                    <w:rPr>
                      <w:rFonts w:ascii="Times New Roman" w:hAnsi="Times New Roman" w:eastAsia="宋体" w:cs="Times New Roman"/>
                      <w:color w:val="auto"/>
                      <w:spacing w:val="6"/>
                      <w:sz w:val="21"/>
                      <w:szCs w:val="21"/>
                      <w:lang w:eastAsia="zh-CN"/>
                    </w:rPr>
                    <w:t>符合国</w:t>
                  </w:r>
                  <w:r>
                    <w:rPr>
                      <w:rFonts w:ascii="Times New Roman" w:hAnsi="Times New Roman" w:eastAsia="宋体" w:cs="Times New Roman"/>
                      <w:color w:val="auto"/>
                      <w:spacing w:val="9"/>
                      <w:sz w:val="21"/>
                      <w:szCs w:val="21"/>
                      <w:lang w:eastAsia="zh-CN"/>
                    </w:rPr>
                    <w:t>家</w:t>
                  </w:r>
                  <w:r>
                    <w:rPr>
                      <w:rFonts w:ascii="Times New Roman" w:hAnsi="Times New Roman" w:eastAsia="宋体" w:cs="Times New Roman"/>
                      <w:color w:val="auto"/>
                      <w:spacing w:val="6"/>
                      <w:sz w:val="21"/>
                      <w:szCs w:val="21"/>
                      <w:lang w:eastAsia="zh-CN"/>
                    </w:rPr>
                    <w:t>和地方</w:t>
                  </w:r>
                  <w:r>
                    <w:rPr>
                      <w:rFonts w:ascii="Times New Roman" w:hAnsi="Times New Roman" w:eastAsia="宋体" w:cs="Times New Roman"/>
                      <w:color w:val="auto"/>
                      <w:spacing w:val="9"/>
                      <w:sz w:val="21"/>
                      <w:szCs w:val="21"/>
                      <w:lang w:eastAsia="zh-CN"/>
                    </w:rPr>
                    <w:t>产</w:t>
                  </w:r>
                  <w:r>
                    <w:rPr>
                      <w:rFonts w:ascii="Times New Roman" w:hAnsi="Times New Roman" w:eastAsia="宋体" w:cs="Times New Roman"/>
                      <w:color w:val="auto"/>
                      <w:spacing w:val="6"/>
                      <w:sz w:val="21"/>
                      <w:szCs w:val="21"/>
                      <w:lang w:eastAsia="zh-CN"/>
                    </w:rPr>
                    <w:t>业政</w:t>
                  </w:r>
                  <w:r>
                    <w:rPr>
                      <w:rFonts w:ascii="Times New Roman" w:hAnsi="Times New Roman" w:eastAsia="宋体" w:cs="Times New Roman"/>
                      <w:color w:val="auto"/>
                      <w:spacing w:val="9"/>
                      <w:sz w:val="21"/>
                      <w:szCs w:val="21"/>
                      <w:lang w:eastAsia="zh-CN"/>
                    </w:rPr>
                    <w:t>策</w:t>
                  </w:r>
                  <w:r>
                    <w:rPr>
                      <w:rFonts w:ascii="Times New Roman" w:hAnsi="Times New Roman" w:eastAsia="宋体" w:cs="Times New Roman"/>
                      <w:color w:val="auto"/>
                      <w:spacing w:val="6"/>
                      <w:sz w:val="21"/>
                      <w:szCs w:val="21"/>
                      <w:lang w:eastAsia="zh-CN"/>
                    </w:rPr>
                    <w:t>，符合</w:t>
                  </w:r>
                  <w:r>
                    <w:rPr>
                      <w:rFonts w:ascii="Times New Roman" w:hAnsi="Times New Roman" w:eastAsia="宋体" w:cs="Times New Roman"/>
                      <w:color w:val="auto"/>
                      <w:spacing w:val="9"/>
                      <w:sz w:val="21"/>
                      <w:szCs w:val="21"/>
                      <w:lang w:eastAsia="zh-CN"/>
                    </w:rPr>
                    <w:t>园</w:t>
                  </w:r>
                  <w:r>
                    <w:rPr>
                      <w:rFonts w:ascii="Times New Roman" w:hAnsi="Times New Roman" w:eastAsia="宋体" w:cs="Times New Roman"/>
                      <w:color w:val="auto"/>
                      <w:spacing w:val="6"/>
                      <w:sz w:val="21"/>
                      <w:szCs w:val="21"/>
                      <w:lang w:eastAsia="zh-CN"/>
                    </w:rPr>
                    <w:t>区用</w:t>
                  </w:r>
                  <w:r>
                    <w:rPr>
                      <w:rFonts w:ascii="Times New Roman" w:hAnsi="Times New Roman" w:eastAsia="宋体" w:cs="Times New Roman"/>
                      <w:color w:val="auto"/>
                      <w:spacing w:val="9"/>
                      <w:sz w:val="21"/>
                      <w:szCs w:val="21"/>
                      <w:lang w:eastAsia="zh-CN"/>
                    </w:rPr>
                    <w:t>地</w:t>
                  </w:r>
                  <w:r>
                    <w:rPr>
                      <w:rFonts w:ascii="Times New Roman" w:hAnsi="Times New Roman" w:eastAsia="宋体" w:cs="Times New Roman"/>
                      <w:color w:val="auto"/>
                      <w:sz w:val="21"/>
                      <w:szCs w:val="21"/>
                      <w:lang w:eastAsia="zh-CN"/>
                    </w:rPr>
                    <w:t>规</w:t>
                  </w:r>
                  <w:r>
                    <w:rPr>
                      <w:rFonts w:ascii="Times New Roman" w:hAnsi="Times New Roman" w:eastAsia="宋体" w:cs="Times New Roman"/>
                      <w:color w:val="auto"/>
                      <w:spacing w:val="6"/>
                      <w:sz w:val="21"/>
                      <w:szCs w:val="21"/>
                      <w:lang w:eastAsia="zh-CN"/>
                    </w:rPr>
                    <w:t>划</w:t>
                  </w:r>
                  <w:r>
                    <w:rPr>
                      <w:rFonts w:ascii="Times New Roman" w:hAnsi="Times New Roman" w:eastAsia="宋体" w:cs="Times New Roman"/>
                      <w:color w:val="auto"/>
                      <w:spacing w:val="9"/>
                      <w:sz w:val="21"/>
                      <w:szCs w:val="21"/>
                      <w:lang w:eastAsia="zh-CN"/>
                    </w:rPr>
                    <w:t>要</w:t>
                  </w:r>
                  <w:r>
                    <w:rPr>
                      <w:rFonts w:ascii="Times New Roman" w:hAnsi="Times New Roman" w:eastAsia="宋体" w:cs="Times New Roman"/>
                      <w:color w:val="auto"/>
                      <w:spacing w:val="6"/>
                      <w:sz w:val="21"/>
                      <w:szCs w:val="21"/>
                      <w:lang w:eastAsia="zh-CN"/>
                    </w:rPr>
                    <w:t>求，不</w:t>
                  </w:r>
                  <w:r>
                    <w:rPr>
                      <w:rFonts w:ascii="Times New Roman" w:hAnsi="Times New Roman" w:eastAsia="宋体" w:cs="Times New Roman"/>
                      <w:color w:val="auto"/>
                      <w:spacing w:val="9"/>
                      <w:sz w:val="21"/>
                      <w:szCs w:val="21"/>
                      <w:lang w:eastAsia="zh-CN"/>
                    </w:rPr>
                    <w:t>在</w:t>
                  </w:r>
                  <w:r>
                    <w:rPr>
                      <w:rFonts w:ascii="Times New Roman" w:hAnsi="Times New Roman" w:eastAsia="宋体" w:cs="Times New Roman"/>
                      <w:color w:val="auto"/>
                      <w:spacing w:val="6"/>
                      <w:sz w:val="21"/>
                      <w:szCs w:val="21"/>
                      <w:lang w:eastAsia="zh-CN"/>
                    </w:rPr>
                    <w:t>禁止和</w:t>
                  </w:r>
                  <w:r>
                    <w:rPr>
                      <w:rFonts w:ascii="Times New Roman" w:hAnsi="Times New Roman" w:eastAsia="宋体" w:cs="Times New Roman"/>
                      <w:color w:val="auto"/>
                      <w:spacing w:val="9"/>
                      <w:sz w:val="21"/>
                      <w:szCs w:val="21"/>
                      <w:lang w:eastAsia="zh-CN"/>
                    </w:rPr>
                    <w:t>限</w:t>
                  </w:r>
                  <w:r>
                    <w:rPr>
                      <w:rFonts w:ascii="Times New Roman" w:hAnsi="Times New Roman" w:eastAsia="宋体" w:cs="Times New Roman"/>
                      <w:color w:val="auto"/>
                      <w:spacing w:val="6"/>
                      <w:sz w:val="21"/>
                      <w:szCs w:val="21"/>
                      <w:lang w:eastAsia="zh-CN"/>
                    </w:rPr>
                    <w:t>制范</w:t>
                  </w:r>
                  <w:r>
                    <w:rPr>
                      <w:rFonts w:ascii="Times New Roman" w:hAnsi="Times New Roman" w:eastAsia="宋体" w:cs="Times New Roman"/>
                      <w:color w:val="auto"/>
                      <w:spacing w:val="9"/>
                      <w:sz w:val="21"/>
                      <w:szCs w:val="21"/>
                      <w:lang w:eastAsia="zh-CN"/>
                    </w:rPr>
                    <w:t>围</w:t>
                  </w:r>
                  <w:r>
                    <w:rPr>
                      <w:rFonts w:ascii="Times New Roman" w:hAnsi="Times New Roman" w:eastAsia="宋体" w:cs="Times New Roman"/>
                      <w:color w:val="auto"/>
                      <w:spacing w:val="6"/>
                      <w:sz w:val="21"/>
                      <w:szCs w:val="21"/>
                      <w:lang w:eastAsia="zh-CN"/>
                    </w:rPr>
                    <w:t>内；项</w:t>
                  </w:r>
                  <w:r>
                    <w:rPr>
                      <w:rFonts w:ascii="Times New Roman" w:hAnsi="Times New Roman" w:eastAsia="宋体" w:cs="Times New Roman"/>
                      <w:color w:val="auto"/>
                      <w:spacing w:val="9"/>
                      <w:sz w:val="21"/>
                      <w:szCs w:val="21"/>
                      <w:lang w:eastAsia="zh-CN"/>
                    </w:rPr>
                    <w:t>目</w:t>
                  </w:r>
                  <w:r>
                    <w:rPr>
                      <w:rFonts w:ascii="Times New Roman" w:hAnsi="Times New Roman" w:eastAsia="宋体" w:cs="Times New Roman"/>
                      <w:color w:val="auto"/>
                      <w:spacing w:val="6"/>
                      <w:sz w:val="21"/>
                      <w:szCs w:val="21"/>
                      <w:lang w:eastAsia="zh-CN"/>
                    </w:rPr>
                    <w:t>产生</w:t>
                  </w:r>
                  <w:r>
                    <w:rPr>
                      <w:rFonts w:ascii="Times New Roman" w:hAnsi="Times New Roman" w:eastAsia="宋体" w:cs="Times New Roman"/>
                      <w:color w:val="auto"/>
                      <w:spacing w:val="9"/>
                      <w:sz w:val="21"/>
                      <w:szCs w:val="21"/>
                      <w:lang w:eastAsia="zh-CN"/>
                    </w:rPr>
                    <w:t>的</w:t>
                  </w:r>
                  <w:r>
                    <w:rPr>
                      <w:rFonts w:ascii="Times New Roman" w:hAnsi="Times New Roman" w:eastAsia="宋体" w:cs="Times New Roman"/>
                      <w:color w:val="auto"/>
                      <w:sz w:val="21"/>
                      <w:szCs w:val="21"/>
                      <w:lang w:eastAsia="zh-CN"/>
                    </w:rPr>
                    <w:t>污</w:t>
                  </w:r>
                  <w:r>
                    <w:rPr>
                      <w:rFonts w:ascii="Times New Roman" w:hAnsi="Times New Roman" w:eastAsia="宋体" w:cs="Times New Roman"/>
                      <w:color w:val="auto"/>
                      <w:spacing w:val="6"/>
                      <w:sz w:val="21"/>
                      <w:szCs w:val="21"/>
                      <w:lang w:eastAsia="zh-CN"/>
                    </w:rPr>
                    <w:t>染</w:t>
                  </w:r>
                  <w:r>
                    <w:rPr>
                      <w:rFonts w:ascii="Times New Roman" w:hAnsi="Times New Roman" w:eastAsia="宋体" w:cs="Times New Roman"/>
                      <w:color w:val="auto"/>
                      <w:spacing w:val="9"/>
                      <w:sz w:val="21"/>
                      <w:szCs w:val="21"/>
                      <w:lang w:eastAsia="zh-CN"/>
                    </w:rPr>
                    <w:t>物</w:t>
                  </w:r>
                  <w:r>
                    <w:rPr>
                      <w:rFonts w:ascii="Times New Roman" w:hAnsi="Times New Roman" w:eastAsia="宋体" w:cs="Times New Roman"/>
                      <w:color w:val="auto"/>
                      <w:spacing w:val="6"/>
                      <w:sz w:val="21"/>
                      <w:szCs w:val="21"/>
                      <w:lang w:eastAsia="zh-CN"/>
                    </w:rPr>
                    <w:t>经采取</w:t>
                  </w:r>
                  <w:r>
                    <w:rPr>
                      <w:rFonts w:ascii="Times New Roman" w:hAnsi="Times New Roman" w:eastAsia="宋体" w:cs="Times New Roman"/>
                      <w:color w:val="auto"/>
                      <w:spacing w:val="9"/>
                      <w:sz w:val="21"/>
                      <w:szCs w:val="21"/>
                      <w:lang w:eastAsia="zh-CN"/>
                    </w:rPr>
                    <w:t>相</w:t>
                  </w:r>
                  <w:r>
                    <w:rPr>
                      <w:rFonts w:ascii="Times New Roman" w:hAnsi="Times New Roman" w:eastAsia="宋体" w:cs="Times New Roman"/>
                      <w:color w:val="auto"/>
                      <w:spacing w:val="6"/>
                      <w:sz w:val="21"/>
                      <w:szCs w:val="21"/>
                      <w:lang w:eastAsia="zh-CN"/>
                    </w:rPr>
                    <w:t>应的防</w:t>
                  </w:r>
                  <w:r>
                    <w:rPr>
                      <w:rFonts w:ascii="Times New Roman" w:hAnsi="Times New Roman" w:eastAsia="宋体" w:cs="Times New Roman"/>
                      <w:color w:val="auto"/>
                      <w:spacing w:val="9"/>
                      <w:sz w:val="21"/>
                      <w:szCs w:val="21"/>
                      <w:lang w:eastAsia="zh-CN"/>
                    </w:rPr>
                    <w:t>护</w:t>
                  </w:r>
                  <w:r>
                    <w:rPr>
                      <w:rFonts w:ascii="Times New Roman" w:hAnsi="Times New Roman" w:eastAsia="宋体" w:cs="Times New Roman"/>
                      <w:color w:val="auto"/>
                      <w:spacing w:val="6"/>
                      <w:sz w:val="21"/>
                      <w:szCs w:val="21"/>
                      <w:lang w:eastAsia="zh-CN"/>
                    </w:rPr>
                    <w:t>措施</w:t>
                  </w:r>
                  <w:r>
                    <w:rPr>
                      <w:rFonts w:ascii="Times New Roman" w:hAnsi="Times New Roman" w:eastAsia="宋体" w:cs="Times New Roman"/>
                      <w:color w:val="auto"/>
                      <w:spacing w:val="9"/>
                      <w:sz w:val="21"/>
                      <w:szCs w:val="21"/>
                      <w:lang w:eastAsia="zh-CN"/>
                    </w:rPr>
                    <w:t>后</w:t>
                  </w:r>
                  <w:r>
                    <w:rPr>
                      <w:rFonts w:ascii="Times New Roman" w:hAnsi="Times New Roman" w:eastAsia="宋体" w:cs="Times New Roman"/>
                      <w:color w:val="auto"/>
                      <w:spacing w:val="6"/>
                      <w:sz w:val="21"/>
                      <w:szCs w:val="21"/>
                      <w:lang w:eastAsia="zh-CN"/>
                    </w:rPr>
                    <w:t>可做到</w:t>
                  </w:r>
                  <w:r>
                    <w:rPr>
                      <w:rFonts w:ascii="Times New Roman" w:hAnsi="Times New Roman" w:eastAsia="宋体" w:cs="Times New Roman"/>
                      <w:color w:val="auto"/>
                      <w:spacing w:val="9"/>
                      <w:sz w:val="21"/>
                      <w:szCs w:val="21"/>
                      <w:lang w:eastAsia="zh-CN"/>
                    </w:rPr>
                    <w:t>达</w:t>
                  </w:r>
                  <w:r>
                    <w:rPr>
                      <w:rFonts w:ascii="Times New Roman" w:hAnsi="Times New Roman" w:eastAsia="宋体" w:cs="Times New Roman"/>
                      <w:color w:val="auto"/>
                      <w:spacing w:val="6"/>
                      <w:sz w:val="21"/>
                      <w:szCs w:val="21"/>
                      <w:lang w:eastAsia="zh-CN"/>
                    </w:rPr>
                    <w:t>标排</w:t>
                  </w:r>
                  <w:r>
                    <w:rPr>
                      <w:rFonts w:ascii="Times New Roman" w:hAnsi="Times New Roman" w:eastAsia="宋体" w:cs="Times New Roman"/>
                      <w:color w:val="auto"/>
                      <w:spacing w:val="9"/>
                      <w:sz w:val="21"/>
                      <w:szCs w:val="21"/>
                      <w:lang w:eastAsia="zh-CN"/>
                    </w:rPr>
                    <w:t>放</w:t>
                  </w:r>
                  <w:r>
                    <w:rPr>
                      <w:rFonts w:ascii="Times New Roman" w:hAnsi="Times New Roman" w:eastAsia="宋体" w:cs="Times New Roman"/>
                      <w:color w:val="auto"/>
                      <w:sz w:val="21"/>
                      <w:szCs w:val="21"/>
                      <w:lang w:eastAsia="zh-CN"/>
                    </w:rPr>
                    <w:t>，不会</w:t>
                  </w:r>
                  <w:r>
                    <w:rPr>
                      <w:rFonts w:ascii="Times New Roman" w:hAnsi="Times New Roman" w:eastAsia="宋体" w:cs="Times New Roman"/>
                      <w:color w:val="auto"/>
                      <w:spacing w:val="-3"/>
                      <w:sz w:val="21"/>
                      <w:szCs w:val="21"/>
                      <w:lang w:eastAsia="zh-CN"/>
                    </w:rPr>
                    <w:t>降</w:t>
                  </w:r>
                  <w:r>
                    <w:rPr>
                      <w:rFonts w:ascii="Times New Roman" w:hAnsi="Times New Roman" w:eastAsia="宋体" w:cs="Times New Roman"/>
                      <w:color w:val="auto"/>
                      <w:sz w:val="21"/>
                      <w:szCs w:val="21"/>
                      <w:lang w:eastAsia="zh-CN"/>
                    </w:rPr>
                    <w:t>低</w:t>
                  </w:r>
                  <w:r>
                    <w:rPr>
                      <w:rFonts w:ascii="Times New Roman" w:hAnsi="Times New Roman" w:eastAsia="宋体" w:cs="Times New Roman"/>
                      <w:color w:val="auto"/>
                      <w:spacing w:val="-3"/>
                      <w:sz w:val="21"/>
                      <w:szCs w:val="21"/>
                      <w:lang w:eastAsia="zh-CN"/>
                    </w:rPr>
                    <w:t>区</w:t>
                  </w:r>
                  <w:r>
                    <w:rPr>
                      <w:rFonts w:ascii="Times New Roman" w:hAnsi="Times New Roman" w:eastAsia="宋体" w:cs="Times New Roman"/>
                      <w:color w:val="auto"/>
                      <w:sz w:val="21"/>
                      <w:szCs w:val="21"/>
                      <w:lang w:eastAsia="zh-CN"/>
                    </w:rPr>
                    <w:t>域</w:t>
                  </w:r>
                  <w:r>
                    <w:rPr>
                      <w:rFonts w:ascii="Times New Roman" w:hAnsi="Times New Roman" w:eastAsia="宋体" w:cs="Times New Roman"/>
                      <w:color w:val="auto"/>
                      <w:spacing w:val="-3"/>
                      <w:sz w:val="21"/>
                      <w:szCs w:val="21"/>
                      <w:lang w:eastAsia="zh-CN"/>
                    </w:rPr>
                    <w:t>环</w:t>
                  </w:r>
                  <w:r>
                    <w:rPr>
                      <w:rFonts w:ascii="Times New Roman" w:hAnsi="Times New Roman" w:eastAsia="宋体" w:cs="Times New Roman"/>
                      <w:color w:val="auto"/>
                      <w:sz w:val="21"/>
                      <w:szCs w:val="21"/>
                      <w:lang w:eastAsia="zh-CN"/>
                    </w:rPr>
                    <w:t>境</w:t>
                  </w:r>
                  <w:r>
                    <w:rPr>
                      <w:rFonts w:ascii="Times New Roman" w:hAnsi="Times New Roman" w:eastAsia="宋体" w:cs="Times New Roman"/>
                      <w:color w:val="auto"/>
                      <w:spacing w:val="-3"/>
                      <w:sz w:val="21"/>
                      <w:szCs w:val="21"/>
                      <w:lang w:eastAsia="zh-CN"/>
                    </w:rPr>
                    <w:t>质</w:t>
                  </w:r>
                  <w:r>
                    <w:rPr>
                      <w:rFonts w:ascii="Times New Roman" w:hAnsi="Times New Roman" w:eastAsia="宋体" w:cs="Times New Roman"/>
                      <w:color w:val="auto"/>
                      <w:sz w:val="21"/>
                      <w:szCs w:val="21"/>
                      <w:lang w:eastAsia="zh-CN"/>
                    </w:rPr>
                    <w:t>量</w:t>
                  </w:r>
                  <w:r>
                    <w:rPr>
                      <w:rFonts w:ascii="Times New Roman" w:hAnsi="Times New Roman" w:eastAsia="宋体" w:cs="Times New Roman"/>
                      <w:color w:val="auto"/>
                      <w:spacing w:val="-3"/>
                      <w:sz w:val="21"/>
                      <w:szCs w:val="21"/>
                      <w:lang w:eastAsia="zh-CN"/>
                    </w:rPr>
                    <w:t>等</w:t>
                  </w:r>
                  <w:r>
                    <w:rPr>
                      <w:rFonts w:ascii="Times New Roman" w:hAnsi="Times New Roman" w:eastAsia="宋体" w:cs="Times New Roman"/>
                      <w:color w:val="auto"/>
                      <w:sz w:val="21"/>
                      <w:szCs w:val="21"/>
                      <w:lang w:eastAsia="zh-CN"/>
                    </w:rPr>
                    <w:t>级，</w:t>
                  </w:r>
                  <w:r>
                    <w:rPr>
                      <w:rFonts w:ascii="Times New Roman" w:hAnsi="Times New Roman" w:eastAsia="宋体" w:cs="Times New Roman"/>
                      <w:color w:val="auto"/>
                      <w:spacing w:val="-3"/>
                      <w:sz w:val="21"/>
                      <w:szCs w:val="21"/>
                      <w:lang w:eastAsia="zh-CN"/>
                    </w:rPr>
                    <w:t>对</w:t>
                  </w:r>
                  <w:r>
                    <w:rPr>
                      <w:rFonts w:ascii="Times New Roman" w:hAnsi="Times New Roman" w:eastAsia="宋体" w:cs="Times New Roman"/>
                      <w:color w:val="auto"/>
                      <w:sz w:val="21"/>
                      <w:szCs w:val="21"/>
                      <w:lang w:eastAsia="zh-CN"/>
                    </w:rPr>
                    <w:t>环</w:t>
                  </w:r>
                  <w:r>
                    <w:rPr>
                      <w:rFonts w:ascii="Times New Roman" w:hAnsi="Times New Roman" w:eastAsia="宋体" w:cs="Times New Roman"/>
                      <w:color w:val="auto"/>
                      <w:spacing w:val="-3"/>
                      <w:sz w:val="21"/>
                      <w:szCs w:val="21"/>
                      <w:lang w:eastAsia="zh-CN"/>
                    </w:rPr>
                    <w:t>境</w:t>
                  </w:r>
                  <w:r>
                    <w:rPr>
                      <w:rFonts w:ascii="Times New Roman" w:hAnsi="Times New Roman" w:eastAsia="宋体" w:cs="Times New Roman"/>
                      <w:color w:val="auto"/>
                      <w:sz w:val="21"/>
                      <w:szCs w:val="21"/>
                      <w:lang w:eastAsia="zh-CN"/>
                    </w:rPr>
                    <w:t>影</w:t>
                  </w:r>
                  <w:r>
                    <w:rPr>
                      <w:rFonts w:ascii="Times New Roman" w:hAnsi="Times New Roman" w:eastAsia="宋体" w:cs="Times New Roman"/>
                      <w:color w:val="auto"/>
                      <w:spacing w:val="-3"/>
                      <w:sz w:val="21"/>
                      <w:szCs w:val="21"/>
                      <w:lang w:eastAsia="zh-CN"/>
                    </w:rPr>
                    <w:t>响</w:t>
                  </w:r>
                  <w:r>
                    <w:rPr>
                      <w:rFonts w:ascii="Times New Roman" w:hAnsi="Times New Roman" w:eastAsia="宋体" w:cs="Times New Roman"/>
                      <w:color w:val="auto"/>
                      <w:sz w:val="21"/>
                      <w:szCs w:val="21"/>
                      <w:lang w:eastAsia="zh-CN"/>
                    </w:rPr>
                    <w:t>较</w:t>
                  </w:r>
                  <w:r>
                    <w:rPr>
                      <w:rFonts w:ascii="Times New Roman" w:hAnsi="Times New Roman" w:eastAsia="宋体" w:cs="Times New Roman"/>
                      <w:color w:val="auto"/>
                      <w:spacing w:val="-3"/>
                      <w:sz w:val="21"/>
                      <w:szCs w:val="21"/>
                      <w:lang w:eastAsia="zh-CN"/>
                    </w:rPr>
                    <w:t>小</w:t>
                  </w:r>
                  <w:r>
                    <w:rPr>
                      <w:rFonts w:ascii="Times New Roman" w:hAnsi="Times New Roman" w:eastAsia="宋体" w:cs="Times New Roman"/>
                      <w:color w:val="auto"/>
                      <w:sz w:val="21"/>
                      <w:szCs w:val="21"/>
                      <w:lang w:eastAsia="zh-CN"/>
                    </w:rPr>
                    <w:t>。</w:t>
                  </w:r>
                </w:p>
              </w:tc>
              <w:tc>
                <w:tcPr>
                  <w:tcW w:w="1268" w:type="dxa"/>
                  <w:vAlign w:val="center"/>
                </w:tcPr>
                <w:p>
                  <w:pPr>
                    <w:pStyle w:val="64"/>
                    <w:adjustRightInd w:val="0"/>
                    <w:snapToGrid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pPr>
              <w:ind w:firstLine="0" w:firstLineChars="0"/>
              <w:jc w:val="both"/>
              <w:outlineLvl w:val="2"/>
              <w:rPr>
                <w:b/>
                <w:bCs/>
                <w:color w:val="auto"/>
                <w:sz w:val="21"/>
                <w:szCs w:val="28"/>
                <w:u w:val="single"/>
              </w:rPr>
            </w:pPr>
            <w:r>
              <w:rPr>
                <w:rFonts w:hint="eastAsia"/>
                <w:b/>
                <w:color w:val="auto"/>
                <w:u w:val="single"/>
              </w:rPr>
              <w:t>5、</w:t>
            </w:r>
            <w:r>
              <w:rPr>
                <w:b/>
                <w:bCs/>
                <w:color w:val="auto"/>
                <w:szCs w:val="28"/>
                <w:u w:val="single"/>
              </w:rPr>
              <w:t>与《</w:t>
            </w:r>
            <w:r>
              <w:rPr>
                <w:rFonts w:hint="eastAsia"/>
                <w:b/>
                <w:bCs/>
                <w:color w:val="auto"/>
                <w:szCs w:val="28"/>
                <w:u w:val="single"/>
              </w:rPr>
              <w:t>“</w:t>
            </w:r>
            <w:r>
              <w:rPr>
                <w:b/>
                <w:bCs/>
                <w:color w:val="auto"/>
                <w:szCs w:val="28"/>
                <w:u w:val="single"/>
              </w:rPr>
              <w:t>十三五”挥发性有机物污染防治工作方案》符合性分析</w:t>
            </w:r>
          </w:p>
          <w:p>
            <w:pPr>
              <w:ind w:firstLine="480"/>
              <w:jc w:val="both"/>
              <w:rPr>
                <w:color w:val="auto"/>
                <w:u w:val="single"/>
              </w:rPr>
            </w:pPr>
            <w:r>
              <w:rPr>
                <w:rFonts w:hint="eastAsia"/>
                <w:color w:val="auto"/>
                <w:u w:val="single"/>
              </w:rPr>
              <w:t>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加大制药、农药、煤化工(含现代煤化工、炼焦合成氨等)、橡胶制品、涂料、油墨、胶粘剂、染料、化学助剂(塑料助剂和橡胶助剂)、日用化工等化工行业VOCs治理力度。推广使用低(无)VOCs含量、低反应活性的原辅材料和产品。</w:t>
            </w:r>
          </w:p>
          <w:p>
            <w:pPr>
              <w:pStyle w:val="2"/>
              <w:ind w:left="0" w:leftChars="0" w:firstLine="480"/>
              <w:rPr>
                <w:color w:val="auto"/>
                <w:u w:val="single"/>
              </w:rPr>
            </w:pPr>
            <w:r>
              <w:rPr>
                <w:rFonts w:hint="eastAsia"/>
                <w:color w:val="auto"/>
                <w:u w:val="single"/>
              </w:rPr>
              <w:t>本项目选址位于工业园区，且本项目属于食品袋印刷项目，因此使用的油墨为符合相关标准的无苯、酮的环保型油墨。</w:t>
            </w:r>
          </w:p>
          <w:p>
            <w:pPr>
              <w:ind w:firstLine="0" w:firstLineChars="0"/>
              <w:jc w:val="both"/>
              <w:outlineLvl w:val="2"/>
              <w:rPr>
                <w:b/>
                <w:bCs/>
                <w:color w:val="auto"/>
                <w:szCs w:val="28"/>
                <w:u w:val="single"/>
              </w:rPr>
            </w:pPr>
            <w:r>
              <w:rPr>
                <w:rFonts w:hint="eastAsia"/>
                <w:b/>
                <w:bCs/>
                <w:color w:val="auto"/>
                <w:szCs w:val="28"/>
                <w:u w:val="single"/>
              </w:rPr>
              <w:t>6、</w:t>
            </w:r>
            <w:r>
              <w:rPr>
                <w:b/>
                <w:bCs/>
                <w:color w:val="auto"/>
                <w:szCs w:val="28"/>
                <w:u w:val="single"/>
              </w:rPr>
              <w:t>与</w:t>
            </w:r>
            <w:r>
              <w:rPr>
                <w:rFonts w:hint="eastAsia"/>
                <w:b/>
                <w:bCs/>
                <w:color w:val="auto"/>
                <w:szCs w:val="28"/>
                <w:u w:val="single"/>
              </w:rPr>
              <w:t>《湖南省挥发性有机物污染防治三年行动实施方案（2018-2020年）》</w:t>
            </w:r>
            <w:r>
              <w:rPr>
                <w:b/>
                <w:bCs/>
                <w:color w:val="auto"/>
                <w:szCs w:val="28"/>
                <w:u w:val="single"/>
              </w:rPr>
              <w:t>的符合性分析</w:t>
            </w:r>
          </w:p>
          <w:p>
            <w:pPr>
              <w:ind w:firstLine="480" w:firstLineChars="0"/>
              <w:rPr>
                <w:color w:val="auto"/>
                <w:u w:val="single"/>
              </w:rPr>
            </w:pPr>
            <w:r>
              <w:rPr>
                <w:rFonts w:hint="eastAsia"/>
                <w:color w:val="auto"/>
                <w:u w:val="single"/>
              </w:rPr>
              <w:t>据《湖南省挥发性有机物污染防治三年行动实施方案（2018-2020年）》，治理重点地区为：长沙市、株洲市、湘潭市、益阳市、常德市、岳阳市，治理的重点行业为：石化、化工、工业涂装、包装印刷。</w:t>
            </w:r>
          </w:p>
          <w:p>
            <w:pPr>
              <w:pStyle w:val="2"/>
              <w:ind w:left="0" w:leftChars="0" w:firstLine="480"/>
              <w:rPr>
                <w:color w:val="auto"/>
                <w:u w:val="single"/>
              </w:rPr>
            </w:pPr>
            <w:r>
              <w:rPr>
                <w:rFonts w:hint="eastAsia"/>
                <w:color w:val="auto"/>
                <w:u w:val="single"/>
              </w:rPr>
              <w:t>要求“新建涉 VOCs 排放的工业企业要入园区，加强有组织工艺废气治理，……工艺废气优先回收利用，难以利用的，应送火炬系统处理，或采用催化焚烧、热力焚烧等销毁措施”。</w:t>
            </w:r>
          </w:p>
          <w:p>
            <w:pPr>
              <w:pStyle w:val="2"/>
              <w:ind w:left="0" w:leftChars="0" w:firstLine="480"/>
              <w:rPr>
                <w:color w:val="auto"/>
                <w:u w:val="single"/>
              </w:rPr>
            </w:pPr>
            <w:r>
              <w:rPr>
                <w:rFonts w:hint="eastAsia"/>
                <w:color w:val="auto"/>
                <w:u w:val="single"/>
              </w:rPr>
              <w:t>本项目选址位于工业园区，有组织废气采用集气罩进行收集后引至RCO装置处理后由1根25m排气筒进行有组织排放。</w:t>
            </w:r>
          </w:p>
          <w:p>
            <w:pPr>
              <w:ind w:firstLine="0" w:firstLineChars="0"/>
              <w:jc w:val="both"/>
              <w:outlineLvl w:val="2"/>
              <w:rPr>
                <w:b/>
                <w:bCs/>
                <w:color w:val="auto"/>
                <w:szCs w:val="28"/>
                <w:u w:val="single"/>
              </w:rPr>
            </w:pPr>
            <w:r>
              <w:rPr>
                <w:rFonts w:hint="eastAsia"/>
                <w:b/>
                <w:bCs/>
                <w:color w:val="auto"/>
                <w:szCs w:val="28"/>
                <w:u w:val="single"/>
              </w:rPr>
              <w:t>7、与《湖南省污染防治攻坚战三年行动计划(2018—2020年)》</w:t>
            </w:r>
            <w:r>
              <w:rPr>
                <w:b/>
                <w:bCs/>
                <w:color w:val="auto"/>
                <w:szCs w:val="28"/>
                <w:u w:val="single"/>
              </w:rPr>
              <w:t>的符合性分析</w:t>
            </w:r>
          </w:p>
          <w:p>
            <w:pPr>
              <w:ind w:firstLine="240" w:firstLineChars="100"/>
              <w:jc w:val="both"/>
              <w:outlineLvl w:val="2"/>
              <w:rPr>
                <w:color w:val="auto"/>
                <w:u w:val="single"/>
              </w:rPr>
            </w:pPr>
            <w:r>
              <w:rPr>
                <w:rFonts w:hint="eastAsia"/>
                <w:color w:val="auto"/>
                <w:u w:val="single"/>
              </w:rPr>
              <w:t>为贯彻落实党的十九大精神，坚决打好污染防治攻坚战，根据党中央、国务院关于打好污染防治攻坚战的决策部署，结合我省实际，制定污染防治攻坚战三年行动计划。</w:t>
            </w:r>
          </w:p>
          <w:p>
            <w:pPr>
              <w:pStyle w:val="2"/>
              <w:ind w:left="0" w:leftChars="0" w:firstLine="480"/>
              <w:rPr>
                <w:color w:val="auto"/>
                <w:u w:val="single"/>
              </w:rPr>
            </w:pPr>
            <w:r>
              <w:rPr>
                <w:rFonts w:hint="eastAsia"/>
                <w:color w:val="auto"/>
                <w:u w:val="single"/>
              </w:rPr>
              <w:t>积极推进生态园区建设和循环化改造，完善省级及以上工业集聚区污水集中处理设施，加强配套管网建设，并确保稳定运行。加快推进有机化工、工业涂装、包装印刷、沥青搅拌等行业企业VOCs治理，确保达标排放。</w:t>
            </w:r>
          </w:p>
          <w:p>
            <w:pPr>
              <w:pStyle w:val="2"/>
              <w:ind w:left="0" w:leftChars="0" w:firstLine="480"/>
              <w:rPr>
                <w:color w:val="auto"/>
                <w:u w:val="single"/>
              </w:rPr>
            </w:pPr>
            <w:r>
              <w:rPr>
                <w:rFonts w:hint="eastAsia"/>
                <w:color w:val="auto"/>
                <w:u w:val="single"/>
              </w:rPr>
              <w:t>全面推进工业VOCs综合治理。严格环境准入，严禁新建石化、有机化工、包装印刷、工业涂装等高VOCs排放建设项目。</w:t>
            </w:r>
          </w:p>
          <w:p>
            <w:pPr>
              <w:pStyle w:val="2"/>
              <w:ind w:left="0" w:leftChars="0" w:firstLine="480"/>
              <w:rPr>
                <w:color w:val="auto"/>
                <w:u w:val="single"/>
              </w:rPr>
            </w:pPr>
            <w:r>
              <w:rPr>
                <w:rFonts w:hint="eastAsia"/>
                <w:color w:val="auto"/>
                <w:u w:val="single"/>
              </w:rPr>
              <w:t>本项目属于包装印刷类项目，但属于迁建项目，且选址所在园区污水管网配套设施已经完善，本项目无生产废水产生和外排，生活污水经化粪池处理后由园区污水管网排入沅江市第二污水处理厂进行深度处理。本项目的废气采用了高处理效率的设施（催化燃烧设施）进行处理，废气可做到达标排放。</w:t>
            </w:r>
          </w:p>
          <w:p>
            <w:pPr>
              <w:ind w:firstLine="0" w:firstLineChars="0"/>
              <w:jc w:val="both"/>
              <w:outlineLvl w:val="2"/>
              <w:rPr>
                <w:b/>
                <w:bCs/>
                <w:color w:val="auto"/>
                <w:szCs w:val="28"/>
                <w:u w:val="single"/>
              </w:rPr>
            </w:pPr>
            <w:r>
              <w:rPr>
                <w:rFonts w:hint="eastAsia"/>
                <w:b/>
                <w:bCs/>
                <w:color w:val="auto"/>
                <w:szCs w:val="28"/>
                <w:u w:val="single"/>
              </w:rPr>
              <w:t>8、与沅江高新技术产业园（原名：沅江经济开发区）的企业引进的准入行业、条件分析</w:t>
            </w:r>
          </w:p>
          <w:p>
            <w:pPr>
              <w:adjustRightInd w:val="0"/>
              <w:snapToGrid w:val="0"/>
              <w:ind w:firstLine="480"/>
              <w:jc w:val="both"/>
              <w:rPr>
                <w:color w:val="auto"/>
                <w:szCs w:val="20"/>
                <w:u w:val="single"/>
              </w:rPr>
            </w:pPr>
            <w:r>
              <w:rPr>
                <w:color w:val="auto"/>
                <w:szCs w:val="22"/>
                <w:u w:val="single"/>
              </w:rPr>
              <w:t>本项目</w:t>
            </w:r>
            <w:r>
              <w:rPr>
                <w:rFonts w:hint="eastAsia"/>
                <w:color w:val="auto"/>
                <w:szCs w:val="22"/>
                <w:u w:val="single"/>
              </w:rPr>
              <w:t>选址于</w:t>
            </w:r>
            <w:r>
              <w:rPr>
                <w:bCs/>
                <w:color w:val="auto"/>
                <w:szCs w:val="20"/>
                <w:u w:val="single"/>
              </w:rPr>
              <w:t>沅江市高新技术产业园区</w:t>
            </w:r>
            <w:r>
              <w:rPr>
                <w:color w:val="auto"/>
                <w:szCs w:val="22"/>
                <w:u w:val="single"/>
              </w:rPr>
              <w:t>，属于</w:t>
            </w:r>
            <w:r>
              <w:rPr>
                <w:color w:val="auto"/>
                <w:szCs w:val="20"/>
                <w:u w:val="single"/>
              </w:rPr>
              <w:t>沅江经济开发区范围</w:t>
            </w:r>
            <w:r>
              <w:rPr>
                <w:color w:val="auto"/>
                <w:szCs w:val="22"/>
                <w:u w:val="single"/>
              </w:rPr>
              <w:t>，本项目用地的主要使用性质为</w:t>
            </w:r>
            <w:r>
              <w:rPr>
                <w:rFonts w:hint="eastAsia"/>
                <w:color w:val="auto"/>
                <w:szCs w:val="22"/>
                <w:u w:val="single"/>
              </w:rPr>
              <w:t>二类工业用地</w:t>
            </w:r>
            <w:r>
              <w:rPr>
                <w:color w:val="auto"/>
                <w:szCs w:val="20"/>
                <w:u w:val="single"/>
              </w:rPr>
              <w:t>。与沅江高新技术产业园（原名：沅江经济开发区）的企业引进的准入行业、条件见</w:t>
            </w:r>
            <w:r>
              <w:rPr>
                <w:rFonts w:hint="eastAsia"/>
                <w:color w:val="auto"/>
                <w:szCs w:val="20"/>
                <w:u w:val="single"/>
              </w:rPr>
              <w:t>下</w:t>
            </w:r>
            <w:r>
              <w:rPr>
                <w:color w:val="auto"/>
                <w:szCs w:val="20"/>
                <w:u w:val="single"/>
              </w:rPr>
              <w:t>表</w:t>
            </w:r>
            <w:r>
              <w:rPr>
                <w:rFonts w:hint="eastAsia"/>
                <w:color w:val="auto"/>
                <w:szCs w:val="20"/>
                <w:u w:val="single"/>
              </w:rPr>
              <w:t>。</w:t>
            </w:r>
          </w:p>
          <w:p>
            <w:pPr>
              <w:adjustRightInd w:val="0"/>
              <w:snapToGrid w:val="0"/>
              <w:ind w:firstLine="482"/>
              <w:jc w:val="center"/>
              <w:rPr>
                <w:rFonts w:hint="eastAsia"/>
                <w:b/>
                <w:bCs/>
                <w:color w:val="auto"/>
                <w:szCs w:val="20"/>
                <w:u w:val="single"/>
              </w:rPr>
            </w:pPr>
          </w:p>
          <w:p>
            <w:pPr>
              <w:adjustRightInd w:val="0"/>
              <w:snapToGrid w:val="0"/>
              <w:ind w:firstLine="482"/>
              <w:jc w:val="center"/>
              <w:rPr>
                <w:rFonts w:hint="eastAsia"/>
                <w:b/>
                <w:bCs/>
                <w:color w:val="auto"/>
                <w:szCs w:val="20"/>
                <w:u w:val="single"/>
              </w:rPr>
            </w:pPr>
          </w:p>
          <w:p>
            <w:pPr>
              <w:adjustRightInd w:val="0"/>
              <w:snapToGrid w:val="0"/>
              <w:ind w:firstLine="482"/>
              <w:jc w:val="center"/>
              <w:rPr>
                <w:rFonts w:hint="eastAsia"/>
                <w:b/>
                <w:bCs/>
                <w:color w:val="auto"/>
                <w:szCs w:val="20"/>
                <w:u w:val="single"/>
              </w:rPr>
            </w:pPr>
          </w:p>
          <w:p>
            <w:pPr>
              <w:adjustRightInd w:val="0"/>
              <w:snapToGrid w:val="0"/>
              <w:ind w:firstLine="482"/>
              <w:jc w:val="center"/>
              <w:rPr>
                <w:rFonts w:hint="eastAsia"/>
                <w:b/>
                <w:bCs/>
                <w:color w:val="auto"/>
                <w:szCs w:val="20"/>
                <w:u w:val="single"/>
              </w:rPr>
            </w:pPr>
          </w:p>
          <w:p>
            <w:pPr>
              <w:adjustRightInd w:val="0"/>
              <w:snapToGrid w:val="0"/>
              <w:ind w:firstLine="482"/>
              <w:jc w:val="center"/>
              <w:rPr>
                <w:rFonts w:hint="eastAsia"/>
                <w:b/>
                <w:bCs/>
                <w:color w:val="auto"/>
                <w:szCs w:val="20"/>
                <w:u w:val="single"/>
              </w:rPr>
            </w:pPr>
          </w:p>
          <w:p>
            <w:pPr>
              <w:adjustRightInd w:val="0"/>
              <w:snapToGrid w:val="0"/>
              <w:ind w:firstLine="482"/>
              <w:jc w:val="center"/>
              <w:rPr>
                <w:rFonts w:hint="eastAsia"/>
                <w:b/>
                <w:bCs/>
                <w:color w:val="auto"/>
                <w:szCs w:val="20"/>
                <w:u w:val="single"/>
              </w:rPr>
            </w:pPr>
          </w:p>
          <w:p>
            <w:pPr>
              <w:pStyle w:val="2"/>
              <w:rPr>
                <w:rFonts w:hint="eastAsia"/>
                <w:color w:val="auto"/>
              </w:rPr>
            </w:pPr>
          </w:p>
          <w:p>
            <w:pPr>
              <w:adjustRightInd w:val="0"/>
              <w:snapToGrid w:val="0"/>
              <w:ind w:firstLine="482"/>
              <w:jc w:val="center"/>
              <w:rPr>
                <w:rFonts w:hint="eastAsia"/>
                <w:b/>
                <w:bCs/>
                <w:color w:val="auto"/>
                <w:szCs w:val="20"/>
                <w:u w:val="single"/>
              </w:rPr>
            </w:pPr>
          </w:p>
          <w:p>
            <w:pPr>
              <w:adjustRightInd w:val="0"/>
              <w:snapToGrid w:val="0"/>
              <w:ind w:firstLine="482"/>
              <w:jc w:val="center"/>
              <w:rPr>
                <w:rFonts w:hint="eastAsia"/>
                <w:b/>
                <w:bCs/>
                <w:color w:val="auto"/>
                <w:szCs w:val="20"/>
                <w:u w:val="single"/>
              </w:rPr>
            </w:pPr>
          </w:p>
          <w:p>
            <w:pPr>
              <w:adjustRightInd w:val="0"/>
              <w:snapToGrid w:val="0"/>
              <w:ind w:firstLine="482"/>
              <w:jc w:val="center"/>
              <w:rPr>
                <w:rFonts w:hint="eastAsia"/>
                <w:b/>
                <w:bCs/>
                <w:color w:val="auto"/>
                <w:szCs w:val="20"/>
                <w:u w:val="single"/>
              </w:rPr>
            </w:pPr>
          </w:p>
          <w:p>
            <w:pPr>
              <w:adjustRightInd w:val="0"/>
              <w:snapToGrid w:val="0"/>
              <w:ind w:firstLine="482"/>
              <w:jc w:val="center"/>
              <w:rPr>
                <w:rFonts w:hint="eastAsia"/>
                <w:b/>
                <w:bCs/>
                <w:color w:val="auto"/>
                <w:szCs w:val="20"/>
                <w:u w:val="single"/>
              </w:rPr>
            </w:pPr>
          </w:p>
          <w:p>
            <w:pPr>
              <w:adjustRightInd w:val="0"/>
              <w:snapToGrid w:val="0"/>
              <w:ind w:firstLine="482"/>
              <w:jc w:val="center"/>
              <w:rPr>
                <w:b/>
                <w:bCs/>
                <w:color w:val="auto"/>
                <w:szCs w:val="20"/>
                <w:u w:val="single"/>
              </w:rPr>
            </w:pPr>
            <w:r>
              <w:rPr>
                <w:rFonts w:hint="eastAsia"/>
                <w:b/>
                <w:bCs/>
                <w:color w:val="auto"/>
                <w:szCs w:val="20"/>
                <w:u w:val="single"/>
              </w:rPr>
              <w:t>表7-24   项目与沅江市高新技术产业园准入条件的符合情况</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5269"/>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5" w:type="dxa"/>
                  <w:vAlign w:val="center"/>
                </w:tcPr>
                <w:p>
                  <w:pPr>
                    <w:spacing w:line="320" w:lineRule="exact"/>
                    <w:ind w:firstLine="0" w:firstLineChars="0"/>
                    <w:jc w:val="center"/>
                    <w:rPr>
                      <w:b/>
                      <w:bCs/>
                      <w:color w:val="auto"/>
                      <w:sz w:val="21"/>
                      <w:u w:val="single"/>
                    </w:rPr>
                  </w:pPr>
                  <w:r>
                    <w:rPr>
                      <w:rFonts w:hint="eastAsia"/>
                      <w:b/>
                      <w:bCs/>
                      <w:color w:val="auto"/>
                      <w:sz w:val="21"/>
                      <w:u w:val="single"/>
                    </w:rPr>
                    <w:t>类型</w:t>
                  </w:r>
                </w:p>
              </w:tc>
              <w:tc>
                <w:tcPr>
                  <w:tcW w:w="5269" w:type="dxa"/>
                  <w:vAlign w:val="center"/>
                </w:tcPr>
                <w:p>
                  <w:pPr>
                    <w:spacing w:line="320" w:lineRule="exact"/>
                    <w:ind w:firstLine="0" w:firstLineChars="0"/>
                    <w:jc w:val="center"/>
                    <w:rPr>
                      <w:b/>
                      <w:bCs/>
                      <w:color w:val="auto"/>
                      <w:sz w:val="21"/>
                      <w:u w:val="single"/>
                    </w:rPr>
                  </w:pPr>
                  <w:r>
                    <w:rPr>
                      <w:rFonts w:hint="eastAsia"/>
                      <w:b/>
                      <w:bCs/>
                      <w:color w:val="auto"/>
                      <w:sz w:val="21"/>
                      <w:u w:val="single"/>
                    </w:rPr>
                    <w:t>行业类别</w:t>
                  </w:r>
                </w:p>
              </w:tc>
              <w:tc>
                <w:tcPr>
                  <w:tcW w:w="2085" w:type="dxa"/>
                  <w:vAlign w:val="center"/>
                </w:tcPr>
                <w:p>
                  <w:pPr>
                    <w:spacing w:line="320" w:lineRule="exact"/>
                    <w:ind w:firstLine="0" w:firstLineChars="0"/>
                    <w:jc w:val="center"/>
                    <w:rPr>
                      <w:b/>
                      <w:bCs/>
                      <w:color w:val="auto"/>
                      <w:sz w:val="21"/>
                      <w:u w:val="single"/>
                    </w:rPr>
                  </w:pPr>
                  <w:r>
                    <w:rPr>
                      <w:rFonts w:hint="eastAsia"/>
                      <w:b/>
                      <w:bCs/>
                      <w:color w:val="auto"/>
                      <w:sz w:val="21"/>
                      <w:u w:val="single"/>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85" w:type="dxa"/>
                  <w:vAlign w:val="center"/>
                </w:tcPr>
                <w:p>
                  <w:pPr>
                    <w:spacing w:line="320" w:lineRule="exact"/>
                    <w:ind w:firstLine="0" w:firstLineChars="0"/>
                    <w:jc w:val="center"/>
                    <w:rPr>
                      <w:color w:val="auto"/>
                      <w:sz w:val="21"/>
                      <w:u w:val="single"/>
                    </w:rPr>
                  </w:pPr>
                  <w:r>
                    <w:rPr>
                      <w:rFonts w:hint="eastAsia"/>
                      <w:color w:val="auto"/>
                      <w:sz w:val="21"/>
                      <w:u w:val="single"/>
                    </w:rPr>
                    <w:t>鼓励类</w:t>
                  </w:r>
                </w:p>
              </w:tc>
              <w:tc>
                <w:tcPr>
                  <w:tcW w:w="5269" w:type="dxa"/>
                  <w:vAlign w:val="center"/>
                </w:tcPr>
                <w:p>
                  <w:pPr>
                    <w:spacing w:line="320" w:lineRule="exact"/>
                    <w:ind w:firstLine="0" w:firstLineChars="0"/>
                    <w:rPr>
                      <w:color w:val="auto"/>
                      <w:sz w:val="21"/>
                      <w:u w:val="single"/>
                    </w:rPr>
                  </w:pPr>
                  <w:r>
                    <w:rPr>
                      <w:rFonts w:hint="eastAsia"/>
                      <w:color w:val="auto"/>
                      <w:sz w:val="21"/>
                      <w:u w:val="single"/>
                    </w:rPr>
                    <w:t>机械制造：高端设备制造、机械加工中的物理冷加工（表面处理中含有电镀、酸化、磷化等工艺的除外）、电子和电工机械专用设备制造；食品加工：糕点、面包制造、蔬菜、水果加工、水产品加工；服装：裁剪、缝制衣帽；电子：电子终端产品装配、产生废水和废气量小的新材料企业；基础设施项目：交通运输、邮电通讯、供水、供热、供气、污水处理等；其他：企业技术研发机构；无工业废水、工艺废气排放的企业；现代物流；环保新材料、高新技术产业；综合利用资源与再生资源、环境保护工程；</w:t>
                  </w:r>
                </w:p>
              </w:tc>
              <w:tc>
                <w:tcPr>
                  <w:tcW w:w="2085" w:type="dxa"/>
                  <w:vMerge w:val="restart"/>
                  <w:vAlign w:val="center"/>
                </w:tcPr>
                <w:p>
                  <w:pPr>
                    <w:spacing w:line="320" w:lineRule="exact"/>
                    <w:ind w:firstLine="0" w:firstLineChars="0"/>
                    <w:jc w:val="center"/>
                    <w:rPr>
                      <w:color w:val="auto"/>
                      <w:sz w:val="21"/>
                      <w:u w:val="single"/>
                    </w:rPr>
                  </w:pPr>
                  <w:r>
                    <w:rPr>
                      <w:rFonts w:hint="eastAsia"/>
                      <w:color w:val="auto"/>
                      <w:sz w:val="21"/>
                      <w:u w:val="single"/>
                    </w:rPr>
                    <w:t>本项目为食品包装袋建设项目，不属于园区鼓励类中的项目，且本项目不产生生产废水，生产废气经治理后达标排放，不属于气型污染物严重的企业；生产过程中能源为电能，不属于水耗、能耗较高的企业；因此不属于园区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985" w:type="dxa"/>
                  <w:vAlign w:val="center"/>
                </w:tcPr>
                <w:p>
                  <w:pPr>
                    <w:spacing w:line="320" w:lineRule="exact"/>
                    <w:ind w:firstLine="0" w:firstLineChars="0"/>
                    <w:jc w:val="center"/>
                    <w:rPr>
                      <w:color w:val="auto"/>
                      <w:sz w:val="21"/>
                      <w:u w:val="single"/>
                    </w:rPr>
                  </w:pPr>
                  <w:r>
                    <w:rPr>
                      <w:rFonts w:hint="eastAsia"/>
                      <w:color w:val="auto"/>
                      <w:sz w:val="21"/>
                      <w:u w:val="single"/>
                    </w:rPr>
                    <w:t>允许类</w:t>
                  </w:r>
                </w:p>
              </w:tc>
              <w:tc>
                <w:tcPr>
                  <w:tcW w:w="5269" w:type="dxa"/>
                  <w:vAlign w:val="center"/>
                </w:tcPr>
                <w:p>
                  <w:pPr>
                    <w:spacing w:line="320" w:lineRule="exact"/>
                    <w:ind w:firstLine="0" w:firstLineChars="0"/>
                    <w:rPr>
                      <w:color w:val="auto"/>
                      <w:sz w:val="21"/>
                      <w:u w:val="single"/>
                    </w:rPr>
                  </w:pPr>
                  <w:r>
                    <w:rPr>
                      <w:rFonts w:hint="eastAsia"/>
                      <w:color w:val="auto"/>
                      <w:sz w:val="21"/>
                      <w:u w:val="single"/>
                    </w:rPr>
                    <w:t>2012-2020 年允许西园枫杨路以北和东园现有企业维持现状不变，西园枫杨路以南允许除电镀、刻蚀以外的电子基础产品、电子专用材料的企业；排污量小，物耗能耗低的与主导产业相符及配套的相关产业；</w:t>
                  </w:r>
                </w:p>
              </w:tc>
              <w:tc>
                <w:tcPr>
                  <w:tcW w:w="2085" w:type="dxa"/>
                  <w:vMerge w:val="continue"/>
                  <w:vAlign w:val="center"/>
                </w:tcPr>
                <w:p>
                  <w:pPr>
                    <w:spacing w:line="320" w:lineRule="exact"/>
                    <w:ind w:firstLine="0" w:firstLineChars="0"/>
                    <w:jc w:val="center"/>
                    <w:rPr>
                      <w:color w:val="auto"/>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985" w:type="dxa"/>
                  <w:vAlign w:val="center"/>
                </w:tcPr>
                <w:p>
                  <w:pPr>
                    <w:spacing w:line="320" w:lineRule="exact"/>
                    <w:ind w:firstLine="0" w:firstLineChars="0"/>
                    <w:jc w:val="center"/>
                    <w:rPr>
                      <w:color w:val="auto"/>
                      <w:sz w:val="21"/>
                      <w:u w:val="single"/>
                    </w:rPr>
                  </w:pPr>
                  <w:r>
                    <w:rPr>
                      <w:rFonts w:hint="eastAsia"/>
                      <w:color w:val="auto"/>
                      <w:sz w:val="21"/>
                      <w:u w:val="single"/>
                    </w:rPr>
                    <w:t>限制类</w:t>
                  </w:r>
                </w:p>
              </w:tc>
              <w:tc>
                <w:tcPr>
                  <w:tcW w:w="5269" w:type="dxa"/>
                  <w:vAlign w:val="center"/>
                </w:tcPr>
                <w:p>
                  <w:pPr>
                    <w:spacing w:line="320" w:lineRule="exact"/>
                    <w:ind w:firstLine="0" w:firstLineChars="0"/>
                    <w:rPr>
                      <w:color w:val="auto"/>
                      <w:sz w:val="21"/>
                      <w:u w:val="single"/>
                    </w:rPr>
                  </w:pPr>
                  <w:r>
                    <w:rPr>
                      <w:rFonts w:hint="eastAsia"/>
                      <w:color w:val="auto"/>
                      <w:sz w:val="21"/>
                      <w:u w:val="single"/>
                    </w:rPr>
                    <w:t>西园枫杨路以北和东园限制新建企业，西园枫杨路以南限制引进虽符合产业定位，但废水量大、含重金属废水排放以及气型污染物严重的企业；水耗、能耗较高的企业；食品工业的禽畜初加工（包括屠宰）、味精、发酵酿造；</w:t>
                  </w:r>
                </w:p>
              </w:tc>
              <w:tc>
                <w:tcPr>
                  <w:tcW w:w="2085" w:type="dxa"/>
                  <w:vMerge w:val="continue"/>
                  <w:vAlign w:val="center"/>
                </w:tcPr>
                <w:p>
                  <w:pPr>
                    <w:spacing w:line="320" w:lineRule="exact"/>
                    <w:ind w:firstLine="0" w:firstLineChars="0"/>
                    <w:jc w:val="center"/>
                    <w:rPr>
                      <w:color w:val="auto"/>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8" w:hRule="atLeast"/>
                <w:jc w:val="center"/>
              </w:trPr>
              <w:tc>
                <w:tcPr>
                  <w:tcW w:w="985" w:type="dxa"/>
                  <w:vAlign w:val="center"/>
                </w:tcPr>
                <w:p>
                  <w:pPr>
                    <w:spacing w:line="320" w:lineRule="exact"/>
                    <w:ind w:firstLine="0" w:firstLineChars="0"/>
                    <w:jc w:val="center"/>
                    <w:rPr>
                      <w:color w:val="auto"/>
                      <w:sz w:val="21"/>
                      <w:u w:val="single"/>
                    </w:rPr>
                  </w:pPr>
                  <w:r>
                    <w:rPr>
                      <w:rFonts w:hint="eastAsia"/>
                      <w:color w:val="auto"/>
                      <w:sz w:val="21"/>
                      <w:u w:val="single"/>
                    </w:rPr>
                    <w:t>禁止类</w:t>
                  </w:r>
                </w:p>
              </w:tc>
              <w:tc>
                <w:tcPr>
                  <w:tcW w:w="5269" w:type="dxa"/>
                  <w:vAlign w:val="center"/>
                </w:tcPr>
                <w:p>
                  <w:pPr>
                    <w:spacing w:line="320" w:lineRule="exact"/>
                    <w:ind w:firstLine="0" w:firstLineChars="0"/>
                    <w:rPr>
                      <w:color w:val="auto"/>
                      <w:sz w:val="21"/>
                      <w:u w:val="single"/>
                    </w:rPr>
                  </w:pPr>
                  <w:r>
                    <w:rPr>
                      <w:rFonts w:hint="eastAsia"/>
                      <w:color w:val="auto"/>
                      <w:sz w:val="21"/>
                      <w:u w:val="single"/>
                    </w:rPr>
                    <w:t>造纸工业、炼油工业、农药制造等不符合产业定位的项目；纺织服装类涉及到纺织印染、湿法印花、染色、水洗工艺的、有洗毛、染整、脱胶工段的，产生缫丝废水、精炼废水企业入园；涉重金属企业，制革工业；电子信息产业涉及电镀工业；使用含汞、砷、镉、铬、铅、氰化物等为原料的项目；禁止铅、锌、铬等重污染冶炼行业；炼油、农药工业；水处理设施不完善的企业禁止开工生产；致癌、致畸、致突变产品生产项目；来料加工的海外废金属、塑料、纸张工业；国家明文禁止的“十五小”和“新五小”项目，以及大量增加SO</w:t>
                  </w:r>
                  <w:r>
                    <w:rPr>
                      <w:rFonts w:hint="eastAsia"/>
                      <w:color w:val="auto"/>
                      <w:sz w:val="21"/>
                      <w:u w:val="single"/>
                      <w:vertAlign w:val="subscript"/>
                    </w:rPr>
                    <w:t>2</w:t>
                  </w:r>
                  <w:r>
                    <w:rPr>
                      <w:rFonts w:hint="eastAsia"/>
                      <w:color w:val="auto"/>
                      <w:sz w:val="21"/>
                      <w:u w:val="single"/>
                    </w:rPr>
                    <w:t>、NO</w:t>
                  </w:r>
                  <w:r>
                    <w:rPr>
                      <w:rFonts w:hint="eastAsia"/>
                      <w:color w:val="auto"/>
                      <w:sz w:val="21"/>
                      <w:u w:val="single"/>
                      <w:vertAlign w:val="subscript"/>
                    </w:rPr>
                    <w:t>2</w:t>
                  </w:r>
                  <w:r>
                    <w:rPr>
                      <w:rFonts w:hint="eastAsia"/>
                      <w:color w:val="auto"/>
                      <w:sz w:val="21"/>
                      <w:u w:val="single"/>
                    </w:rPr>
                    <w:t>、COD、NH</w:t>
                  </w:r>
                  <w:r>
                    <w:rPr>
                      <w:rFonts w:hint="eastAsia"/>
                      <w:color w:val="auto"/>
                      <w:sz w:val="21"/>
                      <w:u w:val="single"/>
                      <w:vertAlign w:val="subscript"/>
                    </w:rPr>
                    <w:t>3</w:t>
                  </w:r>
                  <w:r>
                    <w:rPr>
                      <w:rFonts w:hint="eastAsia"/>
                      <w:color w:val="auto"/>
                      <w:sz w:val="21"/>
                      <w:u w:val="single"/>
                    </w:rPr>
                    <w:t>-N排放的工业；项目现有生产能力大，市场容量小的项目等；</w:t>
                  </w:r>
                </w:p>
              </w:tc>
              <w:tc>
                <w:tcPr>
                  <w:tcW w:w="2085" w:type="dxa"/>
                  <w:vAlign w:val="center"/>
                </w:tcPr>
                <w:p>
                  <w:pPr>
                    <w:spacing w:line="320" w:lineRule="exact"/>
                    <w:ind w:firstLine="0" w:firstLineChars="0"/>
                    <w:jc w:val="center"/>
                    <w:rPr>
                      <w:color w:val="auto"/>
                      <w:sz w:val="21"/>
                      <w:u w:val="single"/>
                    </w:rPr>
                  </w:pPr>
                  <w:r>
                    <w:rPr>
                      <w:rFonts w:hint="eastAsia"/>
                      <w:color w:val="auto"/>
                      <w:sz w:val="21"/>
                      <w:u w:val="single"/>
                    </w:rPr>
                    <w:t>本项目不属于园区禁止类项目。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985" w:type="dxa"/>
                  <w:vAlign w:val="center"/>
                </w:tcPr>
                <w:p>
                  <w:pPr>
                    <w:spacing w:line="320" w:lineRule="exact"/>
                    <w:ind w:firstLine="0" w:firstLineChars="0"/>
                    <w:jc w:val="center"/>
                    <w:rPr>
                      <w:color w:val="auto"/>
                      <w:sz w:val="21"/>
                      <w:u w:val="single"/>
                    </w:rPr>
                  </w:pPr>
                  <w:r>
                    <w:rPr>
                      <w:rFonts w:hint="eastAsia"/>
                      <w:color w:val="auto"/>
                      <w:sz w:val="21"/>
                      <w:u w:val="single"/>
                    </w:rPr>
                    <w:t>环保指标要求</w:t>
                  </w:r>
                </w:p>
              </w:tc>
              <w:tc>
                <w:tcPr>
                  <w:tcW w:w="5269" w:type="dxa"/>
                  <w:vAlign w:val="center"/>
                </w:tcPr>
                <w:p>
                  <w:pPr>
                    <w:spacing w:line="320" w:lineRule="exact"/>
                    <w:ind w:firstLine="0" w:firstLineChars="0"/>
                    <w:rPr>
                      <w:color w:val="auto"/>
                      <w:sz w:val="21"/>
                      <w:u w:val="single"/>
                    </w:rPr>
                  </w:pPr>
                  <w:r>
                    <w:rPr>
                      <w:rFonts w:hint="eastAsia"/>
                      <w:color w:val="auto"/>
                      <w:sz w:val="21"/>
                      <w:u w:val="single"/>
                    </w:rPr>
                    <w:t>废水、废气处理率达100%；固废处置率达100%；污染物排放达标率100%</w:t>
                  </w:r>
                </w:p>
              </w:tc>
              <w:tc>
                <w:tcPr>
                  <w:tcW w:w="2085" w:type="dxa"/>
                  <w:vAlign w:val="center"/>
                </w:tcPr>
                <w:p>
                  <w:pPr>
                    <w:spacing w:line="320" w:lineRule="exact"/>
                    <w:ind w:firstLine="0" w:firstLineChars="0"/>
                    <w:jc w:val="center"/>
                    <w:rPr>
                      <w:color w:val="auto"/>
                      <w:sz w:val="21"/>
                      <w:u w:val="single"/>
                    </w:rPr>
                  </w:pPr>
                  <w:r>
                    <w:rPr>
                      <w:rFonts w:hint="eastAsia"/>
                      <w:color w:val="auto"/>
                      <w:sz w:val="21"/>
                      <w:u w:val="single"/>
                    </w:rPr>
                    <w:t>项目采取本报告提出的治理措施后，各污染物均能达标排放，符合园区环保指标要求。</w:t>
                  </w:r>
                </w:p>
              </w:tc>
            </w:tr>
          </w:tbl>
          <w:p>
            <w:pPr>
              <w:pStyle w:val="2"/>
              <w:ind w:left="0" w:leftChars="0" w:firstLine="0" w:firstLineChars="0"/>
              <w:rPr>
                <w:color w:val="auto"/>
                <w:szCs w:val="20"/>
                <w:u w:val="single"/>
              </w:rPr>
            </w:pPr>
            <w:r>
              <w:rPr>
                <w:color w:val="auto"/>
                <w:szCs w:val="20"/>
                <w:u w:val="single"/>
              </w:rPr>
              <w:t>根据《沅江市经济开发区环境影响报告书》及其批复（湘环评【2013】249号），本项目位于西园区规划范围，该区产业发展重点以机械制造、食品加工和电子信息为主。本项目属于</w:t>
            </w:r>
            <w:r>
              <w:rPr>
                <w:rFonts w:hint="eastAsia"/>
                <w:color w:val="auto"/>
                <w:szCs w:val="20"/>
                <w:u w:val="single"/>
              </w:rPr>
              <w:t>食品包装袋制造企业</w:t>
            </w:r>
            <w:r>
              <w:rPr>
                <w:color w:val="auto"/>
                <w:szCs w:val="20"/>
                <w:u w:val="single"/>
              </w:rPr>
              <w:t>，虽然不属于重点发展行业，但</w:t>
            </w:r>
            <w:r>
              <w:rPr>
                <w:rFonts w:hint="eastAsia"/>
                <w:color w:val="auto"/>
                <w:szCs w:val="20"/>
                <w:u w:val="single"/>
              </w:rPr>
              <w:t>本项目只排放少量的有机废气，且</w:t>
            </w:r>
            <w:r>
              <w:rPr>
                <w:color w:val="auto"/>
                <w:szCs w:val="20"/>
                <w:u w:val="single"/>
              </w:rPr>
              <w:t>本项目</w:t>
            </w:r>
            <w:r>
              <w:rPr>
                <w:rFonts w:hint="eastAsia"/>
                <w:color w:val="auto"/>
                <w:szCs w:val="20"/>
                <w:u w:val="single"/>
              </w:rPr>
              <w:t>周边主要为服装、绳网、印刷等行业，无食品企业，本项目于周边企业相容相容</w:t>
            </w:r>
            <w:r>
              <w:rPr>
                <w:color w:val="auto"/>
                <w:szCs w:val="20"/>
                <w:u w:val="single"/>
              </w:rPr>
              <w:t>，排放的污染物不与</w:t>
            </w:r>
            <w:r>
              <w:rPr>
                <w:rFonts w:hint="eastAsia"/>
                <w:color w:val="auto"/>
                <w:szCs w:val="20"/>
                <w:u w:val="single"/>
              </w:rPr>
              <w:t>周边企业</w:t>
            </w:r>
            <w:r>
              <w:rPr>
                <w:color w:val="auto"/>
                <w:szCs w:val="20"/>
                <w:u w:val="single"/>
              </w:rPr>
              <w:t>相冲突，因此，本环评认为该项目的建设符合园区产业发展要求。</w:t>
            </w:r>
          </w:p>
          <w:p>
            <w:pPr>
              <w:pStyle w:val="2"/>
              <w:numPr>
                <w:ilvl w:val="0"/>
                <w:numId w:val="7"/>
              </w:numPr>
              <w:ind w:left="0" w:leftChars="0" w:firstLine="0" w:firstLineChars="0"/>
              <w:rPr>
                <w:color w:val="auto"/>
                <w:szCs w:val="20"/>
                <w:u w:val="single"/>
              </w:rPr>
            </w:pPr>
            <w:r>
              <w:rPr>
                <w:rFonts w:hint="eastAsia"/>
                <w:color w:val="auto"/>
                <w:szCs w:val="20"/>
                <w:u w:val="single"/>
              </w:rPr>
              <w:t>选址合理性</w:t>
            </w:r>
          </w:p>
          <w:p>
            <w:pPr>
              <w:pStyle w:val="2"/>
              <w:ind w:left="0" w:leftChars="0" w:firstLine="480"/>
              <w:rPr>
                <w:color w:val="auto"/>
                <w:szCs w:val="20"/>
                <w:u w:val="single"/>
              </w:rPr>
            </w:pPr>
            <w:r>
              <w:rPr>
                <w:rFonts w:hint="eastAsia"/>
                <w:color w:val="auto"/>
                <w:szCs w:val="20"/>
                <w:u w:val="single"/>
              </w:rPr>
              <w:t>本项目选址位于园区，</w:t>
            </w:r>
            <w:r>
              <w:rPr>
                <w:rFonts w:hint="eastAsia"/>
                <w:color w:val="auto"/>
                <w:szCs w:val="20"/>
                <w:u w:val="single"/>
                <w:lang w:eastAsia="zh-CN"/>
              </w:rPr>
              <w:t>选址所在地为工业用地性质，满足相关的额用地规划，建设单位</w:t>
            </w:r>
            <w:r>
              <w:rPr>
                <w:rFonts w:hint="eastAsia"/>
                <w:color w:val="auto"/>
                <w:szCs w:val="20"/>
                <w:u w:val="single"/>
              </w:rPr>
              <w:t>租赁现有标准化厂房进行生产，仅需对生产设备进行安装和调试即可开始生产；</w:t>
            </w:r>
            <w:r>
              <w:rPr>
                <w:rFonts w:hint="eastAsia"/>
                <w:color w:val="auto"/>
                <w:szCs w:val="20"/>
                <w:u w:val="single"/>
                <w:lang w:eastAsia="zh-CN"/>
              </w:rPr>
              <w:t>选址所在地的园区</w:t>
            </w:r>
            <w:r>
              <w:rPr>
                <w:rFonts w:hint="eastAsia"/>
                <w:color w:val="auto"/>
                <w:szCs w:val="20"/>
                <w:u w:val="single"/>
              </w:rPr>
              <w:t>配套了相关的污水管网与雨水管网，污水管网连通了沅江市第二污水处理厂，水污染物可得到有效处理进行达标排放；选址位于中联大道旁，有利于原料和产品的运输。园区的基础配套设施较为完善，可满足生产的各项需求</w:t>
            </w:r>
            <w:r>
              <w:rPr>
                <w:rFonts w:hint="eastAsia"/>
                <w:color w:val="auto"/>
                <w:szCs w:val="20"/>
                <w:u w:val="single"/>
                <w:lang w:eastAsia="zh-CN"/>
              </w:rPr>
              <w:t>；根据环境质量现状章节的分析，本项目所在区域满足相关环境质量标准，具有一定的环境容量，营运期期间产生的污染物经过相关环保设施的处理后可做到达标排放；</w:t>
            </w:r>
            <w:r>
              <w:rPr>
                <w:rFonts w:hint="eastAsia"/>
                <w:color w:val="auto"/>
                <w:szCs w:val="20"/>
                <w:u w:val="single"/>
              </w:rPr>
              <w:t>因此本项目的选址是合理可行的。</w:t>
            </w:r>
          </w:p>
          <w:p>
            <w:pPr>
              <w:pStyle w:val="2"/>
              <w:numPr>
                <w:ilvl w:val="0"/>
                <w:numId w:val="7"/>
              </w:numPr>
              <w:ind w:left="0" w:leftChars="0" w:firstLine="0" w:firstLineChars="0"/>
              <w:rPr>
                <w:color w:val="auto"/>
                <w:szCs w:val="20"/>
                <w:u w:val="single"/>
              </w:rPr>
            </w:pPr>
            <w:r>
              <w:rPr>
                <w:rFonts w:hint="eastAsia"/>
                <w:color w:val="auto"/>
                <w:szCs w:val="20"/>
                <w:u w:val="single"/>
              </w:rPr>
              <w:t>平面布置合理性</w:t>
            </w:r>
          </w:p>
          <w:p>
            <w:pPr>
              <w:pStyle w:val="2"/>
              <w:ind w:left="0" w:leftChars="0" w:firstLine="480"/>
              <w:rPr>
                <w:color w:val="auto"/>
                <w:szCs w:val="20"/>
                <w:u w:val="single"/>
              </w:rPr>
            </w:pPr>
            <w:r>
              <w:rPr>
                <w:rFonts w:hint="eastAsia"/>
                <w:color w:val="auto"/>
                <w:szCs w:val="20"/>
                <w:u w:val="single"/>
              </w:rPr>
              <w:t>本项目的厂址位于厂房的第一层，总体平面布置依据工艺流程的流畅性进行布置。从厂房的西侧顺时针开始，依次为原料仓、印刷机、复合机与制袋机，有利于生产的流畅进行；印刷机与复合机布置在同一侧，有利于废气的收集和处理，保证废气的收集效率以及达标排放。</w:t>
            </w:r>
            <w:r>
              <w:rPr>
                <w:rFonts w:hint="eastAsia"/>
                <w:color w:val="auto"/>
                <w:szCs w:val="20"/>
                <w:u w:val="single"/>
                <w:lang w:eastAsia="zh-CN"/>
              </w:rPr>
              <w:t>本项目主要的产污节点为印刷过程中产生的有机废气，项目厂界东侧一百米处靠近汾水村安置小区，为尽可能减少废气对周边敏感点的影响，将印刷工序设置在靠厂房北侧，且将排气筒高度设置为</w:t>
            </w:r>
            <w:r>
              <w:rPr>
                <w:rFonts w:hint="eastAsia"/>
                <w:color w:val="auto"/>
                <w:szCs w:val="20"/>
                <w:u w:val="single"/>
                <w:lang w:val="en-US" w:eastAsia="zh-CN"/>
              </w:rPr>
              <w:t>25m（高出周边200m范围内最高建筑物5m）</w:t>
            </w:r>
            <w:r>
              <w:rPr>
                <w:rFonts w:hint="eastAsia"/>
                <w:color w:val="auto"/>
                <w:szCs w:val="20"/>
                <w:u w:val="single"/>
                <w:lang w:eastAsia="zh-CN"/>
              </w:rPr>
              <w:t>。</w:t>
            </w:r>
            <w:r>
              <w:rPr>
                <w:rFonts w:hint="eastAsia"/>
                <w:color w:val="auto"/>
                <w:szCs w:val="20"/>
                <w:u w:val="single"/>
              </w:rPr>
              <w:t>因此从整体与环保的角度考虑，本项目平面布置是合理的。</w:t>
            </w:r>
          </w:p>
          <w:p>
            <w:pPr>
              <w:keepNext/>
              <w:keepLines/>
              <w:ind w:firstLine="482"/>
              <w:jc w:val="both"/>
              <w:outlineLvl w:val="2"/>
              <w:rPr>
                <w:b/>
                <w:bCs/>
                <w:color w:val="auto"/>
                <w:szCs w:val="32"/>
                <w:u w:val="single"/>
              </w:rPr>
            </w:pPr>
            <w:r>
              <w:rPr>
                <w:rFonts w:hint="eastAsia"/>
                <w:b/>
                <w:bCs/>
                <w:color w:val="auto"/>
                <w:szCs w:val="32"/>
                <w:u w:val="single"/>
              </w:rPr>
              <w:t>七</w:t>
            </w:r>
            <w:r>
              <w:rPr>
                <w:b/>
                <w:bCs/>
                <w:color w:val="auto"/>
                <w:szCs w:val="32"/>
                <w:u w:val="single"/>
              </w:rPr>
              <w:t>、</w:t>
            </w:r>
            <w:r>
              <w:rPr>
                <w:rFonts w:hint="eastAsia"/>
                <w:b/>
                <w:bCs/>
                <w:color w:val="auto"/>
                <w:szCs w:val="32"/>
                <w:u w:val="single"/>
              </w:rPr>
              <w:t>土壤环境影响分析</w:t>
            </w:r>
          </w:p>
          <w:p>
            <w:pPr>
              <w:autoSpaceDE w:val="0"/>
              <w:autoSpaceDN w:val="0"/>
              <w:adjustRightInd w:val="0"/>
              <w:snapToGrid w:val="0"/>
              <w:ind w:firstLine="480"/>
              <w:jc w:val="both"/>
              <w:textAlignment w:val="baseline"/>
              <w:rPr>
                <w:color w:val="auto"/>
              </w:rPr>
            </w:pPr>
            <w:r>
              <w:rPr>
                <w:color w:val="auto"/>
                <w:u w:val="single"/>
              </w:rPr>
              <w:t>本项目</w:t>
            </w:r>
            <w:r>
              <w:rPr>
                <w:color w:val="auto"/>
                <w:kern w:val="24"/>
                <w:u w:val="single"/>
              </w:rPr>
              <w:t>为</w:t>
            </w:r>
            <w:r>
              <w:rPr>
                <w:color w:val="auto"/>
                <w:szCs w:val="20"/>
                <w:u w:val="single"/>
              </w:rPr>
              <w:t>C2319 包装装潢及其他印刷</w:t>
            </w:r>
            <w:r>
              <w:rPr>
                <w:color w:val="auto"/>
                <w:kern w:val="24"/>
                <w:u w:val="single"/>
              </w:rPr>
              <w:t>，</w:t>
            </w:r>
            <w:r>
              <w:rPr>
                <w:color w:val="auto"/>
                <w:u w:val="single"/>
              </w:rPr>
              <w:t>对照《环境影响评价技术导则 土壤环境（试行）》（HJ964-2018）中附录A土壤环境影响评价项目类别，项目所属的行业类别为</w:t>
            </w:r>
            <w:r>
              <w:rPr>
                <w:rFonts w:hint="eastAsia"/>
                <w:color w:val="auto"/>
                <w:u w:val="single"/>
              </w:rPr>
              <w:t>“其他行业”中的“全部”，为</w:t>
            </w:r>
            <w:r>
              <w:rPr>
                <w:rFonts w:hint="eastAsia" w:ascii="宋体" w:hAnsi="宋体" w:cs="宋体"/>
                <w:color w:val="auto"/>
                <w:u w:val="single"/>
              </w:rPr>
              <w:t>IV</w:t>
            </w:r>
            <w:r>
              <w:rPr>
                <w:rFonts w:hint="eastAsia"/>
                <w:color w:val="auto"/>
                <w:u w:val="single"/>
              </w:rPr>
              <w:t>类项目，可不开展土壤环境影响评价。</w:t>
            </w:r>
          </w:p>
          <w:p>
            <w:pPr>
              <w:keepNext/>
              <w:keepLines/>
              <w:ind w:firstLine="482"/>
              <w:jc w:val="both"/>
              <w:outlineLvl w:val="2"/>
              <w:rPr>
                <w:b/>
                <w:bCs/>
                <w:color w:val="auto"/>
                <w:szCs w:val="32"/>
              </w:rPr>
            </w:pPr>
            <w:r>
              <w:rPr>
                <w:rFonts w:hint="eastAsia"/>
                <w:b/>
                <w:bCs/>
                <w:color w:val="auto"/>
                <w:szCs w:val="32"/>
              </w:rPr>
              <w:t>八</w:t>
            </w:r>
            <w:r>
              <w:rPr>
                <w:b/>
                <w:bCs/>
                <w:color w:val="auto"/>
                <w:szCs w:val="32"/>
              </w:rPr>
              <w:t>、环境</w:t>
            </w:r>
            <w:r>
              <w:rPr>
                <w:rFonts w:hint="eastAsia"/>
                <w:b/>
                <w:bCs/>
                <w:color w:val="auto"/>
                <w:szCs w:val="32"/>
              </w:rPr>
              <w:t>管理与</w:t>
            </w:r>
            <w:r>
              <w:rPr>
                <w:b/>
                <w:bCs/>
                <w:color w:val="auto"/>
                <w:szCs w:val="32"/>
              </w:rPr>
              <w:t>监测计划</w:t>
            </w:r>
          </w:p>
          <w:p>
            <w:pPr>
              <w:snapToGrid w:val="0"/>
              <w:ind w:firstLine="470" w:firstLineChars="196"/>
              <w:rPr>
                <w:rFonts w:hAnsi="宋体"/>
                <w:color w:val="auto"/>
              </w:rPr>
            </w:pPr>
            <w:r>
              <w:rPr>
                <w:rFonts w:hint="eastAsia" w:hAnsi="宋体"/>
                <w:color w:val="auto"/>
              </w:rPr>
              <w:t>（1）环境管理</w:t>
            </w:r>
          </w:p>
          <w:p>
            <w:pPr>
              <w:snapToGrid w:val="0"/>
              <w:ind w:firstLine="470" w:firstLineChars="196"/>
              <w:rPr>
                <w:rFonts w:hAnsi="宋体"/>
                <w:color w:val="auto"/>
              </w:rPr>
            </w:pPr>
            <w:r>
              <w:rPr>
                <w:rFonts w:hint="eastAsia" w:hAnsi="宋体"/>
                <w:color w:val="auto"/>
              </w:rPr>
              <w:t>环境管理是企业日常管理的重要内容。建立环境管理机构，落实监控计划，是推行清洁生产，实施可持续发展战略，贯彻和实行国家地方环境保护法规，正确处理发展生产和保护环境的关系，实施建设项目的经济效益、社会效益和环境效益三统一的组织保障和有力措施。</w:t>
            </w:r>
          </w:p>
          <w:p>
            <w:pPr>
              <w:snapToGrid w:val="0"/>
              <w:ind w:firstLine="470" w:firstLineChars="196"/>
              <w:rPr>
                <w:rFonts w:hAnsi="宋体"/>
                <w:color w:val="auto"/>
              </w:rPr>
            </w:pPr>
            <w:r>
              <w:rPr>
                <w:rFonts w:hint="eastAsia" w:hAnsi="宋体"/>
                <w:color w:val="auto"/>
              </w:rPr>
              <w:t>本项目的具体管理计划如下：</w:t>
            </w:r>
          </w:p>
          <w:p>
            <w:pPr>
              <w:snapToGrid w:val="0"/>
              <w:ind w:firstLine="470" w:firstLineChars="196"/>
              <w:rPr>
                <w:rFonts w:hAnsi="宋体"/>
                <w:color w:val="auto"/>
              </w:rPr>
            </w:pPr>
            <w:r>
              <w:rPr>
                <w:rFonts w:hint="eastAsia" w:hAnsi="宋体"/>
                <w:color w:val="auto"/>
              </w:rPr>
              <w:t>①按照相关标准规范开展自行监测。</w:t>
            </w:r>
          </w:p>
          <w:p>
            <w:pPr>
              <w:snapToGrid w:val="0"/>
              <w:ind w:firstLine="470" w:firstLineChars="196"/>
              <w:rPr>
                <w:rFonts w:hAnsi="宋体"/>
                <w:color w:val="auto"/>
              </w:rPr>
            </w:pPr>
            <w:r>
              <w:rPr>
                <w:rFonts w:hint="eastAsia" w:hAnsi="宋体"/>
                <w:color w:val="auto"/>
              </w:rPr>
              <w:t>②生产过程中加强环境管理台账记录。</w:t>
            </w:r>
          </w:p>
          <w:p>
            <w:pPr>
              <w:snapToGrid w:val="0"/>
              <w:ind w:firstLine="470" w:firstLineChars="196"/>
              <w:rPr>
                <w:rFonts w:hAnsi="宋体"/>
                <w:color w:val="auto"/>
              </w:rPr>
            </w:pPr>
            <w:r>
              <w:rPr>
                <w:rFonts w:hint="eastAsia" w:hAnsi="宋体"/>
                <w:color w:val="auto"/>
              </w:rPr>
              <w:t>③按时提交执行报告。</w:t>
            </w:r>
          </w:p>
          <w:p>
            <w:pPr>
              <w:snapToGrid w:val="0"/>
              <w:ind w:firstLine="470" w:firstLineChars="196"/>
              <w:rPr>
                <w:rFonts w:hAnsi="宋体"/>
                <w:color w:val="auto"/>
              </w:rPr>
            </w:pPr>
            <w:r>
              <w:rPr>
                <w:rFonts w:hint="eastAsia" w:hAnsi="宋体"/>
                <w:color w:val="auto"/>
              </w:rPr>
              <w:t>④及时公开相关信息。</w:t>
            </w:r>
          </w:p>
          <w:p>
            <w:pPr>
              <w:snapToGrid w:val="0"/>
              <w:ind w:firstLine="470" w:firstLineChars="196"/>
              <w:rPr>
                <w:rFonts w:hAnsi="宋体"/>
                <w:color w:val="auto"/>
              </w:rPr>
            </w:pPr>
            <w:r>
              <w:rPr>
                <w:rFonts w:hint="eastAsia" w:hAnsi="宋体"/>
                <w:color w:val="auto"/>
              </w:rPr>
              <w:t>⑤搞好环境保护教育和宣传，提高职工的环境保护意识。</w:t>
            </w:r>
          </w:p>
          <w:p>
            <w:pPr>
              <w:ind w:firstLine="480"/>
              <w:jc w:val="both"/>
              <w:rPr>
                <w:rFonts w:hAnsi="宋体"/>
                <w:color w:val="auto"/>
              </w:rPr>
            </w:pPr>
            <w:r>
              <w:rPr>
                <w:rFonts w:hint="eastAsia" w:hAnsi="宋体"/>
                <w:color w:val="auto"/>
              </w:rPr>
              <w:t>⑥其他控制及管理要求。</w:t>
            </w:r>
          </w:p>
          <w:p>
            <w:pPr>
              <w:pStyle w:val="2"/>
              <w:ind w:left="0" w:leftChars="0" w:firstLine="480"/>
              <w:rPr>
                <w:color w:val="auto"/>
              </w:rPr>
            </w:pPr>
            <w:r>
              <w:rPr>
                <w:rFonts w:hint="eastAsia" w:hAnsi="宋体"/>
                <w:color w:val="auto"/>
              </w:rPr>
              <w:t>（2）监测计划</w:t>
            </w:r>
          </w:p>
          <w:p>
            <w:pPr>
              <w:ind w:firstLine="480"/>
              <w:jc w:val="both"/>
              <w:rPr>
                <w:rFonts w:cs="Courier New"/>
                <w:color w:val="auto"/>
                <w:szCs w:val="21"/>
              </w:rPr>
            </w:pPr>
            <w:r>
              <w:rPr>
                <w:rFonts w:cs="Courier New"/>
                <w:color w:val="auto"/>
                <w:szCs w:val="21"/>
                <w:u w:val="single"/>
              </w:rPr>
              <w:t>根据</w:t>
            </w:r>
            <w:r>
              <w:rPr>
                <w:rFonts w:hint="eastAsia" w:cs="Courier New"/>
                <w:color w:val="auto"/>
                <w:szCs w:val="21"/>
                <w:u w:val="single"/>
              </w:rPr>
              <w:t>《排污许可证申请与核发技术规范---印刷工业》（HJ1066-2019）与《印刷业挥发性有机物排放标准》（DB43/1357-2017）中的</w:t>
            </w:r>
            <w:r>
              <w:rPr>
                <w:rFonts w:cs="Courier New"/>
                <w:color w:val="auto"/>
                <w:szCs w:val="21"/>
                <w:u w:val="single"/>
              </w:rPr>
              <w:t>要求，排污单位应开展自行监测</w:t>
            </w:r>
            <w:r>
              <w:rPr>
                <w:rFonts w:cs="Courier New"/>
                <w:color w:val="auto"/>
                <w:szCs w:val="21"/>
                <w:u w:val="single"/>
              </w:rPr>
              <w:t>，</w:t>
            </w:r>
            <w:r>
              <w:rPr>
                <w:rFonts w:hint="eastAsia" w:cs="Courier New"/>
                <w:color w:val="auto"/>
                <w:szCs w:val="21"/>
                <w:u w:val="single"/>
              </w:rPr>
              <w:t>本项目属于登记管理，因此自行监测计划参照简化管理的要求进行。建设单位</w:t>
            </w:r>
            <w:r>
              <w:rPr>
                <w:rFonts w:cs="Courier New"/>
                <w:color w:val="auto"/>
                <w:szCs w:val="21"/>
                <w:u w:val="single"/>
              </w:rPr>
              <w:t>可根据自身条件和能力，利用自有人员、场所和设备自行监测；也可委托其它有资质的检（监）测机构代其开展自行监测。鉴于项目规模较小，本次环评提出企业可委托其它有资质的检（监）测机构开展自行监测，监测计划、监测点布设等详见</w:t>
            </w:r>
            <w:r>
              <w:rPr>
                <w:rFonts w:hint="eastAsia" w:cs="Courier New"/>
                <w:color w:val="auto"/>
                <w:szCs w:val="21"/>
                <w:u w:val="single"/>
              </w:rPr>
              <w:t>下</w:t>
            </w:r>
            <w:r>
              <w:rPr>
                <w:rFonts w:cs="Courier New"/>
                <w:color w:val="auto"/>
                <w:szCs w:val="21"/>
                <w:u w:val="single"/>
              </w:rPr>
              <w:t>表。</w:t>
            </w:r>
          </w:p>
          <w:p>
            <w:pPr>
              <w:ind w:firstLine="0" w:firstLineChars="0"/>
              <w:jc w:val="center"/>
              <w:outlineLvl w:val="1"/>
              <w:rPr>
                <w:b/>
                <w:bCs/>
                <w:color w:val="auto"/>
                <w:kern w:val="28"/>
                <w:szCs w:val="32"/>
              </w:rPr>
            </w:pPr>
            <w:r>
              <w:rPr>
                <w:rFonts w:hint="eastAsia"/>
                <w:b/>
                <w:bCs/>
                <w:color w:val="auto"/>
                <w:kern w:val="28"/>
                <w:szCs w:val="32"/>
              </w:rPr>
              <w:t>表7-25</w:t>
            </w:r>
            <w:r>
              <w:rPr>
                <w:rFonts w:hint="eastAsia"/>
                <w:b/>
                <w:bCs/>
                <w:color w:val="auto"/>
                <w:kern w:val="28"/>
                <w:szCs w:val="32"/>
                <w:lang w:val="en-US" w:eastAsia="zh-CN"/>
              </w:rPr>
              <w:t xml:space="preserve">   </w:t>
            </w:r>
            <w:r>
              <w:rPr>
                <w:b/>
                <w:bCs/>
                <w:color w:val="auto"/>
                <w:kern w:val="28"/>
                <w:szCs w:val="32"/>
              </w:rPr>
              <w:t>项目环境监测计划一览表</w:t>
            </w:r>
          </w:p>
          <w:p>
            <w:pPr>
              <w:spacing w:before="7" w:line="10" w:lineRule="exact"/>
              <w:ind w:firstLine="80"/>
              <w:rPr>
                <w:color w:val="auto"/>
                <w:sz w:val="4"/>
                <w:szCs w:val="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362"/>
              <w:gridCol w:w="2181"/>
              <w:gridCol w:w="1915"/>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Align w:val="center"/>
                </w:tcPr>
                <w:p>
                  <w:pPr>
                    <w:pStyle w:val="20"/>
                    <w:adjustRightInd w:val="0"/>
                    <w:snapToGrid w:val="0"/>
                    <w:spacing w:line="240" w:lineRule="auto"/>
                    <w:rPr>
                      <w:b/>
                      <w:bCs/>
                      <w:color w:val="auto"/>
                      <w:u w:val="single"/>
                    </w:rPr>
                  </w:pPr>
                  <w:r>
                    <w:rPr>
                      <w:rFonts w:hint="eastAsia"/>
                      <w:b/>
                      <w:bCs/>
                      <w:color w:val="auto"/>
                      <w:u w:val="single"/>
                    </w:rPr>
                    <w:t>序号</w:t>
                  </w:r>
                </w:p>
              </w:tc>
              <w:tc>
                <w:tcPr>
                  <w:tcW w:w="1362" w:type="dxa"/>
                  <w:vAlign w:val="center"/>
                </w:tcPr>
                <w:p>
                  <w:pPr>
                    <w:pStyle w:val="20"/>
                    <w:adjustRightInd w:val="0"/>
                    <w:snapToGrid w:val="0"/>
                    <w:spacing w:line="240" w:lineRule="auto"/>
                    <w:rPr>
                      <w:b/>
                      <w:bCs/>
                      <w:color w:val="auto"/>
                      <w:u w:val="single"/>
                    </w:rPr>
                  </w:pPr>
                  <w:r>
                    <w:rPr>
                      <w:b/>
                      <w:bCs/>
                      <w:color w:val="auto"/>
                      <w:u w:val="single"/>
                    </w:rPr>
                    <w:t>类别</w:t>
                  </w:r>
                </w:p>
              </w:tc>
              <w:tc>
                <w:tcPr>
                  <w:tcW w:w="2181" w:type="dxa"/>
                  <w:vAlign w:val="center"/>
                </w:tcPr>
                <w:p>
                  <w:pPr>
                    <w:pStyle w:val="20"/>
                    <w:adjustRightInd w:val="0"/>
                    <w:snapToGrid w:val="0"/>
                    <w:spacing w:line="240" w:lineRule="auto"/>
                    <w:rPr>
                      <w:b/>
                      <w:bCs/>
                      <w:color w:val="auto"/>
                      <w:u w:val="single"/>
                    </w:rPr>
                  </w:pPr>
                  <w:r>
                    <w:rPr>
                      <w:b/>
                      <w:bCs/>
                      <w:color w:val="auto"/>
                      <w:u w:val="single"/>
                    </w:rPr>
                    <w:t>监测位置</w:t>
                  </w:r>
                </w:p>
              </w:tc>
              <w:tc>
                <w:tcPr>
                  <w:tcW w:w="1915" w:type="dxa"/>
                  <w:vAlign w:val="center"/>
                </w:tcPr>
                <w:p>
                  <w:pPr>
                    <w:pStyle w:val="20"/>
                    <w:adjustRightInd w:val="0"/>
                    <w:snapToGrid w:val="0"/>
                    <w:spacing w:line="240" w:lineRule="auto"/>
                    <w:rPr>
                      <w:b/>
                      <w:bCs/>
                      <w:color w:val="auto"/>
                      <w:u w:val="single"/>
                    </w:rPr>
                  </w:pPr>
                  <w:r>
                    <w:rPr>
                      <w:b/>
                      <w:bCs/>
                      <w:color w:val="auto"/>
                      <w:u w:val="single"/>
                    </w:rPr>
                    <w:t>监测项目</w:t>
                  </w:r>
                </w:p>
              </w:tc>
              <w:tc>
                <w:tcPr>
                  <w:tcW w:w="2266" w:type="dxa"/>
                  <w:vAlign w:val="center"/>
                </w:tcPr>
                <w:p>
                  <w:pPr>
                    <w:pStyle w:val="20"/>
                    <w:adjustRightInd w:val="0"/>
                    <w:snapToGrid w:val="0"/>
                    <w:spacing w:line="240" w:lineRule="auto"/>
                    <w:rPr>
                      <w:b/>
                      <w:bCs/>
                      <w:color w:val="auto"/>
                      <w:u w:val="single"/>
                    </w:rPr>
                  </w:pPr>
                  <w:r>
                    <w:rPr>
                      <w:b/>
                      <w:bCs/>
                      <w:color w:val="auto"/>
                      <w:u w:val="singl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restart"/>
                  <w:vAlign w:val="center"/>
                </w:tcPr>
                <w:p>
                  <w:pPr>
                    <w:pStyle w:val="20"/>
                    <w:adjustRightInd w:val="0"/>
                    <w:snapToGrid w:val="0"/>
                    <w:spacing w:line="240" w:lineRule="auto"/>
                    <w:rPr>
                      <w:color w:val="auto"/>
                      <w:u w:val="single"/>
                    </w:rPr>
                  </w:pPr>
                  <w:r>
                    <w:rPr>
                      <w:rFonts w:hint="eastAsia"/>
                      <w:color w:val="auto"/>
                      <w:u w:val="single"/>
                    </w:rPr>
                    <w:t>1</w:t>
                  </w:r>
                </w:p>
              </w:tc>
              <w:tc>
                <w:tcPr>
                  <w:tcW w:w="1362" w:type="dxa"/>
                  <w:vMerge w:val="restart"/>
                  <w:vAlign w:val="center"/>
                </w:tcPr>
                <w:p>
                  <w:pPr>
                    <w:pStyle w:val="20"/>
                    <w:adjustRightInd w:val="0"/>
                    <w:snapToGrid w:val="0"/>
                    <w:spacing w:line="240" w:lineRule="auto"/>
                    <w:rPr>
                      <w:color w:val="auto"/>
                      <w:u w:val="single"/>
                    </w:rPr>
                  </w:pPr>
                  <w:r>
                    <w:rPr>
                      <w:color w:val="auto"/>
                      <w:u w:val="single"/>
                    </w:rPr>
                    <w:t>废气</w:t>
                  </w:r>
                </w:p>
              </w:tc>
              <w:tc>
                <w:tcPr>
                  <w:tcW w:w="2181" w:type="dxa"/>
                  <w:vAlign w:val="center"/>
                </w:tcPr>
                <w:p>
                  <w:pPr>
                    <w:pStyle w:val="20"/>
                    <w:adjustRightInd w:val="0"/>
                    <w:snapToGrid w:val="0"/>
                    <w:spacing w:line="240" w:lineRule="auto"/>
                    <w:rPr>
                      <w:color w:val="auto"/>
                      <w:u w:val="single"/>
                    </w:rPr>
                  </w:pPr>
                  <w:r>
                    <w:rPr>
                      <w:rFonts w:hint="eastAsia"/>
                      <w:color w:val="auto"/>
                      <w:u w:val="single"/>
                    </w:rPr>
                    <w:t>有机废气排气筒出口</w:t>
                  </w:r>
                </w:p>
              </w:tc>
              <w:tc>
                <w:tcPr>
                  <w:tcW w:w="1915" w:type="dxa"/>
                  <w:vMerge w:val="restart"/>
                  <w:vAlign w:val="center"/>
                </w:tcPr>
                <w:p>
                  <w:pPr>
                    <w:pStyle w:val="20"/>
                    <w:adjustRightInd w:val="0"/>
                    <w:snapToGrid w:val="0"/>
                    <w:spacing w:line="240" w:lineRule="auto"/>
                    <w:rPr>
                      <w:color w:val="auto"/>
                      <w:u w:val="single"/>
                    </w:rPr>
                  </w:pPr>
                  <w:r>
                    <w:rPr>
                      <w:rFonts w:hint="eastAsia"/>
                      <w:color w:val="auto"/>
                      <w:u w:val="single"/>
                    </w:rPr>
                    <w:t>挥发性有机物</w:t>
                  </w:r>
                </w:p>
              </w:tc>
              <w:tc>
                <w:tcPr>
                  <w:tcW w:w="2266" w:type="dxa"/>
                  <w:vAlign w:val="center"/>
                </w:tcPr>
                <w:p>
                  <w:pPr>
                    <w:pStyle w:val="20"/>
                    <w:adjustRightInd w:val="0"/>
                    <w:snapToGrid w:val="0"/>
                    <w:spacing w:line="240" w:lineRule="auto"/>
                    <w:rPr>
                      <w:color w:val="auto"/>
                      <w:u w:val="single"/>
                    </w:rPr>
                  </w:pPr>
                  <w:r>
                    <w:rPr>
                      <w:rFonts w:hint="eastAsia"/>
                      <w:color w:val="auto"/>
                      <w:u w:val="singl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pStyle w:val="20"/>
                    <w:adjustRightInd w:val="0"/>
                    <w:snapToGrid w:val="0"/>
                    <w:spacing w:line="240" w:lineRule="auto"/>
                    <w:rPr>
                      <w:color w:val="auto"/>
                      <w:u w:val="single"/>
                    </w:rPr>
                  </w:pPr>
                </w:p>
              </w:tc>
              <w:tc>
                <w:tcPr>
                  <w:tcW w:w="1362" w:type="dxa"/>
                  <w:vMerge w:val="continue"/>
                  <w:vAlign w:val="center"/>
                </w:tcPr>
                <w:p>
                  <w:pPr>
                    <w:pStyle w:val="20"/>
                    <w:adjustRightInd w:val="0"/>
                    <w:snapToGrid w:val="0"/>
                    <w:spacing w:line="240" w:lineRule="auto"/>
                    <w:rPr>
                      <w:color w:val="auto"/>
                      <w:u w:val="single"/>
                    </w:rPr>
                  </w:pPr>
                </w:p>
              </w:tc>
              <w:tc>
                <w:tcPr>
                  <w:tcW w:w="2181" w:type="dxa"/>
                  <w:vAlign w:val="center"/>
                </w:tcPr>
                <w:p>
                  <w:pPr>
                    <w:pStyle w:val="20"/>
                    <w:adjustRightInd w:val="0"/>
                    <w:snapToGrid w:val="0"/>
                    <w:spacing w:line="240" w:lineRule="auto"/>
                    <w:rPr>
                      <w:color w:val="auto"/>
                      <w:u w:val="single"/>
                    </w:rPr>
                  </w:pPr>
                  <w:r>
                    <w:rPr>
                      <w:rFonts w:hint="eastAsia"/>
                      <w:color w:val="auto"/>
                      <w:u w:val="single"/>
                    </w:rPr>
                    <w:t>厂界</w:t>
                  </w:r>
                </w:p>
              </w:tc>
              <w:tc>
                <w:tcPr>
                  <w:tcW w:w="1915" w:type="dxa"/>
                  <w:vMerge w:val="continue"/>
                  <w:vAlign w:val="center"/>
                </w:tcPr>
                <w:p>
                  <w:pPr>
                    <w:pStyle w:val="20"/>
                    <w:adjustRightInd w:val="0"/>
                    <w:snapToGrid w:val="0"/>
                    <w:spacing w:line="240" w:lineRule="auto"/>
                    <w:rPr>
                      <w:color w:val="auto"/>
                      <w:u w:val="single"/>
                    </w:rPr>
                  </w:pPr>
                </w:p>
              </w:tc>
              <w:tc>
                <w:tcPr>
                  <w:tcW w:w="2266" w:type="dxa"/>
                  <w:vAlign w:val="center"/>
                </w:tcPr>
                <w:p>
                  <w:pPr>
                    <w:pStyle w:val="20"/>
                    <w:adjustRightInd w:val="0"/>
                    <w:snapToGrid w:val="0"/>
                    <w:spacing w:line="240" w:lineRule="auto"/>
                    <w:rPr>
                      <w:color w:val="auto"/>
                      <w:u w:val="single"/>
                    </w:rPr>
                  </w:pPr>
                  <w:r>
                    <w:rPr>
                      <w:rFonts w:hint="eastAsia"/>
                      <w:color w:val="auto"/>
                      <w:u w:val="singl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pStyle w:val="20"/>
                    <w:adjustRightInd w:val="0"/>
                    <w:snapToGrid w:val="0"/>
                    <w:spacing w:line="240" w:lineRule="auto"/>
                    <w:rPr>
                      <w:color w:val="auto"/>
                      <w:u w:val="single"/>
                    </w:rPr>
                  </w:pPr>
                </w:p>
              </w:tc>
              <w:tc>
                <w:tcPr>
                  <w:tcW w:w="1362" w:type="dxa"/>
                  <w:vMerge w:val="continue"/>
                  <w:vAlign w:val="center"/>
                </w:tcPr>
                <w:p>
                  <w:pPr>
                    <w:pStyle w:val="20"/>
                    <w:adjustRightInd w:val="0"/>
                    <w:snapToGrid w:val="0"/>
                    <w:spacing w:line="240" w:lineRule="auto"/>
                    <w:rPr>
                      <w:color w:val="auto"/>
                      <w:u w:val="single"/>
                    </w:rPr>
                  </w:pPr>
                </w:p>
              </w:tc>
              <w:tc>
                <w:tcPr>
                  <w:tcW w:w="2181" w:type="dxa"/>
                  <w:vAlign w:val="center"/>
                </w:tcPr>
                <w:p>
                  <w:pPr>
                    <w:pStyle w:val="20"/>
                    <w:adjustRightInd w:val="0"/>
                    <w:snapToGrid w:val="0"/>
                    <w:spacing w:line="240" w:lineRule="auto"/>
                    <w:rPr>
                      <w:rFonts w:hint="eastAsia" w:eastAsia="宋体"/>
                      <w:color w:val="auto"/>
                      <w:u w:val="single"/>
                      <w:lang w:eastAsia="zh-CN"/>
                    </w:rPr>
                  </w:pPr>
                  <w:r>
                    <w:rPr>
                      <w:rFonts w:hint="eastAsia"/>
                      <w:color w:val="auto"/>
                      <w:u w:val="single"/>
                      <w:lang w:eastAsia="zh-CN"/>
                    </w:rPr>
                    <w:t>厂区</w:t>
                  </w:r>
                </w:p>
              </w:tc>
              <w:tc>
                <w:tcPr>
                  <w:tcW w:w="1915" w:type="dxa"/>
                  <w:vMerge w:val="continue"/>
                  <w:vAlign w:val="center"/>
                </w:tcPr>
                <w:p>
                  <w:pPr>
                    <w:pStyle w:val="20"/>
                    <w:adjustRightInd w:val="0"/>
                    <w:snapToGrid w:val="0"/>
                    <w:spacing w:line="240" w:lineRule="auto"/>
                    <w:rPr>
                      <w:rFonts w:hint="eastAsia"/>
                      <w:color w:val="auto"/>
                      <w:u w:val="single"/>
                    </w:rPr>
                  </w:pPr>
                </w:p>
              </w:tc>
              <w:tc>
                <w:tcPr>
                  <w:tcW w:w="2266" w:type="dxa"/>
                  <w:vAlign w:val="center"/>
                </w:tcPr>
                <w:p>
                  <w:pPr>
                    <w:pStyle w:val="20"/>
                    <w:adjustRightInd w:val="0"/>
                    <w:snapToGrid w:val="0"/>
                    <w:spacing w:line="240" w:lineRule="auto"/>
                    <w:rPr>
                      <w:rFonts w:hint="eastAsia"/>
                      <w:color w:val="auto"/>
                      <w:u w:val="single"/>
                    </w:rPr>
                  </w:pPr>
                  <w:r>
                    <w:rPr>
                      <w:rFonts w:hint="eastAsia"/>
                      <w:color w:val="auto"/>
                      <w:u w:val="singl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Merge w:val="continue"/>
                  <w:vAlign w:val="center"/>
                </w:tcPr>
                <w:p>
                  <w:pPr>
                    <w:pStyle w:val="20"/>
                    <w:adjustRightInd w:val="0"/>
                    <w:snapToGrid w:val="0"/>
                    <w:spacing w:line="240" w:lineRule="auto"/>
                    <w:rPr>
                      <w:color w:val="auto"/>
                      <w:u w:val="single"/>
                    </w:rPr>
                  </w:pPr>
                </w:p>
              </w:tc>
              <w:tc>
                <w:tcPr>
                  <w:tcW w:w="1362" w:type="dxa"/>
                  <w:vMerge w:val="continue"/>
                  <w:vAlign w:val="center"/>
                </w:tcPr>
                <w:p>
                  <w:pPr>
                    <w:pStyle w:val="20"/>
                    <w:adjustRightInd w:val="0"/>
                    <w:snapToGrid w:val="0"/>
                    <w:spacing w:line="240" w:lineRule="auto"/>
                    <w:rPr>
                      <w:color w:val="auto"/>
                      <w:u w:val="single"/>
                    </w:rPr>
                  </w:pPr>
                </w:p>
              </w:tc>
              <w:tc>
                <w:tcPr>
                  <w:tcW w:w="2181" w:type="dxa"/>
                  <w:vAlign w:val="center"/>
                </w:tcPr>
                <w:p>
                  <w:pPr>
                    <w:pStyle w:val="20"/>
                    <w:adjustRightInd w:val="0"/>
                    <w:snapToGrid w:val="0"/>
                    <w:spacing w:line="240" w:lineRule="auto"/>
                    <w:rPr>
                      <w:rFonts w:hint="eastAsia"/>
                      <w:color w:val="auto"/>
                      <w:u w:val="single"/>
                      <w:lang w:eastAsia="zh-CN"/>
                    </w:rPr>
                  </w:pPr>
                  <w:r>
                    <w:rPr>
                      <w:rFonts w:hint="eastAsia"/>
                      <w:color w:val="auto"/>
                      <w:u w:val="single"/>
                      <w:lang w:eastAsia="zh-CN"/>
                    </w:rPr>
                    <w:t>东侧</w:t>
                  </w:r>
                  <w:r>
                    <w:rPr>
                      <w:rFonts w:hint="eastAsia"/>
                      <w:color w:val="auto"/>
                      <w:u w:val="single"/>
                      <w:lang w:val="en-US" w:eastAsia="zh-CN"/>
                    </w:rPr>
                    <w:t>100m处</w:t>
                  </w:r>
                  <w:r>
                    <w:rPr>
                      <w:rFonts w:hint="eastAsia"/>
                      <w:color w:val="auto"/>
                      <w:u w:val="single"/>
                      <w:lang w:eastAsia="zh-CN"/>
                    </w:rPr>
                    <w:t>居民点</w:t>
                  </w:r>
                </w:p>
              </w:tc>
              <w:tc>
                <w:tcPr>
                  <w:tcW w:w="1915" w:type="dxa"/>
                  <w:vMerge w:val="continue"/>
                  <w:vAlign w:val="center"/>
                </w:tcPr>
                <w:p>
                  <w:pPr>
                    <w:pStyle w:val="20"/>
                    <w:adjustRightInd w:val="0"/>
                    <w:snapToGrid w:val="0"/>
                    <w:spacing w:line="240" w:lineRule="auto"/>
                    <w:rPr>
                      <w:rFonts w:hint="eastAsia"/>
                      <w:color w:val="auto"/>
                      <w:u w:val="single"/>
                    </w:rPr>
                  </w:pPr>
                </w:p>
              </w:tc>
              <w:tc>
                <w:tcPr>
                  <w:tcW w:w="2266" w:type="dxa"/>
                  <w:vAlign w:val="center"/>
                </w:tcPr>
                <w:p>
                  <w:pPr>
                    <w:pStyle w:val="20"/>
                    <w:adjustRightInd w:val="0"/>
                    <w:snapToGrid w:val="0"/>
                    <w:spacing w:line="240" w:lineRule="auto"/>
                    <w:rPr>
                      <w:rFonts w:hint="eastAsia"/>
                      <w:color w:val="auto"/>
                      <w:u w:val="single"/>
                    </w:rPr>
                  </w:pPr>
                  <w:r>
                    <w:rPr>
                      <w:rFonts w:hint="eastAsia"/>
                      <w:color w:val="auto"/>
                      <w:u w:val="singl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 w:type="dxa"/>
                  <w:vAlign w:val="center"/>
                </w:tcPr>
                <w:p>
                  <w:pPr>
                    <w:pStyle w:val="20"/>
                    <w:adjustRightInd w:val="0"/>
                    <w:snapToGrid w:val="0"/>
                    <w:spacing w:line="240" w:lineRule="auto"/>
                    <w:rPr>
                      <w:color w:val="auto"/>
                      <w:u w:val="single"/>
                    </w:rPr>
                  </w:pPr>
                  <w:r>
                    <w:rPr>
                      <w:rFonts w:hint="eastAsia"/>
                      <w:color w:val="auto"/>
                      <w:u w:val="single"/>
                    </w:rPr>
                    <w:t>2</w:t>
                  </w:r>
                </w:p>
              </w:tc>
              <w:tc>
                <w:tcPr>
                  <w:tcW w:w="1362" w:type="dxa"/>
                  <w:vAlign w:val="center"/>
                </w:tcPr>
                <w:p>
                  <w:pPr>
                    <w:pStyle w:val="20"/>
                    <w:adjustRightInd w:val="0"/>
                    <w:snapToGrid w:val="0"/>
                    <w:spacing w:line="240" w:lineRule="auto"/>
                    <w:rPr>
                      <w:color w:val="auto"/>
                      <w:u w:val="single"/>
                    </w:rPr>
                  </w:pPr>
                  <w:r>
                    <w:rPr>
                      <w:color w:val="auto"/>
                      <w:u w:val="single"/>
                    </w:rPr>
                    <w:t>噪声</w:t>
                  </w:r>
                </w:p>
              </w:tc>
              <w:tc>
                <w:tcPr>
                  <w:tcW w:w="2181" w:type="dxa"/>
                  <w:vAlign w:val="center"/>
                </w:tcPr>
                <w:p>
                  <w:pPr>
                    <w:pStyle w:val="20"/>
                    <w:adjustRightInd w:val="0"/>
                    <w:snapToGrid w:val="0"/>
                    <w:spacing w:line="240" w:lineRule="auto"/>
                    <w:rPr>
                      <w:color w:val="auto"/>
                      <w:u w:val="single"/>
                    </w:rPr>
                  </w:pPr>
                  <w:r>
                    <w:rPr>
                      <w:color w:val="auto"/>
                      <w:u w:val="single"/>
                    </w:rPr>
                    <w:t>厂界噪声</w:t>
                  </w:r>
                </w:p>
              </w:tc>
              <w:tc>
                <w:tcPr>
                  <w:tcW w:w="1915" w:type="dxa"/>
                  <w:vAlign w:val="center"/>
                </w:tcPr>
                <w:p>
                  <w:pPr>
                    <w:pStyle w:val="20"/>
                    <w:adjustRightInd w:val="0"/>
                    <w:snapToGrid w:val="0"/>
                    <w:spacing w:line="240" w:lineRule="auto"/>
                    <w:rPr>
                      <w:color w:val="auto"/>
                      <w:u w:val="single"/>
                    </w:rPr>
                  </w:pPr>
                  <w:r>
                    <w:rPr>
                      <w:color w:val="auto"/>
                      <w:u w:val="single"/>
                    </w:rPr>
                    <w:t>LeqA</w:t>
                  </w:r>
                </w:p>
              </w:tc>
              <w:tc>
                <w:tcPr>
                  <w:tcW w:w="2266" w:type="dxa"/>
                  <w:vAlign w:val="center"/>
                </w:tcPr>
                <w:p>
                  <w:pPr>
                    <w:pStyle w:val="20"/>
                    <w:adjustRightInd w:val="0"/>
                    <w:snapToGrid w:val="0"/>
                    <w:spacing w:line="240" w:lineRule="auto"/>
                    <w:rPr>
                      <w:color w:val="auto"/>
                      <w:u w:val="single"/>
                    </w:rPr>
                  </w:pPr>
                  <w:r>
                    <w:rPr>
                      <w:rFonts w:hint="eastAsia"/>
                      <w:color w:val="auto"/>
                      <w:u w:val="single"/>
                    </w:rPr>
                    <w:t>1次/年，昼夜各一次</w:t>
                  </w:r>
                </w:p>
              </w:tc>
            </w:tr>
          </w:tbl>
          <w:p>
            <w:pPr>
              <w:ind w:firstLine="480"/>
              <w:jc w:val="both"/>
              <w:rPr>
                <w:color w:val="auto"/>
                <w:szCs w:val="21"/>
              </w:rPr>
            </w:pPr>
            <w:r>
              <w:rPr>
                <w:color w:val="auto"/>
                <w:szCs w:val="21"/>
              </w:rPr>
              <w:t>采样口设置：采样孔位置应优先选择在垂直管段和烟道负压区域。</w:t>
            </w:r>
          </w:p>
          <w:p>
            <w:pPr>
              <w:ind w:firstLine="480"/>
              <w:jc w:val="both"/>
              <w:rPr>
                <w:color w:val="auto"/>
                <w:szCs w:val="21"/>
              </w:rPr>
            </w:pPr>
            <w:r>
              <w:rPr>
                <w:color w:val="auto"/>
                <w:szCs w:val="21"/>
              </w:rPr>
              <w:t>位置应避开烟道弯头和断面急剧变化的部位，设置在距弯头、阀门、变径管下游方向不小于6倍烟道直径处，以及距上述部件上游方向不小于3倍烟道直径处。对矩形烟道，其当量直径 D=2AB/（A+B），式中 A、B 为边长。当安装位置不能满足上述要求时，应尽可能选择在气流稳定的断面，但安装位置前直管段的长度必须大于安装位置后直管段的长度，同时采样孔距弯头、阀门、变径管下游距离至少是烟道直径的 1.5 倍。采样断面的气流速度在 5m/s 以上。</w:t>
            </w:r>
          </w:p>
          <w:p>
            <w:pPr>
              <w:ind w:firstLine="480"/>
              <w:jc w:val="both"/>
              <w:rPr>
                <w:color w:val="auto"/>
                <w:szCs w:val="21"/>
              </w:rPr>
            </w:pPr>
            <w:r>
              <w:rPr>
                <w:color w:val="auto"/>
                <w:szCs w:val="21"/>
              </w:rPr>
              <w:t>采样平台设置：采样平台为检测人员采样设置，应有足够的工作面积使工作人员安全、方便地操作。平台面积应不小于 1.5m</w:t>
            </w:r>
            <w:r>
              <w:rPr>
                <w:color w:val="auto"/>
                <w:szCs w:val="21"/>
                <w:vertAlign w:val="superscript"/>
              </w:rPr>
              <w:t>2</w:t>
            </w:r>
            <w:r>
              <w:rPr>
                <w:color w:val="auto"/>
                <w:szCs w:val="21"/>
              </w:rPr>
              <w:t>（建议 2×1.5m</w:t>
            </w:r>
            <w:r>
              <w:rPr>
                <w:color w:val="auto"/>
                <w:szCs w:val="21"/>
                <w:vertAlign w:val="superscript"/>
              </w:rPr>
              <w:t>2</w:t>
            </w:r>
            <w:r>
              <w:rPr>
                <w:color w:val="auto"/>
                <w:szCs w:val="21"/>
              </w:rPr>
              <w:t xml:space="preserve"> 以上），并设有 1.2m 高的护栏和不低于10cm的脚部挡板，采样平台的承重应不小于 200kg/m</w:t>
            </w:r>
            <w:r>
              <w:rPr>
                <w:color w:val="auto"/>
                <w:szCs w:val="21"/>
                <w:vertAlign w:val="superscript"/>
              </w:rPr>
              <w:t>2</w:t>
            </w:r>
            <w:r>
              <w:rPr>
                <w:color w:val="auto"/>
                <w:szCs w:val="21"/>
              </w:rPr>
              <w:t>，采样平台面距采样孔约为 1.2-1.3m。</w:t>
            </w:r>
          </w:p>
          <w:p>
            <w:pPr>
              <w:ind w:firstLine="480"/>
              <w:jc w:val="both"/>
              <w:rPr>
                <w:color w:val="auto"/>
                <w:szCs w:val="21"/>
              </w:rPr>
            </w:pPr>
            <w:r>
              <w:rPr>
                <w:color w:val="auto"/>
                <w:szCs w:val="21"/>
              </w:rPr>
              <w:t>采样平台应设置永久性的电源。平台上方应建有防雨棚。</w:t>
            </w:r>
          </w:p>
          <w:p>
            <w:pPr>
              <w:ind w:firstLine="480"/>
              <w:jc w:val="both"/>
              <w:rPr>
                <w:color w:val="auto"/>
                <w:szCs w:val="21"/>
              </w:rPr>
            </w:pPr>
            <w:r>
              <w:rPr>
                <w:color w:val="auto"/>
                <w:szCs w:val="21"/>
              </w:rPr>
              <w:t>采样平台易于人员到达，应建设监测安全通道。当采样平台设置高于地面时，应有通往平台的 Z 字梯/旋梯/升降梯，切勿设置猪笼梯等不安全通道。</w:t>
            </w:r>
          </w:p>
          <w:p>
            <w:pPr>
              <w:ind w:firstLine="480"/>
              <w:jc w:val="both"/>
              <w:rPr>
                <w:color w:val="auto"/>
                <w:szCs w:val="21"/>
              </w:rPr>
            </w:pPr>
            <w:r>
              <w:rPr>
                <w:color w:val="auto"/>
                <w:szCs w:val="21"/>
              </w:rPr>
              <w:t>排污口标志牌的图形标志、图形颜色及装置颜色、标志牌材质、表面处理、外观质量以及字体等要求应符合《环境保护图形标志-排放口（源）》（GB15562.1-1995）、《环境保护图形标志－固体废物贮存（处置）场》（GB15562.2-1995）及《山东省污水排放口环境信息公开技术规范》（DB37/T 2463-2014）等的要求。</w:t>
            </w:r>
          </w:p>
          <w:p>
            <w:pPr>
              <w:ind w:firstLine="480"/>
              <w:jc w:val="both"/>
              <w:rPr>
                <w:color w:val="auto"/>
              </w:rPr>
            </w:pPr>
            <w:r>
              <w:rPr>
                <w:color w:val="auto"/>
                <w:szCs w:val="21"/>
              </w:rPr>
              <w:t>各排污口排放源的图形符号分为提示图形符号和警告图形符号两种，其中提示图形符号用于向人们提供某种环境信息，警告图形符号用于提醒人们注意污染物排放可能会造成危害。排污口标志牌设置情况见</w:t>
            </w:r>
            <w:r>
              <w:rPr>
                <w:rFonts w:hint="eastAsia"/>
                <w:color w:val="auto"/>
                <w:szCs w:val="21"/>
              </w:rPr>
              <w:t>下</w:t>
            </w:r>
            <w:r>
              <w:rPr>
                <w:color w:val="auto"/>
                <w:szCs w:val="21"/>
              </w:rPr>
              <w:t>表。</w:t>
            </w:r>
          </w:p>
          <w:p>
            <w:pPr>
              <w:ind w:firstLine="0" w:firstLineChars="0"/>
              <w:jc w:val="center"/>
              <w:outlineLvl w:val="1"/>
              <w:rPr>
                <w:b/>
                <w:bCs/>
                <w:color w:val="auto"/>
                <w:kern w:val="28"/>
                <w:szCs w:val="32"/>
              </w:rPr>
            </w:pPr>
            <w:r>
              <w:rPr>
                <w:rFonts w:hint="eastAsia"/>
                <w:b/>
                <w:bCs/>
                <w:color w:val="auto"/>
                <w:kern w:val="28"/>
                <w:szCs w:val="32"/>
              </w:rPr>
              <w:t>表7-26</w:t>
            </w:r>
            <w:r>
              <w:rPr>
                <w:rFonts w:hint="eastAsia"/>
                <w:b/>
                <w:bCs/>
                <w:color w:val="auto"/>
                <w:kern w:val="28"/>
                <w:szCs w:val="32"/>
                <w:lang w:val="en-US" w:eastAsia="zh-CN"/>
              </w:rPr>
              <w:t xml:space="preserve">   </w:t>
            </w:r>
            <w:r>
              <w:rPr>
                <w:b/>
                <w:bCs/>
                <w:color w:val="auto"/>
                <w:kern w:val="28"/>
                <w:szCs w:val="32"/>
              </w:rPr>
              <w:t>排污口标志牌设置情况一览表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989"/>
              <w:gridCol w:w="1798"/>
              <w:gridCol w:w="1798"/>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bCs/>
                      <w:color w:val="auto"/>
                      <w:kern w:val="0"/>
                      <w:sz w:val="21"/>
                      <w:szCs w:val="21"/>
                    </w:rPr>
                  </w:pPr>
                  <w:r>
                    <w:rPr>
                      <w:bCs/>
                      <w:color w:val="auto"/>
                      <w:kern w:val="0"/>
                      <w:sz w:val="21"/>
                      <w:szCs w:val="21"/>
                    </w:rPr>
                    <w:t>序号</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b/>
                      <w:color w:val="auto"/>
                      <w:kern w:val="0"/>
                      <w:szCs w:val="21"/>
                    </w:rPr>
                  </w:pPr>
                  <w:r>
                    <w:rPr>
                      <w:b/>
                      <w:color w:val="auto"/>
                      <w:kern w:val="0"/>
                      <w:szCs w:val="21"/>
                    </w:rPr>
                    <w:t>提示图形符号</w:t>
                  </w: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b/>
                      <w:color w:val="auto"/>
                      <w:kern w:val="0"/>
                      <w:szCs w:val="21"/>
                    </w:rPr>
                  </w:pPr>
                  <w:r>
                    <w:rPr>
                      <w:bCs/>
                      <w:color w:val="auto"/>
                      <w:kern w:val="0"/>
                      <w:sz w:val="21"/>
                      <w:szCs w:val="21"/>
                    </w:rPr>
                    <w:t>警告图形标志</w:t>
                  </w: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bCs/>
                      <w:color w:val="auto"/>
                      <w:kern w:val="0"/>
                      <w:sz w:val="21"/>
                      <w:szCs w:val="21"/>
                    </w:rPr>
                  </w:pPr>
                  <w:r>
                    <w:rPr>
                      <w:bCs/>
                      <w:color w:val="auto"/>
                      <w:kern w:val="0"/>
                      <w:sz w:val="21"/>
                      <w:szCs w:val="21"/>
                    </w:rPr>
                    <w:t>名称</w:t>
                  </w:r>
                </w:p>
              </w:tc>
              <w:tc>
                <w:tcPr>
                  <w:tcW w:w="1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bCs/>
                      <w:color w:val="auto"/>
                      <w:kern w:val="0"/>
                      <w:sz w:val="21"/>
                      <w:szCs w:val="21"/>
                    </w:rPr>
                  </w:pPr>
                  <w:r>
                    <w:rPr>
                      <w:bCs/>
                      <w:color w:val="auto"/>
                      <w:kern w:val="0"/>
                      <w:sz w:val="21"/>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bCs/>
                      <w:color w:val="auto"/>
                      <w:kern w:val="0"/>
                      <w:sz w:val="21"/>
                      <w:szCs w:val="21"/>
                    </w:rPr>
                  </w:pPr>
                  <w:r>
                    <w:rPr>
                      <w:bCs/>
                      <w:color w:val="auto"/>
                      <w:kern w:val="0"/>
                      <w:sz w:val="21"/>
                      <w:szCs w:val="21"/>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kern w:val="0"/>
                      <w:szCs w:val="21"/>
                    </w:rPr>
                  </w:pPr>
                  <w:r>
                    <w:rPr>
                      <w:color w:val="auto"/>
                      <w:kern w:val="0"/>
                      <w:szCs w:val="21"/>
                    </w:rPr>
                    <w:drawing>
                      <wp:inline distT="0" distB="0" distL="0" distR="0">
                        <wp:extent cx="647700" cy="647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a:xfrm>
                                  <a:off x="0" y="0"/>
                                  <a:ext cx="647700" cy="647700"/>
                                </a:xfrm>
                                <a:prstGeom prst="rect">
                                  <a:avLst/>
                                </a:prstGeom>
                                <a:noFill/>
                                <a:ln>
                                  <a:noFill/>
                                </a:ln>
                              </pic:spPr>
                            </pic:pic>
                          </a:graphicData>
                        </a:graphic>
                      </wp:inline>
                    </w:drawing>
                  </w: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rPr>
                      <w:color w:val="auto"/>
                      <w:szCs w:val="21"/>
                    </w:rPr>
                  </w:pPr>
                  <w:r>
                    <w:rPr>
                      <w:color w:val="auto"/>
                      <w:szCs w:val="21"/>
                    </w:rPr>
                    <w:drawing>
                      <wp:inline distT="0" distB="0" distL="0" distR="0">
                        <wp:extent cx="742950" cy="6572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a:xfrm>
                                  <a:off x="0" y="0"/>
                                  <a:ext cx="742950" cy="657225"/>
                                </a:xfrm>
                                <a:prstGeom prst="rect">
                                  <a:avLst/>
                                </a:prstGeom>
                                <a:noFill/>
                                <a:ln>
                                  <a:noFill/>
                                </a:ln>
                              </pic:spPr>
                            </pic:pic>
                          </a:graphicData>
                        </a:graphic>
                      </wp:inline>
                    </w:drawing>
                  </w: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kern w:val="0"/>
                      <w:szCs w:val="21"/>
                    </w:rPr>
                  </w:pPr>
                  <w:r>
                    <w:rPr>
                      <w:bCs/>
                      <w:color w:val="auto"/>
                      <w:kern w:val="0"/>
                      <w:sz w:val="21"/>
                      <w:szCs w:val="21"/>
                    </w:rPr>
                    <w:t>废气排放口</w:t>
                  </w:r>
                </w:p>
              </w:tc>
              <w:tc>
                <w:tcPr>
                  <w:tcW w:w="1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color w:val="auto"/>
                      <w:kern w:val="0"/>
                      <w:szCs w:val="21"/>
                    </w:rPr>
                  </w:pPr>
                  <w:r>
                    <w:rPr>
                      <w:color w:val="auto"/>
                      <w:kern w:val="0"/>
                      <w:szCs w:val="21"/>
                    </w:rPr>
                    <w:t xml:space="preserve">表示废气向 </w:t>
                  </w:r>
                </w:p>
                <w:p>
                  <w:pPr>
                    <w:ind w:firstLine="480"/>
                    <w:jc w:val="center"/>
                    <w:rPr>
                      <w:color w:val="auto"/>
                      <w:szCs w:val="21"/>
                    </w:rPr>
                  </w:pPr>
                  <w:r>
                    <w:rPr>
                      <w:color w:val="auto"/>
                      <w:szCs w:val="21"/>
                    </w:rPr>
                    <w:t>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66" w:type="pct"/>
                  <w:shd w:val="clear" w:color="auto" w:fill="auto"/>
                  <w:vAlign w:val="center"/>
                </w:tcPr>
                <w:p>
                  <w:pPr>
                    <w:spacing w:line="240" w:lineRule="auto"/>
                    <w:ind w:firstLine="0" w:firstLineChars="0"/>
                    <w:jc w:val="center"/>
                    <w:rPr>
                      <w:bCs/>
                      <w:color w:val="auto"/>
                      <w:kern w:val="0"/>
                      <w:sz w:val="21"/>
                      <w:szCs w:val="21"/>
                    </w:rPr>
                  </w:pPr>
                  <w:r>
                    <w:rPr>
                      <w:bCs/>
                      <w:color w:val="auto"/>
                      <w:kern w:val="0"/>
                      <w:sz w:val="21"/>
                      <w:szCs w:val="21"/>
                    </w:rPr>
                    <w:t>2</w:t>
                  </w:r>
                </w:p>
              </w:tc>
              <w:tc>
                <w:tcPr>
                  <w:tcW w:w="1111" w:type="pct"/>
                  <w:shd w:val="clear" w:color="auto" w:fill="auto"/>
                  <w:vAlign w:val="center"/>
                </w:tcPr>
                <w:p>
                  <w:pPr>
                    <w:spacing w:line="240" w:lineRule="auto"/>
                    <w:ind w:firstLine="0" w:firstLineChars="0"/>
                    <w:jc w:val="center"/>
                    <w:rPr>
                      <w:bCs/>
                      <w:color w:val="auto"/>
                      <w:kern w:val="0"/>
                      <w:sz w:val="21"/>
                      <w:szCs w:val="21"/>
                    </w:rPr>
                  </w:pPr>
                  <w:r>
                    <w:rPr>
                      <w:color w:val="auto"/>
                      <w:kern w:val="0"/>
                      <w:sz w:val="21"/>
                      <w:szCs w:val="21"/>
                    </w:rPr>
                    <w:drawing>
                      <wp:inline distT="0" distB="0" distL="0" distR="0">
                        <wp:extent cx="590550" cy="590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a:xfrm>
                                  <a:off x="0" y="0"/>
                                  <a:ext cx="590550" cy="590550"/>
                                </a:xfrm>
                                <a:prstGeom prst="rect">
                                  <a:avLst/>
                                </a:prstGeom>
                                <a:noFill/>
                                <a:ln>
                                  <a:noFill/>
                                </a:ln>
                              </pic:spPr>
                            </pic:pic>
                          </a:graphicData>
                        </a:graphic>
                      </wp:inline>
                    </w:drawing>
                  </w:r>
                </w:p>
              </w:tc>
              <w:tc>
                <w:tcPr>
                  <w:tcW w:w="1004" w:type="pct"/>
                  <w:shd w:val="clear" w:color="auto" w:fill="auto"/>
                  <w:vAlign w:val="center"/>
                </w:tcPr>
                <w:p>
                  <w:pPr>
                    <w:ind w:firstLine="0" w:firstLineChars="0"/>
                    <w:jc w:val="center"/>
                    <w:rPr>
                      <w:color w:val="auto"/>
                      <w:szCs w:val="21"/>
                    </w:rPr>
                  </w:pPr>
                  <w:r>
                    <w:rPr>
                      <w:color w:val="auto"/>
                      <w:szCs w:val="21"/>
                    </w:rPr>
                    <w:drawing>
                      <wp:inline distT="0" distB="0" distL="0" distR="0">
                        <wp:extent cx="771525" cy="676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a:xfrm>
                                  <a:off x="0" y="0"/>
                                  <a:ext cx="771525" cy="676275"/>
                                </a:xfrm>
                                <a:prstGeom prst="rect">
                                  <a:avLst/>
                                </a:prstGeom>
                                <a:noFill/>
                                <a:ln>
                                  <a:noFill/>
                                </a:ln>
                              </pic:spPr>
                            </pic:pic>
                          </a:graphicData>
                        </a:graphic>
                      </wp:inline>
                    </w:drawing>
                  </w:r>
                </w:p>
              </w:tc>
              <w:tc>
                <w:tcPr>
                  <w:tcW w:w="1004" w:type="pct"/>
                  <w:shd w:val="clear" w:color="auto" w:fill="auto"/>
                  <w:vAlign w:val="center"/>
                </w:tcPr>
                <w:p>
                  <w:pPr>
                    <w:spacing w:line="240" w:lineRule="auto"/>
                    <w:ind w:firstLine="0" w:firstLineChars="0"/>
                    <w:jc w:val="center"/>
                    <w:rPr>
                      <w:color w:val="auto"/>
                      <w:kern w:val="0"/>
                      <w:szCs w:val="21"/>
                    </w:rPr>
                  </w:pPr>
                  <w:r>
                    <w:rPr>
                      <w:bCs/>
                      <w:color w:val="auto"/>
                      <w:kern w:val="0"/>
                      <w:sz w:val="21"/>
                      <w:szCs w:val="21"/>
                    </w:rPr>
                    <w:t>噪声排放源</w:t>
                  </w:r>
                </w:p>
              </w:tc>
              <w:tc>
                <w:tcPr>
                  <w:tcW w:w="1515" w:type="pct"/>
                  <w:shd w:val="clear" w:color="auto" w:fill="auto"/>
                  <w:vAlign w:val="center"/>
                </w:tcPr>
                <w:p>
                  <w:pPr>
                    <w:spacing w:line="240" w:lineRule="auto"/>
                    <w:ind w:firstLine="0" w:firstLineChars="0"/>
                    <w:jc w:val="center"/>
                    <w:rPr>
                      <w:bCs/>
                      <w:color w:val="auto"/>
                      <w:kern w:val="0"/>
                      <w:sz w:val="21"/>
                      <w:szCs w:val="21"/>
                    </w:rPr>
                  </w:pPr>
                  <w:r>
                    <w:rPr>
                      <w:bCs/>
                      <w:color w:val="auto"/>
                      <w:kern w:val="0"/>
                      <w:sz w:val="21"/>
                      <w:szCs w:val="21"/>
                    </w:rPr>
                    <w:t>表示噪声向</w:t>
                  </w:r>
                </w:p>
                <w:p>
                  <w:pPr>
                    <w:spacing w:line="240" w:lineRule="auto"/>
                    <w:ind w:firstLine="0" w:firstLineChars="0"/>
                    <w:jc w:val="center"/>
                    <w:rPr>
                      <w:bCs/>
                      <w:color w:val="auto"/>
                      <w:kern w:val="0"/>
                      <w:sz w:val="21"/>
                      <w:szCs w:val="21"/>
                    </w:rPr>
                  </w:pPr>
                  <w:r>
                    <w:rPr>
                      <w:bCs/>
                      <w:color w:val="auto"/>
                      <w:kern w:val="0"/>
                      <w:sz w:val="21"/>
                      <w:szCs w:val="21"/>
                    </w:rPr>
                    <w:t>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66" w:type="pct"/>
                  <w:shd w:val="clear" w:color="auto" w:fill="auto"/>
                  <w:vAlign w:val="center"/>
                </w:tcPr>
                <w:p>
                  <w:pPr>
                    <w:spacing w:line="240" w:lineRule="auto"/>
                    <w:ind w:firstLine="0" w:firstLineChars="0"/>
                    <w:jc w:val="center"/>
                    <w:rPr>
                      <w:bCs/>
                      <w:color w:val="auto"/>
                      <w:kern w:val="0"/>
                      <w:sz w:val="21"/>
                      <w:szCs w:val="21"/>
                    </w:rPr>
                  </w:pPr>
                  <w:r>
                    <w:rPr>
                      <w:bCs/>
                      <w:color w:val="auto"/>
                      <w:kern w:val="0"/>
                      <w:sz w:val="21"/>
                      <w:szCs w:val="21"/>
                    </w:rPr>
                    <w:t>3</w:t>
                  </w:r>
                </w:p>
              </w:tc>
              <w:tc>
                <w:tcPr>
                  <w:tcW w:w="1111" w:type="pct"/>
                  <w:shd w:val="clear" w:color="auto" w:fill="auto"/>
                  <w:vAlign w:val="center"/>
                </w:tcPr>
                <w:p>
                  <w:pPr>
                    <w:spacing w:line="240" w:lineRule="auto"/>
                    <w:ind w:firstLine="0" w:firstLineChars="0"/>
                    <w:jc w:val="center"/>
                    <w:rPr>
                      <w:bCs/>
                      <w:color w:val="auto"/>
                      <w:kern w:val="0"/>
                      <w:sz w:val="21"/>
                      <w:szCs w:val="21"/>
                    </w:rPr>
                  </w:pPr>
                  <w:r>
                    <w:rPr>
                      <w:color w:val="auto"/>
                      <w:kern w:val="0"/>
                      <w:sz w:val="21"/>
                      <w:szCs w:val="21"/>
                    </w:rPr>
                    <w:drawing>
                      <wp:inline distT="0" distB="0" distL="0" distR="0">
                        <wp:extent cx="638175" cy="6381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a:xfrm>
                                  <a:off x="0" y="0"/>
                                  <a:ext cx="638175" cy="638175"/>
                                </a:xfrm>
                                <a:prstGeom prst="rect">
                                  <a:avLst/>
                                </a:prstGeom>
                                <a:noFill/>
                                <a:ln>
                                  <a:noFill/>
                                </a:ln>
                              </pic:spPr>
                            </pic:pic>
                          </a:graphicData>
                        </a:graphic>
                      </wp:inline>
                    </w:drawing>
                  </w:r>
                </w:p>
              </w:tc>
              <w:tc>
                <w:tcPr>
                  <w:tcW w:w="1004" w:type="pct"/>
                  <w:shd w:val="clear" w:color="auto" w:fill="auto"/>
                  <w:vAlign w:val="center"/>
                </w:tcPr>
                <w:p>
                  <w:pPr>
                    <w:ind w:firstLine="0" w:firstLineChars="0"/>
                    <w:jc w:val="center"/>
                    <w:rPr>
                      <w:color w:val="auto"/>
                      <w:szCs w:val="21"/>
                    </w:rPr>
                  </w:pPr>
                  <w:r>
                    <w:rPr>
                      <w:color w:val="auto"/>
                      <w:szCs w:val="21"/>
                    </w:rPr>
                    <w:drawing>
                      <wp:inline distT="0" distB="0" distL="0" distR="0">
                        <wp:extent cx="752475" cy="6762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52475" cy="676275"/>
                                </a:xfrm>
                                <a:prstGeom prst="rect">
                                  <a:avLst/>
                                </a:prstGeom>
                                <a:noFill/>
                                <a:ln>
                                  <a:noFill/>
                                </a:ln>
                              </pic:spPr>
                            </pic:pic>
                          </a:graphicData>
                        </a:graphic>
                      </wp:inline>
                    </w:drawing>
                  </w:r>
                </w:p>
              </w:tc>
              <w:tc>
                <w:tcPr>
                  <w:tcW w:w="1004" w:type="pct"/>
                  <w:shd w:val="clear" w:color="auto" w:fill="auto"/>
                  <w:vAlign w:val="center"/>
                </w:tcPr>
                <w:p>
                  <w:pPr>
                    <w:spacing w:line="240" w:lineRule="auto"/>
                    <w:ind w:firstLine="0" w:firstLineChars="0"/>
                    <w:jc w:val="center"/>
                    <w:rPr>
                      <w:color w:val="auto"/>
                      <w:kern w:val="0"/>
                      <w:szCs w:val="21"/>
                    </w:rPr>
                  </w:pPr>
                  <w:r>
                    <w:rPr>
                      <w:bCs/>
                      <w:color w:val="auto"/>
                      <w:kern w:val="0"/>
                      <w:sz w:val="21"/>
                      <w:szCs w:val="21"/>
                    </w:rPr>
                    <w:t>一般固体废物</w:t>
                  </w:r>
                </w:p>
              </w:tc>
              <w:tc>
                <w:tcPr>
                  <w:tcW w:w="1515" w:type="pct"/>
                  <w:shd w:val="clear" w:color="auto" w:fill="auto"/>
                  <w:vAlign w:val="center"/>
                </w:tcPr>
                <w:p>
                  <w:pPr>
                    <w:spacing w:line="240" w:lineRule="auto"/>
                    <w:ind w:firstLine="0" w:firstLineChars="0"/>
                    <w:jc w:val="center"/>
                    <w:rPr>
                      <w:color w:val="auto"/>
                      <w:kern w:val="0"/>
                      <w:szCs w:val="21"/>
                    </w:rPr>
                  </w:pPr>
                  <w:r>
                    <w:rPr>
                      <w:bCs/>
                      <w:color w:val="auto"/>
                      <w:kern w:val="0"/>
                      <w:sz w:val="21"/>
                      <w:szCs w:val="21"/>
                    </w:rPr>
                    <w:t>表示一般固体废物贮存</w:t>
                  </w:r>
                  <w:r>
                    <w:rPr>
                      <w:color w:val="auto"/>
                      <w:kern w:val="0"/>
                      <w:szCs w:val="21"/>
                    </w:rPr>
                    <w:t>、处置场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66" w:type="pct"/>
                  <w:shd w:val="clear" w:color="auto" w:fill="auto"/>
                  <w:vAlign w:val="center"/>
                </w:tcPr>
                <w:p>
                  <w:pPr>
                    <w:spacing w:line="240" w:lineRule="auto"/>
                    <w:ind w:firstLine="0" w:firstLineChars="0"/>
                    <w:jc w:val="center"/>
                    <w:rPr>
                      <w:bCs/>
                      <w:color w:val="auto"/>
                      <w:kern w:val="0"/>
                      <w:sz w:val="21"/>
                      <w:szCs w:val="21"/>
                    </w:rPr>
                  </w:pPr>
                  <w:r>
                    <w:rPr>
                      <w:bCs/>
                      <w:color w:val="auto"/>
                      <w:kern w:val="0"/>
                      <w:sz w:val="21"/>
                      <w:szCs w:val="21"/>
                    </w:rPr>
                    <w:t>4</w:t>
                  </w:r>
                </w:p>
              </w:tc>
              <w:tc>
                <w:tcPr>
                  <w:tcW w:w="1111" w:type="pct"/>
                  <w:shd w:val="clear" w:color="auto" w:fill="auto"/>
                  <w:vAlign w:val="center"/>
                </w:tcPr>
                <w:p>
                  <w:pPr>
                    <w:spacing w:line="240" w:lineRule="auto"/>
                    <w:ind w:firstLine="0" w:firstLineChars="0"/>
                    <w:jc w:val="center"/>
                    <w:rPr>
                      <w:color w:val="auto"/>
                      <w:kern w:val="0"/>
                      <w:szCs w:val="21"/>
                    </w:rPr>
                  </w:pPr>
                  <w:r>
                    <w:rPr>
                      <w:color w:val="auto"/>
                      <w:kern w:val="0"/>
                      <w:szCs w:val="21"/>
                    </w:rPr>
                    <w:t>——</w:t>
                  </w:r>
                </w:p>
              </w:tc>
              <w:tc>
                <w:tcPr>
                  <w:tcW w:w="1004" w:type="pct"/>
                  <w:shd w:val="clear" w:color="auto" w:fill="auto"/>
                  <w:vAlign w:val="center"/>
                </w:tcPr>
                <w:p>
                  <w:pPr>
                    <w:ind w:firstLine="0" w:firstLineChars="0"/>
                    <w:jc w:val="center"/>
                    <w:rPr>
                      <w:color w:val="auto"/>
                      <w:szCs w:val="21"/>
                    </w:rPr>
                  </w:pPr>
                  <w:r>
                    <w:rPr>
                      <w:color w:val="auto"/>
                      <w:szCs w:val="21"/>
                    </w:rPr>
                    <w:drawing>
                      <wp:inline distT="0" distB="0" distL="0" distR="0">
                        <wp:extent cx="742950" cy="742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a:xfrm>
                                  <a:off x="0" y="0"/>
                                  <a:ext cx="742950" cy="742950"/>
                                </a:xfrm>
                                <a:prstGeom prst="rect">
                                  <a:avLst/>
                                </a:prstGeom>
                                <a:noFill/>
                                <a:ln>
                                  <a:noFill/>
                                </a:ln>
                              </pic:spPr>
                            </pic:pic>
                          </a:graphicData>
                        </a:graphic>
                      </wp:inline>
                    </w:drawing>
                  </w:r>
                </w:p>
              </w:tc>
              <w:tc>
                <w:tcPr>
                  <w:tcW w:w="1004" w:type="pct"/>
                  <w:shd w:val="clear" w:color="auto" w:fill="auto"/>
                  <w:vAlign w:val="center"/>
                </w:tcPr>
                <w:p>
                  <w:pPr>
                    <w:spacing w:line="240" w:lineRule="auto"/>
                    <w:ind w:firstLine="0" w:firstLineChars="0"/>
                    <w:jc w:val="center"/>
                    <w:rPr>
                      <w:color w:val="auto"/>
                      <w:kern w:val="0"/>
                      <w:szCs w:val="21"/>
                    </w:rPr>
                  </w:pPr>
                  <w:r>
                    <w:rPr>
                      <w:bCs/>
                      <w:color w:val="auto"/>
                      <w:kern w:val="0"/>
                      <w:sz w:val="21"/>
                      <w:szCs w:val="21"/>
                    </w:rPr>
                    <w:t>危险废物</w:t>
                  </w:r>
                </w:p>
              </w:tc>
              <w:tc>
                <w:tcPr>
                  <w:tcW w:w="1515" w:type="pct"/>
                  <w:shd w:val="clear" w:color="auto" w:fill="auto"/>
                  <w:vAlign w:val="center"/>
                </w:tcPr>
                <w:p>
                  <w:pPr>
                    <w:spacing w:line="240" w:lineRule="auto"/>
                    <w:ind w:firstLine="0" w:firstLineChars="0"/>
                    <w:jc w:val="center"/>
                    <w:rPr>
                      <w:color w:val="auto"/>
                      <w:kern w:val="0"/>
                      <w:szCs w:val="21"/>
                    </w:rPr>
                  </w:pPr>
                  <w:r>
                    <w:rPr>
                      <w:bCs/>
                      <w:color w:val="auto"/>
                      <w:kern w:val="0"/>
                      <w:sz w:val="21"/>
                      <w:szCs w:val="21"/>
                    </w:rPr>
                    <w:t>表示危险废物贮存</w:t>
                  </w:r>
                  <w:r>
                    <w:rPr>
                      <w:color w:val="auto"/>
                      <w:kern w:val="0"/>
                      <w:szCs w:val="21"/>
                    </w:rPr>
                    <w:t>、处置场</w:t>
                  </w:r>
                </w:p>
              </w:tc>
            </w:tr>
          </w:tbl>
          <w:p>
            <w:pPr>
              <w:keepNext/>
              <w:keepLines/>
              <w:ind w:firstLine="482"/>
              <w:jc w:val="both"/>
              <w:outlineLvl w:val="2"/>
              <w:rPr>
                <w:b/>
                <w:bCs/>
                <w:color w:val="auto"/>
                <w:szCs w:val="32"/>
                <w:u w:val="single"/>
              </w:rPr>
            </w:pPr>
            <w:r>
              <w:rPr>
                <w:rFonts w:hint="eastAsia"/>
                <w:b/>
                <w:bCs/>
                <w:color w:val="auto"/>
                <w:szCs w:val="32"/>
                <w:u w:val="single"/>
              </w:rPr>
              <w:t>（3）总量控制</w:t>
            </w:r>
          </w:p>
          <w:p>
            <w:pPr>
              <w:pStyle w:val="2"/>
              <w:ind w:left="0" w:leftChars="0" w:firstLine="480"/>
              <w:rPr>
                <w:color w:val="auto"/>
                <w:u w:val="single"/>
              </w:rPr>
            </w:pPr>
            <w:r>
              <w:rPr>
                <w:rFonts w:hint="eastAsia"/>
                <w:color w:val="auto"/>
                <w:u w:val="single"/>
              </w:rPr>
              <w:t>根据工程分析与计算，本项目无需设置水污染物总量控制指标，本次环评建议大气总量控制指标为VOCs：</w:t>
            </w:r>
            <w:r>
              <w:rPr>
                <w:rFonts w:hint="eastAsia"/>
                <w:color w:val="auto"/>
                <w:u w:val="single"/>
                <w:lang w:val="en-US" w:eastAsia="zh-CN"/>
              </w:rPr>
              <w:t>0.63</w:t>
            </w:r>
            <w:r>
              <w:rPr>
                <w:rFonts w:hint="eastAsia"/>
                <w:color w:val="auto"/>
                <w:u w:val="single"/>
              </w:rPr>
              <w:t>t/a。</w:t>
            </w:r>
          </w:p>
          <w:p>
            <w:pPr>
              <w:keepNext/>
              <w:keepLines/>
              <w:ind w:firstLine="482"/>
              <w:jc w:val="both"/>
              <w:outlineLvl w:val="2"/>
              <w:rPr>
                <w:b/>
                <w:bCs/>
                <w:color w:val="auto"/>
                <w:szCs w:val="32"/>
              </w:rPr>
            </w:pPr>
            <w:r>
              <w:rPr>
                <w:rFonts w:hint="eastAsia"/>
                <w:b/>
                <w:bCs/>
                <w:color w:val="auto"/>
                <w:szCs w:val="32"/>
              </w:rPr>
              <w:t>九</w:t>
            </w:r>
            <w:r>
              <w:rPr>
                <w:b/>
                <w:bCs/>
                <w:color w:val="auto"/>
                <w:szCs w:val="32"/>
              </w:rPr>
              <w:t>、环保投资</w:t>
            </w:r>
          </w:p>
          <w:p>
            <w:pPr>
              <w:ind w:firstLine="480"/>
              <w:jc w:val="both"/>
              <w:rPr>
                <w:color w:val="auto"/>
              </w:rPr>
            </w:pPr>
            <w:r>
              <w:rPr>
                <w:color w:val="auto"/>
              </w:rPr>
              <w:t>项目环保投资约</w:t>
            </w:r>
            <w:r>
              <w:rPr>
                <w:rFonts w:hint="eastAsia"/>
                <w:color w:val="auto"/>
              </w:rPr>
              <w:t>48</w:t>
            </w:r>
            <w:r>
              <w:rPr>
                <w:color w:val="auto"/>
              </w:rPr>
              <w:t>万元，占项目总投资的</w:t>
            </w:r>
            <w:r>
              <w:rPr>
                <w:rFonts w:hint="eastAsia"/>
                <w:color w:val="auto"/>
              </w:rPr>
              <w:t>9.6%</w:t>
            </w:r>
            <w:r>
              <w:rPr>
                <w:color w:val="auto"/>
              </w:rPr>
              <w:t>。本项目环保投资情况见表</w:t>
            </w:r>
            <w:r>
              <w:rPr>
                <w:rFonts w:hint="eastAsia"/>
                <w:color w:val="auto"/>
              </w:rPr>
              <w:t>7-27</w:t>
            </w:r>
            <w:r>
              <w:rPr>
                <w:color w:val="auto"/>
              </w:rPr>
              <w:t>。</w:t>
            </w:r>
          </w:p>
          <w:p>
            <w:pPr>
              <w:spacing w:beforeLines="50" w:line="240" w:lineRule="auto"/>
              <w:ind w:firstLine="0" w:firstLineChars="0"/>
              <w:jc w:val="center"/>
              <w:rPr>
                <w:b/>
                <w:color w:val="auto"/>
              </w:rPr>
            </w:pPr>
            <w:r>
              <w:rPr>
                <w:b/>
                <w:color w:val="auto"/>
              </w:rPr>
              <w:t>表</w:t>
            </w:r>
            <w:r>
              <w:rPr>
                <w:rFonts w:hint="eastAsia"/>
                <w:b/>
                <w:color w:val="auto"/>
              </w:rPr>
              <w:t>7-27</w:t>
            </w:r>
            <w:r>
              <w:rPr>
                <w:rFonts w:hint="eastAsia"/>
                <w:b/>
                <w:color w:val="auto"/>
                <w:lang w:val="en-US" w:eastAsia="zh-CN"/>
              </w:rPr>
              <w:t xml:space="preserve">   </w:t>
            </w:r>
            <w:r>
              <w:rPr>
                <w:b/>
                <w:color w:val="auto"/>
              </w:rPr>
              <w:t>项目环保投资一览表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687"/>
              <w:gridCol w:w="1346"/>
              <w:gridCol w:w="4593"/>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1" w:type="dxa"/>
                  <w:gridSpan w:val="2"/>
                  <w:vAlign w:val="center"/>
                </w:tcPr>
                <w:p>
                  <w:pPr>
                    <w:adjustRightInd w:val="0"/>
                    <w:snapToGrid w:val="0"/>
                    <w:spacing w:line="240" w:lineRule="auto"/>
                    <w:ind w:firstLine="0" w:firstLineChars="0"/>
                    <w:jc w:val="center"/>
                    <w:rPr>
                      <w:b/>
                      <w:color w:val="auto"/>
                      <w:sz w:val="21"/>
                      <w:szCs w:val="21"/>
                      <w:u w:val="single"/>
                    </w:rPr>
                  </w:pPr>
                  <w:r>
                    <w:rPr>
                      <w:b/>
                      <w:color w:val="auto"/>
                      <w:sz w:val="21"/>
                      <w:szCs w:val="21"/>
                      <w:u w:val="single"/>
                    </w:rPr>
                    <w:t>项目</w:t>
                  </w:r>
                </w:p>
              </w:tc>
              <w:tc>
                <w:tcPr>
                  <w:tcW w:w="1346" w:type="dxa"/>
                  <w:vAlign w:val="center"/>
                </w:tcPr>
                <w:p>
                  <w:pPr>
                    <w:adjustRightInd w:val="0"/>
                    <w:snapToGrid w:val="0"/>
                    <w:spacing w:line="240" w:lineRule="auto"/>
                    <w:ind w:firstLine="0" w:firstLineChars="0"/>
                    <w:jc w:val="center"/>
                    <w:rPr>
                      <w:b/>
                      <w:color w:val="auto"/>
                      <w:sz w:val="21"/>
                      <w:szCs w:val="21"/>
                      <w:u w:val="single"/>
                    </w:rPr>
                  </w:pPr>
                  <w:r>
                    <w:rPr>
                      <w:b/>
                      <w:color w:val="auto"/>
                      <w:sz w:val="21"/>
                      <w:szCs w:val="21"/>
                      <w:u w:val="single"/>
                    </w:rPr>
                    <w:t>污染物名称</w:t>
                  </w:r>
                </w:p>
              </w:tc>
              <w:tc>
                <w:tcPr>
                  <w:tcW w:w="4593" w:type="dxa"/>
                  <w:vAlign w:val="center"/>
                </w:tcPr>
                <w:p>
                  <w:pPr>
                    <w:adjustRightInd w:val="0"/>
                    <w:snapToGrid w:val="0"/>
                    <w:spacing w:line="240" w:lineRule="auto"/>
                    <w:ind w:firstLine="0" w:firstLineChars="0"/>
                    <w:jc w:val="center"/>
                    <w:rPr>
                      <w:b/>
                      <w:color w:val="auto"/>
                      <w:sz w:val="21"/>
                      <w:szCs w:val="21"/>
                      <w:u w:val="single"/>
                    </w:rPr>
                  </w:pPr>
                  <w:r>
                    <w:rPr>
                      <w:b/>
                      <w:color w:val="auto"/>
                      <w:sz w:val="21"/>
                      <w:szCs w:val="21"/>
                      <w:u w:val="single"/>
                    </w:rPr>
                    <w:t>防治措施</w:t>
                  </w:r>
                </w:p>
              </w:tc>
              <w:tc>
                <w:tcPr>
                  <w:tcW w:w="1392" w:type="dxa"/>
                  <w:vAlign w:val="center"/>
                </w:tcPr>
                <w:p>
                  <w:pPr>
                    <w:adjustRightInd w:val="0"/>
                    <w:snapToGrid w:val="0"/>
                    <w:spacing w:line="240" w:lineRule="auto"/>
                    <w:ind w:firstLine="0" w:firstLineChars="0"/>
                    <w:jc w:val="center"/>
                    <w:rPr>
                      <w:b/>
                      <w:color w:val="auto"/>
                      <w:sz w:val="21"/>
                      <w:szCs w:val="21"/>
                      <w:u w:val="single"/>
                    </w:rPr>
                  </w:pPr>
                  <w:r>
                    <w:rPr>
                      <w:b/>
                      <w:color w:val="auto"/>
                      <w:sz w:val="21"/>
                      <w:szCs w:val="21"/>
                      <w:u w:val="single"/>
                    </w:rPr>
                    <w:t>投资</w:t>
                  </w:r>
                </w:p>
                <w:p>
                  <w:pPr>
                    <w:adjustRightInd w:val="0"/>
                    <w:snapToGrid w:val="0"/>
                    <w:spacing w:line="240" w:lineRule="auto"/>
                    <w:ind w:firstLine="0" w:firstLineChars="0"/>
                    <w:jc w:val="center"/>
                    <w:rPr>
                      <w:b/>
                      <w:color w:val="auto"/>
                      <w:sz w:val="21"/>
                      <w:szCs w:val="21"/>
                      <w:u w:val="single"/>
                    </w:rPr>
                  </w:pPr>
                  <w:r>
                    <w:rPr>
                      <w:b/>
                      <w:color w:val="auto"/>
                      <w:sz w:val="21"/>
                      <w:szCs w:val="21"/>
                      <w:u w:val="singl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dxa"/>
                  <w:vAlign w:val="center"/>
                </w:tcPr>
                <w:p>
                  <w:pPr>
                    <w:adjustRightInd w:val="0"/>
                    <w:snapToGrid w:val="0"/>
                    <w:spacing w:line="240" w:lineRule="auto"/>
                    <w:ind w:firstLine="0" w:firstLineChars="0"/>
                    <w:jc w:val="center"/>
                    <w:rPr>
                      <w:b/>
                      <w:color w:val="auto"/>
                      <w:sz w:val="21"/>
                      <w:szCs w:val="21"/>
                      <w:u w:val="single"/>
                    </w:rPr>
                  </w:pPr>
                  <w:bookmarkStart w:id="3" w:name="OLE_LINK8" w:colFirst="2" w:colLast="2"/>
                  <w:bookmarkStart w:id="4" w:name="_Hlk509070146"/>
                  <w:bookmarkStart w:id="5" w:name="OLE_LINK6" w:colFirst="2" w:colLast="2"/>
                  <w:r>
                    <w:rPr>
                      <w:color w:val="auto"/>
                      <w:sz w:val="21"/>
                      <w:szCs w:val="21"/>
                      <w:u w:val="single"/>
                    </w:rPr>
                    <w:t>废气</w:t>
                  </w:r>
                  <w:r>
                    <w:rPr>
                      <w:rFonts w:hint="eastAsia"/>
                      <w:color w:val="auto"/>
                      <w:sz w:val="21"/>
                      <w:szCs w:val="21"/>
                      <w:u w:val="single"/>
                    </w:rPr>
                    <w:t>治理</w:t>
                  </w:r>
                </w:p>
              </w:tc>
              <w:tc>
                <w:tcPr>
                  <w:tcW w:w="687"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生产车间</w:t>
                  </w:r>
                </w:p>
              </w:tc>
              <w:tc>
                <w:tcPr>
                  <w:tcW w:w="1346" w:type="dxa"/>
                  <w:vAlign w:val="center"/>
                </w:tcPr>
                <w:p>
                  <w:pPr>
                    <w:pStyle w:val="20"/>
                    <w:adjustRightInd w:val="0"/>
                    <w:snapToGrid w:val="0"/>
                    <w:spacing w:line="240" w:lineRule="auto"/>
                    <w:rPr>
                      <w:color w:val="auto"/>
                      <w:szCs w:val="21"/>
                      <w:u w:val="single"/>
                    </w:rPr>
                  </w:pPr>
                  <w:r>
                    <w:rPr>
                      <w:rFonts w:hint="eastAsia"/>
                      <w:color w:val="auto"/>
                      <w:szCs w:val="21"/>
                      <w:u w:val="single"/>
                    </w:rPr>
                    <w:t>TVOC</w:t>
                  </w:r>
                </w:p>
              </w:tc>
              <w:tc>
                <w:tcPr>
                  <w:tcW w:w="4593" w:type="dxa"/>
                  <w:vAlign w:val="center"/>
                </w:tcPr>
                <w:p>
                  <w:pPr>
                    <w:pStyle w:val="20"/>
                    <w:adjustRightInd w:val="0"/>
                    <w:snapToGrid w:val="0"/>
                    <w:spacing w:line="240" w:lineRule="auto"/>
                    <w:rPr>
                      <w:color w:val="auto"/>
                      <w:szCs w:val="21"/>
                      <w:u w:val="single"/>
                    </w:rPr>
                  </w:pPr>
                  <w:r>
                    <w:rPr>
                      <w:rFonts w:hint="eastAsia"/>
                      <w:color w:val="auto"/>
                      <w:szCs w:val="21"/>
                      <w:u w:val="single"/>
                    </w:rPr>
                    <w:t>集气罩+RCO+25m排气筒</w:t>
                  </w:r>
                </w:p>
              </w:tc>
              <w:tc>
                <w:tcPr>
                  <w:tcW w:w="1392" w:type="dxa"/>
                  <w:vAlign w:val="center"/>
                </w:tcPr>
                <w:p>
                  <w:pPr>
                    <w:adjustRightInd w:val="0"/>
                    <w:snapToGrid w:val="0"/>
                    <w:spacing w:line="240" w:lineRule="auto"/>
                    <w:ind w:firstLine="0" w:firstLineChars="0"/>
                    <w:jc w:val="center"/>
                    <w:rPr>
                      <w:bCs/>
                      <w:color w:val="auto"/>
                      <w:sz w:val="21"/>
                      <w:szCs w:val="21"/>
                      <w:u w:val="single"/>
                    </w:rPr>
                  </w:pPr>
                  <w:r>
                    <w:rPr>
                      <w:rFonts w:hint="eastAsia"/>
                      <w:bCs/>
                      <w:color w:val="auto"/>
                      <w:sz w:val="21"/>
                      <w:szCs w:val="21"/>
                      <w:u w:val="singl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4" w:type="dxa"/>
                  <w:vAlign w:val="center"/>
                </w:tcPr>
                <w:p>
                  <w:pPr>
                    <w:adjustRightInd w:val="0"/>
                    <w:snapToGrid w:val="0"/>
                    <w:spacing w:line="240" w:lineRule="auto"/>
                    <w:ind w:firstLine="0" w:firstLineChars="0"/>
                    <w:jc w:val="center"/>
                    <w:rPr>
                      <w:b/>
                      <w:color w:val="auto"/>
                      <w:sz w:val="21"/>
                      <w:szCs w:val="21"/>
                      <w:u w:val="single"/>
                    </w:rPr>
                  </w:pPr>
                  <w:r>
                    <w:rPr>
                      <w:color w:val="auto"/>
                      <w:sz w:val="21"/>
                      <w:szCs w:val="21"/>
                      <w:u w:val="single"/>
                    </w:rPr>
                    <w:t>废水治理</w:t>
                  </w:r>
                </w:p>
              </w:tc>
              <w:tc>
                <w:tcPr>
                  <w:tcW w:w="687"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生活污水</w:t>
                  </w:r>
                </w:p>
              </w:tc>
              <w:tc>
                <w:tcPr>
                  <w:tcW w:w="1346" w:type="dxa"/>
                  <w:vAlign w:val="center"/>
                </w:tcPr>
                <w:p>
                  <w:pPr>
                    <w:pStyle w:val="20"/>
                    <w:adjustRightInd w:val="0"/>
                    <w:snapToGrid w:val="0"/>
                    <w:spacing w:line="240" w:lineRule="auto"/>
                    <w:rPr>
                      <w:color w:val="auto"/>
                      <w:szCs w:val="21"/>
                      <w:u w:val="single"/>
                    </w:rPr>
                  </w:pPr>
                  <w:r>
                    <w:rPr>
                      <w:color w:val="auto"/>
                      <w:szCs w:val="21"/>
                      <w:u w:val="single"/>
                    </w:rPr>
                    <w:t>SS、COD、</w:t>
                  </w:r>
                </w:p>
                <w:p>
                  <w:pPr>
                    <w:pStyle w:val="20"/>
                    <w:adjustRightInd w:val="0"/>
                    <w:snapToGrid w:val="0"/>
                    <w:spacing w:line="240" w:lineRule="auto"/>
                    <w:rPr>
                      <w:color w:val="auto"/>
                      <w:szCs w:val="21"/>
                      <w:u w:val="single"/>
                    </w:rPr>
                  </w:pPr>
                  <w:r>
                    <w:rPr>
                      <w:color w:val="auto"/>
                      <w:szCs w:val="21"/>
                      <w:u w:val="single"/>
                    </w:rPr>
                    <w:t>BOD</w:t>
                  </w:r>
                  <w:r>
                    <w:rPr>
                      <w:color w:val="auto"/>
                      <w:szCs w:val="21"/>
                      <w:u w:val="single"/>
                      <w:vertAlign w:val="subscript"/>
                    </w:rPr>
                    <w:t>5</w:t>
                  </w:r>
                  <w:r>
                    <w:rPr>
                      <w:color w:val="auto"/>
                      <w:szCs w:val="21"/>
                      <w:u w:val="single"/>
                    </w:rPr>
                    <w:t>、氨氮</w:t>
                  </w:r>
                </w:p>
                <w:p>
                  <w:pPr>
                    <w:pStyle w:val="20"/>
                    <w:adjustRightInd w:val="0"/>
                    <w:snapToGrid w:val="0"/>
                    <w:spacing w:line="240" w:lineRule="auto"/>
                    <w:rPr>
                      <w:b/>
                      <w:color w:val="auto"/>
                      <w:szCs w:val="21"/>
                      <w:u w:val="single"/>
                    </w:rPr>
                  </w:pPr>
                  <w:r>
                    <w:rPr>
                      <w:color w:val="auto"/>
                      <w:szCs w:val="21"/>
                      <w:u w:val="single"/>
                    </w:rPr>
                    <w:t>等</w:t>
                  </w:r>
                </w:p>
              </w:tc>
              <w:tc>
                <w:tcPr>
                  <w:tcW w:w="4593" w:type="dxa"/>
                  <w:vAlign w:val="center"/>
                </w:tcPr>
                <w:p>
                  <w:pPr>
                    <w:adjustRightInd w:val="0"/>
                    <w:snapToGrid w:val="0"/>
                    <w:spacing w:line="240" w:lineRule="auto"/>
                    <w:ind w:firstLine="0" w:firstLineChars="0"/>
                    <w:jc w:val="center"/>
                    <w:rPr>
                      <w:b/>
                      <w:color w:val="auto"/>
                      <w:sz w:val="21"/>
                      <w:szCs w:val="21"/>
                      <w:u w:val="single"/>
                    </w:rPr>
                  </w:pPr>
                  <w:r>
                    <w:rPr>
                      <w:rFonts w:hint="eastAsia"/>
                      <w:color w:val="auto"/>
                      <w:sz w:val="21"/>
                      <w:szCs w:val="21"/>
                      <w:u w:val="single"/>
                    </w:rPr>
                    <w:t>依托园区现有化粪池处理</w:t>
                  </w:r>
                </w:p>
              </w:tc>
              <w:tc>
                <w:tcPr>
                  <w:tcW w:w="1392" w:type="dxa"/>
                  <w:vAlign w:val="center"/>
                </w:tcPr>
                <w:p>
                  <w:pPr>
                    <w:adjustRightInd w:val="0"/>
                    <w:snapToGrid w:val="0"/>
                    <w:spacing w:line="240" w:lineRule="auto"/>
                    <w:ind w:firstLine="0" w:firstLineChars="0"/>
                    <w:jc w:val="center"/>
                    <w:rPr>
                      <w:bCs/>
                      <w:color w:val="auto"/>
                      <w:sz w:val="21"/>
                      <w:szCs w:val="21"/>
                      <w:u w:val="single"/>
                    </w:rPr>
                  </w:pPr>
                  <w:r>
                    <w:rPr>
                      <w:rFonts w:hint="eastAsia"/>
                      <w:bCs/>
                      <w:color w:val="auto"/>
                      <w:sz w:val="21"/>
                      <w:szCs w:val="21"/>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1" w:type="dxa"/>
                  <w:gridSpan w:val="2"/>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噪声治理</w:t>
                  </w:r>
                </w:p>
              </w:tc>
              <w:tc>
                <w:tcPr>
                  <w:tcW w:w="1346"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等效连续 A声级</w:t>
                  </w:r>
                </w:p>
              </w:tc>
              <w:tc>
                <w:tcPr>
                  <w:tcW w:w="4593"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采取减振、隔声、绿化，加强设备维护、人员管理等措施</w:t>
                  </w:r>
                </w:p>
              </w:tc>
              <w:tc>
                <w:tcPr>
                  <w:tcW w:w="13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1" w:type="dxa"/>
                  <w:gridSpan w:val="2"/>
                  <w:vMerge w:val="restart"/>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固废处置</w:t>
                  </w:r>
                </w:p>
              </w:tc>
              <w:tc>
                <w:tcPr>
                  <w:tcW w:w="1346" w:type="dxa"/>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生活垃圾</w:t>
                  </w:r>
                </w:p>
              </w:tc>
              <w:tc>
                <w:tcPr>
                  <w:tcW w:w="4593" w:type="dxa"/>
                  <w:vAlign w:val="center"/>
                </w:tcPr>
                <w:p>
                  <w:pPr>
                    <w:autoSpaceDE w:val="0"/>
                    <w:autoSpaceDN w:val="0"/>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生活垃圾分类收集桶，交由环卫部门处理</w:t>
                  </w:r>
                </w:p>
              </w:tc>
              <w:tc>
                <w:tcPr>
                  <w:tcW w:w="13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1" w:type="dxa"/>
                  <w:gridSpan w:val="2"/>
                  <w:vMerge w:val="continue"/>
                  <w:vAlign w:val="center"/>
                </w:tcPr>
                <w:p>
                  <w:pPr>
                    <w:adjustRightInd w:val="0"/>
                    <w:snapToGrid w:val="0"/>
                    <w:spacing w:line="240" w:lineRule="auto"/>
                    <w:ind w:firstLine="0" w:firstLineChars="0"/>
                    <w:jc w:val="center"/>
                    <w:rPr>
                      <w:color w:val="auto"/>
                      <w:sz w:val="21"/>
                      <w:szCs w:val="21"/>
                      <w:u w:val="single"/>
                    </w:rPr>
                  </w:pPr>
                </w:p>
              </w:tc>
              <w:tc>
                <w:tcPr>
                  <w:tcW w:w="1346"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废边角料</w:t>
                  </w:r>
                </w:p>
              </w:tc>
              <w:tc>
                <w:tcPr>
                  <w:tcW w:w="4593" w:type="dxa"/>
                  <w:vAlign w:val="center"/>
                </w:tcPr>
                <w:p>
                  <w:pPr>
                    <w:autoSpaceDE w:val="0"/>
                    <w:autoSpaceDN w:val="0"/>
                    <w:adjustRightInd w:val="0"/>
                    <w:snapToGrid w:val="0"/>
                    <w:spacing w:line="240" w:lineRule="auto"/>
                    <w:ind w:firstLine="0" w:firstLineChars="0"/>
                    <w:jc w:val="center"/>
                    <w:rPr>
                      <w:color w:val="auto"/>
                      <w:kern w:val="0"/>
                      <w:sz w:val="21"/>
                      <w:szCs w:val="21"/>
                      <w:u w:val="single"/>
                    </w:rPr>
                  </w:pPr>
                  <w:r>
                    <w:rPr>
                      <w:rFonts w:hint="eastAsia"/>
                      <w:color w:val="auto"/>
                      <w:kern w:val="0"/>
                      <w:sz w:val="21"/>
                      <w:szCs w:val="21"/>
                      <w:u w:val="single"/>
                    </w:rPr>
                    <w:t>由废塑料收购企业定期回收再利用</w:t>
                  </w:r>
                </w:p>
              </w:tc>
              <w:tc>
                <w:tcPr>
                  <w:tcW w:w="13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1" w:type="dxa"/>
                  <w:gridSpan w:val="2"/>
                  <w:vMerge w:val="continue"/>
                  <w:vAlign w:val="center"/>
                </w:tcPr>
                <w:p>
                  <w:pPr>
                    <w:adjustRightInd w:val="0"/>
                    <w:snapToGrid w:val="0"/>
                    <w:spacing w:line="240" w:lineRule="auto"/>
                    <w:ind w:firstLine="0" w:firstLineChars="0"/>
                    <w:jc w:val="center"/>
                    <w:rPr>
                      <w:color w:val="auto"/>
                      <w:sz w:val="21"/>
                      <w:szCs w:val="21"/>
                      <w:u w:val="single"/>
                    </w:rPr>
                  </w:pPr>
                </w:p>
              </w:tc>
              <w:tc>
                <w:tcPr>
                  <w:tcW w:w="1346"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废催化剂</w:t>
                  </w:r>
                </w:p>
              </w:tc>
              <w:tc>
                <w:tcPr>
                  <w:tcW w:w="4593" w:type="dxa"/>
                  <w:vMerge w:val="restart"/>
                  <w:vAlign w:val="center"/>
                </w:tcPr>
                <w:p>
                  <w:pPr>
                    <w:autoSpaceDE w:val="0"/>
                    <w:autoSpaceDN w:val="0"/>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设置危废暂存间（</w:t>
                  </w:r>
                  <w:r>
                    <w:rPr>
                      <w:rFonts w:hint="eastAsia"/>
                      <w:color w:val="auto"/>
                      <w:kern w:val="0"/>
                      <w:sz w:val="21"/>
                      <w:szCs w:val="21"/>
                      <w:u w:val="single"/>
                    </w:rPr>
                    <w:t>20m</w:t>
                  </w:r>
                  <w:r>
                    <w:rPr>
                      <w:rFonts w:hint="eastAsia"/>
                      <w:color w:val="auto"/>
                      <w:kern w:val="0"/>
                      <w:sz w:val="21"/>
                      <w:szCs w:val="21"/>
                      <w:u w:val="single"/>
                      <w:vertAlign w:val="superscript"/>
                    </w:rPr>
                    <w:t>2</w:t>
                  </w:r>
                  <w:r>
                    <w:rPr>
                      <w:color w:val="auto"/>
                      <w:kern w:val="0"/>
                      <w:sz w:val="21"/>
                      <w:szCs w:val="21"/>
                      <w:u w:val="single"/>
                    </w:rPr>
                    <w:t>），分类收集后，</w:t>
                  </w:r>
                  <w:r>
                    <w:rPr>
                      <w:rFonts w:hint="eastAsia"/>
                      <w:color w:val="auto"/>
                      <w:kern w:val="0"/>
                      <w:sz w:val="21"/>
                      <w:szCs w:val="21"/>
                      <w:u w:val="single"/>
                    </w:rPr>
                    <w:t>委托有资质的单位收集处置</w:t>
                  </w:r>
                  <w:r>
                    <w:rPr>
                      <w:color w:val="auto"/>
                      <w:kern w:val="0"/>
                      <w:sz w:val="21"/>
                      <w:szCs w:val="21"/>
                      <w:u w:val="single"/>
                    </w:rPr>
                    <w:t>，并做好台账。</w:t>
                  </w:r>
                </w:p>
              </w:tc>
              <w:tc>
                <w:tcPr>
                  <w:tcW w:w="1392" w:type="dxa"/>
                  <w:vMerge w:val="restart"/>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1" w:type="dxa"/>
                  <w:gridSpan w:val="2"/>
                  <w:vMerge w:val="continue"/>
                  <w:vAlign w:val="center"/>
                </w:tcPr>
                <w:p>
                  <w:pPr>
                    <w:adjustRightInd w:val="0"/>
                    <w:snapToGrid w:val="0"/>
                    <w:spacing w:line="240" w:lineRule="auto"/>
                    <w:ind w:firstLine="0" w:firstLineChars="0"/>
                    <w:jc w:val="center"/>
                    <w:rPr>
                      <w:color w:val="auto"/>
                      <w:sz w:val="21"/>
                      <w:szCs w:val="21"/>
                      <w:u w:val="single"/>
                    </w:rPr>
                  </w:pPr>
                </w:p>
              </w:tc>
              <w:tc>
                <w:tcPr>
                  <w:tcW w:w="1346"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废包装桶、废抹布</w:t>
                  </w:r>
                </w:p>
              </w:tc>
              <w:tc>
                <w:tcPr>
                  <w:tcW w:w="4593" w:type="dxa"/>
                  <w:vMerge w:val="continue"/>
                  <w:vAlign w:val="center"/>
                </w:tcPr>
                <w:p>
                  <w:pPr>
                    <w:autoSpaceDE w:val="0"/>
                    <w:autoSpaceDN w:val="0"/>
                    <w:adjustRightInd w:val="0"/>
                    <w:snapToGrid w:val="0"/>
                    <w:spacing w:line="240" w:lineRule="auto"/>
                    <w:ind w:firstLine="0" w:firstLineChars="0"/>
                    <w:jc w:val="center"/>
                    <w:rPr>
                      <w:color w:val="auto"/>
                      <w:kern w:val="0"/>
                      <w:sz w:val="21"/>
                      <w:szCs w:val="21"/>
                      <w:u w:val="single"/>
                    </w:rPr>
                  </w:pPr>
                </w:p>
              </w:tc>
              <w:tc>
                <w:tcPr>
                  <w:tcW w:w="1392" w:type="dxa"/>
                  <w:vMerge w:val="continue"/>
                  <w:vAlign w:val="center"/>
                </w:tcPr>
                <w:p>
                  <w:pPr>
                    <w:adjustRightInd w:val="0"/>
                    <w:snapToGrid w:val="0"/>
                    <w:spacing w:line="240" w:lineRule="auto"/>
                    <w:ind w:firstLine="0" w:firstLineChars="0"/>
                    <w:jc w:val="center"/>
                    <w:rPr>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1" w:type="dxa"/>
                  <w:gridSpan w:val="2"/>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排污口</w:t>
                  </w:r>
                </w:p>
              </w:tc>
              <w:tc>
                <w:tcPr>
                  <w:tcW w:w="5939" w:type="dxa"/>
                  <w:gridSpan w:val="2"/>
                  <w:vAlign w:val="center"/>
                </w:tcPr>
                <w:p>
                  <w:pPr>
                    <w:autoSpaceDE w:val="0"/>
                    <w:autoSpaceDN w:val="0"/>
                    <w:adjustRightInd w:val="0"/>
                    <w:snapToGrid w:val="0"/>
                    <w:spacing w:line="240" w:lineRule="auto"/>
                    <w:ind w:firstLine="0" w:firstLineChars="0"/>
                    <w:jc w:val="center"/>
                    <w:rPr>
                      <w:color w:val="auto"/>
                      <w:kern w:val="0"/>
                      <w:sz w:val="21"/>
                      <w:szCs w:val="21"/>
                      <w:u w:val="single"/>
                    </w:rPr>
                  </w:pPr>
                  <w:r>
                    <w:rPr>
                      <w:color w:val="auto"/>
                      <w:kern w:val="0"/>
                      <w:sz w:val="21"/>
                      <w:szCs w:val="21"/>
                      <w:u w:val="single"/>
                    </w:rPr>
                    <w:t>排污口规范设置，附近地面醒目处设置环保图形标志牌</w:t>
                  </w:r>
                </w:p>
              </w:tc>
              <w:tc>
                <w:tcPr>
                  <w:tcW w:w="13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1</w:t>
                  </w:r>
                </w:p>
              </w:tc>
            </w:tr>
            <w:bookmarkEnd w:id="3"/>
            <w:bookmarkEnd w:id="4"/>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0" w:type="dxa"/>
                  <w:gridSpan w:val="4"/>
                  <w:vAlign w:val="center"/>
                </w:tcPr>
                <w:p>
                  <w:pPr>
                    <w:adjustRightInd w:val="0"/>
                    <w:snapToGrid w:val="0"/>
                    <w:spacing w:line="240" w:lineRule="auto"/>
                    <w:ind w:firstLine="0" w:firstLineChars="0"/>
                    <w:jc w:val="center"/>
                    <w:rPr>
                      <w:color w:val="auto"/>
                      <w:sz w:val="21"/>
                      <w:szCs w:val="21"/>
                      <w:u w:val="single"/>
                    </w:rPr>
                  </w:pPr>
                  <w:r>
                    <w:rPr>
                      <w:color w:val="auto"/>
                      <w:sz w:val="21"/>
                      <w:szCs w:val="21"/>
                      <w:u w:val="single"/>
                    </w:rPr>
                    <w:t>合计</w:t>
                  </w:r>
                </w:p>
              </w:tc>
              <w:tc>
                <w:tcPr>
                  <w:tcW w:w="1392" w:type="dxa"/>
                  <w:vAlign w:val="center"/>
                </w:tcPr>
                <w:p>
                  <w:pPr>
                    <w:adjustRightInd w:val="0"/>
                    <w:snapToGrid w:val="0"/>
                    <w:spacing w:line="240" w:lineRule="auto"/>
                    <w:ind w:firstLine="0" w:firstLineChars="0"/>
                    <w:jc w:val="center"/>
                    <w:rPr>
                      <w:color w:val="auto"/>
                      <w:sz w:val="21"/>
                      <w:szCs w:val="21"/>
                      <w:u w:val="single"/>
                    </w:rPr>
                  </w:pPr>
                  <w:r>
                    <w:rPr>
                      <w:rFonts w:hint="eastAsia"/>
                      <w:color w:val="auto"/>
                      <w:sz w:val="21"/>
                      <w:szCs w:val="21"/>
                      <w:u w:val="single"/>
                    </w:rPr>
                    <w:t>48</w:t>
                  </w:r>
                </w:p>
              </w:tc>
            </w:tr>
          </w:tbl>
          <w:p>
            <w:pPr>
              <w:keepNext/>
              <w:keepLines/>
              <w:ind w:firstLine="482"/>
              <w:jc w:val="both"/>
              <w:outlineLvl w:val="2"/>
              <w:rPr>
                <w:b/>
                <w:bCs/>
                <w:color w:val="auto"/>
                <w:szCs w:val="32"/>
              </w:rPr>
            </w:pPr>
            <w:r>
              <w:rPr>
                <w:rFonts w:hint="eastAsia"/>
                <w:b/>
                <w:bCs/>
                <w:color w:val="auto"/>
                <w:szCs w:val="32"/>
              </w:rPr>
              <w:t>十、项目竣工环境保护验收</w:t>
            </w:r>
          </w:p>
          <w:p>
            <w:pPr>
              <w:adjustRightInd w:val="0"/>
              <w:snapToGrid w:val="0"/>
              <w:ind w:firstLine="480"/>
              <w:jc w:val="both"/>
              <w:rPr>
                <w:color w:val="auto"/>
                <w:szCs w:val="20"/>
              </w:rPr>
            </w:pPr>
            <w:r>
              <w:rPr>
                <w:color w:val="auto"/>
                <w:szCs w:val="20"/>
              </w:rPr>
              <w:t>为贯彻落实新修改的《建设项目环境保护管理条例》，规范建设项目竣工后建设单位自主开展环境保护验收的程序和标准。根据《建设项目竣工环境保护验收暂行办法》（国环规环评[2017]4号）（以下简称《暂行办法》），建设单位是建设项目竣工环境保护验收的责任主体，建设项目竣工后，建设单位应当如实查验、监测、记载建设项目环境保护设施的建设和调试情况，应当按照《暂行办法》规定的程序和标准，组织对配套建设的环境保护设施进行验收，编制验收监测（调查）报告，公开相关信息，接受社会监督，确保建设项目需要配套建设的环境保护设施与主体工程同时投产或者使用，并对验收内容、结论和所公开信息的真实性、准确性和完整性负责，不得在验收过程中弄虚作假。</w:t>
            </w:r>
          </w:p>
          <w:p>
            <w:pPr>
              <w:adjustRightInd w:val="0"/>
              <w:snapToGrid w:val="0"/>
              <w:ind w:firstLine="480"/>
              <w:jc w:val="both"/>
              <w:rPr>
                <w:color w:val="auto"/>
                <w:szCs w:val="20"/>
              </w:rPr>
            </w:pPr>
            <w:r>
              <w:rPr>
                <w:color w:val="auto"/>
                <w:szCs w:val="20"/>
              </w:rPr>
              <w:t>具体验收流程见下图。</w:t>
            </w:r>
          </w:p>
          <w:p>
            <w:pPr>
              <w:spacing w:line="240" w:lineRule="auto"/>
              <w:ind w:firstLine="0" w:firstLineChars="0"/>
              <w:jc w:val="center"/>
              <w:rPr>
                <w:color w:val="auto"/>
                <w:sz w:val="21"/>
                <w:szCs w:val="20"/>
              </w:rPr>
            </w:pPr>
            <w:r>
              <w:rPr>
                <w:color w:val="auto"/>
                <w:sz w:val="21"/>
                <w:szCs w:val="20"/>
              </w:rPr>
              <w:drawing>
                <wp:inline distT="0" distB="0" distL="0" distR="0">
                  <wp:extent cx="5534025" cy="11906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534025" cy="1190625"/>
                          </a:xfrm>
                          <a:prstGeom prst="rect">
                            <a:avLst/>
                          </a:prstGeom>
                          <a:noFill/>
                          <a:ln>
                            <a:noFill/>
                          </a:ln>
                        </pic:spPr>
                      </pic:pic>
                    </a:graphicData>
                  </a:graphic>
                </wp:inline>
              </w:drawing>
            </w:r>
          </w:p>
          <w:p>
            <w:pPr>
              <w:adjustRightInd w:val="0"/>
              <w:snapToGrid w:val="0"/>
              <w:ind w:firstLine="482"/>
              <w:jc w:val="center"/>
              <w:rPr>
                <w:b/>
                <w:bCs/>
                <w:color w:val="auto"/>
                <w:szCs w:val="20"/>
              </w:rPr>
            </w:pPr>
            <w:r>
              <w:rPr>
                <w:b/>
                <w:bCs/>
                <w:color w:val="auto"/>
                <w:szCs w:val="20"/>
              </w:rPr>
              <w:t>图</w:t>
            </w:r>
            <w:r>
              <w:rPr>
                <w:rFonts w:hint="eastAsia"/>
                <w:b/>
                <w:bCs/>
                <w:color w:val="auto"/>
                <w:szCs w:val="20"/>
              </w:rPr>
              <w:t>7-</w:t>
            </w:r>
            <w:r>
              <w:rPr>
                <w:rFonts w:hint="eastAsia"/>
                <w:b/>
                <w:bCs/>
                <w:color w:val="auto"/>
                <w:szCs w:val="20"/>
                <w:lang w:val="en-US" w:eastAsia="zh-CN"/>
              </w:rPr>
              <w:t>10</w:t>
            </w:r>
            <w:r>
              <w:rPr>
                <w:rFonts w:hint="eastAsia"/>
                <w:b/>
                <w:bCs/>
                <w:color w:val="auto"/>
                <w:szCs w:val="20"/>
              </w:rPr>
              <w:t xml:space="preserve"> </w:t>
            </w:r>
            <w:r>
              <w:rPr>
                <w:b/>
                <w:bCs/>
                <w:color w:val="auto"/>
                <w:szCs w:val="20"/>
              </w:rPr>
              <w:t xml:space="preserve">  竣工验收流程图</w:t>
            </w:r>
          </w:p>
          <w:p>
            <w:pPr>
              <w:adjustRightInd w:val="0"/>
              <w:snapToGrid w:val="0"/>
              <w:ind w:firstLine="480"/>
              <w:jc w:val="both"/>
              <w:rPr>
                <w:color w:val="auto"/>
                <w:szCs w:val="20"/>
              </w:rPr>
            </w:pPr>
            <w:r>
              <w:rPr>
                <w:color w:val="auto"/>
                <w:szCs w:val="20"/>
              </w:rPr>
              <w:t>验收程序简述及相关要求：</w:t>
            </w:r>
          </w:p>
          <w:p>
            <w:pPr>
              <w:adjustRightInd w:val="0"/>
              <w:snapToGrid w:val="0"/>
              <w:ind w:firstLine="480"/>
              <w:jc w:val="both"/>
              <w:rPr>
                <w:color w:val="auto"/>
                <w:szCs w:val="20"/>
              </w:rPr>
            </w:pPr>
            <w:r>
              <w:rPr>
                <w:color w:val="auto"/>
                <w:szCs w:val="20"/>
              </w:rPr>
              <w:t>（1）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建设单位不得对该建设项目环境保护设施进行调试。</w:t>
            </w:r>
          </w:p>
          <w:p>
            <w:pPr>
              <w:adjustRightInd w:val="0"/>
              <w:snapToGrid w:val="0"/>
              <w:ind w:firstLine="480"/>
              <w:jc w:val="both"/>
              <w:rPr>
                <w:color w:val="auto"/>
                <w:szCs w:val="20"/>
              </w:rPr>
            </w:pPr>
            <w:r>
              <w:rPr>
                <w:color w:val="auto"/>
                <w:szCs w:val="20"/>
              </w:rPr>
              <w:t>（2）编制验收监测报告，本项以排放污染物为主的建设项目，参照《建设项目竣工环境保护验收技术指南 污染影响类》编制验收监测报告，建设单位不具备自主验收能力的可以委托有能力的技术机构编制。</w:t>
            </w:r>
          </w:p>
          <w:p>
            <w:pPr>
              <w:adjustRightInd w:val="0"/>
              <w:snapToGrid w:val="0"/>
              <w:ind w:firstLine="480"/>
              <w:jc w:val="both"/>
              <w:rPr>
                <w:color w:val="auto"/>
                <w:szCs w:val="20"/>
              </w:rPr>
            </w:pPr>
            <w:r>
              <w:rPr>
                <w:color w:val="auto"/>
                <w:szCs w:val="20"/>
              </w:rPr>
              <w:t>（3）验收监测报告编制完成后，建设单位应当根据验收监测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pPr>
              <w:adjustRightInd w:val="0"/>
              <w:snapToGrid w:val="0"/>
              <w:ind w:firstLine="480"/>
              <w:jc w:val="both"/>
              <w:rPr>
                <w:color w:val="auto"/>
                <w:szCs w:val="20"/>
              </w:rPr>
            </w:pPr>
            <w:r>
              <w:rPr>
                <w:color w:val="auto"/>
                <w:szCs w:val="20"/>
              </w:rPr>
              <w:t>（4）验收报告编制完成后5个工作日内，公开验收报告，公示的期限不得少于20个工作日，同步公开环保设施竣工日期以及对环保设施公开调试的起始日期。建设单位公开上述信息的同时，应当向所在地县级以上环境保护主管部门报送相关信息，并接受监督检查。</w:t>
            </w:r>
          </w:p>
          <w:p>
            <w:pPr>
              <w:adjustRightInd w:val="0"/>
              <w:snapToGrid w:val="0"/>
              <w:ind w:firstLine="480"/>
              <w:jc w:val="both"/>
              <w:rPr>
                <w:color w:val="auto"/>
                <w:szCs w:val="20"/>
              </w:rPr>
            </w:pPr>
            <w:r>
              <w:rPr>
                <w:color w:val="auto"/>
                <w:szCs w:val="20"/>
              </w:rPr>
              <w:t>（5）验收报告公示期满后5个工作日内，建设单位应当登录全国建设项目竣工环境保护验收信息平台，填报建设项目基本信息、环境保护设施验收情况等相关信息，环境保护主管部门对上述信息予以公开。</w:t>
            </w:r>
          </w:p>
          <w:p>
            <w:pPr>
              <w:adjustRightInd w:val="0"/>
              <w:snapToGrid w:val="0"/>
              <w:ind w:firstLine="480"/>
              <w:jc w:val="both"/>
              <w:rPr>
                <w:color w:val="auto"/>
                <w:szCs w:val="20"/>
              </w:rPr>
            </w:pPr>
            <w:r>
              <w:rPr>
                <w:color w:val="auto"/>
                <w:szCs w:val="20"/>
              </w:rPr>
              <w:t>（6）纳入排污许可管理的建设项目，排污单位应当在项目产生实际污染物排放之前，按照国家排污许可有关管理规定要求，申请排污许可证。建设项目验收报告中与污染物排放相关的主要内容应当纳入该项目验收完成当年排污许可证执行年报。</w:t>
            </w:r>
          </w:p>
          <w:p>
            <w:pPr>
              <w:snapToGrid w:val="0"/>
              <w:ind w:firstLine="470" w:firstLineChars="196"/>
              <w:jc w:val="both"/>
              <w:rPr>
                <w:color w:val="auto"/>
                <w:szCs w:val="20"/>
              </w:rPr>
            </w:pPr>
            <w:r>
              <w:rPr>
                <w:color w:val="auto"/>
                <w:szCs w:val="20"/>
              </w:rPr>
              <w:t>本项目竣工环境保护验收内容具体见表</w:t>
            </w:r>
            <w:r>
              <w:rPr>
                <w:rFonts w:hint="eastAsia"/>
                <w:color w:val="auto"/>
                <w:szCs w:val="20"/>
              </w:rPr>
              <w:t>7-28</w:t>
            </w:r>
            <w:r>
              <w:rPr>
                <w:color w:val="auto"/>
                <w:szCs w:val="20"/>
              </w:rPr>
              <w:t>所示：</w:t>
            </w:r>
          </w:p>
          <w:p>
            <w:pPr>
              <w:pStyle w:val="2"/>
              <w:rPr>
                <w:color w:val="auto"/>
                <w:szCs w:val="20"/>
              </w:rPr>
            </w:pPr>
          </w:p>
          <w:p>
            <w:pPr>
              <w:pStyle w:val="2"/>
              <w:rPr>
                <w:color w:val="auto"/>
                <w:szCs w:val="20"/>
              </w:rPr>
            </w:pPr>
          </w:p>
          <w:p>
            <w:pPr>
              <w:pStyle w:val="2"/>
              <w:rPr>
                <w:color w:val="auto"/>
                <w:szCs w:val="20"/>
              </w:rPr>
            </w:pPr>
          </w:p>
          <w:p>
            <w:pPr>
              <w:pStyle w:val="2"/>
              <w:rPr>
                <w:color w:val="auto"/>
                <w:szCs w:val="20"/>
              </w:rPr>
            </w:pPr>
          </w:p>
          <w:p>
            <w:pPr>
              <w:pStyle w:val="2"/>
              <w:rPr>
                <w:color w:val="auto"/>
                <w:szCs w:val="20"/>
              </w:rPr>
            </w:pPr>
          </w:p>
          <w:p>
            <w:pPr>
              <w:adjustRightInd w:val="0"/>
              <w:snapToGrid w:val="0"/>
              <w:spacing w:line="240" w:lineRule="auto"/>
              <w:ind w:firstLine="0" w:firstLineChars="0"/>
              <w:jc w:val="center"/>
              <w:rPr>
                <w:b/>
                <w:color w:val="auto"/>
                <w:szCs w:val="20"/>
              </w:rPr>
            </w:pPr>
            <w:r>
              <w:rPr>
                <w:b/>
                <w:color w:val="auto"/>
                <w:szCs w:val="20"/>
              </w:rPr>
              <w:t>表</w:t>
            </w:r>
            <w:r>
              <w:rPr>
                <w:rFonts w:hint="eastAsia"/>
                <w:b/>
                <w:color w:val="auto"/>
                <w:szCs w:val="20"/>
              </w:rPr>
              <w:t>7-28</w:t>
            </w:r>
            <w:r>
              <w:rPr>
                <w:rFonts w:hint="eastAsia"/>
                <w:b/>
                <w:color w:val="auto"/>
                <w:szCs w:val="20"/>
                <w:lang w:val="en-US" w:eastAsia="zh-CN"/>
              </w:rPr>
              <w:t xml:space="preserve">   </w:t>
            </w:r>
            <w:r>
              <w:rPr>
                <w:b/>
                <w:color w:val="auto"/>
                <w:szCs w:val="20"/>
              </w:rPr>
              <w:t>本项目竣工环境保护验收一览表</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7"/>
              <w:gridCol w:w="1036"/>
              <w:gridCol w:w="1392"/>
              <w:gridCol w:w="2804"/>
              <w:gridCol w:w="27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dxa"/>
                  <w:tcBorders>
                    <w:bottom w:val="single" w:color="auto" w:sz="4" w:space="0"/>
                    <w:tl2br w:val="single" w:color="auto" w:sz="2" w:space="0"/>
                  </w:tcBorders>
                  <w:vAlign w:val="center"/>
                </w:tcPr>
                <w:p>
                  <w:pPr>
                    <w:spacing w:line="240" w:lineRule="auto"/>
                    <w:ind w:firstLine="0" w:firstLineChars="0"/>
                    <w:jc w:val="center"/>
                    <w:rPr>
                      <w:b/>
                      <w:color w:val="auto"/>
                      <w:sz w:val="21"/>
                      <w:szCs w:val="21"/>
                    </w:rPr>
                  </w:pPr>
                  <w:r>
                    <w:rPr>
                      <w:b/>
                      <w:color w:val="auto"/>
                      <w:sz w:val="21"/>
                      <w:szCs w:val="21"/>
                    </w:rPr>
                    <w:t xml:space="preserve"> 内容</w:t>
                  </w:r>
                </w:p>
                <w:p>
                  <w:pPr>
                    <w:spacing w:line="240" w:lineRule="auto"/>
                    <w:ind w:firstLine="0" w:firstLineChars="0"/>
                    <w:jc w:val="both"/>
                    <w:rPr>
                      <w:b/>
                      <w:color w:val="auto"/>
                      <w:sz w:val="21"/>
                      <w:szCs w:val="21"/>
                    </w:rPr>
                  </w:pPr>
                  <w:r>
                    <w:rPr>
                      <w:b/>
                      <w:color w:val="auto"/>
                      <w:sz w:val="21"/>
                      <w:szCs w:val="21"/>
                    </w:rPr>
                    <w:t>类型</w:t>
                  </w:r>
                </w:p>
              </w:tc>
              <w:tc>
                <w:tcPr>
                  <w:tcW w:w="1036" w:type="dxa"/>
                  <w:vAlign w:val="center"/>
                </w:tcPr>
                <w:p>
                  <w:pPr>
                    <w:spacing w:line="240" w:lineRule="auto"/>
                    <w:ind w:firstLine="0" w:firstLineChars="0"/>
                    <w:jc w:val="center"/>
                    <w:rPr>
                      <w:b/>
                      <w:color w:val="auto"/>
                      <w:sz w:val="21"/>
                      <w:szCs w:val="21"/>
                    </w:rPr>
                  </w:pPr>
                  <w:r>
                    <w:rPr>
                      <w:b/>
                      <w:color w:val="auto"/>
                      <w:sz w:val="21"/>
                      <w:szCs w:val="21"/>
                    </w:rPr>
                    <w:t>排放源</w:t>
                  </w:r>
                </w:p>
              </w:tc>
              <w:tc>
                <w:tcPr>
                  <w:tcW w:w="1392" w:type="dxa"/>
                  <w:vAlign w:val="center"/>
                </w:tcPr>
                <w:p>
                  <w:pPr>
                    <w:spacing w:line="240" w:lineRule="auto"/>
                    <w:ind w:firstLine="0" w:firstLineChars="0"/>
                    <w:jc w:val="center"/>
                    <w:rPr>
                      <w:b/>
                      <w:color w:val="auto"/>
                      <w:sz w:val="21"/>
                      <w:szCs w:val="21"/>
                    </w:rPr>
                  </w:pPr>
                  <w:r>
                    <w:rPr>
                      <w:b/>
                      <w:color w:val="auto"/>
                      <w:sz w:val="21"/>
                      <w:szCs w:val="21"/>
                    </w:rPr>
                    <w:t>监测因子</w:t>
                  </w:r>
                </w:p>
              </w:tc>
              <w:tc>
                <w:tcPr>
                  <w:tcW w:w="2804" w:type="dxa"/>
                  <w:tcBorders>
                    <w:bottom w:val="single" w:color="auto" w:sz="4" w:space="0"/>
                  </w:tcBorders>
                  <w:vAlign w:val="center"/>
                </w:tcPr>
                <w:p>
                  <w:pPr>
                    <w:overflowPunct w:val="0"/>
                    <w:autoSpaceDE w:val="0"/>
                    <w:autoSpaceDN w:val="0"/>
                    <w:adjustRightInd w:val="0"/>
                    <w:spacing w:line="240" w:lineRule="auto"/>
                    <w:ind w:firstLine="0" w:firstLineChars="0"/>
                    <w:jc w:val="center"/>
                    <w:textAlignment w:val="baseline"/>
                    <w:rPr>
                      <w:b/>
                      <w:color w:val="auto"/>
                      <w:kern w:val="0"/>
                      <w:sz w:val="21"/>
                      <w:szCs w:val="21"/>
                    </w:rPr>
                  </w:pPr>
                  <w:r>
                    <w:rPr>
                      <w:b/>
                      <w:color w:val="auto"/>
                      <w:sz w:val="21"/>
                      <w:szCs w:val="21"/>
                    </w:rPr>
                    <w:t>验收</w:t>
                  </w:r>
                  <w:r>
                    <w:rPr>
                      <w:rFonts w:hint="eastAsia"/>
                      <w:b/>
                      <w:color w:val="auto"/>
                      <w:sz w:val="21"/>
                      <w:szCs w:val="21"/>
                    </w:rPr>
                    <w:t>内容</w:t>
                  </w:r>
                </w:p>
              </w:tc>
              <w:tc>
                <w:tcPr>
                  <w:tcW w:w="2777" w:type="dxa"/>
                  <w:tcBorders>
                    <w:bottom w:val="single" w:color="auto" w:sz="4" w:space="0"/>
                  </w:tcBorders>
                  <w:vAlign w:val="center"/>
                </w:tcPr>
                <w:p>
                  <w:pPr>
                    <w:spacing w:line="240" w:lineRule="auto"/>
                    <w:ind w:firstLine="0" w:firstLineChars="0"/>
                    <w:jc w:val="center"/>
                    <w:rPr>
                      <w:b/>
                      <w:color w:val="auto"/>
                      <w:sz w:val="21"/>
                      <w:szCs w:val="21"/>
                    </w:rPr>
                  </w:pPr>
                  <w:r>
                    <w:rPr>
                      <w:rFonts w:hint="eastAsia"/>
                      <w:b/>
                      <w:color w:val="auto"/>
                      <w:sz w:val="21"/>
                      <w:szCs w:val="21"/>
                    </w:rPr>
                    <w:t>验收</w:t>
                  </w:r>
                  <w:r>
                    <w:rPr>
                      <w:b/>
                      <w:color w:val="auto"/>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dxa"/>
                  <w:vAlign w:val="center"/>
                </w:tcPr>
                <w:p>
                  <w:pPr>
                    <w:spacing w:line="240" w:lineRule="auto"/>
                    <w:ind w:firstLine="0" w:firstLineChars="0"/>
                    <w:jc w:val="center"/>
                    <w:rPr>
                      <w:color w:val="auto"/>
                      <w:sz w:val="21"/>
                      <w:szCs w:val="21"/>
                    </w:rPr>
                  </w:pPr>
                  <w:r>
                    <w:rPr>
                      <w:color w:val="auto"/>
                      <w:sz w:val="21"/>
                      <w:szCs w:val="21"/>
                    </w:rPr>
                    <w:t>废水</w:t>
                  </w:r>
                </w:p>
              </w:tc>
              <w:tc>
                <w:tcPr>
                  <w:tcW w:w="1036" w:type="dxa"/>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生活污水</w:t>
                  </w:r>
                </w:p>
              </w:tc>
              <w:tc>
                <w:tcPr>
                  <w:tcW w:w="1392" w:type="dxa"/>
                  <w:vAlign w:val="center"/>
                </w:tcPr>
                <w:p>
                  <w:pPr>
                    <w:adjustRightInd w:val="0"/>
                    <w:snapToGrid w:val="0"/>
                    <w:spacing w:line="240" w:lineRule="auto"/>
                    <w:ind w:firstLine="0" w:firstLineChars="0"/>
                    <w:jc w:val="both"/>
                    <w:rPr>
                      <w:color w:val="auto"/>
                      <w:kern w:val="0"/>
                      <w:sz w:val="21"/>
                      <w:szCs w:val="21"/>
                    </w:rPr>
                  </w:pPr>
                  <w:r>
                    <w:rPr>
                      <w:color w:val="auto"/>
                      <w:kern w:val="0"/>
                      <w:sz w:val="21"/>
                      <w:szCs w:val="21"/>
                    </w:rPr>
                    <w:t>CO</w:t>
                  </w:r>
                  <w:r>
                    <w:rPr>
                      <w:rFonts w:hint="eastAsia"/>
                      <w:color w:val="auto"/>
                      <w:kern w:val="0"/>
                      <w:sz w:val="21"/>
                      <w:szCs w:val="21"/>
                    </w:rPr>
                    <w:t>D、</w:t>
                  </w:r>
                  <w:r>
                    <w:rPr>
                      <w:color w:val="auto"/>
                      <w:kern w:val="0"/>
                      <w:sz w:val="21"/>
                      <w:szCs w:val="21"/>
                    </w:rPr>
                    <w:t>BOD</w:t>
                  </w:r>
                  <w:r>
                    <w:rPr>
                      <w:color w:val="auto"/>
                      <w:kern w:val="0"/>
                      <w:sz w:val="21"/>
                      <w:szCs w:val="21"/>
                      <w:vertAlign w:val="subscript"/>
                    </w:rPr>
                    <w:t>5</w:t>
                  </w:r>
                  <w:r>
                    <w:rPr>
                      <w:color w:val="auto"/>
                      <w:kern w:val="0"/>
                      <w:sz w:val="21"/>
                      <w:szCs w:val="21"/>
                    </w:rPr>
                    <w:t>、</w:t>
                  </w:r>
                  <w:r>
                    <w:rPr>
                      <w:color w:val="auto"/>
                      <w:sz w:val="21"/>
                      <w:szCs w:val="21"/>
                    </w:rPr>
                    <w:t>SS、NH</w:t>
                  </w:r>
                  <w:r>
                    <w:rPr>
                      <w:color w:val="auto"/>
                      <w:sz w:val="21"/>
                      <w:szCs w:val="21"/>
                      <w:vertAlign w:val="subscript"/>
                    </w:rPr>
                    <w:t>3</w:t>
                  </w:r>
                  <w:r>
                    <w:rPr>
                      <w:color w:val="auto"/>
                      <w:sz w:val="21"/>
                      <w:szCs w:val="21"/>
                    </w:rPr>
                    <w:t>-N</w:t>
                  </w:r>
                </w:p>
              </w:tc>
              <w:tc>
                <w:tcPr>
                  <w:tcW w:w="2804" w:type="dxa"/>
                  <w:vAlign w:val="center"/>
                </w:tcPr>
                <w:p>
                  <w:pPr>
                    <w:spacing w:line="240" w:lineRule="auto"/>
                    <w:ind w:firstLine="0" w:firstLineChars="0"/>
                    <w:jc w:val="center"/>
                    <w:rPr>
                      <w:color w:val="auto"/>
                      <w:sz w:val="21"/>
                      <w:szCs w:val="21"/>
                    </w:rPr>
                  </w:pPr>
                  <w:r>
                    <w:rPr>
                      <w:rFonts w:hint="eastAsia"/>
                      <w:color w:val="auto"/>
                      <w:sz w:val="21"/>
                      <w:szCs w:val="20"/>
                    </w:rPr>
                    <w:t>依托园区化粪池处理</w:t>
                  </w:r>
                </w:p>
              </w:tc>
              <w:tc>
                <w:tcPr>
                  <w:tcW w:w="2777" w:type="dxa"/>
                  <w:tcBorders>
                    <w:top w:val="single" w:color="auto" w:sz="4" w:space="0"/>
                  </w:tcBorders>
                  <w:vAlign w:val="center"/>
                </w:tcPr>
                <w:p>
                  <w:pPr>
                    <w:spacing w:line="240" w:lineRule="auto"/>
                    <w:ind w:firstLine="0" w:firstLineChars="0"/>
                    <w:jc w:val="center"/>
                    <w:rPr>
                      <w:color w:val="auto"/>
                      <w:sz w:val="21"/>
                      <w:szCs w:val="20"/>
                    </w:rPr>
                  </w:pPr>
                  <w:r>
                    <w:rPr>
                      <w:rFonts w:hint="eastAsia"/>
                      <w:color w:val="auto"/>
                      <w:sz w:val="21"/>
                      <w:szCs w:val="20"/>
                    </w:rPr>
                    <w:t>满足《污水排入城镇下水道水质标准》（GB/T31962-2015）表1中B等级标准要求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937" w:type="dxa"/>
                  <w:tcBorders>
                    <w:top w:val="single" w:color="auto" w:sz="4" w:space="0"/>
                  </w:tcBorders>
                  <w:vAlign w:val="center"/>
                </w:tcPr>
                <w:p>
                  <w:pPr>
                    <w:spacing w:line="240" w:lineRule="auto"/>
                    <w:ind w:firstLine="0" w:firstLineChars="0"/>
                    <w:jc w:val="center"/>
                    <w:rPr>
                      <w:color w:val="auto"/>
                      <w:sz w:val="21"/>
                      <w:szCs w:val="21"/>
                    </w:rPr>
                  </w:pPr>
                  <w:r>
                    <w:rPr>
                      <w:color w:val="auto"/>
                      <w:sz w:val="21"/>
                      <w:szCs w:val="21"/>
                    </w:rPr>
                    <w:t>废气</w:t>
                  </w:r>
                </w:p>
              </w:tc>
              <w:tc>
                <w:tcPr>
                  <w:tcW w:w="1036" w:type="dxa"/>
                  <w:vAlign w:val="center"/>
                </w:tcPr>
                <w:p>
                  <w:pPr>
                    <w:adjustRightInd w:val="0"/>
                    <w:snapToGrid w:val="0"/>
                    <w:spacing w:line="240" w:lineRule="auto"/>
                    <w:ind w:firstLine="0" w:firstLineChars="0"/>
                    <w:jc w:val="center"/>
                    <w:rPr>
                      <w:color w:val="auto"/>
                      <w:sz w:val="21"/>
                      <w:szCs w:val="21"/>
                    </w:rPr>
                  </w:pPr>
                  <w:r>
                    <w:rPr>
                      <w:rFonts w:hint="eastAsia"/>
                      <w:color w:val="auto"/>
                      <w:sz w:val="21"/>
                      <w:szCs w:val="20"/>
                    </w:rPr>
                    <w:t>有机废气</w:t>
                  </w:r>
                </w:p>
              </w:tc>
              <w:tc>
                <w:tcPr>
                  <w:tcW w:w="1392" w:type="dxa"/>
                  <w:vAlign w:val="center"/>
                </w:tcPr>
                <w:p>
                  <w:pPr>
                    <w:spacing w:line="320" w:lineRule="exact"/>
                    <w:ind w:firstLine="0" w:firstLineChars="0"/>
                    <w:jc w:val="center"/>
                    <w:rPr>
                      <w:color w:val="auto"/>
                      <w:sz w:val="21"/>
                      <w:szCs w:val="21"/>
                    </w:rPr>
                  </w:pPr>
                  <w:r>
                    <w:rPr>
                      <w:rFonts w:hint="eastAsia"/>
                      <w:color w:val="auto"/>
                      <w:sz w:val="21"/>
                    </w:rPr>
                    <w:t>TVOC</w:t>
                  </w:r>
                </w:p>
              </w:tc>
              <w:tc>
                <w:tcPr>
                  <w:tcW w:w="2804" w:type="dxa"/>
                  <w:vAlign w:val="center"/>
                </w:tcPr>
                <w:p>
                  <w:pPr>
                    <w:spacing w:line="320" w:lineRule="exact"/>
                    <w:ind w:firstLine="0" w:firstLineChars="0"/>
                    <w:jc w:val="center"/>
                    <w:rPr>
                      <w:color w:val="auto"/>
                      <w:sz w:val="21"/>
                    </w:rPr>
                  </w:pPr>
                  <w:r>
                    <w:rPr>
                      <w:rFonts w:hint="eastAsia"/>
                      <w:color w:val="auto"/>
                      <w:sz w:val="21"/>
                    </w:rPr>
                    <w:t>集气罩+RCO+25m排气筒</w:t>
                  </w:r>
                </w:p>
              </w:tc>
              <w:tc>
                <w:tcPr>
                  <w:tcW w:w="2777" w:type="dxa"/>
                  <w:vAlign w:val="center"/>
                </w:tcPr>
                <w:p>
                  <w:pPr>
                    <w:spacing w:line="240" w:lineRule="auto"/>
                    <w:ind w:firstLine="0" w:firstLineChars="0"/>
                    <w:jc w:val="center"/>
                    <w:rPr>
                      <w:color w:val="auto"/>
                      <w:sz w:val="21"/>
                      <w:szCs w:val="21"/>
                    </w:rPr>
                  </w:pPr>
                  <w:r>
                    <w:rPr>
                      <w:rFonts w:hint="eastAsia"/>
                      <w:color w:val="auto"/>
                      <w:sz w:val="21"/>
                      <w:szCs w:val="20"/>
                    </w:rPr>
                    <w:t>满足《印刷业挥发性有机物排放标准》（DB43/1357-2017）表1</w:t>
                  </w:r>
                  <w:r>
                    <w:rPr>
                      <w:rFonts w:hint="eastAsia"/>
                      <w:color w:val="auto"/>
                      <w:sz w:val="21"/>
                      <w:szCs w:val="20"/>
                      <w:lang w:eastAsia="zh-CN"/>
                    </w:rPr>
                    <w:t>与表</w:t>
                  </w:r>
                  <w:r>
                    <w:rPr>
                      <w:rFonts w:hint="eastAsia"/>
                      <w:color w:val="auto"/>
                      <w:sz w:val="21"/>
                      <w:szCs w:val="20"/>
                      <w:lang w:val="en-US" w:eastAsia="zh-CN"/>
                    </w:rPr>
                    <w:t>2</w:t>
                  </w:r>
                  <w:r>
                    <w:rPr>
                      <w:rFonts w:hint="eastAsia"/>
                      <w:color w:val="auto"/>
                      <w:sz w:val="21"/>
                      <w:szCs w:val="20"/>
                    </w:rPr>
                    <w:t>中</w:t>
                  </w:r>
                  <w:r>
                    <w:rPr>
                      <w:rFonts w:hint="eastAsia"/>
                      <w:color w:val="auto"/>
                      <w:sz w:val="21"/>
                      <w:szCs w:val="20"/>
                      <w:lang w:eastAsia="zh-CN"/>
                    </w:rPr>
                    <w:t>的</w:t>
                  </w:r>
                  <w:r>
                    <w:rPr>
                      <w:rFonts w:hint="eastAsia"/>
                      <w:color w:val="auto"/>
                      <w:sz w:val="21"/>
                      <w:szCs w:val="20"/>
                    </w:rPr>
                    <w:t>排放限值要求</w:t>
                  </w:r>
                  <w:r>
                    <w:rPr>
                      <w:color w:val="auto"/>
                      <w:sz w:val="21"/>
                      <w:szCs w:val="2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dxa"/>
                  <w:vAlign w:val="center"/>
                </w:tcPr>
                <w:p>
                  <w:pPr>
                    <w:spacing w:line="240" w:lineRule="auto"/>
                    <w:ind w:firstLine="0" w:firstLineChars="0"/>
                    <w:jc w:val="center"/>
                    <w:rPr>
                      <w:color w:val="auto"/>
                      <w:sz w:val="21"/>
                      <w:szCs w:val="21"/>
                    </w:rPr>
                  </w:pPr>
                  <w:r>
                    <w:rPr>
                      <w:color w:val="auto"/>
                      <w:sz w:val="21"/>
                      <w:szCs w:val="21"/>
                    </w:rPr>
                    <w:t>噪声</w:t>
                  </w:r>
                </w:p>
              </w:tc>
              <w:tc>
                <w:tcPr>
                  <w:tcW w:w="1036" w:type="dxa"/>
                  <w:vAlign w:val="center"/>
                </w:tcPr>
                <w:p>
                  <w:pPr>
                    <w:spacing w:line="240" w:lineRule="auto"/>
                    <w:ind w:firstLine="0" w:firstLineChars="0"/>
                    <w:jc w:val="center"/>
                    <w:rPr>
                      <w:color w:val="auto"/>
                      <w:sz w:val="21"/>
                      <w:szCs w:val="21"/>
                    </w:rPr>
                  </w:pPr>
                  <w:r>
                    <w:rPr>
                      <w:rFonts w:hint="eastAsia"/>
                      <w:color w:val="auto"/>
                      <w:sz w:val="21"/>
                      <w:szCs w:val="21"/>
                    </w:rPr>
                    <w:t>车间</w:t>
                  </w:r>
                </w:p>
              </w:tc>
              <w:tc>
                <w:tcPr>
                  <w:tcW w:w="1392" w:type="dxa"/>
                  <w:vAlign w:val="center"/>
                </w:tcPr>
                <w:p>
                  <w:pPr>
                    <w:spacing w:line="240" w:lineRule="auto"/>
                    <w:ind w:firstLine="0" w:firstLineChars="0"/>
                    <w:jc w:val="center"/>
                    <w:rPr>
                      <w:color w:val="auto"/>
                      <w:sz w:val="21"/>
                      <w:szCs w:val="21"/>
                    </w:rPr>
                  </w:pPr>
                  <w:r>
                    <w:rPr>
                      <w:color w:val="auto"/>
                      <w:sz w:val="21"/>
                      <w:szCs w:val="21"/>
                    </w:rPr>
                    <w:t>Leq</w:t>
                  </w:r>
                </w:p>
              </w:tc>
              <w:tc>
                <w:tcPr>
                  <w:tcW w:w="2804" w:type="dxa"/>
                  <w:vAlign w:val="center"/>
                </w:tcPr>
                <w:p>
                  <w:pPr>
                    <w:spacing w:line="240" w:lineRule="auto"/>
                    <w:ind w:firstLine="0" w:firstLineChars="0"/>
                    <w:jc w:val="both"/>
                    <w:rPr>
                      <w:color w:val="auto"/>
                      <w:sz w:val="21"/>
                      <w:szCs w:val="21"/>
                    </w:rPr>
                  </w:pPr>
                  <w:r>
                    <w:rPr>
                      <w:color w:val="auto"/>
                      <w:sz w:val="21"/>
                      <w:szCs w:val="21"/>
                    </w:rPr>
                    <w:t>减震、隔声、消声、合理布局</w:t>
                  </w:r>
                </w:p>
              </w:tc>
              <w:tc>
                <w:tcPr>
                  <w:tcW w:w="2777" w:type="dxa"/>
                  <w:vAlign w:val="center"/>
                </w:tcPr>
                <w:p>
                  <w:pPr>
                    <w:spacing w:line="280" w:lineRule="exact"/>
                    <w:ind w:firstLine="0" w:firstLineChars="0"/>
                    <w:jc w:val="center"/>
                    <w:rPr>
                      <w:color w:val="auto"/>
                      <w:sz w:val="21"/>
                      <w:szCs w:val="21"/>
                    </w:rPr>
                  </w:pPr>
                  <w:r>
                    <w:rPr>
                      <w:color w:val="auto"/>
                      <w:sz w:val="21"/>
                      <w:szCs w:val="21"/>
                    </w:rPr>
                    <w:t>满足《工业企业厂界环境噪声排放标准》（GB12348-2008）表1中</w:t>
                  </w:r>
                  <w:r>
                    <w:rPr>
                      <w:rFonts w:hint="eastAsia"/>
                      <w:color w:val="auto"/>
                      <w:sz w:val="21"/>
                      <w:szCs w:val="21"/>
                    </w:rPr>
                    <w:t>3</w:t>
                  </w:r>
                  <w:r>
                    <w:rPr>
                      <w:color w:val="auto"/>
                      <w:sz w:val="21"/>
                      <w:szCs w:val="21"/>
                    </w:rPr>
                    <w:t>类标准</w:t>
                  </w:r>
                  <w:r>
                    <w:rPr>
                      <w:rFonts w:hint="eastAsia"/>
                      <w:color w:val="auto"/>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dxa"/>
                  <w:vMerge w:val="restart"/>
                  <w:vAlign w:val="center"/>
                </w:tcPr>
                <w:p>
                  <w:pPr>
                    <w:adjustRightInd w:val="0"/>
                    <w:snapToGrid w:val="0"/>
                    <w:spacing w:line="240" w:lineRule="auto"/>
                    <w:ind w:firstLine="0" w:firstLineChars="0"/>
                    <w:jc w:val="center"/>
                    <w:rPr>
                      <w:color w:val="auto"/>
                      <w:kern w:val="0"/>
                      <w:sz w:val="21"/>
                      <w:szCs w:val="21"/>
                    </w:rPr>
                  </w:pPr>
                  <w:r>
                    <w:rPr>
                      <w:color w:val="auto"/>
                      <w:kern w:val="0"/>
                      <w:sz w:val="21"/>
                      <w:szCs w:val="21"/>
                    </w:rPr>
                    <w:t>固废</w:t>
                  </w:r>
                </w:p>
              </w:tc>
              <w:tc>
                <w:tcPr>
                  <w:tcW w:w="1036" w:type="dxa"/>
                  <w:vMerge w:val="restart"/>
                  <w:tcBorders>
                    <w:top w:val="single" w:color="auto" w:sz="4" w:space="0"/>
                  </w:tcBorders>
                  <w:vAlign w:val="center"/>
                </w:tcPr>
                <w:p>
                  <w:pPr>
                    <w:adjustRightInd w:val="0"/>
                    <w:snapToGrid w:val="0"/>
                    <w:spacing w:line="240" w:lineRule="auto"/>
                    <w:ind w:firstLine="0" w:firstLineChars="0"/>
                    <w:jc w:val="center"/>
                    <w:rPr>
                      <w:color w:val="auto"/>
                      <w:kern w:val="0"/>
                      <w:sz w:val="21"/>
                      <w:szCs w:val="21"/>
                    </w:rPr>
                  </w:pPr>
                  <w:r>
                    <w:rPr>
                      <w:rFonts w:hint="eastAsia"/>
                      <w:color w:val="auto"/>
                      <w:kern w:val="0"/>
                      <w:sz w:val="21"/>
                      <w:szCs w:val="21"/>
                    </w:rPr>
                    <w:t>生产车间</w:t>
                  </w:r>
                </w:p>
              </w:tc>
              <w:tc>
                <w:tcPr>
                  <w:tcW w:w="1392" w:type="dxa"/>
                  <w:vAlign w:val="center"/>
                </w:tcPr>
                <w:p>
                  <w:pPr>
                    <w:spacing w:line="240" w:lineRule="auto"/>
                    <w:ind w:firstLine="0" w:firstLineChars="0"/>
                    <w:jc w:val="center"/>
                    <w:rPr>
                      <w:color w:val="auto"/>
                      <w:kern w:val="0"/>
                      <w:sz w:val="21"/>
                      <w:szCs w:val="21"/>
                    </w:rPr>
                  </w:pPr>
                  <w:r>
                    <w:rPr>
                      <w:color w:val="auto"/>
                      <w:sz w:val="21"/>
                      <w:szCs w:val="21"/>
                    </w:rPr>
                    <w:t>生活垃圾</w:t>
                  </w:r>
                </w:p>
              </w:tc>
              <w:tc>
                <w:tcPr>
                  <w:tcW w:w="2804" w:type="dxa"/>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生活垃圾分类收集桶，交由环卫部门处理</w:t>
                  </w:r>
                </w:p>
              </w:tc>
              <w:tc>
                <w:tcPr>
                  <w:tcW w:w="2777" w:type="dxa"/>
                  <w:vMerge w:val="restart"/>
                  <w:vAlign w:val="center"/>
                </w:tcPr>
                <w:p>
                  <w:pPr>
                    <w:adjustRightInd w:val="0"/>
                    <w:snapToGrid w:val="0"/>
                    <w:spacing w:line="240" w:lineRule="auto"/>
                    <w:ind w:firstLine="0" w:firstLineChars="0"/>
                    <w:jc w:val="center"/>
                    <w:rPr>
                      <w:color w:val="auto"/>
                      <w:kern w:val="0"/>
                      <w:sz w:val="21"/>
                      <w:szCs w:val="21"/>
                    </w:rPr>
                  </w:pPr>
                  <w:r>
                    <w:rPr>
                      <w:color w:val="auto"/>
                      <w:sz w:val="21"/>
                      <w:szCs w:val="21"/>
                    </w:rPr>
                    <w:t>达到环保要求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dxa"/>
                  <w:vMerge w:val="continue"/>
                  <w:vAlign w:val="center"/>
                </w:tcPr>
                <w:p>
                  <w:pPr>
                    <w:adjustRightInd w:val="0"/>
                    <w:snapToGrid w:val="0"/>
                    <w:spacing w:line="240" w:lineRule="auto"/>
                    <w:ind w:firstLine="0" w:firstLineChars="0"/>
                    <w:jc w:val="center"/>
                    <w:rPr>
                      <w:color w:val="auto"/>
                      <w:kern w:val="0"/>
                      <w:sz w:val="21"/>
                      <w:szCs w:val="21"/>
                    </w:rPr>
                  </w:pPr>
                </w:p>
              </w:tc>
              <w:tc>
                <w:tcPr>
                  <w:tcW w:w="1036" w:type="dxa"/>
                  <w:vMerge w:val="continue"/>
                  <w:tcBorders>
                    <w:top w:val="single" w:color="auto" w:sz="4" w:space="0"/>
                  </w:tcBorders>
                  <w:vAlign w:val="center"/>
                </w:tcPr>
                <w:p>
                  <w:pPr>
                    <w:adjustRightInd w:val="0"/>
                    <w:snapToGrid w:val="0"/>
                    <w:spacing w:line="240" w:lineRule="auto"/>
                    <w:ind w:firstLine="0" w:firstLineChars="0"/>
                    <w:jc w:val="center"/>
                    <w:rPr>
                      <w:color w:val="auto"/>
                      <w:kern w:val="0"/>
                      <w:sz w:val="21"/>
                      <w:szCs w:val="21"/>
                    </w:rPr>
                  </w:pPr>
                </w:p>
              </w:tc>
              <w:tc>
                <w:tcPr>
                  <w:tcW w:w="1392" w:type="dxa"/>
                  <w:vAlign w:val="center"/>
                </w:tcPr>
                <w:p>
                  <w:pPr>
                    <w:adjustRightInd w:val="0"/>
                    <w:snapToGrid w:val="0"/>
                    <w:spacing w:line="240" w:lineRule="auto"/>
                    <w:ind w:firstLine="0" w:firstLineChars="0"/>
                    <w:jc w:val="center"/>
                    <w:rPr>
                      <w:color w:val="auto"/>
                      <w:sz w:val="21"/>
                      <w:szCs w:val="21"/>
                    </w:rPr>
                  </w:pPr>
                  <w:r>
                    <w:rPr>
                      <w:rFonts w:hint="eastAsia"/>
                      <w:color w:val="auto"/>
                      <w:sz w:val="21"/>
                      <w:szCs w:val="21"/>
                    </w:rPr>
                    <w:t>废边角料</w:t>
                  </w:r>
                </w:p>
              </w:tc>
              <w:tc>
                <w:tcPr>
                  <w:tcW w:w="2804" w:type="dxa"/>
                  <w:vAlign w:val="center"/>
                </w:tcPr>
                <w:p>
                  <w:pPr>
                    <w:autoSpaceDE w:val="0"/>
                    <w:autoSpaceDN w:val="0"/>
                    <w:adjustRightInd w:val="0"/>
                    <w:snapToGrid w:val="0"/>
                    <w:spacing w:line="240" w:lineRule="auto"/>
                    <w:ind w:firstLine="0" w:firstLineChars="0"/>
                    <w:jc w:val="center"/>
                    <w:rPr>
                      <w:color w:val="auto"/>
                      <w:kern w:val="0"/>
                      <w:sz w:val="21"/>
                      <w:szCs w:val="21"/>
                    </w:rPr>
                  </w:pPr>
                  <w:r>
                    <w:rPr>
                      <w:rFonts w:hint="eastAsia"/>
                      <w:color w:val="auto"/>
                      <w:kern w:val="0"/>
                      <w:sz w:val="21"/>
                      <w:szCs w:val="21"/>
                    </w:rPr>
                    <w:t>由废塑料收购企业定期回收再利用</w:t>
                  </w:r>
                </w:p>
              </w:tc>
              <w:tc>
                <w:tcPr>
                  <w:tcW w:w="2777" w:type="dxa"/>
                  <w:vMerge w:val="continue"/>
                  <w:vAlign w:val="center"/>
                </w:tcPr>
                <w:p>
                  <w:pPr>
                    <w:adjustRightInd w:val="0"/>
                    <w:snapToGrid w:val="0"/>
                    <w:spacing w:line="240" w:lineRule="auto"/>
                    <w:ind w:firstLine="0" w:firstLineChars="0"/>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04" w:hRule="atLeast"/>
                <w:jc w:val="center"/>
              </w:trPr>
              <w:tc>
                <w:tcPr>
                  <w:tcW w:w="937" w:type="dxa"/>
                  <w:vMerge w:val="continue"/>
                  <w:vAlign w:val="center"/>
                </w:tcPr>
                <w:p>
                  <w:pPr>
                    <w:adjustRightInd w:val="0"/>
                    <w:snapToGrid w:val="0"/>
                    <w:spacing w:line="240" w:lineRule="auto"/>
                    <w:ind w:firstLine="0" w:firstLineChars="0"/>
                    <w:jc w:val="center"/>
                    <w:rPr>
                      <w:color w:val="auto"/>
                      <w:kern w:val="0"/>
                      <w:sz w:val="21"/>
                      <w:szCs w:val="21"/>
                    </w:rPr>
                  </w:pPr>
                </w:p>
              </w:tc>
              <w:tc>
                <w:tcPr>
                  <w:tcW w:w="1036" w:type="dxa"/>
                  <w:vMerge w:val="continue"/>
                  <w:tcBorders>
                    <w:top w:val="single" w:color="auto" w:sz="4" w:space="0"/>
                  </w:tcBorders>
                  <w:vAlign w:val="center"/>
                </w:tcPr>
                <w:p>
                  <w:pPr>
                    <w:adjustRightInd w:val="0"/>
                    <w:snapToGrid w:val="0"/>
                    <w:spacing w:line="240" w:lineRule="auto"/>
                    <w:ind w:firstLine="0" w:firstLineChars="0"/>
                    <w:jc w:val="center"/>
                    <w:rPr>
                      <w:color w:val="auto"/>
                      <w:kern w:val="0"/>
                      <w:sz w:val="21"/>
                      <w:szCs w:val="21"/>
                    </w:rPr>
                  </w:pPr>
                </w:p>
              </w:tc>
              <w:tc>
                <w:tcPr>
                  <w:tcW w:w="1392" w:type="dxa"/>
                  <w:vAlign w:val="center"/>
                </w:tcPr>
                <w:p>
                  <w:pPr>
                    <w:adjustRightInd w:val="0"/>
                    <w:snapToGrid w:val="0"/>
                    <w:spacing w:line="240" w:lineRule="auto"/>
                    <w:ind w:firstLine="0" w:firstLineChars="0"/>
                    <w:jc w:val="center"/>
                    <w:rPr>
                      <w:color w:val="auto"/>
                      <w:kern w:val="0"/>
                      <w:sz w:val="21"/>
                      <w:szCs w:val="21"/>
                    </w:rPr>
                  </w:pPr>
                  <w:r>
                    <w:rPr>
                      <w:rFonts w:hint="eastAsia"/>
                      <w:color w:val="auto"/>
                      <w:sz w:val="21"/>
                      <w:szCs w:val="21"/>
                    </w:rPr>
                    <w:t>废催化剂、废抹布、废包装桶</w:t>
                  </w:r>
                </w:p>
              </w:tc>
              <w:tc>
                <w:tcPr>
                  <w:tcW w:w="2804" w:type="dxa"/>
                  <w:vAlign w:val="center"/>
                </w:tcPr>
                <w:p>
                  <w:pPr>
                    <w:autoSpaceDE w:val="0"/>
                    <w:autoSpaceDN w:val="0"/>
                    <w:adjustRightInd w:val="0"/>
                    <w:spacing w:line="240" w:lineRule="auto"/>
                    <w:ind w:firstLine="0" w:firstLineChars="0"/>
                    <w:jc w:val="center"/>
                    <w:rPr>
                      <w:color w:val="auto"/>
                      <w:kern w:val="0"/>
                      <w:sz w:val="21"/>
                      <w:szCs w:val="21"/>
                    </w:rPr>
                  </w:pPr>
                  <w:r>
                    <w:rPr>
                      <w:color w:val="auto"/>
                      <w:kern w:val="0"/>
                      <w:sz w:val="21"/>
                      <w:szCs w:val="21"/>
                    </w:rPr>
                    <w:t>设置危废暂存间（</w:t>
                  </w:r>
                  <w:r>
                    <w:rPr>
                      <w:rFonts w:hint="eastAsia"/>
                      <w:color w:val="auto"/>
                      <w:kern w:val="0"/>
                      <w:sz w:val="21"/>
                      <w:szCs w:val="21"/>
                    </w:rPr>
                    <w:t>20m</w:t>
                  </w:r>
                  <w:r>
                    <w:rPr>
                      <w:rFonts w:hint="eastAsia"/>
                      <w:color w:val="auto"/>
                      <w:kern w:val="0"/>
                      <w:sz w:val="21"/>
                      <w:szCs w:val="21"/>
                      <w:vertAlign w:val="superscript"/>
                    </w:rPr>
                    <w:t>2</w:t>
                  </w:r>
                  <w:r>
                    <w:rPr>
                      <w:color w:val="auto"/>
                      <w:kern w:val="0"/>
                      <w:sz w:val="21"/>
                      <w:szCs w:val="21"/>
                    </w:rPr>
                    <w:t>），分类收集后，</w:t>
                  </w:r>
                  <w:r>
                    <w:rPr>
                      <w:rFonts w:hint="eastAsia"/>
                      <w:color w:val="auto"/>
                      <w:kern w:val="0"/>
                      <w:sz w:val="21"/>
                      <w:szCs w:val="21"/>
                    </w:rPr>
                    <w:t>委托有资质的单位收集处置</w:t>
                  </w:r>
                  <w:r>
                    <w:rPr>
                      <w:color w:val="auto"/>
                      <w:kern w:val="0"/>
                      <w:sz w:val="21"/>
                      <w:szCs w:val="21"/>
                    </w:rPr>
                    <w:t>，并做好台账。</w:t>
                  </w:r>
                </w:p>
              </w:tc>
              <w:tc>
                <w:tcPr>
                  <w:tcW w:w="2777" w:type="dxa"/>
                  <w:vAlign w:val="center"/>
                </w:tcPr>
                <w:p>
                  <w:pPr>
                    <w:adjustRightInd w:val="0"/>
                    <w:snapToGrid w:val="0"/>
                    <w:spacing w:line="240" w:lineRule="auto"/>
                    <w:ind w:firstLine="0" w:firstLineChars="0"/>
                    <w:jc w:val="center"/>
                    <w:rPr>
                      <w:color w:val="auto"/>
                      <w:kern w:val="0"/>
                      <w:sz w:val="21"/>
                      <w:szCs w:val="21"/>
                    </w:rPr>
                  </w:pPr>
                  <w:r>
                    <w:rPr>
                      <w:rFonts w:hint="eastAsia"/>
                      <w:color w:val="auto"/>
                      <w:kern w:val="0"/>
                      <w:sz w:val="21"/>
                      <w:szCs w:val="21"/>
                    </w:rPr>
                    <w:t>满足</w:t>
                  </w:r>
                  <w:r>
                    <w:rPr>
                      <w:color w:val="auto"/>
                      <w:kern w:val="0"/>
                      <w:sz w:val="21"/>
                      <w:szCs w:val="21"/>
                    </w:rPr>
                    <w:t>《危险废物贮存污染物控制标准》（GB18597-2001）及修改单</w:t>
                  </w:r>
                  <w:r>
                    <w:rPr>
                      <w:rFonts w:hint="eastAsia"/>
                      <w:color w:val="auto"/>
                      <w:kern w:val="0"/>
                      <w:sz w:val="21"/>
                      <w:szCs w:val="21"/>
                    </w:rPr>
                    <w:t>中的相关要求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dxa"/>
                  <w:vAlign w:val="center"/>
                </w:tcPr>
                <w:p>
                  <w:pPr>
                    <w:spacing w:line="240" w:lineRule="auto"/>
                    <w:ind w:firstLine="0" w:firstLineChars="0"/>
                    <w:jc w:val="center"/>
                    <w:rPr>
                      <w:color w:val="auto"/>
                      <w:sz w:val="21"/>
                      <w:szCs w:val="21"/>
                    </w:rPr>
                  </w:pPr>
                  <w:r>
                    <w:rPr>
                      <w:color w:val="auto"/>
                      <w:sz w:val="21"/>
                      <w:szCs w:val="21"/>
                    </w:rPr>
                    <w:t>环境</w:t>
                  </w:r>
                </w:p>
                <w:p>
                  <w:pPr>
                    <w:spacing w:line="240" w:lineRule="auto"/>
                    <w:ind w:firstLine="0" w:firstLineChars="0"/>
                    <w:jc w:val="center"/>
                    <w:rPr>
                      <w:color w:val="auto"/>
                      <w:sz w:val="21"/>
                      <w:szCs w:val="21"/>
                    </w:rPr>
                  </w:pPr>
                  <w:r>
                    <w:rPr>
                      <w:color w:val="auto"/>
                      <w:sz w:val="21"/>
                      <w:szCs w:val="21"/>
                    </w:rPr>
                    <w:t>管理</w:t>
                  </w:r>
                </w:p>
              </w:tc>
              <w:tc>
                <w:tcPr>
                  <w:tcW w:w="5232" w:type="dxa"/>
                  <w:gridSpan w:val="3"/>
                  <w:tcBorders>
                    <w:top w:val="single" w:color="auto" w:sz="4" w:space="0"/>
                    <w:bottom w:val="single" w:color="auto" w:sz="4" w:space="0"/>
                  </w:tcBorders>
                  <w:vAlign w:val="center"/>
                </w:tcPr>
                <w:p>
                  <w:pPr>
                    <w:spacing w:line="240" w:lineRule="auto"/>
                    <w:ind w:firstLine="0" w:firstLineChars="0"/>
                    <w:jc w:val="both"/>
                    <w:rPr>
                      <w:color w:val="auto"/>
                      <w:sz w:val="21"/>
                      <w:szCs w:val="21"/>
                    </w:rPr>
                  </w:pPr>
                  <w:r>
                    <w:rPr>
                      <w:color w:val="auto"/>
                      <w:sz w:val="21"/>
                      <w:szCs w:val="21"/>
                    </w:rPr>
                    <w:t>营运期执行环境保护法律、法规情况；环境保护审批手续及环境保护档案资料；环境管理机构及规章管理制定；环境保护设施建成及运行维护记录；环境保护措施落实情况及实施效果</w:t>
                  </w:r>
                </w:p>
              </w:tc>
              <w:tc>
                <w:tcPr>
                  <w:tcW w:w="2777" w:type="dxa"/>
                  <w:vAlign w:val="center"/>
                </w:tcPr>
                <w:p>
                  <w:pPr>
                    <w:spacing w:line="240" w:lineRule="auto"/>
                    <w:ind w:firstLine="0" w:firstLineChars="0"/>
                    <w:jc w:val="center"/>
                    <w:rPr>
                      <w:color w:val="auto"/>
                      <w:sz w:val="21"/>
                      <w:szCs w:val="21"/>
                    </w:rPr>
                  </w:pPr>
                  <w:r>
                    <w:rPr>
                      <w:color w:val="auto"/>
                      <w:sz w:val="21"/>
                      <w:szCs w:val="21"/>
                    </w:rPr>
                    <w:t>达到环保要求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dxa"/>
                  <w:vAlign w:val="center"/>
                </w:tcPr>
                <w:p>
                  <w:pPr>
                    <w:spacing w:line="240" w:lineRule="auto"/>
                    <w:ind w:firstLine="0" w:firstLineChars="0"/>
                    <w:jc w:val="center"/>
                    <w:rPr>
                      <w:color w:val="auto"/>
                      <w:sz w:val="21"/>
                      <w:szCs w:val="21"/>
                    </w:rPr>
                  </w:pPr>
                  <w:r>
                    <w:rPr>
                      <w:color w:val="auto"/>
                      <w:sz w:val="21"/>
                      <w:szCs w:val="21"/>
                    </w:rPr>
                    <w:t>排放口</w:t>
                  </w:r>
                </w:p>
              </w:tc>
              <w:tc>
                <w:tcPr>
                  <w:tcW w:w="5232" w:type="dxa"/>
                  <w:gridSpan w:val="3"/>
                  <w:tcBorders>
                    <w:top w:val="single" w:color="auto" w:sz="4" w:space="0"/>
                    <w:bottom w:val="single" w:color="auto" w:sz="4" w:space="0"/>
                  </w:tcBorders>
                  <w:vAlign w:val="center"/>
                </w:tcPr>
                <w:p>
                  <w:pPr>
                    <w:spacing w:line="240" w:lineRule="auto"/>
                    <w:ind w:firstLine="0" w:firstLineChars="0"/>
                    <w:jc w:val="both"/>
                    <w:rPr>
                      <w:color w:val="auto"/>
                      <w:sz w:val="21"/>
                      <w:szCs w:val="21"/>
                    </w:rPr>
                  </w:pPr>
                  <w:r>
                    <w:rPr>
                      <w:color w:val="auto"/>
                      <w:sz w:val="21"/>
                      <w:szCs w:val="21"/>
                    </w:rPr>
                    <w:t>废水</w:t>
                  </w:r>
                  <w:r>
                    <w:rPr>
                      <w:rFonts w:hint="eastAsia"/>
                      <w:color w:val="auto"/>
                      <w:sz w:val="21"/>
                      <w:szCs w:val="21"/>
                    </w:rPr>
                    <w:t>、废气</w:t>
                  </w:r>
                  <w:r>
                    <w:rPr>
                      <w:color w:val="auto"/>
                      <w:sz w:val="21"/>
                      <w:szCs w:val="21"/>
                    </w:rPr>
                    <w:t>排放口预留监测采样孔，并应设规范排污口及其管理、设置排污口标识标志牌</w:t>
                  </w:r>
                </w:p>
              </w:tc>
              <w:tc>
                <w:tcPr>
                  <w:tcW w:w="2777" w:type="dxa"/>
                  <w:vAlign w:val="center"/>
                </w:tcPr>
                <w:p>
                  <w:pPr>
                    <w:spacing w:line="240" w:lineRule="auto"/>
                    <w:ind w:firstLine="0" w:firstLineChars="0"/>
                    <w:jc w:val="center"/>
                    <w:rPr>
                      <w:color w:val="auto"/>
                      <w:sz w:val="21"/>
                      <w:szCs w:val="21"/>
                    </w:rPr>
                  </w:pPr>
                  <w:r>
                    <w:rPr>
                      <w:color w:val="auto"/>
                      <w:sz w:val="21"/>
                      <w:szCs w:val="21"/>
                    </w:rPr>
                    <w:t>达到环保要求</w:t>
                  </w:r>
                </w:p>
              </w:tc>
            </w:tr>
          </w:tbl>
          <w:p>
            <w:pPr>
              <w:ind w:firstLine="0" w:firstLineChars="0"/>
              <w:jc w:val="both"/>
              <w:rPr>
                <w:color w:val="auto"/>
              </w:rPr>
            </w:pPr>
          </w:p>
        </w:tc>
      </w:tr>
    </w:tbl>
    <w:p>
      <w:pPr>
        <w:ind w:firstLine="0" w:firstLineChars="0"/>
        <w:rPr>
          <w:rFonts w:eastAsia="黑体"/>
          <w:bCs/>
          <w:color w:val="auto"/>
          <w:sz w:val="28"/>
          <w:szCs w:val="28"/>
        </w:rPr>
        <w:sectPr>
          <w:pgSz w:w="11906" w:h="16838"/>
          <w:pgMar w:top="1304" w:right="1418" w:bottom="1304" w:left="1418" w:header="851" w:footer="794" w:gutter="0"/>
          <w:cols w:space="425" w:num="1"/>
          <w:docGrid w:type="lines" w:linePitch="312" w:charSpace="0"/>
        </w:sectPr>
      </w:pPr>
    </w:p>
    <w:p>
      <w:pPr>
        <w:pStyle w:val="4"/>
        <w:rPr>
          <w:color w:val="auto"/>
        </w:rPr>
      </w:pPr>
      <w:r>
        <w:rPr>
          <w:color w:val="auto"/>
        </w:rPr>
        <w:t>建设项目拟采取的防治措施及预期治理效果</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101"/>
        <w:gridCol w:w="2279"/>
        <w:gridCol w:w="2567"/>
        <w:gridCol w:w="3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89" w:type="pct"/>
            <w:tcBorders>
              <w:tl2br w:val="single" w:color="auto" w:sz="4" w:space="0"/>
            </w:tcBorders>
            <w:vAlign w:val="center"/>
          </w:tcPr>
          <w:p>
            <w:pPr>
              <w:ind w:firstLine="0" w:firstLineChars="0"/>
              <w:jc w:val="center"/>
              <w:rPr>
                <w:b/>
                <w:bCs/>
                <w:color w:val="auto"/>
                <w:sz w:val="21"/>
                <w:szCs w:val="21"/>
              </w:rPr>
            </w:pPr>
            <w:r>
              <w:rPr>
                <w:rFonts w:hAnsi="宋体"/>
                <w:b/>
                <w:bCs/>
                <w:color w:val="auto"/>
                <w:sz w:val="21"/>
                <w:szCs w:val="21"/>
              </w:rPr>
              <w:t>内容</w:t>
            </w:r>
          </w:p>
          <w:p>
            <w:pPr>
              <w:ind w:firstLine="0" w:firstLineChars="0"/>
              <w:jc w:val="center"/>
              <w:rPr>
                <w:b/>
                <w:bCs/>
                <w:color w:val="auto"/>
                <w:sz w:val="21"/>
                <w:szCs w:val="21"/>
              </w:rPr>
            </w:pPr>
            <w:r>
              <w:rPr>
                <w:rFonts w:hAnsi="宋体"/>
                <w:b/>
                <w:bCs/>
                <w:color w:val="auto"/>
                <w:sz w:val="21"/>
                <w:szCs w:val="21"/>
              </w:rPr>
              <w:t>类型</w:t>
            </w:r>
          </w:p>
        </w:tc>
        <w:tc>
          <w:tcPr>
            <w:tcW w:w="565" w:type="pct"/>
            <w:vAlign w:val="center"/>
          </w:tcPr>
          <w:p>
            <w:pPr>
              <w:ind w:firstLine="0" w:firstLineChars="0"/>
              <w:jc w:val="center"/>
              <w:rPr>
                <w:rFonts w:hAnsi="宋体"/>
                <w:b/>
                <w:bCs/>
                <w:color w:val="auto"/>
                <w:sz w:val="21"/>
                <w:szCs w:val="21"/>
              </w:rPr>
            </w:pPr>
            <w:r>
              <w:rPr>
                <w:rFonts w:hAnsi="宋体"/>
                <w:b/>
                <w:bCs/>
                <w:color w:val="auto"/>
                <w:sz w:val="21"/>
                <w:szCs w:val="21"/>
              </w:rPr>
              <w:t>排放源</w:t>
            </w:r>
          </w:p>
          <w:p>
            <w:pPr>
              <w:ind w:firstLine="0" w:firstLineChars="0"/>
              <w:jc w:val="center"/>
              <w:rPr>
                <w:b/>
                <w:bCs/>
                <w:color w:val="auto"/>
                <w:sz w:val="21"/>
                <w:szCs w:val="21"/>
              </w:rPr>
            </w:pPr>
            <w:r>
              <w:rPr>
                <w:rFonts w:hAnsi="宋体"/>
                <w:b/>
                <w:bCs/>
                <w:color w:val="auto"/>
                <w:sz w:val="21"/>
                <w:szCs w:val="21"/>
              </w:rPr>
              <w:t>（编号）</w:t>
            </w:r>
          </w:p>
        </w:tc>
        <w:tc>
          <w:tcPr>
            <w:tcW w:w="1170" w:type="pct"/>
            <w:vAlign w:val="center"/>
          </w:tcPr>
          <w:p>
            <w:pPr>
              <w:ind w:firstLine="0" w:firstLineChars="0"/>
              <w:jc w:val="center"/>
              <w:rPr>
                <w:rFonts w:hAnsi="宋体"/>
                <w:b/>
                <w:bCs/>
                <w:color w:val="auto"/>
                <w:sz w:val="21"/>
                <w:szCs w:val="21"/>
              </w:rPr>
            </w:pPr>
            <w:r>
              <w:rPr>
                <w:rFonts w:hAnsi="宋体"/>
                <w:b/>
                <w:bCs/>
                <w:color w:val="auto"/>
                <w:sz w:val="21"/>
                <w:szCs w:val="21"/>
              </w:rPr>
              <w:t>污染物</w:t>
            </w:r>
          </w:p>
          <w:p>
            <w:pPr>
              <w:ind w:firstLine="0" w:firstLineChars="0"/>
              <w:jc w:val="center"/>
              <w:rPr>
                <w:b/>
                <w:bCs/>
                <w:color w:val="auto"/>
                <w:sz w:val="21"/>
                <w:szCs w:val="21"/>
              </w:rPr>
            </w:pPr>
            <w:r>
              <w:rPr>
                <w:rFonts w:hAnsi="宋体"/>
                <w:b/>
                <w:bCs/>
                <w:color w:val="auto"/>
                <w:sz w:val="21"/>
                <w:szCs w:val="21"/>
              </w:rPr>
              <w:t>名称</w:t>
            </w:r>
          </w:p>
        </w:tc>
        <w:tc>
          <w:tcPr>
            <w:tcW w:w="1318" w:type="pct"/>
            <w:vAlign w:val="center"/>
          </w:tcPr>
          <w:p>
            <w:pPr>
              <w:ind w:firstLine="0" w:firstLineChars="0"/>
              <w:jc w:val="center"/>
              <w:rPr>
                <w:b/>
                <w:bCs/>
                <w:color w:val="auto"/>
                <w:sz w:val="21"/>
                <w:szCs w:val="21"/>
              </w:rPr>
            </w:pPr>
            <w:r>
              <w:rPr>
                <w:rFonts w:hAnsi="宋体"/>
                <w:b/>
                <w:bCs/>
                <w:color w:val="auto"/>
                <w:sz w:val="21"/>
                <w:szCs w:val="21"/>
              </w:rPr>
              <w:t>防治措施</w:t>
            </w:r>
          </w:p>
        </w:tc>
        <w:tc>
          <w:tcPr>
            <w:tcW w:w="1555" w:type="pct"/>
            <w:vAlign w:val="center"/>
          </w:tcPr>
          <w:p>
            <w:pPr>
              <w:ind w:firstLine="0" w:firstLineChars="0"/>
              <w:jc w:val="center"/>
              <w:rPr>
                <w:b/>
                <w:bCs/>
                <w:color w:val="auto"/>
                <w:sz w:val="21"/>
                <w:szCs w:val="21"/>
              </w:rPr>
            </w:pPr>
            <w:r>
              <w:rPr>
                <w:rFonts w:hAnsi="宋体"/>
                <w:b/>
                <w:bCs/>
                <w:color w:val="auto"/>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9" w:type="pct"/>
            <w:vAlign w:val="center"/>
          </w:tcPr>
          <w:p>
            <w:pPr>
              <w:ind w:firstLine="0" w:firstLineChars="0"/>
              <w:jc w:val="center"/>
              <w:rPr>
                <w:rFonts w:hAnsi="宋体"/>
                <w:bCs/>
                <w:color w:val="auto"/>
                <w:sz w:val="21"/>
                <w:szCs w:val="21"/>
              </w:rPr>
            </w:pPr>
            <w:r>
              <w:rPr>
                <w:rFonts w:hAnsi="宋体"/>
                <w:bCs/>
                <w:color w:val="auto"/>
                <w:sz w:val="21"/>
                <w:szCs w:val="21"/>
              </w:rPr>
              <w:t>大</w:t>
            </w:r>
          </w:p>
          <w:p>
            <w:pPr>
              <w:ind w:firstLine="0" w:firstLineChars="0"/>
              <w:jc w:val="center"/>
              <w:rPr>
                <w:bCs/>
                <w:color w:val="auto"/>
                <w:sz w:val="21"/>
                <w:szCs w:val="21"/>
              </w:rPr>
            </w:pPr>
            <w:r>
              <w:rPr>
                <w:rFonts w:hAnsi="宋体"/>
                <w:bCs/>
                <w:color w:val="auto"/>
                <w:sz w:val="21"/>
                <w:szCs w:val="21"/>
              </w:rPr>
              <w:t>气</w:t>
            </w:r>
          </w:p>
          <w:p>
            <w:pPr>
              <w:ind w:firstLine="0" w:firstLineChars="0"/>
              <w:jc w:val="center"/>
              <w:rPr>
                <w:rFonts w:hAnsi="宋体"/>
                <w:bCs/>
                <w:color w:val="auto"/>
                <w:sz w:val="21"/>
                <w:szCs w:val="21"/>
              </w:rPr>
            </w:pPr>
            <w:r>
              <w:rPr>
                <w:rFonts w:hAnsi="宋体"/>
                <w:bCs/>
                <w:color w:val="auto"/>
                <w:sz w:val="21"/>
                <w:szCs w:val="21"/>
              </w:rPr>
              <w:t>污</w:t>
            </w:r>
          </w:p>
          <w:p>
            <w:pPr>
              <w:ind w:firstLine="0" w:firstLineChars="0"/>
              <w:jc w:val="center"/>
              <w:rPr>
                <w:bCs/>
                <w:color w:val="auto"/>
                <w:sz w:val="21"/>
                <w:szCs w:val="21"/>
              </w:rPr>
            </w:pPr>
            <w:r>
              <w:rPr>
                <w:rFonts w:hAnsi="宋体"/>
                <w:bCs/>
                <w:color w:val="auto"/>
                <w:sz w:val="21"/>
                <w:szCs w:val="21"/>
              </w:rPr>
              <w:t>染</w:t>
            </w:r>
          </w:p>
          <w:p>
            <w:pPr>
              <w:ind w:firstLine="0" w:firstLineChars="0"/>
              <w:jc w:val="center"/>
              <w:rPr>
                <w:bCs/>
                <w:color w:val="auto"/>
                <w:sz w:val="21"/>
                <w:szCs w:val="21"/>
              </w:rPr>
            </w:pPr>
            <w:r>
              <w:rPr>
                <w:rFonts w:hAnsi="宋体"/>
                <w:bCs/>
                <w:color w:val="auto"/>
                <w:sz w:val="21"/>
                <w:szCs w:val="21"/>
              </w:rPr>
              <w:t>物</w:t>
            </w:r>
          </w:p>
        </w:tc>
        <w:tc>
          <w:tcPr>
            <w:tcW w:w="565" w:type="pct"/>
            <w:vAlign w:val="center"/>
          </w:tcPr>
          <w:p>
            <w:pPr>
              <w:ind w:firstLine="0" w:firstLineChars="0"/>
              <w:jc w:val="center"/>
              <w:rPr>
                <w:bCs/>
                <w:color w:val="auto"/>
                <w:sz w:val="21"/>
                <w:szCs w:val="21"/>
              </w:rPr>
            </w:pPr>
            <w:r>
              <w:rPr>
                <w:rFonts w:hint="eastAsia"/>
                <w:bCs/>
                <w:color w:val="auto"/>
                <w:sz w:val="21"/>
                <w:szCs w:val="21"/>
              </w:rPr>
              <w:t>生产车间</w:t>
            </w:r>
          </w:p>
        </w:tc>
        <w:tc>
          <w:tcPr>
            <w:tcW w:w="1170" w:type="pct"/>
            <w:shd w:val="clear" w:color="auto" w:fill="auto"/>
            <w:vAlign w:val="center"/>
          </w:tcPr>
          <w:p>
            <w:pPr>
              <w:ind w:firstLine="0" w:firstLineChars="0"/>
              <w:jc w:val="center"/>
              <w:rPr>
                <w:color w:val="auto"/>
                <w:sz w:val="21"/>
                <w:szCs w:val="21"/>
              </w:rPr>
            </w:pPr>
            <w:r>
              <w:rPr>
                <w:rFonts w:hint="eastAsia"/>
                <w:color w:val="auto"/>
                <w:sz w:val="21"/>
                <w:szCs w:val="21"/>
              </w:rPr>
              <w:t>VOCs</w:t>
            </w:r>
          </w:p>
        </w:tc>
        <w:tc>
          <w:tcPr>
            <w:tcW w:w="1318" w:type="pct"/>
            <w:shd w:val="clear" w:color="auto" w:fill="auto"/>
            <w:vAlign w:val="center"/>
          </w:tcPr>
          <w:p>
            <w:pPr>
              <w:spacing w:line="240" w:lineRule="auto"/>
              <w:ind w:firstLine="0" w:firstLineChars="0"/>
              <w:jc w:val="center"/>
              <w:rPr>
                <w:color w:val="auto"/>
                <w:kern w:val="0"/>
                <w:sz w:val="21"/>
                <w:szCs w:val="21"/>
              </w:rPr>
            </w:pPr>
            <w:r>
              <w:rPr>
                <w:rFonts w:hint="eastAsia"/>
                <w:color w:val="auto"/>
                <w:kern w:val="0"/>
                <w:sz w:val="21"/>
                <w:szCs w:val="21"/>
              </w:rPr>
              <w:t>集气罩+RCO+25m排气筒P1</w:t>
            </w:r>
          </w:p>
        </w:tc>
        <w:tc>
          <w:tcPr>
            <w:tcW w:w="1555" w:type="pct"/>
            <w:shd w:val="clear" w:color="auto" w:fill="auto"/>
            <w:vAlign w:val="center"/>
          </w:tcPr>
          <w:p>
            <w:pPr>
              <w:spacing w:line="240" w:lineRule="auto"/>
              <w:ind w:firstLine="0" w:firstLineChars="0"/>
              <w:jc w:val="center"/>
              <w:rPr>
                <w:color w:val="auto"/>
                <w:kern w:val="0"/>
                <w:sz w:val="21"/>
                <w:szCs w:val="21"/>
              </w:rPr>
            </w:pPr>
            <w:r>
              <w:rPr>
                <w:rFonts w:hint="eastAsia"/>
                <w:color w:val="auto"/>
                <w:kern w:val="0"/>
                <w:sz w:val="21"/>
                <w:szCs w:val="21"/>
              </w:rPr>
              <w:t>满足《印刷业挥发性有机物排放标准》（DB43/1357-2017）表1、表 2 中排放限值要求</w:t>
            </w:r>
            <w:r>
              <w:rPr>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389" w:type="pct"/>
            <w:vAlign w:val="center"/>
          </w:tcPr>
          <w:p>
            <w:pPr>
              <w:ind w:firstLine="0" w:firstLineChars="0"/>
              <w:jc w:val="center"/>
              <w:rPr>
                <w:rFonts w:hAnsi="宋体"/>
                <w:bCs/>
                <w:color w:val="auto"/>
                <w:sz w:val="21"/>
                <w:szCs w:val="21"/>
              </w:rPr>
            </w:pPr>
            <w:r>
              <w:rPr>
                <w:rFonts w:hAnsi="宋体"/>
                <w:bCs/>
                <w:color w:val="auto"/>
                <w:sz w:val="21"/>
                <w:szCs w:val="21"/>
              </w:rPr>
              <w:t>水污</w:t>
            </w:r>
          </w:p>
          <w:p>
            <w:pPr>
              <w:ind w:firstLine="0" w:firstLineChars="0"/>
              <w:jc w:val="center"/>
              <w:rPr>
                <w:bCs/>
                <w:color w:val="auto"/>
                <w:sz w:val="21"/>
                <w:szCs w:val="21"/>
              </w:rPr>
            </w:pPr>
            <w:r>
              <w:rPr>
                <w:rFonts w:hAnsi="宋体"/>
                <w:bCs/>
                <w:color w:val="auto"/>
                <w:sz w:val="21"/>
                <w:szCs w:val="21"/>
              </w:rPr>
              <w:t>染物</w:t>
            </w:r>
          </w:p>
        </w:tc>
        <w:tc>
          <w:tcPr>
            <w:tcW w:w="565" w:type="pct"/>
            <w:vAlign w:val="center"/>
          </w:tcPr>
          <w:p>
            <w:pPr>
              <w:ind w:firstLine="0" w:firstLineChars="0"/>
              <w:jc w:val="center"/>
              <w:rPr>
                <w:color w:val="auto"/>
                <w:sz w:val="21"/>
                <w:szCs w:val="21"/>
              </w:rPr>
            </w:pPr>
            <w:r>
              <w:rPr>
                <w:rFonts w:hint="eastAsia"/>
                <w:color w:val="auto"/>
                <w:sz w:val="21"/>
                <w:szCs w:val="21"/>
              </w:rPr>
              <w:t>生活污水</w:t>
            </w:r>
          </w:p>
        </w:tc>
        <w:tc>
          <w:tcPr>
            <w:tcW w:w="1170" w:type="pct"/>
            <w:vAlign w:val="center"/>
          </w:tcPr>
          <w:p>
            <w:pPr>
              <w:pStyle w:val="75"/>
              <w:overflowPunct/>
              <w:autoSpaceDE/>
              <w:autoSpaceDN/>
              <w:adjustRightInd/>
              <w:spacing w:line="360" w:lineRule="auto"/>
              <w:textAlignment w:val="auto"/>
              <w:rPr>
                <w:color w:val="auto"/>
                <w:kern w:val="2"/>
                <w:sz w:val="21"/>
                <w:szCs w:val="21"/>
              </w:rPr>
            </w:pPr>
            <w:r>
              <w:rPr>
                <w:color w:val="auto"/>
                <w:kern w:val="2"/>
                <w:sz w:val="21"/>
                <w:szCs w:val="21"/>
              </w:rPr>
              <w:t>COD、BOD</w:t>
            </w:r>
            <w:r>
              <w:rPr>
                <w:color w:val="auto"/>
                <w:kern w:val="2"/>
                <w:sz w:val="21"/>
                <w:szCs w:val="21"/>
                <w:vertAlign w:val="subscript"/>
              </w:rPr>
              <w:t>5</w:t>
            </w:r>
            <w:r>
              <w:rPr>
                <w:color w:val="auto"/>
                <w:kern w:val="2"/>
                <w:sz w:val="21"/>
                <w:szCs w:val="21"/>
              </w:rPr>
              <w:t>、SS、NH</w:t>
            </w:r>
            <w:r>
              <w:rPr>
                <w:color w:val="auto"/>
                <w:kern w:val="2"/>
                <w:sz w:val="21"/>
                <w:szCs w:val="21"/>
                <w:vertAlign w:val="subscript"/>
              </w:rPr>
              <w:t>3</w:t>
            </w:r>
            <w:r>
              <w:rPr>
                <w:color w:val="auto"/>
                <w:kern w:val="2"/>
                <w:sz w:val="21"/>
                <w:szCs w:val="21"/>
              </w:rPr>
              <w:t>-N</w:t>
            </w:r>
          </w:p>
        </w:tc>
        <w:tc>
          <w:tcPr>
            <w:tcW w:w="1318" w:type="pct"/>
            <w:vAlign w:val="center"/>
          </w:tcPr>
          <w:p>
            <w:pPr>
              <w:ind w:firstLine="0" w:firstLineChars="0"/>
              <w:jc w:val="center"/>
              <w:rPr>
                <w:color w:val="auto"/>
                <w:sz w:val="21"/>
                <w:szCs w:val="21"/>
              </w:rPr>
            </w:pPr>
            <w:r>
              <w:rPr>
                <w:rFonts w:hint="eastAsia"/>
                <w:color w:val="auto"/>
                <w:sz w:val="21"/>
                <w:szCs w:val="21"/>
              </w:rPr>
              <w:t>依托园区化粪池处理+沅江市第二污水处理厂</w:t>
            </w:r>
          </w:p>
        </w:tc>
        <w:tc>
          <w:tcPr>
            <w:tcW w:w="1555" w:type="pct"/>
            <w:vAlign w:val="center"/>
          </w:tcPr>
          <w:p>
            <w:pPr>
              <w:ind w:firstLine="0" w:firstLineChars="0"/>
              <w:jc w:val="center"/>
              <w:rPr>
                <w:color w:val="auto"/>
                <w:sz w:val="21"/>
                <w:szCs w:val="21"/>
              </w:rPr>
            </w:pPr>
            <w:r>
              <w:rPr>
                <w:rFonts w:hint="eastAsia"/>
                <w:color w:val="auto"/>
                <w:sz w:val="21"/>
                <w:szCs w:val="21"/>
              </w:rPr>
              <w:t>满足《污水排入城镇下水道水质标准》（GB/T31962-2015）表1中B</w:t>
            </w:r>
            <w:r>
              <w:rPr>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389" w:type="pct"/>
            <w:vMerge w:val="restart"/>
            <w:vAlign w:val="center"/>
          </w:tcPr>
          <w:p>
            <w:pPr>
              <w:spacing w:line="240" w:lineRule="auto"/>
              <w:ind w:firstLine="0" w:firstLineChars="0"/>
              <w:jc w:val="center"/>
              <w:rPr>
                <w:bCs/>
                <w:color w:val="auto"/>
                <w:sz w:val="21"/>
                <w:szCs w:val="21"/>
              </w:rPr>
            </w:pPr>
            <w:r>
              <w:rPr>
                <w:rFonts w:hAnsi="宋体"/>
                <w:bCs/>
                <w:color w:val="auto"/>
                <w:sz w:val="21"/>
                <w:szCs w:val="21"/>
              </w:rPr>
              <w:t>固体</w:t>
            </w:r>
          </w:p>
          <w:p>
            <w:pPr>
              <w:spacing w:line="240" w:lineRule="auto"/>
              <w:ind w:firstLine="0" w:firstLineChars="0"/>
              <w:jc w:val="center"/>
              <w:rPr>
                <w:bCs/>
                <w:color w:val="auto"/>
                <w:sz w:val="21"/>
                <w:szCs w:val="21"/>
              </w:rPr>
            </w:pPr>
            <w:r>
              <w:rPr>
                <w:rFonts w:hAnsi="宋体"/>
                <w:bCs/>
                <w:color w:val="auto"/>
                <w:sz w:val="21"/>
                <w:szCs w:val="21"/>
              </w:rPr>
              <w:t>废物</w:t>
            </w:r>
          </w:p>
        </w:tc>
        <w:tc>
          <w:tcPr>
            <w:tcW w:w="565" w:type="pct"/>
            <w:vMerge w:val="restart"/>
            <w:shd w:val="clear" w:color="auto" w:fill="auto"/>
            <w:vAlign w:val="center"/>
          </w:tcPr>
          <w:p>
            <w:pPr>
              <w:spacing w:line="240" w:lineRule="auto"/>
              <w:ind w:firstLine="0" w:firstLineChars="0"/>
              <w:jc w:val="center"/>
              <w:rPr>
                <w:bCs/>
                <w:color w:val="auto"/>
                <w:sz w:val="21"/>
                <w:szCs w:val="21"/>
              </w:rPr>
            </w:pPr>
            <w:r>
              <w:rPr>
                <w:rFonts w:hAnsi="宋体"/>
                <w:bCs/>
                <w:color w:val="auto"/>
                <w:sz w:val="21"/>
                <w:szCs w:val="21"/>
              </w:rPr>
              <w:t>生产车间</w:t>
            </w:r>
          </w:p>
        </w:tc>
        <w:tc>
          <w:tcPr>
            <w:tcW w:w="1170" w:type="pct"/>
            <w:vAlign w:val="center"/>
          </w:tcPr>
          <w:p>
            <w:pPr>
              <w:spacing w:line="240" w:lineRule="auto"/>
              <w:ind w:firstLine="0" w:firstLineChars="0"/>
              <w:jc w:val="center"/>
              <w:rPr>
                <w:bCs/>
                <w:color w:val="auto"/>
                <w:sz w:val="21"/>
                <w:szCs w:val="21"/>
              </w:rPr>
            </w:pPr>
            <w:r>
              <w:rPr>
                <w:rFonts w:hint="eastAsia"/>
                <w:bCs/>
                <w:color w:val="auto"/>
                <w:sz w:val="21"/>
                <w:szCs w:val="21"/>
              </w:rPr>
              <w:t>废包装</w:t>
            </w:r>
          </w:p>
        </w:tc>
        <w:tc>
          <w:tcPr>
            <w:tcW w:w="1318" w:type="pct"/>
            <w:vAlign w:val="center"/>
          </w:tcPr>
          <w:p>
            <w:pPr>
              <w:spacing w:line="240" w:lineRule="auto"/>
              <w:ind w:firstLine="0" w:firstLineChars="0"/>
              <w:jc w:val="center"/>
              <w:rPr>
                <w:bCs/>
                <w:color w:val="auto"/>
                <w:sz w:val="21"/>
                <w:szCs w:val="21"/>
              </w:rPr>
            </w:pPr>
            <w:r>
              <w:rPr>
                <w:rFonts w:hint="eastAsia" w:hAnsi="宋体"/>
                <w:bCs/>
                <w:color w:val="auto"/>
                <w:sz w:val="21"/>
                <w:szCs w:val="21"/>
              </w:rPr>
              <w:t>委托物资回收单位处置</w:t>
            </w:r>
          </w:p>
        </w:tc>
        <w:tc>
          <w:tcPr>
            <w:tcW w:w="1555" w:type="pct"/>
            <w:vMerge w:val="restart"/>
            <w:vAlign w:val="center"/>
          </w:tcPr>
          <w:p>
            <w:pPr>
              <w:spacing w:line="240" w:lineRule="auto"/>
              <w:ind w:firstLine="0" w:firstLineChars="0"/>
              <w:jc w:val="center"/>
              <w:rPr>
                <w:color w:val="auto"/>
                <w:sz w:val="21"/>
                <w:szCs w:val="21"/>
              </w:rPr>
            </w:pPr>
            <w:r>
              <w:rPr>
                <w:rFonts w:hint="eastAsia" w:hAnsi="宋体"/>
                <w:color w:val="auto"/>
                <w:sz w:val="21"/>
                <w:szCs w:val="21"/>
              </w:rPr>
              <w:t>妥善处置不外排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389" w:type="pct"/>
            <w:vMerge w:val="continue"/>
            <w:vAlign w:val="center"/>
          </w:tcPr>
          <w:p>
            <w:pPr>
              <w:spacing w:line="240" w:lineRule="auto"/>
              <w:ind w:firstLine="0" w:firstLineChars="0"/>
              <w:jc w:val="center"/>
              <w:rPr>
                <w:rFonts w:hAnsi="宋体"/>
                <w:bCs/>
                <w:color w:val="auto"/>
                <w:sz w:val="21"/>
                <w:szCs w:val="21"/>
              </w:rPr>
            </w:pPr>
          </w:p>
        </w:tc>
        <w:tc>
          <w:tcPr>
            <w:tcW w:w="565" w:type="pct"/>
            <w:vMerge w:val="continue"/>
            <w:shd w:val="clear" w:color="auto" w:fill="auto"/>
            <w:vAlign w:val="center"/>
          </w:tcPr>
          <w:p>
            <w:pPr>
              <w:spacing w:line="240" w:lineRule="auto"/>
              <w:ind w:firstLine="0" w:firstLineChars="0"/>
              <w:jc w:val="center"/>
              <w:rPr>
                <w:rFonts w:hAnsi="宋体"/>
                <w:bCs/>
                <w:color w:val="auto"/>
                <w:sz w:val="21"/>
                <w:szCs w:val="21"/>
              </w:rPr>
            </w:pPr>
          </w:p>
        </w:tc>
        <w:tc>
          <w:tcPr>
            <w:tcW w:w="1170" w:type="pct"/>
            <w:vAlign w:val="center"/>
          </w:tcPr>
          <w:p>
            <w:pPr>
              <w:spacing w:line="240" w:lineRule="auto"/>
              <w:ind w:firstLine="0" w:firstLineChars="0"/>
              <w:jc w:val="center"/>
              <w:rPr>
                <w:bCs/>
                <w:color w:val="auto"/>
                <w:sz w:val="21"/>
                <w:szCs w:val="21"/>
                <w:u w:val="single"/>
              </w:rPr>
            </w:pPr>
            <w:r>
              <w:rPr>
                <w:rFonts w:hint="eastAsia"/>
                <w:bCs/>
                <w:color w:val="auto"/>
                <w:sz w:val="21"/>
                <w:szCs w:val="21"/>
                <w:u w:val="single"/>
              </w:rPr>
              <w:t>废边角料</w:t>
            </w:r>
          </w:p>
        </w:tc>
        <w:tc>
          <w:tcPr>
            <w:tcW w:w="1318" w:type="pct"/>
            <w:vAlign w:val="center"/>
          </w:tcPr>
          <w:p>
            <w:pPr>
              <w:spacing w:line="240" w:lineRule="auto"/>
              <w:ind w:firstLine="0" w:firstLineChars="0"/>
              <w:jc w:val="center"/>
              <w:rPr>
                <w:rFonts w:hAnsi="宋体"/>
                <w:bCs/>
                <w:color w:val="auto"/>
                <w:sz w:val="21"/>
                <w:szCs w:val="21"/>
                <w:u w:val="single"/>
              </w:rPr>
            </w:pPr>
            <w:r>
              <w:rPr>
                <w:rFonts w:hint="eastAsia" w:hAnsi="宋体"/>
                <w:bCs/>
                <w:color w:val="auto"/>
                <w:sz w:val="21"/>
                <w:szCs w:val="21"/>
                <w:u w:val="single"/>
              </w:rPr>
              <w:t>由废塑料收购企业定期回收再利用</w:t>
            </w:r>
          </w:p>
        </w:tc>
        <w:tc>
          <w:tcPr>
            <w:tcW w:w="1555" w:type="pct"/>
            <w:vMerge w:val="continue"/>
            <w:vAlign w:val="center"/>
          </w:tcPr>
          <w:p>
            <w:pPr>
              <w:spacing w:line="240" w:lineRule="auto"/>
              <w:ind w:firstLine="0" w:firstLineChars="0"/>
              <w:jc w:val="center"/>
              <w:rPr>
                <w:rFonts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389" w:type="pct"/>
            <w:vMerge w:val="continue"/>
            <w:vAlign w:val="center"/>
          </w:tcPr>
          <w:p>
            <w:pPr>
              <w:spacing w:line="240" w:lineRule="auto"/>
              <w:ind w:firstLine="0" w:firstLineChars="0"/>
              <w:jc w:val="center"/>
              <w:rPr>
                <w:rFonts w:hAnsi="宋体"/>
                <w:bCs/>
                <w:color w:val="auto"/>
                <w:sz w:val="21"/>
                <w:szCs w:val="21"/>
              </w:rPr>
            </w:pPr>
          </w:p>
        </w:tc>
        <w:tc>
          <w:tcPr>
            <w:tcW w:w="565" w:type="pct"/>
            <w:vMerge w:val="continue"/>
            <w:shd w:val="clear" w:color="auto" w:fill="auto"/>
            <w:vAlign w:val="center"/>
          </w:tcPr>
          <w:p>
            <w:pPr>
              <w:spacing w:line="240" w:lineRule="auto"/>
              <w:ind w:firstLine="0" w:firstLineChars="0"/>
              <w:jc w:val="center"/>
              <w:rPr>
                <w:rFonts w:hAnsi="宋体"/>
                <w:bCs/>
                <w:color w:val="auto"/>
                <w:sz w:val="21"/>
                <w:szCs w:val="21"/>
              </w:rPr>
            </w:pPr>
          </w:p>
        </w:tc>
        <w:tc>
          <w:tcPr>
            <w:tcW w:w="1170" w:type="pct"/>
            <w:vAlign w:val="center"/>
          </w:tcPr>
          <w:p>
            <w:pPr>
              <w:spacing w:line="240" w:lineRule="auto"/>
              <w:ind w:firstLine="0" w:firstLineChars="0"/>
              <w:jc w:val="center"/>
              <w:rPr>
                <w:bCs/>
                <w:color w:val="auto"/>
                <w:sz w:val="21"/>
                <w:szCs w:val="21"/>
                <w:u w:val="single"/>
              </w:rPr>
            </w:pPr>
            <w:r>
              <w:rPr>
                <w:rFonts w:hint="eastAsia"/>
                <w:bCs/>
                <w:color w:val="auto"/>
                <w:sz w:val="21"/>
                <w:szCs w:val="21"/>
                <w:u w:val="single"/>
              </w:rPr>
              <w:t>废催化剂</w:t>
            </w:r>
          </w:p>
        </w:tc>
        <w:tc>
          <w:tcPr>
            <w:tcW w:w="1318" w:type="pct"/>
            <w:vMerge w:val="restart"/>
            <w:vAlign w:val="center"/>
          </w:tcPr>
          <w:p>
            <w:pPr>
              <w:spacing w:line="240" w:lineRule="auto"/>
              <w:ind w:firstLine="0" w:firstLineChars="0"/>
              <w:jc w:val="center"/>
              <w:rPr>
                <w:rFonts w:hAnsi="宋体"/>
                <w:bCs/>
                <w:color w:val="auto"/>
                <w:sz w:val="21"/>
                <w:szCs w:val="21"/>
                <w:u w:val="single"/>
              </w:rPr>
            </w:pPr>
            <w:r>
              <w:rPr>
                <w:rFonts w:hint="eastAsia" w:hAnsi="宋体"/>
                <w:bCs/>
                <w:color w:val="auto"/>
                <w:sz w:val="21"/>
                <w:szCs w:val="21"/>
                <w:u w:val="single"/>
              </w:rPr>
              <w:t>定期委托有资质的单位处置</w:t>
            </w:r>
          </w:p>
        </w:tc>
        <w:tc>
          <w:tcPr>
            <w:tcW w:w="1555" w:type="pct"/>
            <w:vMerge w:val="continue"/>
            <w:vAlign w:val="center"/>
          </w:tcPr>
          <w:p>
            <w:pPr>
              <w:spacing w:line="240" w:lineRule="auto"/>
              <w:ind w:firstLine="0" w:firstLineChars="0"/>
              <w:jc w:val="center"/>
              <w:rPr>
                <w:rFonts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389" w:type="pct"/>
            <w:vMerge w:val="continue"/>
            <w:vAlign w:val="center"/>
          </w:tcPr>
          <w:p>
            <w:pPr>
              <w:spacing w:line="240" w:lineRule="auto"/>
              <w:ind w:firstLine="0" w:firstLineChars="0"/>
              <w:jc w:val="center"/>
              <w:rPr>
                <w:rFonts w:hAnsi="宋体"/>
                <w:bCs/>
                <w:color w:val="auto"/>
                <w:sz w:val="21"/>
                <w:szCs w:val="21"/>
              </w:rPr>
            </w:pPr>
          </w:p>
        </w:tc>
        <w:tc>
          <w:tcPr>
            <w:tcW w:w="565" w:type="pct"/>
            <w:vMerge w:val="continue"/>
            <w:shd w:val="clear" w:color="auto" w:fill="auto"/>
            <w:vAlign w:val="center"/>
          </w:tcPr>
          <w:p>
            <w:pPr>
              <w:spacing w:line="240" w:lineRule="auto"/>
              <w:ind w:firstLine="0" w:firstLineChars="0"/>
              <w:jc w:val="center"/>
              <w:rPr>
                <w:rFonts w:hAnsi="宋体"/>
                <w:bCs/>
                <w:color w:val="auto"/>
                <w:sz w:val="21"/>
                <w:szCs w:val="21"/>
              </w:rPr>
            </w:pPr>
          </w:p>
        </w:tc>
        <w:tc>
          <w:tcPr>
            <w:tcW w:w="1170" w:type="pct"/>
            <w:vAlign w:val="center"/>
          </w:tcPr>
          <w:p>
            <w:pPr>
              <w:spacing w:line="240" w:lineRule="auto"/>
              <w:ind w:firstLine="0" w:firstLineChars="0"/>
              <w:jc w:val="center"/>
              <w:rPr>
                <w:bCs/>
                <w:color w:val="auto"/>
                <w:sz w:val="21"/>
                <w:szCs w:val="21"/>
                <w:u w:val="single"/>
              </w:rPr>
            </w:pPr>
            <w:r>
              <w:rPr>
                <w:rFonts w:hint="eastAsia"/>
                <w:bCs/>
                <w:color w:val="auto"/>
                <w:sz w:val="21"/>
                <w:szCs w:val="21"/>
                <w:u w:val="single"/>
              </w:rPr>
              <w:t>废料桶</w:t>
            </w:r>
          </w:p>
        </w:tc>
        <w:tc>
          <w:tcPr>
            <w:tcW w:w="1318" w:type="pct"/>
            <w:vMerge w:val="continue"/>
            <w:vAlign w:val="center"/>
          </w:tcPr>
          <w:p>
            <w:pPr>
              <w:spacing w:line="240" w:lineRule="auto"/>
              <w:ind w:firstLine="0" w:firstLineChars="0"/>
              <w:jc w:val="center"/>
              <w:rPr>
                <w:rFonts w:hAnsi="宋体"/>
                <w:bCs/>
                <w:color w:val="auto"/>
                <w:sz w:val="21"/>
                <w:szCs w:val="21"/>
                <w:u w:val="single"/>
              </w:rPr>
            </w:pPr>
          </w:p>
        </w:tc>
        <w:tc>
          <w:tcPr>
            <w:tcW w:w="1555" w:type="pct"/>
            <w:vMerge w:val="continue"/>
            <w:vAlign w:val="center"/>
          </w:tcPr>
          <w:p>
            <w:pPr>
              <w:spacing w:line="240" w:lineRule="auto"/>
              <w:ind w:firstLine="0" w:firstLineChars="0"/>
              <w:jc w:val="center"/>
              <w:rPr>
                <w:rFonts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389" w:type="pct"/>
            <w:vMerge w:val="continue"/>
            <w:vAlign w:val="center"/>
          </w:tcPr>
          <w:p>
            <w:pPr>
              <w:spacing w:line="240" w:lineRule="auto"/>
              <w:ind w:firstLine="0" w:firstLineChars="0"/>
              <w:jc w:val="center"/>
              <w:rPr>
                <w:rFonts w:hAnsi="宋体"/>
                <w:bCs/>
                <w:color w:val="auto"/>
                <w:sz w:val="21"/>
                <w:szCs w:val="21"/>
              </w:rPr>
            </w:pPr>
          </w:p>
        </w:tc>
        <w:tc>
          <w:tcPr>
            <w:tcW w:w="565" w:type="pct"/>
            <w:vMerge w:val="continue"/>
            <w:shd w:val="clear" w:color="auto" w:fill="auto"/>
            <w:vAlign w:val="center"/>
          </w:tcPr>
          <w:p>
            <w:pPr>
              <w:spacing w:line="240" w:lineRule="auto"/>
              <w:ind w:firstLine="0" w:firstLineChars="0"/>
              <w:jc w:val="center"/>
              <w:rPr>
                <w:rFonts w:hAnsi="宋体"/>
                <w:bCs/>
                <w:color w:val="auto"/>
                <w:sz w:val="21"/>
                <w:szCs w:val="21"/>
              </w:rPr>
            </w:pPr>
          </w:p>
        </w:tc>
        <w:tc>
          <w:tcPr>
            <w:tcW w:w="1170" w:type="pct"/>
            <w:vAlign w:val="center"/>
          </w:tcPr>
          <w:p>
            <w:pPr>
              <w:spacing w:line="240" w:lineRule="auto"/>
              <w:ind w:firstLine="0" w:firstLineChars="0"/>
              <w:jc w:val="center"/>
              <w:rPr>
                <w:bCs/>
                <w:color w:val="auto"/>
                <w:sz w:val="21"/>
                <w:szCs w:val="21"/>
                <w:u w:val="single"/>
              </w:rPr>
            </w:pPr>
            <w:r>
              <w:rPr>
                <w:rFonts w:hint="eastAsia"/>
                <w:bCs/>
                <w:color w:val="auto"/>
                <w:sz w:val="21"/>
                <w:szCs w:val="21"/>
                <w:u w:val="single"/>
              </w:rPr>
              <w:t>废抹布</w:t>
            </w:r>
          </w:p>
        </w:tc>
        <w:tc>
          <w:tcPr>
            <w:tcW w:w="1318" w:type="pct"/>
            <w:vMerge w:val="continue"/>
            <w:vAlign w:val="center"/>
          </w:tcPr>
          <w:p>
            <w:pPr>
              <w:spacing w:line="240" w:lineRule="auto"/>
              <w:ind w:firstLine="0" w:firstLineChars="0"/>
              <w:jc w:val="center"/>
              <w:rPr>
                <w:rFonts w:hAnsi="宋体"/>
                <w:bCs/>
                <w:color w:val="auto"/>
                <w:sz w:val="21"/>
                <w:szCs w:val="21"/>
                <w:u w:val="single"/>
              </w:rPr>
            </w:pPr>
          </w:p>
        </w:tc>
        <w:tc>
          <w:tcPr>
            <w:tcW w:w="1555" w:type="pct"/>
            <w:vMerge w:val="continue"/>
            <w:vAlign w:val="center"/>
          </w:tcPr>
          <w:p>
            <w:pPr>
              <w:spacing w:line="240" w:lineRule="auto"/>
              <w:ind w:firstLine="0" w:firstLineChars="0"/>
              <w:jc w:val="center"/>
              <w:rPr>
                <w:rFonts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389" w:type="pct"/>
            <w:vMerge w:val="continue"/>
            <w:vAlign w:val="center"/>
          </w:tcPr>
          <w:p>
            <w:pPr>
              <w:spacing w:line="240" w:lineRule="auto"/>
              <w:ind w:firstLine="0" w:firstLineChars="0"/>
              <w:jc w:val="center"/>
              <w:rPr>
                <w:rFonts w:hAnsi="宋体"/>
                <w:bCs/>
                <w:color w:val="auto"/>
                <w:sz w:val="21"/>
                <w:szCs w:val="21"/>
              </w:rPr>
            </w:pPr>
          </w:p>
        </w:tc>
        <w:tc>
          <w:tcPr>
            <w:tcW w:w="565" w:type="pct"/>
            <w:vMerge w:val="continue"/>
            <w:shd w:val="clear" w:color="auto" w:fill="auto"/>
            <w:vAlign w:val="center"/>
          </w:tcPr>
          <w:p>
            <w:pPr>
              <w:spacing w:line="240" w:lineRule="auto"/>
              <w:ind w:firstLine="0" w:firstLineChars="0"/>
              <w:jc w:val="center"/>
              <w:rPr>
                <w:rFonts w:hAnsi="宋体"/>
                <w:bCs/>
                <w:color w:val="auto"/>
                <w:sz w:val="21"/>
                <w:szCs w:val="21"/>
              </w:rPr>
            </w:pPr>
          </w:p>
        </w:tc>
        <w:tc>
          <w:tcPr>
            <w:tcW w:w="1170" w:type="pct"/>
            <w:vAlign w:val="center"/>
          </w:tcPr>
          <w:p>
            <w:pPr>
              <w:spacing w:line="240" w:lineRule="auto"/>
              <w:ind w:firstLine="0" w:firstLineChars="0"/>
              <w:jc w:val="center"/>
              <w:rPr>
                <w:bCs/>
                <w:color w:val="auto"/>
                <w:sz w:val="21"/>
                <w:szCs w:val="21"/>
                <w:u w:val="single"/>
              </w:rPr>
            </w:pPr>
            <w:r>
              <w:rPr>
                <w:rFonts w:hint="eastAsia"/>
                <w:bCs/>
                <w:color w:val="auto"/>
                <w:sz w:val="21"/>
                <w:szCs w:val="21"/>
                <w:u w:val="single"/>
              </w:rPr>
              <w:t>洗版废液</w:t>
            </w:r>
          </w:p>
        </w:tc>
        <w:tc>
          <w:tcPr>
            <w:tcW w:w="1318" w:type="pct"/>
            <w:vMerge w:val="continue"/>
            <w:vAlign w:val="center"/>
          </w:tcPr>
          <w:p>
            <w:pPr>
              <w:spacing w:line="240" w:lineRule="auto"/>
              <w:ind w:firstLine="0" w:firstLineChars="0"/>
              <w:jc w:val="center"/>
              <w:rPr>
                <w:rFonts w:hAnsi="宋体"/>
                <w:bCs/>
                <w:color w:val="auto"/>
                <w:sz w:val="21"/>
                <w:szCs w:val="21"/>
                <w:u w:val="single"/>
              </w:rPr>
            </w:pPr>
          </w:p>
        </w:tc>
        <w:tc>
          <w:tcPr>
            <w:tcW w:w="1555" w:type="pct"/>
            <w:vMerge w:val="continue"/>
            <w:vAlign w:val="center"/>
          </w:tcPr>
          <w:p>
            <w:pPr>
              <w:spacing w:line="240" w:lineRule="auto"/>
              <w:ind w:firstLine="0" w:firstLineChars="0"/>
              <w:jc w:val="center"/>
              <w:rPr>
                <w:rFonts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389" w:type="pct"/>
            <w:vMerge w:val="continue"/>
            <w:vAlign w:val="center"/>
          </w:tcPr>
          <w:p>
            <w:pPr>
              <w:spacing w:line="240" w:lineRule="auto"/>
              <w:ind w:firstLine="0" w:firstLineChars="0"/>
              <w:jc w:val="center"/>
              <w:rPr>
                <w:rFonts w:hAnsi="宋体"/>
                <w:bCs/>
                <w:color w:val="auto"/>
                <w:sz w:val="21"/>
                <w:szCs w:val="21"/>
              </w:rPr>
            </w:pPr>
          </w:p>
        </w:tc>
        <w:tc>
          <w:tcPr>
            <w:tcW w:w="565" w:type="pct"/>
            <w:shd w:val="clear" w:color="auto" w:fill="auto"/>
            <w:vAlign w:val="center"/>
          </w:tcPr>
          <w:p>
            <w:pPr>
              <w:spacing w:line="240" w:lineRule="auto"/>
              <w:ind w:firstLine="0" w:firstLineChars="0"/>
              <w:jc w:val="center"/>
              <w:rPr>
                <w:rFonts w:hAnsi="宋体"/>
                <w:bCs/>
                <w:color w:val="auto"/>
                <w:sz w:val="21"/>
                <w:szCs w:val="21"/>
              </w:rPr>
            </w:pPr>
            <w:r>
              <w:rPr>
                <w:rFonts w:hint="eastAsia" w:hAnsi="宋体"/>
                <w:bCs/>
                <w:color w:val="auto"/>
                <w:sz w:val="21"/>
                <w:szCs w:val="21"/>
              </w:rPr>
              <w:t>职工生活</w:t>
            </w:r>
          </w:p>
        </w:tc>
        <w:tc>
          <w:tcPr>
            <w:tcW w:w="1170" w:type="pct"/>
            <w:vAlign w:val="center"/>
          </w:tcPr>
          <w:p>
            <w:pPr>
              <w:spacing w:line="240" w:lineRule="auto"/>
              <w:ind w:firstLine="0" w:firstLineChars="0"/>
              <w:jc w:val="center"/>
              <w:rPr>
                <w:bCs/>
                <w:color w:val="auto"/>
                <w:sz w:val="21"/>
                <w:szCs w:val="21"/>
                <w:u w:val="single"/>
              </w:rPr>
            </w:pPr>
            <w:r>
              <w:rPr>
                <w:rFonts w:hint="eastAsia"/>
                <w:bCs/>
                <w:color w:val="auto"/>
                <w:sz w:val="21"/>
                <w:szCs w:val="21"/>
                <w:u w:val="single"/>
              </w:rPr>
              <w:t>生活垃圾</w:t>
            </w:r>
          </w:p>
        </w:tc>
        <w:tc>
          <w:tcPr>
            <w:tcW w:w="1318" w:type="pct"/>
            <w:vAlign w:val="center"/>
          </w:tcPr>
          <w:p>
            <w:pPr>
              <w:spacing w:line="240" w:lineRule="auto"/>
              <w:ind w:firstLine="0" w:firstLineChars="0"/>
              <w:jc w:val="center"/>
              <w:rPr>
                <w:rFonts w:hAnsi="宋体"/>
                <w:bCs/>
                <w:color w:val="auto"/>
                <w:sz w:val="21"/>
                <w:szCs w:val="21"/>
                <w:u w:val="single"/>
              </w:rPr>
            </w:pPr>
            <w:r>
              <w:rPr>
                <w:rFonts w:hint="eastAsia" w:hAnsi="宋体"/>
                <w:bCs/>
                <w:color w:val="auto"/>
                <w:sz w:val="21"/>
                <w:szCs w:val="21"/>
                <w:u w:val="single"/>
              </w:rPr>
              <w:t>环卫部门清运</w:t>
            </w:r>
          </w:p>
        </w:tc>
        <w:tc>
          <w:tcPr>
            <w:tcW w:w="1555" w:type="pct"/>
            <w:vMerge w:val="continue"/>
            <w:vAlign w:val="center"/>
          </w:tcPr>
          <w:p>
            <w:pPr>
              <w:spacing w:line="240" w:lineRule="auto"/>
              <w:ind w:firstLine="0" w:firstLineChars="0"/>
              <w:jc w:val="center"/>
              <w:rPr>
                <w:rFonts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89" w:type="pct"/>
            <w:vAlign w:val="center"/>
          </w:tcPr>
          <w:p>
            <w:pPr>
              <w:ind w:firstLine="0" w:firstLineChars="0"/>
              <w:jc w:val="center"/>
              <w:rPr>
                <w:bCs/>
                <w:color w:val="auto"/>
                <w:sz w:val="21"/>
                <w:szCs w:val="21"/>
              </w:rPr>
            </w:pPr>
            <w:r>
              <w:rPr>
                <w:rFonts w:hAnsi="宋体"/>
                <w:bCs/>
                <w:color w:val="auto"/>
                <w:sz w:val="21"/>
                <w:szCs w:val="21"/>
              </w:rPr>
              <w:t>噪声</w:t>
            </w:r>
          </w:p>
        </w:tc>
        <w:tc>
          <w:tcPr>
            <w:tcW w:w="4610" w:type="pct"/>
            <w:gridSpan w:val="4"/>
            <w:vAlign w:val="center"/>
          </w:tcPr>
          <w:p>
            <w:pPr>
              <w:ind w:firstLine="480"/>
              <w:jc w:val="center"/>
              <w:rPr>
                <w:color w:val="auto"/>
              </w:rPr>
            </w:pPr>
            <w:r>
              <w:rPr>
                <w:rFonts w:hAnsi="宋体"/>
                <w:color w:val="auto"/>
              </w:rPr>
              <w:t>本项目噪声主要来源</w:t>
            </w:r>
            <w:r>
              <w:rPr>
                <w:rFonts w:hint="eastAsia" w:hAnsi="宋体"/>
                <w:color w:val="auto"/>
              </w:rPr>
              <w:t>各种生产设备，</w:t>
            </w:r>
            <w:r>
              <w:rPr>
                <w:rFonts w:hAnsi="宋体"/>
                <w:color w:val="auto"/>
              </w:rPr>
              <w:t>源强约为</w:t>
            </w:r>
            <w:r>
              <w:rPr>
                <w:rFonts w:hint="eastAsia"/>
                <w:color w:val="auto"/>
              </w:rPr>
              <w:t>6</w:t>
            </w:r>
            <w:r>
              <w:rPr>
                <w:color w:val="auto"/>
              </w:rPr>
              <w:t>0-</w:t>
            </w:r>
            <w:r>
              <w:rPr>
                <w:rFonts w:hint="eastAsia"/>
                <w:color w:val="auto"/>
              </w:rPr>
              <w:t>90</w:t>
            </w:r>
            <w:r>
              <w:rPr>
                <w:color w:val="auto"/>
              </w:rPr>
              <w:t>dB</w:t>
            </w:r>
            <w:r>
              <w:rPr>
                <w:rFonts w:hAnsi="宋体"/>
                <w:color w:val="auto"/>
              </w:rPr>
              <w:t>（</w:t>
            </w:r>
            <w:r>
              <w:rPr>
                <w:color w:val="auto"/>
              </w:rPr>
              <w:t>A</w:t>
            </w:r>
            <w:r>
              <w:rPr>
                <w:rFonts w:hAnsi="宋体"/>
                <w:color w:val="auto"/>
              </w:rPr>
              <w:t>）。经过基础减振、厂房隔音和距离衰减，厂界可以</w:t>
            </w:r>
            <w:r>
              <w:rPr>
                <w:rFonts w:hAnsi="宋体"/>
                <w:color w:val="auto"/>
              </w:rPr>
              <w:t>满足《工业企业厂界环境噪声排放标准》（</w:t>
            </w:r>
            <w:r>
              <w:rPr>
                <w:color w:val="auto"/>
              </w:rPr>
              <w:t>GB12348</w:t>
            </w:r>
            <w:r>
              <w:rPr>
                <w:rFonts w:hAnsi="宋体"/>
                <w:color w:val="auto"/>
              </w:rPr>
              <w:t>－</w:t>
            </w:r>
            <w:r>
              <w:rPr>
                <w:color w:val="auto"/>
              </w:rPr>
              <w:t>2008</w:t>
            </w:r>
            <w:r>
              <w:rPr>
                <w:rFonts w:hAnsi="宋体"/>
                <w:color w:val="auto"/>
              </w:rPr>
              <w:t>）中</w:t>
            </w:r>
            <w:r>
              <w:rPr>
                <w:rFonts w:hint="eastAsia"/>
                <w:color w:val="auto"/>
              </w:rPr>
              <w:t>3</w:t>
            </w:r>
            <w:r>
              <w:rPr>
                <w:rFonts w:hAnsi="宋体"/>
                <w:color w:val="auto"/>
              </w:rPr>
              <w:t>类标准的限值（昼间：</w:t>
            </w:r>
            <w:r>
              <w:rPr>
                <w:color w:val="auto"/>
              </w:rPr>
              <w:t>6</w:t>
            </w:r>
            <w:r>
              <w:rPr>
                <w:rFonts w:hint="eastAsia"/>
                <w:color w:val="auto"/>
              </w:rPr>
              <w:t>5</w:t>
            </w:r>
            <w:r>
              <w:rPr>
                <w:color w:val="auto"/>
              </w:rPr>
              <w:t>dB(A)</w:t>
            </w:r>
            <w:r>
              <w:rPr>
                <w:rFonts w:hAnsi="宋体"/>
                <w:color w:val="auto"/>
              </w:rPr>
              <w:t>夜间</w:t>
            </w:r>
            <w:r>
              <w:rPr>
                <w:color w:val="auto"/>
              </w:rPr>
              <w:t>5</w:t>
            </w:r>
            <w:r>
              <w:rPr>
                <w:rFonts w:hint="eastAsia"/>
                <w:color w:val="auto"/>
              </w:rPr>
              <w:t>5</w:t>
            </w:r>
            <w:r>
              <w:rPr>
                <w:color w:val="auto"/>
              </w:rPr>
              <w:t>dB(A)</w:t>
            </w:r>
            <w:r>
              <w:rPr>
                <w:rFonts w:hAnsi="宋体"/>
                <w:color w:val="auto"/>
              </w:rPr>
              <w:t>）对周围声环境影响较小。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5"/>
            <w:vAlign w:val="center"/>
          </w:tcPr>
          <w:p>
            <w:pPr>
              <w:ind w:firstLine="0" w:firstLineChars="0"/>
              <w:rPr>
                <w:b/>
                <w:color w:val="auto"/>
              </w:rPr>
            </w:pPr>
            <w:r>
              <w:rPr>
                <w:rFonts w:hAnsi="宋体"/>
                <w:b/>
                <w:color w:val="auto"/>
              </w:rPr>
              <w:t>生态保护措施及预期效果</w:t>
            </w:r>
          </w:p>
          <w:p>
            <w:pPr>
              <w:ind w:firstLine="480"/>
              <w:rPr>
                <w:color w:val="auto"/>
              </w:rPr>
            </w:pPr>
            <w:r>
              <w:rPr>
                <w:rFonts w:hint="eastAsia"/>
                <w:color w:val="auto"/>
              </w:rPr>
              <w:t>本项目所在地周边</w:t>
            </w:r>
            <w:r>
              <w:rPr>
                <w:color w:val="auto"/>
              </w:rPr>
              <w:t>生态环境不敏感，对周围生态环境影响较小。</w:t>
            </w:r>
          </w:p>
          <w:p>
            <w:pPr>
              <w:ind w:firstLine="0" w:firstLineChars="0"/>
              <w:jc w:val="center"/>
              <w:rPr>
                <w:color w:val="auto"/>
                <w:sz w:val="21"/>
                <w:szCs w:val="21"/>
              </w:rPr>
            </w:pPr>
          </w:p>
          <w:p>
            <w:pPr>
              <w:ind w:firstLine="0" w:firstLineChars="0"/>
              <w:jc w:val="center"/>
              <w:rPr>
                <w:color w:val="auto"/>
                <w:sz w:val="21"/>
                <w:szCs w:val="21"/>
              </w:rPr>
            </w:pPr>
          </w:p>
          <w:p>
            <w:pPr>
              <w:ind w:firstLine="0" w:firstLineChars="0"/>
              <w:jc w:val="center"/>
              <w:rPr>
                <w:color w:val="auto"/>
                <w:sz w:val="21"/>
                <w:szCs w:val="21"/>
              </w:rPr>
            </w:pPr>
          </w:p>
          <w:p>
            <w:pPr>
              <w:ind w:firstLine="0" w:firstLineChars="0"/>
              <w:jc w:val="center"/>
              <w:rPr>
                <w:color w:val="auto"/>
                <w:sz w:val="21"/>
                <w:szCs w:val="21"/>
              </w:rPr>
            </w:pPr>
          </w:p>
          <w:p>
            <w:pPr>
              <w:ind w:firstLine="0" w:firstLineChars="0"/>
              <w:jc w:val="center"/>
              <w:rPr>
                <w:color w:val="auto"/>
                <w:sz w:val="21"/>
                <w:szCs w:val="21"/>
              </w:rPr>
            </w:pPr>
          </w:p>
        </w:tc>
      </w:tr>
    </w:tbl>
    <w:p>
      <w:pPr>
        <w:ind w:firstLine="0" w:firstLineChars="0"/>
        <w:rPr>
          <w:rFonts w:eastAsia="黑体"/>
          <w:bCs/>
          <w:color w:val="auto"/>
          <w:sz w:val="28"/>
          <w:szCs w:val="28"/>
        </w:rPr>
        <w:sectPr>
          <w:pgSz w:w="11906" w:h="16838"/>
          <w:pgMar w:top="1304" w:right="1191" w:bottom="1304" w:left="1191" w:header="851" w:footer="794" w:gutter="0"/>
          <w:cols w:space="425" w:num="1"/>
          <w:docGrid w:type="lines" w:linePitch="312" w:charSpace="0"/>
        </w:sectPr>
      </w:pPr>
    </w:p>
    <w:p>
      <w:pPr>
        <w:pStyle w:val="4"/>
        <w:rPr>
          <w:color w:val="auto"/>
        </w:rPr>
      </w:pPr>
      <w:r>
        <w:rPr>
          <w:color w:val="auto"/>
        </w:rPr>
        <w:t>结论与建议</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522" w:type="dxa"/>
          </w:tcPr>
          <w:p>
            <w:pPr>
              <w:ind w:firstLine="0" w:firstLineChars="0"/>
              <w:rPr>
                <w:color w:val="auto"/>
              </w:rPr>
            </w:pPr>
            <w:r>
              <w:rPr>
                <w:color w:val="auto"/>
              </w:rPr>
              <w:t>一、结论</w:t>
            </w:r>
          </w:p>
          <w:p>
            <w:pPr>
              <w:ind w:firstLine="480"/>
              <w:rPr>
                <w:color w:val="auto"/>
              </w:rPr>
            </w:pPr>
            <w:r>
              <w:rPr>
                <w:rFonts w:hint="eastAsia"/>
                <w:color w:val="auto"/>
              </w:rPr>
              <w:t>1、</w:t>
            </w:r>
            <w:r>
              <w:rPr>
                <w:color w:val="auto"/>
              </w:rPr>
              <w:t>项目概况</w:t>
            </w:r>
          </w:p>
          <w:p>
            <w:pPr>
              <w:tabs>
                <w:tab w:val="left" w:pos="1350"/>
                <w:tab w:val="left" w:pos="1560"/>
              </w:tabs>
              <w:ind w:firstLine="480"/>
              <w:jc w:val="both"/>
              <w:rPr>
                <w:color w:val="auto"/>
              </w:rPr>
            </w:pPr>
            <w:r>
              <w:rPr>
                <w:rFonts w:hint="eastAsia"/>
                <w:color w:val="auto"/>
              </w:rPr>
              <w:t>益阳三鼎包装有限公司为响应国家对有机废气的管控政策，将原有位于益阳市赫山区龙光桥镇项目关停后搬迁至沅江市高新区技术产业园内，租赁现有标准化厂房在淘汰部分原有落后设备、新增更为先进工艺设备的基础上开展年产100t食品包装袋建设项目。项目总投资约500万元，建设内容为1条食品包装袋生产线，规模为年产100t食品包装袋。</w:t>
            </w:r>
          </w:p>
          <w:p>
            <w:pPr>
              <w:ind w:firstLine="480"/>
              <w:rPr>
                <w:color w:val="auto"/>
              </w:rPr>
            </w:pPr>
            <w:r>
              <w:rPr>
                <w:rFonts w:hint="eastAsia"/>
                <w:color w:val="auto"/>
              </w:rPr>
              <w:t>2、</w:t>
            </w:r>
            <w:r>
              <w:rPr>
                <w:color w:val="auto"/>
              </w:rPr>
              <w:t>产业政策符合性</w:t>
            </w:r>
            <w:r>
              <w:rPr>
                <w:rFonts w:hint="eastAsia"/>
                <w:color w:val="auto"/>
              </w:rPr>
              <w:t>及规划符合性分析</w:t>
            </w:r>
          </w:p>
          <w:p>
            <w:pPr>
              <w:ind w:firstLine="480"/>
              <w:jc w:val="both"/>
              <w:rPr>
                <w:color w:val="auto"/>
              </w:rPr>
            </w:pPr>
            <w:r>
              <w:rPr>
                <w:rFonts w:hint="eastAsia"/>
                <w:color w:val="auto"/>
              </w:rPr>
              <w:t>根据《产业结构调整指导目录(2019年本)》，本项目不属于其中的限制类和淘汰类，属于允许类，符合国家产业政策。另外，项目所使用的设备及工艺均不属于《部分工业行业淘汰落后生产工艺装备和产品指导目录（2010年本）》中“淘汰落后生产工艺装备和产品”。综上，项目建设符合国家产业政策。</w:t>
            </w:r>
            <w:r>
              <w:rPr>
                <w:color w:val="auto"/>
              </w:rPr>
              <w:t>因此，</w:t>
            </w:r>
            <w:r>
              <w:rPr>
                <w:rFonts w:hint="eastAsia"/>
                <w:color w:val="auto"/>
              </w:rPr>
              <w:t>拟建</w:t>
            </w:r>
            <w:r>
              <w:rPr>
                <w:color w:val="auto"/>
              </w:rPr>
              <w:t>项目建设符合国家当前产业政策要求。</w:t>
            </w:r>
          </w:p>
          <w:p>
            <w:pPr>
              <w:ind w:firstLine="480"/>
              <w:rPr>
                <w:color w:val="auto"/>
              </w:rPr>
            </w:pPr>
            <w:r>
              <w:rPr>
                <w:rFonts w:hint="eastAsia"/>
                <w:color w:val="auto"/>
              </w:rPr>
              <w:t>3、环境质量现状</w:t>
            </w:r>
          </w:p>
          <w:p>
            <w:pPr>
              <w:adjustRightInd w:val="0"/>
              <w:snapToGrid w:val="0"/>
              <w:ind w:firstLine="480"/>
              <w:jc w:val="both"/>
              <w:rPr>
                <w:color w:val="auto"/>
              </w:rPr>
            </w:pPr>
            <w:r>
              <w:rPr>
                <w:rFonts w:hint="eastAsia"/>
                <w:color w:val="auto"/>
              </w:rPr>
              <w:t>2018年环境空气污染物浓度均值中沅江市PM2.5均值超标，则可确定沅江市为大气环境空气质量不达标区。其余常规监测因子能满足《环境空气质量标准》（GB3095-2012）及修改单中的二级标准；TVOC监测值满足《环境影响评价技术导则大气环境》（HJ2.2-2018）附录D表D.1其他污染物空气质量浓度参考限值标准。</w:t>
            </w:r>
          </w:p>
          <w:p>
            <w:pPr>
              <w:adjustRightInd w:val="0"/>
              <w:snapToGrid w:val="0"/>
              <w:ind w:firstLine="480"/>
              <w:jc w:val="both"/>
              <w:rPr>
                <w:color w:val="auto"/>
              </w:rPr>
            </w:pPr>
            <w:r>
              <w:rPr>
                <w:color w:val="auto"/>
              </w:rPr>
              <w:t>本项目所在区域地表水（万子湖、资江分河）监测因子总磷（执行湖泊标准）超标，最大超标倍数为1.6倍；资江分河的石油类超标0.2倍，其余监测因子均符合《地表水环境质量标准》（GB3838-2002）中</w:t>
            </w:r>
            <w:r>
              <w:rPr>
                <w:rFonts w:hint="eastAsia"/>
                <w:color w:val="auto"/>
              </w:rPr>
              <w:t>Ⅲ</w:t>
            </w:r>
            <w:r>
              <w:rPr>
                <w:color w:val="auto"/>
              </w:rPr>
              <w:t>类水质标准。万子湖总磷超标的原因是沿岸生活污水未经处理排至万子湖或万子湖湖底的底泥遭受扰动；资江分河河岸周边的生活污水排放和渔船的油品泄露，导致资江分河总磷和石油类超标</w:t>
            </w:r>
            <w:r>
              <w:rPr>
                <w:rFonts w:hint="eastAsia"/>
                <w:color w:val="auto"/>
              </w:rPr>
              <w:t>，本项目无生产废水产生和外排，生活污水由化粪池处理后由园区污水管网进入沅江市第二污水处理厂进行处理，能得到有效处理，则本项目不会加重周边地表水环境的污染情况</w:t>
            </w:r>
            <w:r>
              <w:rPr>
                <w:color w:val="auto"/>
              </w:rPr>
              <w:t>。</w:t>
            </w:r>
          </w:p>
          <w:p>
            <w:pPr>
              <w:widowControl/>
              <w:ind w:firstLine="480"/>
              <w:jc w:val="both"/>
              <w:rPr>
                <w:color w:val="auto"/>
              </w:rPr>
            </w:pPr>
            <w:r>
              <w:rPr>
                <w:color w:val="auto"/>
              </w:rPr>
              <w:t>项目周围区域环境噪声昼间、夜间均不超标，均能满足《声环境质量标准》（GB3096-2008）</w:t>
            </w:r>
            <w:r>
              <w:rPr>
                <w:rFonts w:hint="eastAsia"/>
                <w:color w:val="auto"/>
              </w:rPr>
              <w:t>3</w:t>
            </w:r>
            <w:r>
              <w:rPr>
                <w:color w:val="auto"/>
              </w:rPr>
              <w:t>类标准的要求，声环境质量较好。</w:t>
            </w:r>
          </w:p>
          <w:p>
            <w:pPr>
              <w:ind w:firstLine="480"/>
              <w:rPr>
                <w:color w:val="auto"/>
              </w:rPr>
            </w:pPr>
            <w:r>
              <w:rPr>
                <w:rFonts w:hint="eastAsia"/>
                <w:color w:val="auto"/>
              </w:rPr>
              <w:t>4、</w:t>
            </w:r>
            <w:r>
              <w:rPr>
                <w:color w:val="auto"/>
              </w:rPr>
              <w:t>项目营运期环境影响评价结论</w:t>
            </w:r>
          </w:p>
          <w:p>
            <w:pPr>
              <w:ind w:firstLine="480"/>
              <w:rPr>
                <w:color w:val="auto"/>
              </w:rPr>
            </w:pPr>
            <w:r>
              <w:rPr>
                <w:color w:val="auto"/>
              </w:rPr>
              <w:fldChar w:fldCharType="begin"/>
            </w:r>
            <w:r>
              <w:rPr>
                <w:color w:val="auto"/>
              </w:rPr>
              <w:instrText xml:space="preserve"> = 1 \* GB3 </w:instrText>
            </w:r>
            <w:r>
              <w:rPr>
                <w:color w:val="auto"/>
              </w:rPr>
              <w:fldChar w:fldCharType="separate"/>
            </w:r>
            <w:r>
              <w:rPr>
                <w:color w:val="auto"/>
              </w:rPr>
              <w:t>①</w:t>
            </w:r>
            <w:r>
              <w:rPr>
                <w:color w:val="auto"/>
              </w:rPr>
              <w:fldChar w:fldCharType="end"/>
            </w:r>
            <w:r>
              <w:rPr>
                <w:color w:val="auto"/>
              </w:rPr>
              <w:t>废气</w:t>
            </w:r>
          </w:p>
          <w:p>
            <w:pPr>
              <w:ind w:firstLine="480"/>
              <w:rPr>
                <w:color w:val="auto"/>
              </w:rPr>
            </w:pPr>
            <w:r>
              <w:rPr>
                <w:rFonts w:hint="eastAsia"/>
                <w:color w:val="auto"/>
              </w:rPr>
              <w:t>本项目营运期间产生的废气主要为印刷、复合和熟化等工序中产生的有机废气，通过对各个产污环节安装集气罩进行收集，然后由管道引至RCO处理装置进行集中处理后由1根25m排气筒进行有组织排放，不会对周边大气环境产生较大影响。</w:t>
            </w:r>
          </w:p>
          <w:p>
            <w:pPr>
              <w:ind w:firstLine="480"/>
              <w:rPr>
                <w:color w:val="auto"/>
              </w:rPr>
            </w:pPr>
            <w:r>
              <w:rPr>
                <w:color w:val="auto"/>
              </w:rPr>
              <w:fldChar w:fldCharType="begin"/>
            </w:r>
            <w:r>
              <w:rPr>
                <w:color w:val="auto"/>
              </w:rPr>
              <w:instrText xml:space="preserve"> = 2 \* GB3 </w:instrText>
            </w:r>
            <w:r>
              <w:rPr>
                <w:color w:val="auto"/>
              </w:rPr>
              <w:fldChar w:fldCharType="separate"/>
            </w:r>
            <w:r>
              <w:rPr>
                <w:color w:val="auto"/>
              </w:rPr>
              <w:t>②</w:t>
            </w:r>
            <w:r>
              <w:rPr>
                <w:color w:val="auto"/>
              </w:rPr>
              <w:fldChar w:fldCharType="end"/>
            </w:r>
            <w:r>
              <w:rPr>
                <w:color w:val="auto"/>
              </w:rPr>
              <w:t>废水</w:t>
            </w:r>
          </w:p>
          <w:p>
            <w:pPr>
              <w:ind w:firstLine="480"/>
              <w:jc w:val="both"/>
              <w:rPr>
                <w:color w:val="auto"/>
              </w:rPr>
            </w:pPr>
            <w:r>
              <w:rPr>
                <w:rFonts w:hint="eastAsia"/>
                <w:color w:val="auto"/>
              </w:rPr>
              <w:t>项目营运期废水为员工生活污水。该项目建成后生活污水排放量约 0.8m³/d，约240m³/a。本项目生活污水经化粪池处理达到《污水排入城镇下水道水质标准》（GB/T31962-2015）表1中B等级标准要求，进入园区污水管网，由沅江市第二污水处理厂集中处理达《城镇污水处理厂污染物排放标准》（GB18918-2002）一级A标准后排入资江分河。根据《环境影响评价技术导则地面水环境》（HJ/2.3-2018），本项目为三级B评价。因此无需进行进一步预测与评价。</w:t>
            </w:r>
          </w:p>
          <w:p>
            <w:pPr>
              <w:ind w:firstLine="480"/>
              <w:jc w:val="both"/>
              <w:rPr>
                <w:color w:val="auto"/>
              </w:rPr>
            </w:pPr>
            <w:r>
              <w:rPr>
                <w:color w:val="auto"/>
              </w:rPr>
              <w:fldChar w:fldCharType="begin"/>
            </w:r>
            <w:r>
              <w:rPr>
                <w:color w:val="auto"/>
              </w:rPr>
              <w:instrText xml:space="preserve"> = 3 \* GB3 </w:instrText>
            </w:r>
            <w:r>
              <w:rPr>
                <w:color w:val="auto"/>
              </w:rPr>
              <w:fldChar w:fldCharType="separate"/>
            </w:r>
            <w:r>
              <w:rPr>
                <w:color w:val="auto"/>
              </w:rPr>
              <w:t>③</w:t>
            </w:r>
            <w:r>
              <w:rPr>
                <w:color w:val="auto"/>
              </w:rPr>
              <w:fldChar w:fldCharType="end"/>
            </w:r>
            <w:r>
              <w:rPr>
                <w:color w:val="auto"/>
              </w:rPr>
              <w:t>噪声</w:t>
            </w:r>
          </w:p>
          <w:p>
            <w:pPr>
              <w:adjustRightInd w:val="0"/>
              <w:snapToGrid w:val="0"/>
              <w:ind w:firstLine="480"/>
              <w:rPr>
                <w:color w:val="auto"/>
              </w:rPr>
            </w:pPr>
            <w:r>
              <w:rPr>
                <w:color w:val="auto"/>
              </w:rPr>
              <w:t>本项目按照工程建设内容进行合理布局并采取低噪声的设备，在采取设计拟采取的治理措施及环评要求措施后，以工程噪声贡献值作为评价量，运营期各厂界昼间、夜间噪声均可满足《工业企业厂界环境噪声排放标准》（GB12348-2008）3类标准（昼间65dB(A)，夜间55dB(A)）限值要求。</w:t>
            </w:r>
          </w:p>
          <w:p>
            <w:pPr>
              <w:ind w:firstLine="480"/>
              <w:rPr>
                <w:color w:val="auto"/>
              </w:rPr>
            </w:pPr>
            <w:r>
              <w:rPr>
                <w:color w:val="auto"/>
              </w:rPr>
              <w:fldChar w:fldCharType="begin"/>
            </w:r>
            <w:r>
              <w:rPr>
                <w:color w:val="auto"/>
              </w:rPr>
              <w:instrText xml:space="preserve"> = 4 \* GB3 </w:instrText>
            </w:r>
            <w:r>
              <w:rPr>
                <w:color w:val="auto"/>
              </w:rPr>
              <w:fldChar w:fldCharType="separate"/>
            </w:r>
            <w:r>
              <w:rPr>
                <w:color w:val="auto"/>
              </w:rPr>
              <w:t>④</w:t>
            </w:r>
            <w:r>
              <w:rPr>
                <w:color w:val="auto"/>
              </w:rPr>
              <w:fldChar w:fldCharType="end"/>
            </w:r>
            <w:r>
              <w:rPr>
                <w:color w:val="auto"/>
              </w:rPr>
              <w:t>固废</w:t>
            </w:r>
          </w:p>
          <w:p>
            <w:pPr>
              <w:ind w:firstLine="480"/>
              <w:rPr>
                <w:color w:val="auto"/>
              </w:rPr>
            </w:pPr>
            <w:r>
              <w:rPr>
                <w:rFonts w:hint="eastAsia"/>
                <w:color w:val="auto"/>
              </w:rPr>
              <w:t>本项目营运过程中产生的固废主要为员工生活垃圾、一般固废和危险废物。生活垃圾委托环卫部门进行统一清运；制袋边角料属于一边固废，可统一收集后外售进行综合处理；废料桶、废抹布和废弃催化剂等属于危险废物，经统一分类收集后置于危废暂存间交由有资质的单位进行安全处置。不会对周边环境产生较大影响。</w:t>
            </w:r>
          </w:p>
          <w:p>
            <w:pPr>
              <w:snapToGrid w:val="0"/>
              <w:ind w:firstLine="480"/>
              <w:rPr>
                <w:color w:val="auto"/>
              </w:rPr>
            </w:pPr>
            <w:r>
              <w:rPr>
                <w:rFonts w:hint="eastAsia"/>
                <w:color w:val="auto"/>
              </w:rPr>
              <w:t>4、建设项目可行性分析</w:t>
            </w:r>
          </w:p>
          <w:p>
            <w:pPr>
              <w:pStyle w:val="2"/>
              <w:ind w:left="0" w:leftChars="0" w:firstLine="480"/>
              <w:rPr>
                <w:color w:val="auto"/>
              </w:rPr>
            </w:pPr>
            <w:r>
              <w:rPr>
                <w:rFonts w:hint="eastAsia"/>
                <w:color w:val="auto"/>
              </w:rPr>
              <w:t>本项目符合国家产业政策，选址交通较为便利，基础设施条件较为完善，项目平面布局合理，建设项目与环境容量相符，项目区有一定的环境容量，各污染物能实现达标排放，固体废物能得到安全处置，根据现场踏勘，不存在与本项目有关的明显制约因素。</w:t>
            </w:r>
          </w:p>
          <w:p>
            <w:pPr>
              <w:pStyle w:val="2"/>
              <w:ind w:left="0" w:leftChars="0" w:firstLine="480"/>
              <w:rPr>
                <w:color w:val="auto"/>
              </w:rPr>
            </w:pPr>
            <w:r>
              <w:rPr>
                <w:rFonts w:hint="eastAsia"/>
                <w:color w:val="auto"/>
              </w:rPr>
              <w:t>5、总量控制指标</w:t>
            </w:r>
          </w:p>
          <w:p>
            <w:pPr>
              <w:pStyle w:val="2"/>
              <w:ind w:left="0" w:leftChars="0" w:firstLine="480"/>
              <w:rPr>
                <w:color w:val="auto"/>
              </w:rPr>
            </w:pPr>
            <w:r>
              <w:rPr>
                <w:rFonts w:hint="eastAsia"/>
                <w:color w:val="auto"/>
              </w:rPr>
              <w:t>本项目无生产废水产生和外排，生活污水由化粪池处理后依托园区污水管网排入沅江市第二污水处理厂进行深度处理，因此无需设置废水总量控制指标。建议大气总量控制指标为：VOCs：</w:t>
            </w:r>
            <w:r>
              <w:rPr>
                <w:rFonts w:hint="eastAsia"/>
                <w:color w:val="auto"/>
                <w:lang w:val="en-US" w:eastAsia="zh-CN"/>
              </w:rPr>
              <w:t>0.63</w:t>
            </w:r>
            <w:r>
              <w:rPr>
                <w:rFonts w:hint="eastAsia"/>
                <w:color w:val="auto"/>
              </w:rPr>
              <w:t>t/a。</w:t>
            </w:r>
          </w:p>
          <w:p>
            <w:pPr>
              <w:pStyle w:val="2"/>
              <w:ind w:left="0" w:leftChars="0" w:firstLine="0" w:firstLineChars="0"/>
              <w:rPr>
                <w:b/>
                <w:bCs/>
                <w:color w:val="auto"/>
              </w:rPr>
            </w:pPr>
            <w:r>
              <w:rPr>
                <w:rFonts w:hint="eastAsia"/>
                <w:b/>
                <w:bCs/>
                <w:color w:val="auto"/>
              </w:rPr>
              <w:t>二、环评总结论</w:t>
            </w:r>
          </w:p>
          <w:p>
            <w:pPr>
              <w:ind w:firstLine="480"/>
              <w:rPr>
                <w:color w:val="auto"/>
              </w:rPr>
            </w:pPr>
            <w:r>
              <w:rPr>
                <w:color w:val="auto"/>
              </w:rPr>
              <w:t>综上所述，本项目符合国家相关产业政策，项目所在区域内环境质量现状良好。项目工艺设计合理，在各项污染治理措施（含本评价要求措施）实施，确保全部污染物达标排放的前提下，对当地及区域的环境质量影响甚微，从环境保护角度而言是可行的。</w:t>
            </w:r>
          </w:p>
          <w:p>
            <w:pPr>
              <w:ind w:firstLine="0" w:firstLineChars="0"/>
              <w:jc w:val="both"/>
              <w:rPr>
                <w:color w:val="auto"/>
              </w:rPr>
            </w:pPr>
            <w:r>
              <w:rPr>
                <w:rFonts w:hint="eastAsia"/>
                <w:color w:val="auto"/>
              </w:rPr>
              <w:t>三</w:t>
            </w:r>
            <w:r>
              <w:rPr>
                <w:color w:val="auto"/>
              </w:rPr>
              <w:t>、建议</w:t>
            </w:r>
            <w:r>
              <w:rPr>
                <w:rFonts w:hint="eastAsia"/>
                <w:color w:val="auto"/>
              </w:rPr>
              <w:t>与要求</w:t>
            </w:r>
          </w:p>
          <w:p>
            <w:pPr>
              <w:spacing w:line="480" w:lineRule="exact"/>
              <w:ind w:firstLine="480"/>
              <w:rPr>
                <w:color w:val="auto"/>
              </w:rPr>
            </w:pPr>
            <w:r>
              <w:rPr>
                <w:rFonts w:hint="eastAsia"/>
                <w:color w:val="auto"/>
              </w:rPr>
              <w:t>1、</w:t>
            </w:r>
            <w:r>
              <w:rPr>
                <w:color w:val="auto"/>
              </w:rPr>
              <w:t>项目在建设过程中，必须严格按照国家有关建设项目环保管理规定，执行建设项目须配套建设的环境保护设施与主体工程同时设计、同时施工、同时投产使用的“三同时”制度</w:t>
            </w:r>
            <w:r>
              <w:rPr>
                <w:rFonts w:hint="eastAsia"/>
                <w:color w:val="auto"/>
              </w:rPr>
              <w:t>；</w:t>
            </w:r>
            <w:r>
              <w:rPr>
                <w:color w:val="auto"/>
              </w:rPr>
              <w:t>各类污染物的排放应</w:t>
            </w:r>
            <w:r>
              <w:rPr>
                <w:rFonts w:hint="eastAsia"/>
                <w:color w:val="auto"/>
              </w:rPr>
              <w:t>达标排放；</w:t>
            </w:r>
          </w:p>
          <w:p>
            <w:pPr>
              <w:spacing w:line="480" w:lineRule="exact"/>
              <w:ind w:firstLine="480"/>
              <w:rPr>
                <w:color w:val="auto"/>
              </w:rPr>
            </w:pPr>
            <w:r>
              <w:rPr>
                <w:rFonts w:hint="eastAsia"/>
                <w:color w:val="auto"/>
              </w:rPr>
              <w:t>2、做好车间废气的收集处理工作，加强车间通风换气；</w:t>
            </w:r>
          </w:p>
          <w:p>
            <w:pPr>
              <w:spacing w:line="480" w:lineRule="exact"/>
              <w:ind w:firstLine="480"/>
              <w:rPr>
                <w:color w:val="auto"/>
              </w:rPr>
            </w:pPr>
            <w:r>
              <w:rPr>
                <w:rFonts w:hint="eastAsia"/>
                <w:color w:val="auto"/>
              </w:rPr>
              <w:t>3、厂区及生产厂房</w:t>
            </w:r>
            <w:r>
              <w:rPr>
                <w:color w:val="auto"/>
              </w:rPr>
              <w:t>内合理布局；选用低噪声设备；</w:t>
            </w:r>
            <w:r>
              <w:rPr>
                <w:rFonts w:hint="eastAsia"/>
                <w:color w:val="auto"/>
              </w:rPr>
              <w:t>做好车间隔声措施；</w:t>
            </w:r>
            <w:r>
              <w:rPr>
                <w:color w:val="auto"/>
              </w:rPr>
              <w:t>加强设备维修与管理，避免设备非正常工况运行产生高噪声；</w:t>
            </w:r>
          </w:p>
          <w:p>
            <w:pPr>
              <w:spacing w:line="480" w:lineRule="exact"/>
              <w:ind w:firstLine="480"/>
              <w:rPr>
                <w:color w:val="auto"/>
              </w:rPr>
            </w:pPr>
            <w:r>
              <w:rPr>
                <w:rFonts w:hint="eastAsia"/>
                <w:color w:val="auto"/>
              </w:rPr>
              <w:t>4、加强生产管理，教育员工文明生产，降低事故风险隐患；</w:t>
            </w:r>
          </w:p>
          <w:p>
            <w:pPr>
              <w:ind w:firstLine="480"/>
              <w:rPr>
                <w:color w:val="auto"/>
              </w:rPr>
            </w:pPr>
            <w:r>
              <w:rPr>
                <w:rFonts w:hint="eastAsia"/>
                <w:color w:val="auto"/>
              </w:rPr>
              <w:t>5、</w:t>
            </w:r>
            <w:r>
              <w:rPr>
                <w:color w:val="auto"/>
              </w:rPr>
              <w:t>对固废进行分类收集，有回收利用价值的全部回收利用，无利用价值的集中存放，委托环卫部门统一清运，做到日产日清</w:t>
            </w:r>
            <w:r>
              <w:rPr>
                <w:rFonts w:hint="eastAsia"/>
                <w:color w:val="auto"/>
              </w:rPr>
              <w:t>。</w:t>
            </w:r>
          </w:p>
          <w:p>
            <w:pPr>
              <w:ind w:firstLine="480"/>
              <w:rPr>
                <w:color w:val="auto"/>
              </w:rPr>
            </w:pPr>
          </w:p>
          <w:p>
            <w:pPr>
              <w:pStyle w:val="2"/>
              <w:ind w:left="480" w:firstLine="480"/>
              <w:rPr>
                <w:rFonts w:hAnsi="宋体"/>
                <w:color w:val="auto"/>
              </w:rPr>
            </w:pPr>
          </w:p>
          <w:p>
            <w:pPr>
              <w:pStyle w:val="2"/>
              <w:ind w:left="480" w:firstLine="480"/>
              <w:rPr>
                <w:rFonts w:hAnsi="宋体"/>
                <w:color w:val="auto"/>
              </w:rPr>
            </w:pPr>
          </w:p>
          <w:p>
            <w:pPr>
              <w:pStyle w:val="2"/>
              <w:ind w:left="480" w:firstLine="480"/>
              <w:rPr>
                <w:rFonts w:hAnsi="宋体"/>
                <w:color w:val="auto"/>
              </w:rPr>
            </w:pPr>
          </w:p>
        </w:tc>
      </w:tr>
    </w:tbl>
    <w:p>
      <w:pPr>
        <w:snapToGrid w:val="0"/>
        <w:spacing w:line="240" w:lineRule="auto"/>
        <w:ind w:firstLine="0" w:firstLineChars="0"/>
        <w:jc w:val="center"/>
        <w:rPr>
          <w:b/>
          <w:color w:val="auto"/>
        </w:rPr>
        <w:sectPr>
          <w:footerReference r:id="rId9" w:type="default"/>
          <w:pgSz w:w="11906" w:h="16838"/>
          <w:pgMar w:top="1440" w:right="1800" w:bottom="1440" w:left="1800" w:header="851" w:footer="992" w:gutter="0"/>
          <w:cols w:space="425" w:num="1"/>
          <w:docGrid w:type="lines" w:linePitch="312" w:charSpace="0"/>
        </w:sectPr>
      </w:pPr>
    </w:p>
    <w:p>
      <w:pPr>
        <w:pStyle w:val="2"/>
        <w:ind w:left="0" w:leftChars="0" w:firstLine="0" w:firstLineChars="0"/>
        <w:rPr>
          <w:b/>
          <w:bCs/>
          <w:color w:val="auto"/>
        </w:rPr>
      </w:pPr>
      <w:r>
        <w:rPr>
          <w:rFonts w:hint="eastAsia"/>
          <w:b/>
          <w:bCs/>
          <w:color w:val="auto"/>
        </w:rPr>
        <w:t>附件1：企业营业执照</w:t>
      </w:r>
    </w:p>
    <w:p>
      <w:pPr>
        <w:pStyle w:val="13"/>
        <w:rPr>
          <w:b/>
          <w:bCs/>
          <w:color w:val="auto"/>
          <w:sz w:val="24"/>
        </w:rPr>
      </w:pPr>
      <w:r>
        <w:rPr>
          <w:b/>
          <w:bCs/>
          <w:color w:val="auto"/>
          <w:sz w:val="24"/>
        </w:rPr>
        <w:drawing>
          <wp:inline distT="0" distB="0" distL="114300" distR="114300">
            <wp:extent cx="5359400" cy="7146290"/>
            <wp:effectExtent l="0" t="0" r="12700" b="16510"/>
            <wp:docPr id="9" name="图片 2" descr="1b05f06f95ebf527adef05e27b6f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b05f06f95ebf527adef05e27b6f7c9"/>
                    <pic:cNvPicPr>
                      <a:picLocks noChangeAspect="1"/>
                    </pic:cNvPicPr>
                  </pic:nvPicPr>
                  <pic:blipFill>
                    <a:blip r:embed="rId38" cstate="email"/>
                    <a:stretch>
                      <a:fillRect/>
                    </a:stretch>
                  </pic:blipFill>
                  <pic:spPr>
                    <a:xfrm>
                      <a:off x="0" y="0"/>
                      <a:ext cx="5359400" cy="7146290"/>
                    </a:xfrm>
                    <a:prstGeom prst="rect">
                      <a:avLst/>
                    </a:prstGeom>
                    <a:noFill/>
                    <a:ln>
                      <a:noFill/>
                    </a:ln>
                  </pic:spPr>
                </pic:pic>
              </a:graphicData>
            </a:graphic>
          </wp:inline>
        </w:drawing>
      </w:r>
    </w:p>
    <w:p>
      <w:pPr>
        <w:ind w:firstLine="482"/>
        <w:rPr>
          <w:b/>
          <w:bCs/>
          <w:color w:val="auto"/>
        </w:rPr>
      </w:pPr>
      <w:r>
        <w:rPr>
          <w:b/>
          <w:bCs/>
          <w:color w:val="auto"/>
        </w:rPr>
        <w:br w:type="page"/>
      </w:r>
    </w:p>
    <w:p>
      <w:pPr>
        <w:pStyle w:val="13"/>
        <w:rPr>
          <w:b/>
          <w:bCs/>
          <w:color w:val="auto"/>
          <w:sz w:val="24"/>
        </w:rPr>
      </w:pPr>
      <w:r>
        <w:rPr>
          <w:rFonts w:hint="eastAsia"/>
          <w:b/>
          <w:bCs/>
          <w:color w:val="auto"/>
          <w:sz w:val="24"/>
        </w:rPr>
        <w:t>附件2：厂房租赁合同</w:t>
      </w:r>
    </w:p>
    <w:p>
      <w:pPr>
        <w:pStyle w:val="13"/>
        <w:rPr>
          <w:color w:val="auto"/>
        </w:rPr>
      </w:pPr>
      <w:r>
        <w:rPr>
          <w:color w:val="auto"/>
        </w:rPr>
        <w:drawing>
          <wp:inline distT="0" distB="0" distL="114300" distR="114300">
            <wp:extent cx="5318760" cy="7363460"/>
            <wp:effectExtent l="0" t="0" r="1524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9" cstate="print"/>
                    <a:stretch>
                      <a:fillRect/>
                    </a:stretch>
                  </pic:blipFill>
                  <pic:spPr>
                    <a:xfrm>
                      <a:off x="0" y="0"/>
                      <a:ext cx="5318760" cy="7363460"/>
                    </a:xfrm>
                    <a:prstGeom prst="rect">
                      <a:avLst/>
                    </a:prstGeom>
                    <a:noFill/>
                    <a:ln>
                      <a:noFill/>
                    </a:ln>
                  </pic:spPr>
                </pic:pic>
              </a:graphicData>
            </a:graphic>
          </wp:inline>
        </w:drawing>
      </w:r>
    </w:p>
    <w:p>
      <w:pPr>
        <w:ind w:firstLine="480"/>
        <w:rPr>
          <w:color w:val="auto"/>
        </w:rPr>
      </w:pPr>
      <w:r>
        <w:rPr>
          <w:color w:val="auto"/>
        </w:rPr>
        <w:br w:type="page"/>
      </w:r>
    </w:p>
    <w:p>
      <w:pPr>
        <w:pStyle w:val="13"/>
        <w:rPr>
          <w:color w:val="auto"/>
        </w:rPr>
      </w:pPr>
      <w:r>
        <w:rPr>
          <w:color w:val="auto"/>
        </w:rPr>
        <w:drawing>
          <wp:inline distT="0" distB="0" distL="114300" distR="114300">
            <wp:extent cx="5293995" cy="7686040"/>
            <wp:effectExtent l="0" t="0" r="1905" b="1016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0" cstate="print">
                      <a:lum bright="6000"/>
                    </a:blip>
                    <a:stretch>
                      <a:fillRect/>
                    </a:stretch>
                  </pic:blipFill>
                  <pic:spPr>
                    <a:xfrm>
                      <a:off x="0" y="0"/>
                      <a:ext cx="5293995" cy="7686040"/>
                    </a:xfrm>
                    <a:prstGeom prst="rect">
                      <a:avLst/>
                    </a:prstGeom>
                    <a:noFill/>
                    <a:ln>
                      <a:noFill/>
                    </a:ln>
                  </pic:spPr>
                </pic:pic>
              </a:graphicData>
            </a:graphic>
          </wp:inline>
        </w:drawing>
      </w:r>
    </w:p>
    <w:p>
      <w:pPr>
        <w:ind w:firstLine="480"/>
        <w:rPr>
          <w:color w:val="auto"/>
        </w:rPr>
      </w:pPr>
      <w:r>
        <w:rPr>
          <w:color w:val="auto"/>
        </w:rPr>
        <w:br w:type="page"/>
      </w:r>
    </w:p>
    <w:p>
      <w:pPr>
        <w:pStyle w:val="13"/>
        <w:jc w:val="center"/>
        <w:rPr>
          <w:color w:val="auto"/>
        </w:rPr>
      </w:pPr>
      <w:r>
        <w:rPr>
          <w:color w:val="auto"/>
        </w:rPr>
        <w:drawing>
          <wp:inline distT="0" distB="0" distL="114300" distR="114300">
            <wp:extent cx="5024120" cy="7717155"/>
            <wp:effectExtent l="0" t="0" r="5080" b="17145"/>
            <wp:docPr id="12" name="图片 12" descr="9f41664c188ec5f92c33a93447c8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f41664c188ec5f92c33a93447c868c"/>
                    <pic:cNvPicPr>
                      <a:picLocks noChangeAspect="1"/>
                    </pic:cNvPicPr>
                  </pic:nvPicPr>
                  <pic:blipFill>
                    <a:blip r:embed="rId41" cstate="email">
                      <a:lum bright="12000"/>
                    </a:blip>
                    <a:srcRect/>
                    <a:stretch>
                      <a:fillRect/>
                    </a:stretch>
                  </pic:blipFill>
                  <pic:spPr>
                    <a:xfrm>
                      <a:off x="0" y="0"/>
                      <a:ext cx="5024120" cy="7717155"/>
                    </a:xfrm>
                    <a:prstGeom prst="rect">
                      <a:avLst/>
                    </a:prstGeom>
                  </pic:spPr>
                </pic:pic>
              </a:graphicData>
            </a:graphic>
          </wp:inline>
        </w:drawing>
      </w:r>
    </w:p>
    <w:p>
      <w:pPr>
        <w:ind w:firstLine="480"/>
        <w:rPr>
          <w:color w:val="auto"/>
        </w:rPr>
      </w:pPr>
      <w:r>
        <w:rPr>
          <w:color w:val="auto"/>
        </w:rPr>
        <w:br w:type="page"/>
      </w:r>
    </w:p>
    <w:p>
      <w:pPr>
        <w:pStyle w:val="13"/>
        <w:rPr>
          <w:b/>
          <w:bCs/>
          <w:color w:val="auto"/>
        </w:rPr>
      </w:pPr>
      <w:r>
        <w:rPr>
          <w:rFonts w:hint="eastAsia"/>
          <w:b/>
          <w:bCs/>
          <w:color w:val="auto"/>
        </w:rPr>
        <w:t>附件3：土地登记证明</w:t>
      </w:r>
    </w:p>
    <w:p>
      <w:pPr>
        <w:pStyle w:val="13"/>
        <w:rPr>
          <w:color w:val="auto"/>
        </w:rPr>
      </w:pPr>
      <w:r>
        <w:rPr>
          <w:color w:val="auto"/>
        </w:rPr>
        <w:drawing>
          <wp:inline distT="0" distB="0" distL="114300" distR="114300">
            <wp:extent cx="5187315" cy="7158990"/>
            <wp:effectExtent l="0" t="0" r="13335" b="3810"/>
            <wp:docPr id="13" name="图片 5" descr="d3e4095e00b6cb9ad83ef39c3a72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3e4095e00b6cb9ad83ef39c3a729cb"/>
                    <pic:cNvPicPr>
                      <a:picLocks noChangeAspect="1"/>
                    </pic:cNvPicPr>
                  </pic:nvPicPr>
                  <pic:blipFill>
                    <a:blip r:embed="rId42" cstate="email"/>
                    <a:stretch>
                      <a:fillRect/>
                    </a:stretch>
                  </pic:blipFill>
                  <pic:spPr>
                    <a:xfrm>
                      <a:off x="0" y="0"/>
                      <a:ext cx="5187315" cy="7158990"/>
                    </a:xfrm>
                    <a:prstGeom prst="rect">
                      <a:avLst/>
                    </a:prstGeom>
                    <a:noFill/>
                    <a:ln>
                      <a:noFill/>
                    </a:ln>
                  </pic:spPr>
                </pic:pic>
              </a:graphicData>
            </a:graphic>
          </wp:inline>
        </w:drawing>
      </w:r>
    </w:p>
    <w:p>
      <w:pPr>
        <w:ind w:firstLine="480"/>
        <w:rPr>
          <w:color w:val="auto"/>
        </w:rPr>
      </w:pPr>
      <w:r>
        <w:rPr>
          <w:color w:val="auto"/>
        </w:rPr>
        <w:br w:type="page"/>
      </w:r>
    </w:p>
    <w:p>
      <w:pPr>
        <w:pStyle w:val="13"/>
        <w:rPr>
          <w:b/>
          <w:bCs/>
          <w:color w:val="auto"/>
        </w:rPr>
      </w:pPr>
      <w:r>
        <w:rPr>
          <w:rFonts w:hint="eastAsia"/>
          <w:b/>
          <w:bCs/>
          <w:color w:val="auto"/>
        </w:rPr>
        <w:t>附件4：评价标准函</w:t>
      </w:r>
    </w:p>
    <w:p>
      <w:pPr>
        <w:pStyle w:val="13"/>
        <w:rPr>
          <w:color w:val="auto"/>
        </w:rPr>
      </w:pPr>
      <w:r>
        <w:rPr>
          <w:rFonts w:hint="eastAsia"/>
          <w:color w:val="auto"/>
        </w:rPr>
        <w:drawing>
          <wp:inline distT="0" distB="0" distL="114300" distR="114300">
            <wp:extent cx="5269865" cy="7247255"/>
            <wp:effectExtent l="0" t="0" r="6985" b="10795"/>
            <wp:docPr id="51" name="图片 51" descr="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01(9)"/>
                    <pic:cNvPicPr>
                      <a:picLocks noChangeAspect="1"/>
                    </pic:cNvPicPr>
                  </pic:nvPicPr>
                  <pic:blipFill>
                    <a:blip r:embed="rId43" cstate="email"/>
                    <a:stretch>
                      <a:fillRect/>
                    </a:stretch>
                  </pic:blipFill>
                  <pic:spPr>
                    <a:xfrm>
                      <a:off x="0" y="0"/>
                      <a:ext cx="5269865" cy="7247255"/>
                    </a:xfrm>
                    <a:prstGeom prst="rect">
                      <a:avLst/>
                    </a:prstGeom>
                  </pic:spPr>
                </pic:pic>
              </a:graphicData>
            </a:graphic>
          </wp:inline>
        </w:drawing>
      </w:r>
    </w:p>
    <w:p>
      <w:pPr>
        <w:ind w:firstLine="480"/>
        <w:rPr>
          <w:color w:val="auto"/>
        </w:rPr>
      </w:pPr>
      <w:r>
        <w:rPr>
          <w:color w:val="auto"/>
        </w:rPr>
        <w:br w:type="page"/>
      </w:r>
    </w:p>
    <w:p>
      <w:pPr>
        <w:pStyle w:val="13"/>
        <w:rPr>
          <w:color w:val="auto"/>
        </w:rPr>
      </w:pPr>
      <w:r>
        <w:rPr>
          <w:rFonts w:hint="eastAsia"/>
          <w:color w:val="auto"/>
        </w:rPr>
        <w:drawing>
          <wp:inline distT="0" distB="0" distL="114300" distR="114300">
            <wp:extent cx="5269865" cy="7247255"/>
            <wp:effectExtent l="19050" t="0" r="6985" b="0"/>
            <wp:docPr id="52" name="图片 5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02"/>
                    <pic:cNvPicPr>
                      <a:picLocks noChangeAspect="1"/>
                    </pic:cNvPicPr>
                  </pic:nvPicPr>
                  <pic:blipFill>
                    <a:blip r:embed="rId44" cstate="email"/>
                    <a:stretch>
                      <a:fillRect/>
                    </a:stretch>
                  </pic:blipFill>
                  <pic:spPr>
                    <a:xfrm>
                      <a:off x="0" y="0"/>
                      <a:ext cx="5269865" cy="7247255"/>
                    </a:xfrm>
                    <a:prstGeom prst="rect">
                      <a:avLst/>
                    </a:prstGeom>
                  </pic:spPr>
                </pic:pic>
              </a:graphicData>
            </a:graphic>
          </wp:inline>
        </w:drawing>
      </w:r>
    </w:p>
    <w:p>
      <w:pPr>
        <w:ind w:firstLine="480"/>
        <w:rPr>
          <w:color w:val="auto"/>
        </w:rPr>
      </w:pPr>
      <w:r>
        <w:rPr>
          <w:color w:val="auto"/>
        </w:rPr>
        <w:br w:type="page"/>
      </w:r>
    </w:p>
    <w:p>
      <w:pPr>
        <w:pStyle w:val="13"/>
        <w:rPr>
          <w:b/>
          <w:bCs/>
          <w:color w:val="auto"/>
        </w:rPr>
      </w:pPr>
      <w:r>
        <w:rPr>
          <w:rFonts w:hint="eastAsia"/>
          <w:b/>
          <w:bCs/>
          <w:color w:val="auto"/>
        </w:rPr>
        <w:t>附件5：园区环评批复</w:t>
      </w:r>
    </w:p>
    <w:p>
      <w:pPr>
        <w:pStyle w:val="13"/>
        <w:rPr>
          <w:color w:val="auto"/>
        </w:rPr>
      </w:pPr>
      <w:r>
        <w:rPr>
          <w:rFonts w:hint="eastAsia"/>
          <w:color w:val="auto"/>
        </w:rPr>
        <w:drawing>
          <wp:inline distT="0" distB="0" distL="114300" distR="114300">
            <wp:extent cx="5611495" cy="7482205"/>
            <wp:effectExtent l="0" t="0" r="8255" b="4445"/>
            <wp:docPr id="21" name="图片 6" descr="规划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规划环评批复1"/>
                    <pic:cNvPicPr>
                      <a:picLocks noChangeAspect="1"/>
                    </pic:cNvPicPr>
                  </pic:nvPicPr>
                  <pic:blipFill>
                    <a:blip r:embed="rId45" cstate="email"/>
                    <a:stretch>
                      <a:fillRect/>
                    </a:stretch>
                  </pic:blipFill>
                  <pic:spPr>
                    <a:xfrm>
                      <a:off x="0" y="0"/>
                      <a:ext cx="5611495" cy="7482205"/>
                    </a:xfrm>
                    <a:prstGeom prst="rect">
                      <a:avLst/>
                    </a:prstGeom>
                    <a:noFill/>
                    <a:ln>
                      <a:noFill/>
                    </a:ln>
                  </pic:spPr>
                </pic:pic>
              </a:graphicData>
            </a:graphic>
          </wp:inline>
        </w:drawing>
      </w:r>
    </w:p>
    <w:p>
      <w:pPr>
        <w:ind w:firstLine="480"/>
        <w:rPr>
          <w:color w:val="auto"/>
        </w:rPr>
      </w:pPr>
      <w:r>
        <w:rPr>
          <w:rFonts w:hint="eastAsia"/>
          <w:color w:val="auto"/>
        </w:rPr>
        <w:br w:type="page"/>
      </w:r>
    </w:p>
    <w:p>
      <w:pPr>
        <w:pStyle w:val="13"/>
        <w:rPr>
          <w:color w:val="auto"/>
        </w:rPr>
      </w:pPr>
      <w:r>
        <w:rPr>
          <w:rFonts w:hint="eastAsia"/>
          <w:color w:val="auto"/>
        </w:rPr>
        <w:drawing>
          <wp:inline distT="0" distB="0" distL="114300" distR="114300">
            <wp:extent cx="5789930" cy="7720330"/>
            <wp:effectExtent l="0" t="0" r="1270" b="13970"/>
            <wp:docPr id="22" name="图片 7" descr="规划环评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规划环评批复2"/>
                    <pic:cNvPicPr>
                      <a:picLocks noChangeAspect="1"/>
                    </pic:cNvPicPr>
                  </pic:nvPicPr>
                  <pic:blipFill>
                    <a:blip r:embed="rId46" cstate="print"/>
                    <a:stretch>
                      <a:fillRect/>
                    </a:stretch>
                  </pic:blipFill>
                  <pic:spPr>
                    <a:xfrm>
                      <a:off x="0" y="0"/>
                      <a:ext cx="5789930" cy="7720330"/>
                    </a:xfrm>
                    <a:prstGeom prst="rect">
                      <a:avLst/>
                    </a:prstGeom>
                    <a:noFill/>
                    <a:ln>
                      <a:noFill/>
                    </a:ln>
                  </pic:spPr>
                </pic:pic>
              </a:graphicData>
            </a:graphic>
          </wp:inline>
        </w:drawing>
      </w:r>
    </w:p>
    <w:p>
      <w:pPr>
        <w:ind w:firstLine="480"/>
        <w:rPr>
          <w:color w:val="auto"/>
        </w:rPr>
      </w:pPr>
      <w:r>
        <w:rPr>
          <w:rFonts w:hint="eastAsia"/>
          <w:color w:val="auto"/>
        </w:rPr>
        <w:br w:type="page"/>
      </w:r>
    </w:p>
    <w:p>
      <w:pPr>
        <w:pStyle w:val="13"/>
        <w:rPr>
          <w:color w:val="auto"/>
        </w:rPr>
      </w:pPr>
      <w:r>
        <w:rPr>
          <w:rFonts w:hint="eastAsia"/>
          <w:color w:val="auto"/>
        </w:rPr>
        <w:drawing>
          <wp:inline distT="0" distB="0" distL="114300" distR="114300">
            <wp:extent cx="5725795" cy="7635240"/>
            <wp:effectExtent l="0" t="0" r="8255" b="3810"/>
            <wp:docPr id="23" name="图片 8" descr="规划环评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规划环评批复3"/>
                    <pic:cNvPicPr>
                      <a:picLocks noChangeAspect="1"/>
                    </pic:cNvPicPr>
                  </pic:nvPicPr>
                  <pic:blipFill>
                    <a:blip r:embed="rId47" cstate="print"/>
                    <a:stretch>
                      <a:fillRect/>
                    </a:stretch>
                  </pic:blipFill>
                  <pic:spPr>
                    <a:xfrm>
                      <a:off x="0" y="0"/>
                      <a:ext cx="5725795" cy="7635240"/>
                    </a:xfrm>
                    <a:prstGeom prst="rect">
                      <a:avLst/>
                    </a:prstGeom>
                    <a:noFill/>
                    <a:ln>
                      <a:noFill/>
                    </a:ln>
                  </pic:spPr>
                </pic:pic>
              </a:graphicData>
            </a:graphic>
          </wp:inline>
        </w:drawing>
      </w:r>
    </w:p>
    <w:p>
      <w:pPr>
        <w:ind w:firstLine="480"/>
        <w:rPr>
          <w:color w:val="auto"/>
        </w:rPr>
      </w:pPr>
      <w:r>
        <w:rPr>
          <w:rFonts w:hint="eastAsia"/>
          <w:color w:val="auto"/>
        </w:rPr>
        <w:br w:type="page"/>
      </w:r>
    </w:p>
    <w:p>
      <w:pPr>
        <w:pStyle w:val="13"/>
        <w:rPr>
          <w:color w:val="auto"/>
        </w:rPr>
      </w:pPr>
      <w:r>
        <w:rPr>
          <w:color w:val="auto"/>
        </w:rPr>
        <w:drawing>
          <wp:inline distT="0" distB="0" distL="114300" distR="114300">
            <wp:extent cx="5447030" cy="7263130"/>
            <wp:effectExtent l="0" t="0" r="1270" b="13970"/>
            <wp:docPr id="24" name="图片 9" descr="规划环评批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规划环评批复4"/>
                    <pic:cNvPicPr>
                      <a:picLocks noChangeAspect="1"/>
                    </pic:cNvPicPr>
                  </pic:nvPicPr>
                  <pic:blipFill>
                    <a:blip r:embed="rId48" cstate="email"/>
                    <a:stretch>
                      <a:fillRect/>
                    </a:stretch>
                  </pic:blipFill>
                  <pic:spPr>
                    <a:xfrm>
                      <a:off x="0" y="0"/>
                      <a:ext cx="5447030" cy="7263130"/>
                    </a:xfrm>
                    <a:prstGeom prst="rect">
                      <a:avLst/>
                    </a:prstGeom>
                    <a:noFill/>
                    <a:ln>
                      <a:noFill/>
                    </a:ln>
                  </pic:spPr>
                </pic:pic>
              </a:graphicData>
            </a:graphic>
          </wp:inline>
        </w:drawing>
      </w:r>
    </w:p>
    <w:p>
      <w:pPr>
        <w:ind w:firstLine="480"/>
        <w:rPr>
          <w:color w:val="auto"/>
        </w:rPr>
      </w:pPr>
      <w:r>
        <w:rPr>
          <w:color w:val="auto"/>
        </w:rPr>
        <w:br w:type="page"/>
      </w:r>
    </w:p>
    <w:p>
      <w:pPr>
        <w:pStyle w:val="13"/>
        <w:rPr>
          <w:color w:val="auto"/>
        </w:rPr>
      </w:pPr>
      <w:r>
        <w:rPr>
          <w:color w:val="auto"/>
        </w:rPr>
        <w:drawing>
          <wp:inline distT="0" distB="0" distL="114300" distR="114300">
            <wp:extent cx="5271135" cy="6583045"/>
            <wp:effectExtent l="0" t="0" r="5715" b="825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49" cstate="email"/>
                    <a:stretch>
                      <a:fillRect/>
                    </a:stretch>
                  </pic:blipFill>
                  <pic:spPr>
                    <a:xfrm>
                      <a:off x="0" y="0"/>
                      <a:ext cx="5271135" cy="6583045"/>
                    </a:xfrm>
                    <a:prstGeom prst="rect">
                      <a:avLst/>
                    </a:prstGeom>
                    <a:noFill/>
                    <a:ln>
                      <a:noFill/>
                    </a:ln>
                  </pic:spPr>
                </pic:pic>
              </a:graphicData>
            </a:graphic>
          </wp:inline>
        </w:drawing>
      </w:r>
    </w:p>
    <w:p>
      <w:pPr>
        <w:ind w:firstLine="480"/>
        <w:rPr>
          <w:color w:val="auto"/>
        </w:rPr>
      </w:pPr>
      <w:r>
        <w:rPr>
          <w:color w:val="auto"/>
        </w:rPr>
        <w:br w:type="page"/>
      </w:r>
    </w:p>
    <w:p>
      <w:pPr>
        <w:pStyle w:val="13"/>
        <w:rPr>
          <w:color w:val="auto"/>
        </w:rPr>
      </w:pPr>
      <w:r>
        <w:rPr>
          <w:color w:val="auto"/>
        </w:rPr>
        <w:drawing>
          <wp:inline distT="0" distB="0" distL="114300" distR="114300">
            <wp:extent cx="5268595" cy="7033260"/>
            <wp:effectExtent l="0" t="0" r="8255" b="1524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50" cstate="email"/>
                    <a:stretch>
                      <a:fillRect/>
                    </a:stretch>
                  </pic:blipFill>
                  <pic:spPr>
                    <a:xfrm>
                      <a:off x="0" y="0"/>
                      <a:ext cx="5268595" cy="7033260"/>
                    </a:xfrm>
                    <a:prstGeom prst="rect">
                      <a:avLst/>
                    </a:prstGeom>
                    <a:noFill/>
                    <a:ln>
                      <a:noFill/>
                    </a:ln>
                  </pic:spPr>
                </pic:pic>
              </a:graphicData>
            </a:graphic>
          </wp:inline>
        </w:drawing>
      </w:r>
    </w:p>
    <w:p>
      <w:pPr>
        <w:ind w:firstLine="480"/>
        <w:rPr>
          <w:color w:val="auto"/>
        </w:rPr>
      </w:pPr>
      <w:r>
        <w:rPr>
          <w:color w:val="auto"/>
        </w:rPr>
        <w:br w:type="page"/>
      </w:r>
    </w:p>
    <w:p>
      <w:pPr>
        <w:pStyle w:val="13"/>
        <w:rPr>
          <w:rFonts w:hint="eastAsia"/>
          <w:b/>
          <w:bCs/>
          <w:color w:val="auto"/>
        </w:rPr>
      </w:pPr>
      <w:r>
        <w:rPr>
          <w:rFonts w:hint="eastAsia"/>
          <w:b/>
          <w:bCs/>
          <w:color w:val="auto"/>
        </w:rPr>
        <w:t>附件6：</w:t>
      </w:r>
      <w:r>
        <w:rPr>
          <w:rFonts w:hint="eastAsia"/>
          <w:b/>
          <w:bCs/>
          <w:color w:val="auto"/>
          <w:lang w:eastAsia="zh-CN"/>
        </w:rPr>
        <w:t>特征因子引用数据质量保证单与</w:t>
      </w:r>
      <w:r>
        <w:rPr>
          <w:rFonts w:hint="eastAsia"/>
          <w:b/>
          <w:bCs/>
          <w:color w:val="auto"/>
        </w:rPr>
        <w:t>声环境质量监测质保单</w:t>
      </w:r>
    </w:p>
    <w:p>
      <w:pPr>
        <w:pStyle w:val="13"/>
        <w:rPr>
          <w:rFonts w:hint="eastAsia"/>
          <w:b/>
          <w:bCs/>
          <w:color w:val="auto"/>
        </w:rPr>
        <w:sectPr>
          <w:pgSz w:w="11906" w:h="16838"/>
          <w:pgMar w:top="1440" w:right="1800" w:bottom="1440" w:left="1800" w:header="851" w:footer="992" w:gutter="0"/>
          <w:cols w:space="425" w:num="1"/>
          <w:docGrid w:type="lines" w:linePitch="312" w:charSpace="0"/>
        </w:sectPr>
      </w:pPr>
      <w:r>
        <w:rPr>
          <w:color w:val="auto"/>
        </w:rPr>
        <w:drawing>
          <wp:inline distT="0" distB="0" distL="114300" distR="114300">
            <wp:extent cx="5269865" cy="7421245"/>
            <wp:effectExtent l="0" t="0" r="6985"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1"/>
                    <a:stretch>
                      <a:fillRect/>
                    </a:stretch>
                  </pic:blipFill>
                  <pic:spPr>
                    <a:xfrm>
                      <a:off x="0" y="0"/>
                      <a:ext cx="5269865" cy="7421245"/>
                    </a:xfrm>
                    <a:prstGeom prst="rect">
                      <a:avLst/>
                    </a:prstGeom>
                    <a:noFill/>
                    <a:ln>
                      <a:noFill/>
                    </a:ln>
                  </pic:spPr>
                </pic:pic>
              </a:graphicData>
            </a:graphic>
          </wp:inline>
        </w:drawing>
      </w:r>
    </w:p>
    <w:p>
      <w:pPr>
        <w:pStyle w:val="13"/>
        <w:rPr>
          <w:b/>
          <w:bCs/>
          <w:color w:val="auto"/>
          <w:sz w:val="24"/>
        </w:rPr>
      </w:pPr>
      <w:r>
        <w:rPr>
          <w:rFonts w:hint="eastAsia"/>
          <w:b/>
          <w:bCs/>
          <w:color w:val="auto"/>
          <w:sz w:val="24"/>
        </w:rPr>
        <w:drawing>
          <wp:inline distT="0" distB="0" distL="114300" distR="114300">
            <wp:extent cx="5263515" cy="7445375"/>
            <wp:effectExtent l="0" t="0" r="13335" b="3175"/>
            <wp:docPr id="37" name="图片 16" descr="监测数据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监测数据_页面_5"/>
                    <pic:cNvPicPr>
                      <a:picLocks noChangeAspect="1"/>
                    </pic:cNvPicPr>
                  </pic:nvPicPr>
                  <pic:blipFill>
                    <a:blip r:embed="rId52" cstate="email"/>
                    <a:stretch>
                      <a:fillRect/>
                    </a:stretch>
                  </pic:blipFill>
                  <pic:spPr>
                    <a:xfrm>
                      <a:off x="0" y="0"/>
                      <a:ext cx="5263515" cy="7445375"/>
                    </a:xfrm>
                    <a:prstGeom prst="rect">
                      <a:avLst/>
                    </a:prstGeom>
                    <a:noFill/>
                    <a:ln>
                      <a:noFill/>
                    </a:ln>
                  </pic:spPr>
                </pic:pic>
              </a:graphicData>
            </a:graphic>
          </wp:inline>
        </w:drawing>
      </w:r>
    </w:p>
    <w:p>
      <w:pPr>
        <w:ind w:firstLine="482"/>
        <w:rPr>
          <w:b/>
          <w:bCs/>
          <w:color w:val="auto"/>
        </w:rPr>
      </w:pPr>
      <w:r>
        <w:rPr>
          <w:rFonts w:hint="eastAsia"/>
          <w:b/>
          <w:bCs/>
          <w:color w:val="auto"/>
        </w:rPr>
        <w:br w:type="page"/>
      </w:r>
    </w:p>
    <w:p>
      <w:pPr>
        <w:pStyle w:val="13"/>
        <w:rPr>
          <w:rFonts w:ascii="Times New Roman" w:hAnsi="Times New Roman" w:cs="Times New Roman"/>
          <w:b/>
          <w:bCs/>
          <w:color w:val="auto"/>
          <w:sz w:val="24"/>
        </w:rPr>
      </w:pPr>
      <w:r>
        <w:rPr>
          <w:rFonts w:ascii="Times New Roman" w:hAnsi="Times New Roman" w:cs="Times New Roman"/>
          <w:b/>
          <w:bCs/>
          <w:color w:val="auto"/>
          <w:sz w:val="24"/>
        </w:rPr>
        <w:t>附件7：</w:t>
      </w:r>
      <w:r>
        <w:rPr>
          <w:rFonts w:hint="eastAsia" w:ascii="Times New Roman" w:hAnsi="Times New Roman" w:cs="Times New Roman"/>
          <w:b/>
          <w:bCs/>
          <w:color w:val="auto"/>
          <w:sz w:val="24"/>
        </w:rPr>
        <w:t>项目入园证明</w:t>
      </w:r>
    </w:p>
    <w:p>
      <w:pPr>
        <w:ind w:firstLine="480"/>
        <w:rPr>
          <w:b/>
          <w:bCs/>
          <w:color w:val="auto"/>
        </w:rPr>
      </w:pPr>
      <w:r>
        <w:rPr>
          <w:color w:val="auto"/>
        </w:rPr>
        <w:drawing>
          <wp:anchor distT="0" distB="0" distL="114300" distR="114300" simplePos="0" relativeHeight="251640832" behindDoc="0" locked="0" layoutInCell="1" allowOverlap="1">
            <wp:simplePos x="0" y="0"/>
            <wp:positionH relativeFrom="column">
              <wp:posOffset>-166370</wp:posOffset>
            </wp:positionH>
            <wp:positionV relativeFrom="paragraph">
              <wp:posOffset>156210</wp:posOffset>
            </wp:positionV>
            <wp:extent cx="5708650" cy="7620000"/>
            <wp:effectExtent l="0" t="0" r="6350" b="0"/>
            <wp:wrapNone/>
            <wp:docPr id="39" name="图片 58" descr="af23eb9c31d108eba3b43fa7b796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8" descr="af23eb9c31d108eba3b43fa7b796a3f"/>
                    <pic:cNvPicPr>
                      <a:picLocks noChangeAspect="1"/>
                    </pic:cNvPicPr>
                  </pic:nvPicPr>
                  <pic:blipFill>
                    <a:blip r:embed="rId53" cstate="print"/>
                    <a:stretch>
                      <a:fillRect/>
                    </a:stretch>
                  </pic:blipFill>
                  <pic:spPr>
                    <a:xfrm>
                      <a:off x="0" y="0"/>
                      <a:ext cx="5708650" cy="7620000"/>
                    </a:xfrm>
                    <a:prstGeom prst="rect">
                      <a:avLst/>
                    </a:prstGeom>
                    <a:noFill/>
                    <a:ln>
                      <a:noFill/>
                    </a:ln>
                  </pic:spPr>
                </pic:pic>
              </a:graphicData>
            </a:graphic>
          </wp:anchor>
        </w:drawing>
      </w:r>
      <w:r>
        <w:rPr>
          <w:rFonts w:hint="eastAsia"/>
          <w:b/>
          <w:bCs/>
          <w:color w:val="auto"/>
        </w:rPr>
        <w:br w:type="page"/>
      </w:r>
    </w:p>
    <w:p>
      <w:pPr>
        <w:pStyle w:val="13"/>
        <w:rPr>
          <w:rFonts w:ascii="Times New Roman" w:hAnsi="Times New Roman" w:cs="Times New Roman"/>
          <w:b/>
          <w:bCs/>
          <w:color w:val="auto"/>
          <w:sz w:val="24"/>
          <w:u w:val="single"/>
        </w:rPr>
      </w:pPr>
      <w:r>
        <w:rPr>
          <w:rFonts w:hint="eastAsia" w:ascii="Times New Roman" w:hAnsi="Times New Roman" w:cs="Times New Roman"/>
          <w:b/>
          <w:bCs/>
          <w:color w:val="auto"/>
          <w:sz w:val="24"/>
          <w:u w:val="single"/>
        </w:rPr>
        <w:t>附件8：专家评审意见</w:t>
      </w:r>
    </w:p>
    <w:p>
      <w:pPr>
        <w:pStyle w:val="84"/>
        <w:spacing w:line="480" w:lineRule="exact"/>
        <w:ind w:firstLine="0" w:firstLineChars="0"/>
        <w:jc w:val="center"/>
        <w:rPr>
          <w:rFonts w:hAnsi="黑体" w:eastAsia="黑体"/>
          <w:color w:val="auto"/>
          <w:kern w:val="24"/>
          <w:sz w:val="32"/>
          <w:szCs w:val="32"/>
        </w:rPr>
      </w:pPr>
      <w:r>
        <w:rPr>
          <w:rFonts w:hAnsi="黑体" w:eastAsia="黑体"/>
          <w:color w:val="auto"/>
          <w:kern w:val="24"/>
          <w:sz w:val="32"/>
          <w:szCs w:val="32"/>
        </w:rPr>
        <w:t>益阳三鼎包装有限公司年产100t食品包装袋建设项目</w:t>
      </w:r>
    </w:p>
    <w:p>
      <w:pPr>
        <w:pStyle w:val="84"/>
        <w:spacing w:line="480" w:lineRule="exact"/>
        <w:ind w:firstLine="0" w:firstLineChars="0"/>
        <w:jc w:val="center"/>
        <w:rPr>
          <w:rFonts w:hAnsi="黑体" w:eastAsia="黑体"/>
          <w:color w:val="auto"/>
          <w:kern w:val="24"/>
          <w:sz w:val="32"/>
          <w:szCs w:val="32"/>
        </w:rPr>
      </w:pPr>
      <w:r>
        <w:rPr>
          <w:rFonts w:hAnsi="黑体" w:eastAsia="黑体"/>
          <w:color w:val="auto"/>
          <w:kern w:val="24"/>
          <w:sz w:val="32"/>
          <w:szCs w:val="32"/>
        </w:rPr>
        <w:t>环境影响报告表</w:t>
      </w:r>
      <w:r>
        <w:rPr>
          <w:rFonts w:hint="eastAsia" w:hAnsi="黑体" w:eastAsia="黑体"/>
          <w:color w:val="auto"/>
          <w:kern w:val="24"/>
          <w:sz w:val="32"/>
          <w:szCs w:val="32"/>
        </w:rPr>
        <w:t>专家</w:t>
      </w:r>
      <w:r>
        <w:rPr>
          <w:rFonts w:hAnsi="黑体" w:eastAsia="黑体"/>
          <w:color w:val="auto"/>
          <w:kern w:val="24"/>
          <w:sz w:val="32"/>
          <w:szCs w:val="32"/>
        </w:rPr>
        <w:t>评审意见</w:t>
      </w:r>
    </w:p>
    <w:p>
      <w:pPr>
        <w:pStyle w:val="84"/>
        <w:spacing w:line="240" w:lineRule="exact"/>
        <w:ind w:firstLine="480"/>
        <w:rPr>
          <w:color w:val="auto"/>
          <w:szCs w:val="24"/>
        </w:rPr>
      </w:pPr>
    </w:p>
    <w:p>
      <w:pPr>
        <w:pStyle w:val="84"/>
        <w:spacing w:line="480" w:lineRule="exact"/>
        <w:ind w:firstLine="560"/>
        <w:rPr>
          <w:rFonts w:ascii="仿宋_GB2312" w:eastAsia="仿宋_GB2312"/>
          <w:color w:val="auto"/>
          <w:sz w:val="28"/>
          <w:szCs w:val="28"/>
        </w:rPr>
      </w:pPr>
      <w:r>
        <w:rPr>
          <w:rFonts w:hint="eastAsia" w:ascii="仿宋_GB2312" w:eastAsia="仿宋_GB2312"/>
          <w:color w:val="auto"/>
          <w:sz w:val="28"/>
          <w:szCs w:val="28"/>
        </w:rPr>
        <w:t>2020年8月15日，益阳市生态环境局在益阳市组织召开了《</w:t>
      </w:r>
      <w:r>
        <w:rPr>
          <w:rFonts w:hint="eastAsia" w:ascii="仿宋_GB2312" w:hAnsi="宋体" w:eastAsia="仿宋_GB2312"/>
          <w:color w:val="auto"/>
          <w:sz w:val="28"/>
          <w:szCs w:val="28"/>
        </w:rPr>
        <w:t>益阳三鼎包装有限公司年产100t食品包装袋建设项目</w:t>
      </w:r>
      <w:r>
        <w:rPr>
          <w:rFonts w:hint="eastAsia" w:ascii="仿宋_GB2312" w:eastAsia="仿宋_GB2312"/>
          <w:color w:val="auto"/>
          <w:sz w:val="28"/>
          <w:szCs w:val="28"/>
        </w:rPr>
        <w:t>环境影响报告表》（以下简称《报告表》）专家评审会。参加会议的单位有益阳市生态环境局沅江分局、建设单位-</w:t>
      </w:r>
      <w:r>
        <w:rPr>
          <w:rFonts w:hint="eastAsia" w:ascii="仿宋_GB2312" w:hAnsi="宋体" w:eastAsia="仿宋_GB2312"/>
          <w:color w:val="auto"/>
          <w:sz w:val="28"/>
          <w:szCs w:val="28"/>
        </w:rPr>
        <w:t>益阳三鼎包装有限公司</w:t>
      </w:r>
      <w:r>
        <w:rPr>
          <w:rFonts w:hint="eastAsia" w:ascii="仿宋_GB2312" w:eastAsia="仿宋_GB2312"/>
          <w:color w:val="auto"/>
          <w:sz w:val="28"/>
          <w:szCs w:val="28"/>
        </w:rPr>
        <w:t>和评价单位-湖南欣森宏景环境评估有限公司，会议邀请了三位专家（名单附后）组成评审组。与会代表会前踏勘了项目现场，会上听取了建设单位关于项目工作进展情况的介绍和评价单位关于《报告表》主要内容的汇报，经充分讨论、评议，形成如下评审意见：</w:t>
      </w:r>
    </w:p>
    <w:p>
      <w:pPr>
        <w:pStyle w:val="84"/>
        <w:spacing w:line="480" w:lineRule="exact"/>
        <w:ind w:firstLine="562"/>
        <w:outlineLvl w:val="0"/>
        <w:rPr>
          <w:rFonts w:ascii="仿宋_GB2312" w:hAnsi="宋体" w:eastAsia="仿宋_GB2312"/>
          <w:b/>
          <w:bCs/>
          <w:color w:val="auto"/>
          <w:sz w:val="28"/>
          <w:szCs w:val="28"/>
        </w:rPr>
      </w:pPr>
      <w:bookmarkStart w:id="6" w:name="_Toc225153778"/>
      <w:bookmarkStart w:id="7" w:name="_Toc219541072"/>
      <w:r>
        <w:rPr>
          <w:rFonts w:hint="eastAsia" w:ascii="仿宋_GB2312" w:hAnsi="宋体" w:eastAsia="仿宋_GB2312"/>
          <w:b/>
          <w:bCs/>
          <w:color w:val="auto"/>
          <w:sz w:val="28"/>
          <w:szCs w:val="28"/>
        </w:rPr>
        <w:t>一、</w:t>
      </w:r>
      <w:r>
        <w:rPr>
          <w:rFonts w:ascii="仿宋_GB2312" w:hAnsi="宋体" w:eastAsia="仿宋_GB2312"/>
          <w:b/>
          <w:bCs/>
          <w:color w:val="auto"/>
          <w:sz w:val="28"/>
          <w:szCs w:val="28"/>
        </w:rPr>
        <w:t>项目</w:t>
      </w:r>
      <w:r>
        <w:rPr>
          <w:rFonts w:hint="eastAsia" w:ascii="仿宋_GB2312" w:hAnsi="宋体" w:eastAsia="仿宋_GB2312"/>
          <w:b/>
          <w:bCs/>
          <w:color w:val="auto"/>
          <w:sz w:val="28"/>
          <w:szCs w:val="28"/>
        </w:rPr>
        <w:t>概况</w:t>
      </w:r>
    </w:p>
    <w:p>
      <w:pPr>
        <w:pStyle w:val="84"/>
        <w:spacing w:line="480" w:lineRule="exact"/>
        <w:ind w:firstLine="560"/>
        <w:rPr>
          <w:rFonts w:ascii="仿宋_GB2312" w:hAnsi="宋体" w:eastAsia="仿宋_GB2312"/>
          <w:color w:val="auto"/>
          <w:sz w:val="28"/>
          <w:szCs w:val="28"/>
        </w:rPr>
      </w:pPr>
      <w:r>
        <w:rPr>
          <w:rFonts w:hint="eastAsia" w:ascii="仿宋_GB2312" w:hAnsi="宋体" w:eastAsia="仿宋_GB2312"/>
          <w:color w:val="auto"/>
          <w:sz w:val="28"/>
          <w:szCs w:val="28"/>
        </w:rPr>
        <w:t>益阳三鼎包装有限公司年产100t食品包装袋建设项目位于湖南省沅江市高新技术产业园区中联大道与南洞庭湖大道交叉口东南侧，总投资500万元，项目租赁沅江高新区标准函厂房进行生产，占地面积4156平方米。项目建成投产后，年产食品包装袋100t。</w:t>
      </w:r>
    </w:p>
    <w:p>
      <w:pPr>
        <w:pStyle w:val="84"/>
        <w:spacing w:line="480" w:lineRule="exact"/>
        <w:ind w:firstLine="562"/>
        <w:outlineLvl w:val="0"/>
        <w:rPr>
          <w:rFonts w:ascii="仿宋_GB2312" w:hAnsi="宋体" w:eastAsia="仿宋_GB2312"/>
          <w:b/>
          <w:bCs/>
          <w:color w:val="auto"/>
          <w:sz w:val="28"/>
          <w:szCs w:val="28"/>
        </w:rPr>
      </w:pPr>
      <w:r>
        <w:rPr>
          <w:rFonts w:hint="eastAsia" w:ascii="仿宋_GB2312" w:hAnsi="宋体" w:eastAsia="仿宋_GB2312"/>
          <w:b/>
          <w:bCs/>
          <w:color w:val="auto"/>
          <w:sz w:val="28"/>
          <w:szCs w:val="28"/>
        </w:rPr>
        <w:t>二、《报告表》编制质量</w:t>
      </w:r>
    </w:p>
    <w:p>
      <w:pPr>
        <w:pStyle w:val="84"/>
        <w:spacing w:line="480" w:lineRule="exact"/>
        <w:ind w:firstLine="560"/>
        <w:rPr>
          <w:rFonts w:ascii="仿宋_GB2312" w:eastAsia="仿宋_GB2312"/>
          <w:color w:val="auto"/>
          <w:sz w:val="28"/>
          <w:szCs w:val="28"/>
        </w:rPr>
      </w:pPr>
      <w:r>
        <w:rPr>
          <w:rFonts w:hint="eastAsia" w:ascii="仿宋_GB2312" w:hAnsi="宋体" w:eastAsia="仿宋_GB2312"/>
          <w:color w:val="auto"/>
          <w:sz w:val="28"/>
          <w:szCs w:val="28"/>
        </w:rPr>
        <w:t>本《报告表》编制与环评相关技术导则要求存在一定差距，《报告表》经修改、补充和完善，专家组复核后，可上报</w:t>
      </w:r>
      <w:r>
        <w:rPr>
          <w:rFonts w:hint="eastAsia" w:ascii="仿宋_GB2312" w:eastAsia="仿宋_GB2312"/>
          <w:color w:val="auto"/>
          <w:sz w:val="28"/>
          <w:szCs w:val="28"/>
        </w:rPr>
        <w:t>。</w:t>
      </w:r>
    </w:p>
    <w:bookmarkEnd w:id="6"/>
    <w:bookmarkEnd w:id="7"/>
    <w:p>
      <w:pPr>
        <w:pStyle w:val="84"/>
        <w:spacing w:line="480" w:lineRule="exact"/>
        <w:ind w:firstLine="562"/>
        <w:outlineLvl w:val="0"/>
        <w:rPr>
          <w:rFonts w:ascii="仿宋_GB2312" w:hAnsi="宋体" w:eastAsia="仿宋_GB2312"/>
          <w:b/>
          <w:bCs/>
          <w:color w:val="auto"/>
          <w:sz w:val="28"/>
          <w:szCs w:val="28"/>
        </w:rPr>
      </w:pPr>
      <w:r>
        <w:rPr>
          <w:rFonts w:hint="eastAsia" w:ascii="仿宋_GB2312" w:hAnsi="宋体" w:eastAsia="仿宋_GB2312"/>
          <w:b/>
          <w:bCs/>
          <w:color w:val="auto"/>
          <w:sz w:val="28"/>
          <w:szCs w:val="28"/>
        </w:rPr>
        <w:t>三、《报告表》修改意见</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1、核实项目由来、建设性质，说明设备利旧情况；核实原辅材料来源、用量及贮存方式，细化油墨、胶水成分及性质，补充有机成分物料平衡。</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2、核实或完善环境保护目标、项目依托工程调查；核实区域环境质量现状监测数据，补充</w:t>
      </w:r>
      <w:r>
        <w:rPr>
          <w:rFonts w:ascii="仿宋_GB2312" w:eastAsia="仿宋_GB2312"/>
          <w:color w:val="auto"/>
          <w:sz w:val="28"/>
          <w:szCs w:val="28"/>
        </w:rPr>
        <w:t>沅江市高新技术产业园区基本情况介绍</w:t>
      </w:r>
      <w:r>
        <w:rPr>
          <w:rFonts w:hint="eastAsia" w:ascii="仿宋_GB2312" w:eastAsia="仿宋_GB2312"/>
          <w:color w:val="auto"/>
          <w:sz w:val="28"/>
          <w:szCs w:val="28"/>
        </w:rPr>
        <w:t>、区域污染源调查。</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3、细化生产工艺说明；结合《</w:t>
      </w:r>
      <w:r>
        <w:rPr>
          <w:rFonts w:ascii="仿宋_GB2312" w:eastAsia="仿宋_GB2312"/>
          <w:color w:val="auto"/>
          <w:sz w:val="28"/>
          <w:szCs w:val="28"/>
        </w:rPr>
        <w:t>湖南省包装印刷业VOCs排放量测算技术指南</w:t>
      </w:r>
      <w:r>
        <w:rPr>
          <w:rFonts w:hint="eastAsia" w:ascii="仿宋_GB2312" w:eastAsia="仿宋_GB2312"/>
          <w:color w:val="auto"/>
          <w:sz w:val="28"/>
          <w:szCs w:val="28"/>
        </w:rPr>
        <w:t>》（试行），核实油墨、稀释剂中VOCs质量含量，说明有机废气收集方式，核实风机风量、废气收集、处理效率及各气型污染物产、排源强。</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4、完善大气环境影响预测内容，校核预测参数及预测结果；补充废气处理设施工艺介绍，核实VOCs处理效率，补充大气污染防治措施经济、技术可行性及排气筒（位置、内径、高度）设置的合理性论证。</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5、核实危险废物种类、产生量，对照《建设项目危险废物环境影响评价指南》（环境保护部公告 2017年 第43号），</w:t>
      </w:r>
      <w:r>
        <w:rPr>
          <w:rFonts w:hint="eastAsia" w:ascii="仿宋_GB2312" w:hAnsi="宋体" w:eastAsia="仿宋_GB2312"/>
          <w:color w:val="auto"/>
          <w:sz w:val="28"/>
          <w:szCs w:val="28"/>
        </w:rPr>
        <w:t>完善危险废物影响评价内容</w:t>
      </w:r>
      <w:r>
        <w:rPr>
          <w:rFonts w:hint="eastAsia" w:ascii="仿宋_GB2312" w:eastAsia="仿宋_GB2312"/>
          <w:color w:val="auto"/>
          <w:sz w:val="28"/>
          <w:szCs w:val="28"/>
        </w:rPr>
        <w:t>；核实各类固废处置去向。</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6、核实土壤环境影响评价等级，完善相关评价内容；完善环境风险分析，细化环境风险防范措施及应急处置要求。</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7、补充或完善项目建设与《“十三五”挥发性有机物污染防治工作方案》（环大气[2017]121号）、《湖南省污染防治攻坚战三年行动计划》、《湖南省VOCs污染防治三年实施方案》（湘环发〔2018〕11号）的相符性分析；核实项目用地性质，完善项目与沅江高新区用地规划和产业布局的符合性、与周边企业的相容性分析。</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8、补充总量控制指标，核实环保投资；对照《排污许可证申请与核发技术规范 印刷工业》（HJ 1066-2019），补充营运期环境管理要求，核实环境监测计划。</w:t>
      </w:r>
    </w:p>
    <w:p>
      <w:pPr>
        <w:pStyle w:val="9"/>
        <w:spacing w:line="480" w:lineRule="exact"/>
        <w:ind w:firstLine="560"/>
        <w:jc w:val="both"/>
        <w:rPr>
          <w:rFonts w:ascii="仿宋_GB2312" w:eastAsia="仿宋_GB2312"/>
          <w:color w:val="auto"/>
          <w:sz w:val="28"/>
          <w:szCs w:val="28"/>
        </w:rPr>
      </w:pPr>
      <w:r>
        <w:rPr>
          <w:rFonts w:hint="eastAsia" w:ascii="仿宋_GB2312" w:eastAsia="仿宋_GB2312"/>
          <w:color w:val="auto"/>
          <w:sz w:val="28"/>
          <w:szCs w:val="28"/>
        </w:rPr>
        <w:t>9、补充与生态</w:t>
      </w:r>
      <w:r>
        <w:rPr>
          <w:rFonts w:ascii="仿宋_GB2312" w:eastAsia="仿宋_GB2312"/>
          <w:color w:val="auto"/>
          <w:sz w:val="28"/>
          <w:szCs w:val="28"/>
        </w:rPr>
        <w:t>环境敏感目标的位置关系图</w:t>
      </w:r>
      <w:r>
        <w:rPr>
          <w:rFonts w:hint="eastAsia" w:ascii="仿宋_GB2312" w:eastAsia="仿宋_GB2312"/>
          <w:color w:val="auto"/>
          <w:sz w:val="28"/>
          <w:szCs w:val="28"/>
        </w:rPr>
        <w:t>、沅江高新区用地规划图；补充沅江高新区管委会意见，核实附表中信息。</w:t>
      </w:r>
    </w:p>
    <w:p>
      <w:pPr>
        <w:pStyle w:val="84"/>
        <w:spacing w:line="480" w:lineRule="exact"/>
        <w:ind w:firstLine="560"/>
        <w:rPr>
          <w:rFonts w:ascii="仿宋_GB2312" w:hAnsi="宋体" w:eastAsia="仿宋_GB2312"/>
          <w:color w:val="auto"/>
          <w:sz w:val="28"/>
          <w:szCs w:val="28"/>
        </w:rPr>
      </w:pPr>
    </w:p>
    <w:p>
      <w:pPr>
        <w:pStyle w:val="84"/>
        <w:spacing w:line="480" w:lineRule="exact"/>
        <w:ind w:firstLine="560"/>
        <w:rPr>
          <w:rFonts w:ascii="仿宋_GB2312" w:hAnsi="宋体" w:eastAsia="仿宋_GB2312"/>
          <w:color w:val="auto"/>
          <w:sz w:val="28"/>
          <w:szCs w:val="28"/>
        </w:rPr>
      </w:pPr>
    </w:p>
    <w:p>
      <w:pPr>
        <w:pStyle w:val="84"/>
        <w:spacing w:line="480" w:lineRule="exact"/>
        <w:ind w:firstLine="560"/>
        <w:rPr>
          <w:rFonts w:ascii="仿宋_GB2312" w:hAnsi="宋体" w:eastAsia="仿宋_GB2312"/>
          <w:color w:val="auto"/>
          <w:sz w:val="28"/>
          <w:szCs w:val="28"/>
        </w:rPr>
      </w:pPr>
    </w:p>
    <w:p>
      <w:pPr>
        <w:pStyle w:val="84"/>
        <w:spacing w:line="480" w:lineRule="exact"/>
        <w:ind w:firstLine="560"/>
        <w:rPr>
          <w:rFonts w:ascii="仿宋_GB2312" w:hAnsi="宋体" w:eastAsia="仿宋_GB2312"/>
          <w:color w:val="auto"/>
          <w:sz w:val="28"/>
          <w:szCs w:val="28"/>
        </w:rPr>
      </w:pPr>
      <w:r>
        <w:rPr>
          <w:rFonts w:hint="eastAsia" w:ascii="仿宋_GB2312" w:hAnsi="宋体" w:eastAsia="仿宋_GB2312"/>
          <w:color w:val="auto"/>
          <w:sz w:val="28"/>
          <w:szCs w:val="28"/>
        </w:rPr>
        <w:t xml:space="preserve">                专家组：罗文（组长）、周国宏</w:t>
      </w:r>
      <w:r>
        <w:rPr>
          <w:rFonts w:ascii="仿宋_GB2312" w:hAnsi="宋体" w:eastAsia="仿宋_GB2312"/>
          <w:color w:val="auto"/>
          <w:sz w:val="28"/>
          <w:szCs w:val="28"/>
        </w:rPr>
        <w:t>、</w:t>
      </w:r>
      <w:r>
        <w:rPr>
          <w:rFonts w:hint="eastAsia" w:ascii="仿宋_GB2312" w:hAnsi="宋体" w:eastAsia="仿宋_GB2312"/>
          <w:color w:val="auto"/>
          <w:sz w:val="28"/>
          <w:szCs w:val="28"/>
        </w:rPr>
        <w:t>周锋（执笔）</w:t>
      </w:r>
    </w:p>
    <w:p>
      <w:pPr>
        <w:pStyle w:val="84"/>
        <w:spacing w:line="480" w:lineRule="exact"/>
        <w:ind w:firstLine="560"/>
        <w:rPr>
          <w:rFonts w:ascii="仿宋_GB2312" w:hAnsi="宋体" w:eastAsia="仿宋_GB2312"/>
          <w:color w:val="auto"/>
          <w:sz w:val="28"/>
          <w:szCs w:val="28"/>
        </w:rPr>
      </w:pPr>
      <w:r>
        <w:rPr>
          <w:rFonts w:hint="eastAsia" w:ascii="仿宋_GB2312" w:hAnsi="宋体" w:eastAsia="仿宋_GB2312"/>
          <w:color w:val="auto"/>
          <w:sz w:val="28"/>
          <w:szCs w:val="28"/>
        </w:rPr>
        <w:t xml:space="preserve">                        二</w:t>
      </w:r>
      <w:r>
        <w:rPr>
          <w:rFonts w:hint="eastAsia" w:ascii="宋体" w:hAnsi="宋体"/>
          <w:color w:val="auto"/>
          <w:sz w:val="28"/>
          <w:szCs w:val="28"/>
        </w:rPr>
        <w:t>〇</w:t>
      </w:r>
      <w:r>
        <w:rPr>
          <w:rFonts w:hint="eastAsia" w:ascii="仿宋_GB2312" w:hAnsi="宋体" w:eastAsia="仿宋_GB2312"/>
          <w:color w:val="auto"/>
          <w:sz w:val="28"/>
          <w:szCs w:val="28"/>
        </w:rPr>
        <w:t>二</w:t>
      </w:r>
      <w:r>
        <w:rPr>
          <w:rFonts w:hint="eastAsia" w:ascii="宋体" w:hAnsi="宋体"/>
          <w:color w:val="auto"/>
          <w:sz w:val="28"/>
          <w:szCs w:val="28"/>
        </w:rPr>
        <w:t>〇</w:t>
      </w:r>
      <w:r>
        <w:rPr>
          <w:rFonts w:hint="eastAsia" w:ascii="仿宋_GB2312" w:hAnsi="宋体" w:eastAsia="仿宋_GB2312"/>
          <w:color w:val="auto"/>
          <w:sz w:val="28"/>
          <w:szCs w:val="28"/>
        </w:rPr>
        <w:t xml:space="preserve">年八月十五日 </w:t>
      </w:r>
    </w:p>
    <w:p>
      <w:pPr>
        <w:pStyle w:val="13"/>
        <w:rPr>
          <w:rFonts w:ascii="Times New Roman" w:hAnsi="Times New Roman" w:cs="Times New Roman"/>
          <w:b/>
          <w:bCs/>
          <w:color w:val="auto"/>
          <w:sz w:val="24"/>
          <w:u w:val="single"/>
        </w:rPr>
        <w:sectPr>
          <w:pgSz w:w="11906" w:h="16838"/>
          <w:pgMar w:top="1440" w:right="1800" w:bottom="1440" w:left="1800" w:header="851" w:footer="992" w:gutter="0"/>
          <w:cols w:space="425" w:num="1"/>
          <w:docGrid w:type="lines" w:linePitch="312" w:charSpace="0"/>
        </w:sectPr>
      </w:pPr>
    </w:p>
    <w:p>
      <w:pPr>
        <w:pStyle w:val="13"/>
        <w:rPr>
          <w:rFonts w:ascii="Times New Roman" w:hAnsi="Times New Roman" w:cs="Times New Roman"/>
          <w:b/>
          <w:bCs/>
          <w:color w:val="auto"/>
          <w:sz w:val="24"/>
          <w:u w:val="single"/>
        </w:rPr>
      </w:pPr>
      <w:r>
        <w:rPr>
          <w:rFonts w:hint="eastAsia" w:ascii="Times New Roman" w:hAnsi="Times New Roman" w:cs="Times New Roman"/>
          <w:b/>
          <w:bCs/>
          <w:color w:val="auto"/>
          <w:sz w:val="24"/>
          <w:u w:val="single"/>
        </w:rPr>
        <w:t>附件9：专家签到表</w:t>
      </w:r>
    </w:p>
    <w:p>
      <w:pPr>
        <w:pStyle w:val="13"/>
        <w:jc w:val="center"/>
        <w:rPr>
          <w:rFonts w:ascii="Times New Roman" w:hAnsi="Times New Roman" w:cs="Times New Roman"/>
          <w:b/>
          <w:bCs/>
          <w:color w:val="auto"/>
          <w:sz w:val="24"/>
          <w:u w:val="single"/>
        </w:rPr>
        <w:sectPr>
          <w:pgSz w:w="16838" w:h="11906" w:orient="landscape"/>
          <w:pgMar w:top="1800" w:right="1440" w:bottom="1800" w:left="1440" w:header="851" w:footer="992" w:gutter="0"/>
          <w:cols w:space="425" w:num="1"/>
          <w:docGrid w:type="lines" w:linePitch="312" w:charSpace="0"/>
        </w:sectPr>
      </w:pPr>
      <w:r>
        <w:rPr>
          <w:rFonts w:ascii="Times New Roman" w:hAnsi="Times New Roman" w:cs="Times New Roman"/>
          <w:b/>
          <w:bCs/>
          <w:color w:val="auto"/>
          <w:sz w:val="24"/>
          <w:u w:val="single"/>
        </w:rPr>
        <w:drawing>
          <wp:inline distT="0" distB="0" distL="114300" distR="114300">
            <wp:extent cx="6505575" cy="4730750"/>
            <wp:effectExtent l="0" t="0" r="9525" b="12700"/>
            <wp:docPr id="40" name="图片 4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07"/>
                    <pic:cNvPicPr>
                      <a:picLocks noChangeAspect="1"/>
                    </pic:cNvPicPr>
                  </pic:nvPicPr>
                  <pic:blipFill>
                    <a:blip r:embed="rId54" cstate="email"/>
                    <a:stretch>
                      <a:fillRect/>
                    </a:stretch>
                  </pic:blipFill>
                  <pic:spPr>
                    <a:xfrm>
                      <a:off x="0" y="0"/>
                      <a:ext cx="6505575" cy="4730750"/>
                    </a:xfrm>
                    <a:prstGeom prst="rect">
                      <a:avLst/>
                    </a:prstGeom>
                  </pic:spPr>
                </pic:pic>
              </a:graphicData>
            </a:graphic>
          </wp:inline>
        </w:drawing>
      </w:r>
    </w:p>
    <w:p>
      <w:pPr>
        <w:pStyle w:val="13"/>
        <w:jc w:val="center"/>
        <w:rPr>
          <w:color w:val="auto"/>
        </w:rPr>
      </w:pPr>
      <w:r>
        <w:rPr>
          <w:color w:val="auto"/>
        </w:rPr>
        <w:pict>
          <v:shape id="_x0000_s1083" o:spid="_x0000_s1083" o:spt="202" type="#_x0000_t202" style="position:absolute;left:0pt;margin-left:545.85pt;margin-top:3.15pt;height:71.25pt;width:94.95pt;z-index:251664384;mso-width-relative:page;mso-height-relative:page;" coordsize="21600,21600">
            <v:path/>
            <v:fill focussize="0,0"/>
            <v:stroke joinstyle="miter"/>
            <v:imagedata o:title=""/>
            <o:lock v:ext="edit"/>
            <v:textbox>
              <w:txbxContent>
                <w:p>
                  <w:pPr>
                    <w:ind w:firstLine="480"/>
                  </w:pPr>
                  <w:r>
                    <w:drawing>
                      <wp:inline distT="0" distB="0" distL="114300" distR="114300">
                        <wp:extent cx="358775" cy="396240"/>
                        <wp:effectExtent l="0" t="0" r="3175" b="381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55" cstate="print"/>
                                <a:stretch>
                                  <a:fillRect/>
                                </a:stretch>
                              </pic:blipFill>
                              <pic:spPr>
                                <a:xfrm>
                                  <a:off x="0" y="0"/>
                                  <a:ext cx="358775" cy="396240"/>
                                </a:xfrm>
                                <a:prstGeom prst="rect">
                                  <a:avLst/>
                                </a:prstGeom>
                                <a:noFill/>
                                <a:ln>
                                  <a:noFill/>
                                </a:ln>
                              </pic:spPr>
                            </pic:pic>
                          </a:graphicData>
                        </a:graphic>
                      </wp:inline>
                    </w:drawing>
                  </w:r>
                </w:p>
              </w:txbxContent>
            </v:textbox>
          </v:shape>
        </w:pict>
      </w:r>
      <w:r>
        <w:rPr>
          <w:color w:val="auto"/>
        </w:rPr>
        <w:drawing>
          <wp:inline distT="0" distB="0" distL="114300" distR="114300">
            <wp:extent cx="7543800" cy="4333875"/>
            <wp:effectExtent l="0" t="0" r="0" b="952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56" cstate="print"/>
                    <a:stretch>
                      <a:fillRect/>
                    </a:stretch>
                  </pic:blipFill>
                  <pic:spPr>
                    <a:xfrm>
                      <a:off x="0" y="0"/>
                      <a:ext cx="7543800" cy="4333875"/>
                    </a:xfrm>
                    <a:prstGeom prst="rect">
                      <a:avLst/>
                    </a:prstGeom>
                    <a:noFill/>
                    <a:ln>
                      <a:noFill/>
                    </a:ln>
                  </pic:spPr>
                </pic:pic>
              </a:graphicData>
            </a:graphic>
          </wp:inline>
        </w:drawing>
      </w:r>
    </w:p>
    <w:p>
      <w:pPr>
        <w:pStyle w:val="13"/>
        <w:jc w:val="center"/>
        <w:rPr>
          <w:rFonts w:ascii="Times New Roman" w:hAnsi="Times New Roman" w:cs="Times New Roman"/>
          <w:b/>
          <w:bCs/>
          <w:color w:val="auto"/>
        </w:rPr>
      </w:pPr>
      <w:r>
        <w:rPr>
          <w:rFonts w:ascii="Times New Roman" w:hAnsi="Times New Roman" w:cs="Times New Roman"/>
          <w:b/>
          <w:bCs/>
          <w:color w:val="auto"/>
        </w:rPr>
        <w:t>附图1：项目地理位置图</w:t>
      </w:r>
    </w:p>
    <w:p>
      <w:pPr>
        <w:ind w:firstLine="482"/>
        <w:rPr>
          <w:b/>
          <w:bCs/>
          <w:color w:val="auto"/>
        </w:rPr>
      </w:pPr>
      <w:r>
        <w:rPr>
          <w:b/>
          <w:bCs/>
          <w:color w:val="auto"/>
        </w:rPr>
        <w:br w:type="page"/>
      </w:r>
    </w:p>
    <w:p>
      <w:pPr>
        <w:pStyle w:val="13"/>
        <w:jc w:val="center"/>
        <w:rPr>
          <w:color w:val="auto"/>
        </w:rPr>
      </w:pPr>
      <w:r>
        <w:rPr>
          <w:color w:val="auto"/>
          <w:sz w:val="21"/>
        </w:rPr>
        <w:pict>
          <v:shape id="_x0000_s1099" o:spid="_x0000_s1099" o:spt="4" type="#_x0000_t4" style="position:absolute;left:0pt;margin-left:98.7pt;margin-top:349.2pt;height:13.15pt;width:11.85pt;z-index:251660288;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100" o:spid="_x0000_s1100" o:spt="202" type="#_x0000_t202" style="position:absolute;left:0pt;margin-left:81.95pt;margin-top:321.85pt;height:60pt;width:117.55pt;z-index:251641856;mso-width-relative:page;mso-height-relative:page;" fillcolor="#FFFFFF" filled="t" stroked="t" coordsize="21600,21600">
            <v:path/>
            <v:fill on="t" color2="#FFFFFF" focussize="0,0"/>
            <v:stroke color="#000000"/>
            <v:imagedata o:title=""/>
            <o:lock v:ext="edit" aspectratio="f"/>
            <v:textbox>
              <w:txbxContent>
                <w:p>
                  <w:pPr>
                    <w:ind w:left="0" w:leftChars="0" w:firstLine="0" w:firstLineChars="0"/>
                    <w:rPr>
                      <w:rFonts w:hint="eastAsia"/>
                      <w:sz w:val="21"/>
                      <w:szCs w:val="21"/>
                      <w:lang w:eastAsia="zh-CN"/>
                    </w:rPr>
                  </w:pPr>
                  <w:r>
                    <w:rPr>
                      <w:rFonts w:hint="eastAsia"/>
                      <w:sz w:val="21"/>
                      <w:szCs w:val="21"/>
                      <w:lang w:eastAsia="zh-CN"/>
                    </w:rPr>
                    <w:t>图例：</w:t>
                  </w:r>
                </w:p>
                <w:p>
                  <w:pPr>
                    <w:pStyle w:val="32"/>
                    <w:rPr>
                      <w:rFonts w:hint="default"/>
                      <w:lang w:val="en-US" w:eastAsia="zh-CN"/>
                    </w:rPr>
                  </w:pPr>
                  <w:r>
                    <w:rPr>
                      <w:rFonts w:hint="eastAsia"/>
                      <w:sz w:val="21"/>
                      <w:szCs w:val="21"/>
                      <w:lang w:val="en-US" w:eastAsia="zh-CN"/>
                    </w:rPr>
                    <w:t xml:space="preserve">       声环境监测点</w:t>
                  </w:r>
                </w:p>
              </w:txbxContent>
            </v:textbox>
          </v:shape>
        </w:pict>
      </w:r>
      <w:r>
        <w:rPr>
          <w:color w:val="auto"/>
          <w:sz w:val="21"/>
        </w:rPr>
        <w:pict>
          <v:shape id="_x0000_s1098" o:spid="_x0000_s1098" o:spt="4" type="#_x0000_t4" style="position:absolute;left:0pt;margin-left:242.35pt;margin-top:313.45pt;height:13.15pt;width:11.85pt;z-index:251660288;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097" o:spid="_x0000_s1097" o:spt="4" type="#_x0000_t4" style="position:absolute;left:0pt;margin-left:376.55pt;margin-top:191.45pt;height:13.15pt;width:11.85pt;z-index:251660288;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096" o:spid="_x0000_s1096" o:spt="4" type="#_x0000_t4" style="position:absolute;left:0pt;margin-left:153.35pt;margin-top:156.95pt;height:13.15pt;width:11.85pt;z-index:251660288;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095" o:spid="_x0000_s1095" o:spt="4" type="#_x0000_t4" style="position:absolute;left:0pt;margin-left:261.95pt;margin-top:77.45pt;height:13.15pt;width:11.85pt;z-index:251641856;mso-width-relative:page;mso-height-relative:page;" fillcolor="#FF0000" filled="t" stroked="t" coordsize="21600,21600">
            <v:path/>
            <v:fill on="t" color2="#FFFFFF" focussize="0,0"/>
            <v:stroke color="#000000"/>
            <v:imagedata o:title=""/>
            <o:lock v:ext="edit" aspectratio="f"/>
            <v:textbox>
              <w:txbxContent>
                <w:p/>
              </w:txbxContent>
            </v:textbox>
          </v:shape>
        </w:pict>
      </w:r>
      <w:r>
        <w:rPr>
          <w:color w:val="auto"/>
        </w:rPr>
        <w:drawing>
          <wp:inline distT="0" distB="0" distL="114300" distR="114300">
            <wp:extent cx="6810375" cy="4761230"/>
            <wp:effectExtent l="0" t="0" r="9525" b="12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57"/>
                    <a:stretch>
                      <a:fillRect/>
                    </a:stretch>
                  </pic:blipFill>
                  <pic:spPr>
                    <a:xfrm>
                      <a:off x="0" y="0"/>
                      <a:ext cx="6810375" cy="4761230"/>
                    </a:xfrm>
                    <a:prstGeom prst="rect">
                      <a:avLst/>
                    </a:prstGeom>
                    <a:noFill/>
                    <a:ln>
                      <a:noFill/>
                    </a:ln>
                  </pic:spPr>
                </pic:pic>
              </a:graphicData>
            </a:graphic>
          </wp:inline>
        </w:drawing>
      </w:r>
    </w:p>
    <w:p>
      <w:pPr>
        <w:pStyle w:val="13"/>
        <w:jc w:val="center"/>
        <w:rPr>
          <w:b/>
          <w:bCs/>
          <w:color w:val="auto"/>
        </w:rPr>
      </w:pPr>
      <w:r>
        <w:rPr>
          <w:rFonts w:hint="eastAsia"/>
          <w:b/>
          <w:bCs/>
          <w:color w:val="auto"/>
        </w:rPr>
        <w:t>附图2：周边企业</w:t>
      </w:r>
      <w:r>
        <w:rPr>
          <w:rFonts w:hint="eastAsia"/>
          <w:b/>
          <w:bCs/>
          <w:color w:val="auto"/>
          <w:lang w:eastAsia="zh-CN"/>
        </w:rPr>
        <w:t>与声环境监测布点</w:t>
      </w:r>
      <w:r>
        <w:rPr>
          <w:rFonts w:hint="eastAsia"/>
          <w:b/>
          <w:bCs/>
          <w:color w:val="auto"/>
        </w:rPr>
        <w:t>示意图</w:t>
      </w:r>
    </w:p>
    <w:p>
      <w:pPr>
        <w:ind w:firstLine="482"/>
        <w:rPr>
          <w:b/>
          <w:bCs/>
          <w:color w:val="auto"/>
        </w:rPr>
      </w:pPr>
      <w:r>
        <w:rPr>
          <w:rFonts w:hint="eastAsia"/>
          <w:b/>
          <w:bCs/>
          <w:color w:val="auto"/>
        </w:rPr>
        <w:br w:type="page"/>
      </w:r>
    </w:p>
    <w:p>
      <w:pPr>
        <w:pStyle w:val="13"/>
        <w:jc w:val="center"/>
        <w:rPr>
          <w:color w:val="auto"/>
        </w:rPr>
      </w:pPr>
      <w:r>
        <w:rPr>
          <w:color w:val="auto"/>
          <w:sz w:val="21"/>
        </w:rPr>
        <w:pict>
          <v:shape id="_x0000_s1119" o:spid="_x0000_s1119" o:spt="202" type="#_x0000_t202" style="position:absolute;left:0pt;margin-left:450pt;margin-top:195.7pt;height:25.05pt;width:135.6pt;z-index:251829248;mso-width-relative:page;mso-height-relative:page;" fillcolor="#FFFFFF" filled="t" stroked="t" coordsize="21600,21600">
            <v:path/>
            <v:fill on="t" color2="#FFFFFF" focussize="0,0"/>
            <v:stroke color="#000000" joinstyle="miter"/>
            <v:imagedata o:title=""/>
            <o:lock v:ext="edit" aspectratio="f"/>
            <v:textbox>
              <w:txbxContent>
                <w:p>
                  <w:pPr>
                    <w:ind w:left="0" w:leftChars="0" w:firstLine="0" w:firstLineChars="0"/>
                    <w:rPr>
                      <w:rFonts w:hint="default" w:eastAsia="宋体"/>
                      <w:lang w:val="en-US" w:eastAsia="zh-CN"/>
                    </w:rPr>
                  </w:pPr>
                  <w:r>
                    <w:rPr>
                      <w:rFonts w:hint="eastAsia"/>
                      <w:sz w:val="21"/>
                      <w:szCs w:val="21"/>
                      <w:lang w:eastAsia="zh-CN"/>
                    </w:rPr>
                    <w:t>汾水村村居民点，约</w:t>
                  </w:r>
                  <w:r>
                    <w:rPr>
                      <w:rFonts w:hint="eastAsia"/>
                      <w:sz w:val="21"/>
                      <w:szCs w:val="21"/>
                      <w:lang w:val="en-US" w:eastAsia="zh-CN"/>
                    </w:rPr>
                    <w:t>100</w:t>
                  </w:r>
                  <w:r>
                    <w:rPr>
                      <w:rFonts w:hint="eastAsia"/>
                      <w:lang w:val="en-US" w:eastAsia="zh-CN"/>
                    </w:rPr>
                    <w:t>m</w:t>
                  </w:r>
                </w:p>
              </w:txbxContent>
            </v:textbox>
          </v:shape>
        </w:pict>
      </w:r>
      <w:r>
        <w:rPr>
          <w:color w:val="auto"/>
          <w:sz w:val="21"/>
        </w:rPr>
        <w:pict>
          <v:shape id="_x0000_s1118" o:spid="_x0000_s1118" o:spt="202" type="#_x0000_t202" style="position:absolute;left:0pt;margin-left:456.15pt;margin-top:106.8pt;height:25.05pt;width:135.6pt;z-index:251743232;mso-width-relative:page;mso-height-relative:page;" fillcolor="#FFFFFF" filled="t" stroked="t" coordsize="21600,21600">
            <v:path/>
            <v:fill on="t" color2="#FFFFFF" focussize="0,0"/>
            <v:stroke color="#000000" joinstyle="miter"/>
            <v:imagedata o:title=""/>
            <o:lock v:ext="edit" aspectratio="f"/>
            <v:textbox>
              <w:txbxContent>
                <w:p>
                  <w:pPr>
                    <w:ind w:left="0" w:leftChars="0" w:firstLine="0" w:firstLineChars="0"/>
                    <w:rPr>
                      <w:rFonts w:hint="default" w:eastAsia="宋体"/>
                      <w:lang w:val="en-US" w:eastAsia="zh-CN"/>
                    </w:rPr>
                  </w:pPr>
                  <w:r>
                    <w:rPr>
                      <w:rFonts w:hint="eastAsia"/>
                      <w:sz w:val="21"/>
                      <w:szCs w:val="21"/>
                      <w:lang w:eastAsia="zh-CN"/>
                    </w:rPr>
                    <w:t>十里坪村居民点，约</w:t>
                  </w:r>
                  <w:r>
                    <w:rPr>
                      <w:rFonts w:hint="eastAsia"/>
                      <w:sz w:val="21"/>
                      <w:szCs w:val="21"/>
                      <w:lang w:val="en-US" w:eastAsia="zh-CN"/>
                    </w:rPr>
                    <w:t>624</w:t>
                  </w:r>
                  <w:r>
                    <w:rPr>
                      <w:rFonts w:hint="eastAsia"/>
                      <w:lang w:val="en-US" w:eastAsia="zh-CN"/>
                    </w:rPr>
                    <w:t>m</w:t>
                  </w:r>
                </w:p>
              </w:txbxContent>
            </v:textbox>
          </v:shape>
        </w:pict>
      </w:r>
      <w:r>
        <w:rPr>
          <w:color w:val="auto"/>
          <w:sz w:val="21"/>
        </w:rPr>
        <w:pict>
          <v:shape id="_x0000_s1116" o:spid="_x0000_s1116" o:spt="202" type="#_x0000_t202" style="position:absolute;left:0pt;margin-left:100.25pt;margin-top:77.2pt;height:25.05pt;width:135.6pt;z-index:251678720;mso-width-relative:page;mso-height-relative:page;" fillcolor="#FFFFFF" filled="t" stroked="t" coordsize="21600,21600">
            <v:path/>
            <v:fill on="t" color2="#FFFFFF" focussize="0,0"/>
            <v:stroke color="#000000" joinstyle="miter"/>
            <v:imagedata o:title=""/>
            <o:lock v:ext="edit" aspectratio="f"/>
            <v:textbox>
              <w:txbxContent>
                <w:p>
                  <w:pPr>
                    <w:ind w:left="0" w:leftChars="0" w:firstLine="0" w:firstLineChars="0"/>
                    <w:rPr>
                      <w:rFonts w:hint="default" w:eastAsia="宋体"/>
                      <w:lang w:val="en-US" w:eastAsia="zh-CN"/>
                    </w:rPr>
                  </w:pPr>
                  <w:r>
                    <w:rPr>
                      <w:rFonts w:hint="eastAsia"/>
                      <w:sz w:val="21"/>
                      <w:szCs w:val="21"/>
                      <w:lang w:eastAsia="zh-CN"/>
                    </w:rPr>
                    <w:t>和尚陂居民点，约</w:t>
                  </w:r>
                  <w:r>
                    <w:rPr>
                      <w:rFonts w:hint="eastAsia"/>
                      <w:sz w:val="21"/>
                      <w:szCs w:val="21"/>
                      <w:lang w:val="en-US" w:eastAsia="zh-CN"/>
                    </w:rPr>
                    <w:t>900</w:t>
                  </w:r>
                  <w:r>
                    <w:rPr>
                      <w:rFonts w:hint="eastAsia"/>
                      <w:lang w:val="en-US" w:eastAsia="zh-CN"/>
                    </w:rPr>
                    <w:t>m</w:t>
                  </w:r>
                </w:p>
              </w:txbxContent>
            </v:textbox>
          </v:shape>
        </w:pict>
      </w:r>
      <w:r>
        <w:rPr>
          <w:color w:val="auto"/>
          <w:sz w:val="21"/>
        </w:rPr>
        <w:pict>
          <v:line id="_x0000_s1110" o:spid="_x0000_s1110" o:spt="20" style="position:absolute;left:0pt;flip:x y;margin-left:233.45pt;margin-top:94.85pt;height:15.55pt;width:38.75pt;z-index:251660288;mso-width-relative:page;mso-height-relative:page;" filled="f" stroked="t" coordsize="21600,21600">
            <v:path arrowok="t"/>
            <v:fill on="f" focussize="0,0"/>
            <v:stroke color="#000000"/>
            <v:imagedata o:title=""/>
            <o:lock v:ext="edit" aspectratio="f"/>
          </v:line>
        </w:pict>
      </w:r>
      <w:r>
        <w:rPr>
          <w:color w:val="auto"/>
          <w:sz w:val="21"/>
        </w:rPr>
        <w:pict>
          <v:shape id="_x0000_s1117" o:spid="_x0000_s1117" o:spt="202" type="#_x0000_t202" style="position:absolute;left:0pt;margin-left:414.8pt;margin-top:9.8pt;height:25.05pt;width:135.6pt;z-index:251700224;mso-width-relative:page;mso-height-relative:page;" fillcolor="#FFFFFF" filled="t" stroked="t" coordsize="21600,21600">
            <v:path/>
            <v:fill on="t" color2="#FFFFFF" focussize="0,0"/>
            <v:stroke color="#000000" joinstyle="miter"/>
            <v:imagedata o:title=""/>
            <o:lock v:ext="edit" aspectratio="f"/>
            <v:textbox>
              <w:txbxContent>
                <w:p>
                  <w:pPr>
                    <w:ind w:left="0" w:leftChars="0" w:firstLine="0" w:firstLineChars="0"/>
                    <w:rPr>
                      <w:rFonts w:hint="default" w:eastAsia="宋体"/>
                      <w:lang w:val="en-US" w:eastAsia="zh-CN"/>
                    </w:rPr>
                  </w:pPr>
                  <w:r>
                    <w:rPr>
                      <w:rFonts w:hint="eastAsia"/>
                      <w:sz w:val="21"/>
                      <w:szCs w:val="21"/>
                      <w:lang w:eastAsia="zh-CN"/>
                    </w:rPr>
                    <w:t>实竹村居民点，约</w:t>
                  </w:r>
                  <w:r>
                    <w:rPr>
                      <w:rFonts w:hint="eastAsia"/>
                      <w:sz w:val="21"/>
                      <w:szCs w:val="21"/>
                      <w:lang w:val="en-US" w:eastAsia="zh-CN"/>
                    </w:rPr>
                    <w:t>1000</w:t>
                  </w:r>
                  <w:r>
                    <w:rPr>
                      <w:rFonts w:hint="eastAsia"/>
                      <w:lang w:val="en-US" w:eastAsia="zh-CN"/>
                    </w:rPr>
                    <w:t>m</w:t>
                  </w:r>
                </w:p>
              </w:txbxContent>
            </v:textbox>
          </v:shape>
        </w:pict>
      </w:r>
      <w:r>
        <w:rPr>
          <w:color w:val="auto"/>
          <w:sz w:val="21"/>
        </w:rPr>
        <w:pict>
          <v:line id="_x0000_s1111" o:spid="_x0000_s1111" o:spt="20" style="position:absolute;left:0pt;flip:x y;margin-left:342.9pt;margin-top:273.1pt;height:2.45pt;width:51.9pt;z-index:251660288;mso-width-relative:page;mso-height-relative:page;" filled="f" stroked="t" coordsize="21600,21600">
            <v:path arrowok="t"/>
            <v:fill on="f" focussize="0,0"/>
            <v:stroke color="#000000"/>
            <v:imagedata o:title=""/>
            <o:lock v:ext="edit" aspectratio="f"/>
          </v:line>
        </w:pict>
      </w:r>
      <w:r>
        <w:rPr>
          <w:color w:val="auto"/>
          <w:sz w:val="21"/>
        </w:rPr>
        <w:pict>
          <v:shape id="_x0000_s1115" o:spid="_x0000_s1115" o:spt="202" type="#_x0000_t202" style="position:absolute;left:0pt;margin-left:395.8pt;margin-top:257.1pt;height:34.35pt;width:135.6pt;z-index:251660288;mso-width-relative:page;mso-height-relative:page;" fillcolor="#FFFFFF" filled="t" stroked="t" coordsize="21600,21600">
            <v:path/>
            <v:fill on="t" color2="#FFFFFF" focussize="0,0"/>
            <v:stroke color="#000000"/>
            <v:imagedata o:title=""/>
            <o:lock v:ext="edit" aspectratio="f"/>
            <v:textbox>
              <w:txbxContent>
                <w:p>
                  <w:pPr>
                    <w:ind w:left="0" w:leftChars="0" w:firstLine="0" w:firstLineChars="0"/>
                    <w:rPr>
                      <w:rFonts w:hint="default" w:eastAsia="宋体"/>
                      <w:lang w:val="en-US" w:eastAsia="zh-CN"/>
                    </w:rPr>
                  </w:pPr>
                  <w:r>
                    <w:rPr>
                      <w:rFonts w:hint="eastAsia"/>
                      <w:sz w:val="21"/>
                      <w:szCs w:val="21"/>
                      <w:lang w:eastAsia="zh-CN"/>
                    </w:rPr>
                    <w:t>凤凰村居民点，约</w:t>
                  </w:r>
                  <w:r>
                    <w:rPr>
                      <w:rFonts w:hint="eastAsia"/>
                      <w:sz w:val="21"/>
                      <w:szCs w:val="21"/>
                      <w:lang w:val="en-US" w:eastAsia="zh-CN"/>
                    </w:rPr>
                    <w:t>532</w:t>
                  </w:r>
                  <w:r>
                    <w:rPr>
                      <w:rFonts w:hint="eastAsia"/>
                      <w:lang w:val="en-US" w:eastAsia="zh-CN"/>
                    </w:rPr>
                    <w:t>m</w:t>
                  </w:r>
                </w:p>
              </w:txbxContent>
            </v:textbox>
          </v:shape>
        </w:pict>
      </w:r>
      <w:r>
        <w:rPr>
          <w:color w:val="auto"/>
          <w:sz w:val="21"/>
        </w:rPr>
        <w:pict>
          <v:shape id="_x0000_s1105" o:spid="_x0000_s1105" o:spt="3" type="#_x0000_t3" style="position:absolute;left:0pt;margin-left:332.75pt;margin-top:265.25pt;height:9.4pt;width:12.5pt;z-index:251661312;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114" o:spid="_x0000_s1114" o:spt="202" type="#_x0000_t202" style="position:absolute;left:0pt;margin-left:317.55pt;margin-top:311.4pt;height:34.35pt;width:135.6pt;z-index:251641856;mso-width-relative:page;mso-height-relative:page;" fillcolor="#FFFFFF" filled="t" stroked="t" coordsize="21600,21600">
            <v:path/>
            <v:fill on="t" color2="#FFFFFF" focussize="0,0"/>
            <v:stroke color="#000000"/>
            <v:imagedata o:title=""/>
            <o:lock v:ext="edit" aspectratio="f"/>
            <v:textbox>
              <w:txbxContent>
                <w:p>
                  <w:pPr>
                    <w:ind w:left="0" w:leftChars="0" w:firstLine="0" w:firstLineChars="0"/>
                    <w:rPr>
                      <w:rFonts w:hint="default" w:eastAsia="宋体"/>
                      <w:lang w:val="en-US" w:eastAsia="zh-CN"/>
                    </w:rPr>
                  </w:pPr>
                  <w:r>
                    <w:rPr>
                      <w:rFonts w:hint="eastAsia"/>
                      <w:sz w:val="21"/>
                      <w:szCs w:val="21"/>
                      <w:lang w:eastAsia="zh-CN"/>
                    </w:rPr>
                    <w:t>庞家村居民点，约</w:t>
                  </w:r>
                  <w:r>
                    <w:rPr>
                      <w:rFonts w:hint="eastAsia"/>
                      <w:sz w:val="21"/>
                      <w:szCs w:val="21"/>
                      <w:lang w:val="en-US" w:eastAsia="zh-CN"/>
                    </w:rPr>
                    <w:t>950</w:t>
                  </w:r>
                  <w:r>
                    <w:rPr>
                      <w:rFonts w:hint="eastAsia"/>
                      <w:lang w:val="en-US" w:eastAsia="zh-CN"/>
                    </w:rPr>
                    <w:t>m</w:t>
                  </w:r>
                </w:p>
              </w:txbxContent>
            </v:textbox>
          </v:shape>
        </w:pict>
      </w:r>
      <w:r>
        <w:rPr>
          <w:color w:val="auto"/>
          <w:sz w:val="21"/>
        </w:rPr>
        <w:pict>
          <v:line id="_x0000_s1113" o:spid="_x0000_s1113" o:spt="20" style="position:absolute;left:0pt;margin-left:270.1pt;margin-top:303.9pt;height:10.6pt;width:46.8pt;z-index:251660288;mso-width-relative:page;mso-height-relative:page;" filled="f" stroked="t" coordsize="21600,21600">
            <v:path arrowok="t"/>
            <v:fill on="f" focussize="0,0"/>
            <v:stroke color="#000000"/>
            <v:imagedata o:title=""/>
            <o:lock v:ext="edit" aspectratio="f"/>
          </v:line>
        </w:pict>
      </w:r>
      <w:r>
        <w:rPr>
          <w:color w:val="auto"/>
          <w:sz w:val="21"/>
        </w:rPr>
        <w:pict>
          <v:line id="_x0000_s1112" o:spid="_x0000_s1112" o:spt="20" style="position:absolute;left:0pt;flip:x;margin-left:406.2pt;margin-top:204.95pt;height:5.05pt;width:51.8pt;z-index:251660288;mso-width-relative:page;mso-height-relative:page;" filled="f" stroked="t" coordsize="21600,21600">
            <v:path arrowok="t"/>
            <v:fill on="f" focussize="0,0"/>
            <v:stroke color="#000000"/>
            <v:imagedata o:title=""/>
            <o:lock v:ext="edit" aspectratio="f"/>
          </v:line>
        </w:pict>
      </w:r>
      <w:r>
        <w:rPr>
          <w:color w:val="auto"/>
          <w:sz w:val="21"/>
        </w:rPr>
        <w:pict>
          <v:line id="_x0000_s1109" o:spid="_x0000_s1109" o:spt="20" style="position:absolute;left:0pt;flip:x;margin-left:384.55pt;margin-top:28.95pt;height:23.2pt;width:34.4pt;z-index:251660288;mso-width-relative:page;mso-height-relative:page;" filled="f" stroked="t" coordsize="21600,21600">
            <v:path arrowok="t"/>
            <v:fill on="f" focussize="0,0"/>
            <v:stroke color="#000000"/>
            <v:imagedata o:title=""/>
            <o:lock v:ext="edit" aspectratio="f"/>
          </v:line>
        </w:pict>
      </w:r>
      <w:r>
        <w:rPr>
          <w:color w:val="auto"/>
          <w:sz w:val="21"/>
        </w:rPr>
        <w:pict>
          <v:line id="_x0000_s1108" o:spid="_x0000_s1108" o:spt="20" style="position:absolute;left:0pt;flip:x;margin-left:535.7pt;margin-top:70.15pt;height:36.25pt;width:1.25pt;z-index:251641856;mso-width-relative:page;mso-height-relative:page;" fillcolor="#FFFFFF" filled="t" stroked="t" coordsize="21600,21600">
            <v:path arrowok="t"/>
            <v:fill on="t" color2="#FFFFFF" focussize="0,0"/>
            <v:stroke color="#000000"/>
            <v:imagedata o:title=""/>
            <o:lock v:ext="edit" aspectratio="f"/>
          </v:line>
        </w:pict>
      </w:r>
      <w:r>
        <w:rPr>
          <w:color w:val="auto"/>
          <w:sz w:val="21"/>
        </w:rPr>
        <w:pict>
          <v:shape id="_x0000_s1104" o:spid="_x0000_s1104" o:spt="3" type="#_x0000_t3" style="position:absolute;left:0pt;margin-left:259.65pt;margin-top:300.8pt;height:9.4pt;width:12.5pt;z-index:251661312;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107" o:spid="_x0000_s1107" o:spt="3" type="#_x0000_t3" style="position:absolute;left:0pt;margin-left:263.4pt;margin-top:104.6pt;height:9.4pt;width:12.5pt;z-index:251661312;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103" o:spid="_x0000_s1103" o:spt="3" type="#_x0000_t3" style="position:absolute;left:0pt;margin-left:397.7pt;margin-top:203.4pt;height:9.4pt;width:12.5pt;z-index:251661312;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102" o:spid="_x0000_s1102" o:spt="3" type="#_x0000_t3" style="position:absolute;left:0pt;margin-left:528.95pt;margin-top:61.5pt;height:9.4pt;width:12.5pt;z-index:251661312;mso-width-relative:page;mso-height-relative:page;" fillcolor="#FF0000" filled="t" stroked="t" coordsize="21600,21600">
            <v:path/>
            <v:fill on="t" color2="#FFFFFF" focussize="0,0"/>
            <v:stroke color="#000000"/>
            <v:imagedata o:title=""/>
            <o:lock v:ext="edit" aspectratio="f"/>
          </v:shape>
        </w:pict>
      </w:r>
      <w:r>
        <w:rPr>
          <w:color w:val="auto"/>
          <w:sz w:val="21"/>
        </w:rPr>
        <w:pict>
          <v:shape id="_x0000_s1101" o:spid="_x0000_s1101" o:spt="3" type="#_x0000_t3" style="position:absolute;left:0pt;margin-left:375.1pt;margin-top:49.5pt;height:9.4pt;width:12.5pt;z-index:251642880;mso-width-relative:page;mso-height-relative:page;" fillcolor="#FF0000" filled="t" stroked="t" coordsize="21600,21600">
            <v:path/>
            <v:fill on="t" color2="#FFFFFF" focussize="0,0"/>
            <v:stroke color="#000000"/>
            <v:imagedata o:title=""/>
            <o:lock v:ext="edit" aspectratio="f"/>
            <v:textbox>
              <w:txbxContent>
                <w:p/>
              </w:txbxContent>
            </v:textbox>
          </v:shape>
        </w:pict>
      </w:r>
      <w:r>
        <w:rPr>
          <w:color w:val="auto"/>
        </w:rPr>
        <w:drawing>
          <wp:inline distT="0" distB="0" distL="114300" distR="114300">
            <wp:extent cx="6391275" cy="4709795"/>
            <wp:effectExtent l="0" t="0" r="9525" b="146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58"/>
                    <a:stretch>
                      <a:fillRect/>
                    </a:stretch>
                  </pic:blipFill>
                  <pic:spPr>
                    <a:xfrm>
                      <a:off x="0" y="0"/>
                      <a:ext cx="6391275" cy="4709795"/>
                    </a:xfrm>
                    <a:prstGeom prst="rect">
                      <a:avLst/>
                    </a:prstGeom>
                    <a:noFill/>
                    <a:ln>
                      <a:noFill/>
                    </a:ln>
                  </pic:spPr>
                </pic:pic>
              </a:graphicData>
            </a:graphic>
          </wp:inline>
        </w:drawing>
      </w:r>
    </w:p>
    <w:p>
      <w:pPr>
        <w:ind w:firstLine="482"/>
        <w:jc w:val="center"/>
        <w:rPr>
          <w:b/>
          <w:color w:val="auto"/>
          <w:u w:val="single"/>
        </w:rPr>
      </w:pPr>
      <w:r>
        <w:rPr>
          <w:rFonts w:hint="eastAsia"/>
          <w:b/>
          <w:color w:val="auto"/>
          <w:u w:val="single"/>
        </w:rPr>
        <w:t>附图3环境保护目标分布图</w:t>
      </w:r>
    </w:p>
    <w:p>
      <w:pPr>
        <w:pStyle w:val="13"/>
        <w:jc w:val="center"/>
        <w:rPr>
          <w:color w:val="auto"/>
        </w:rPr>
        <w:sectPr>
          <w:pgSz w:w="16838" w:h="11906" w:orient="landscape"/>
          <w:pgMar w:top="1800" w:right="1440" w:bottom="1800" w:left="1440" w:header="851" w:footer="992" w:gutter="0"/>
          <w:cols w:space="425" w:num="1"/>
          <w:docGrid w:type="lines" w:linePitch="312" w:charSpace="0"/>
        </w:sectPr>
      </w:pPr>
    </w:p>
    <w:p>
      <w:pPr>
        <w:pStyle w:val="13"/>
        <w:jc w:val="center"/>
        <w:rPr>
          <w:color w:val="auto"/>
        </w:rPr>
      </w:pPr>
      <w:r>
        <w:rPr>
          <w:color w:val="auto"/>
        </w:rPr>
        <w:pict>
          <v:shape id="_x0000_s1085" o:spid="_x0000_s1085" o:spt="62" type="#_x0000_t62" style="position:absolute;left:0pt;margin-left:100.15pt;margin-top:-0.9pt;height:31.85pt;width:108.7pt;z-index:251667456;mso-width-relative:page;mso-height-relative:page;" coordsize="21600,21600" adj="-2699,25466">
            <v:path/>
            <v:fill focussize="0,0"/>
            <v:stroke joinstyle="miter"/>
            <v:imagedata o:title=""/>
            <o:lock v:ext="edit"/>
            <v:textbox>
              <w:txbxContent>
                <w:p>
                  <w:pPr>
                    <w:ind w:firstLine="0" w:firstLineChars="0"/>
                  </w:pPr>
                  <w:r>
                    <w:rPr>
                      <w:rFonts w:hint="eastAsia"/>
                    </w:rPr>
                    <w:t>有机废气排气筒</w:t>
                  </w:r>
                </w:p>
              </w:txbxContent>
            </v:textbox>
          </v:shape>
        </w:pict>
      </w:r>
      <w:r>
        <w:rPr>
          <w:color w:val="auto"/>
        </w:rPr>
        <w:pict>
          <v:shape id="_x0000_s1084" o:spid="_x0000_s1084" o:spt="3" type="#_x0000_t3" style="position:absolute;left:0pt;margin-left:76.4pt;margin-top:25.35pt;height:16.25pt;width:17.5pt;z-index:251665408;mso-width-relative:page;mso-height-relative:page;" coordsize="21600,21600">
            <v:path/>
            <v:fill focussize="0,0"/>
            <v:stroke/>
            <v:imagedata o:title=""/>
            <o:lock v:ext="edit"/>
          </v:shape>
        </w:pict>
      </w:r>
      <w:r>
        <w:rPr>
          <w:color w:val="auto"/>
        </w:rPr>
        <w:pict>
          <v:shape id="_x0000_s1088" o:spid="_x0000_s1088" o:spt="202" type="#_x0000_t202" style="position:absolute;left:0pt;margin-left:58.25pt;margin-top:458.2pt;height:26.8pt;width:83.15pt;z-index:251672576;mso-width-relative:page;mso-height-relative:page;" stroked="f" coordsize="21600,21600">
            <v:path/>
            <v:fill focussize="0,0"/>
            <v:stroke on="f" joinstyle="miter"/>
            <v:imagedata o:title=""/>
            <o:lock v:ext="edit"/>
            <v:textbox>
              <w:txbxContent>
                <w:p>
                  <w:pPr>
                    <w:ind w:firstLine="0" w:firstLineChars="0"/>
                    <w:rPr>
                      <w:sz w:val="22"/>
                      <w:szCs w:val="22"/>
                    </w:rPr>
                  </w:pPr>
                  <w:r>
                    <w:rPr>
                      <w:rFonts w:hint="eastAsia"/>
                      <w:sz w:val="22"/>
                      <w:szCs w:val="22"/>
                    </w:rPr>
                    <w:t>危废暂存间</w:t>
                  </w:r>
                </w:p>
              </w:txbxContent>
            </v:textbox>
          </v:shape>
        </w:pict>
      </w:r>
      <w:r>
        <w:rPr>
          <w:color w:val="auto"/>
        </w:rPr>
        <w:pict>
          <v:line id="_x0000_s1087" o:spid="_x0000_s1087" o:spt="20" style="position:absolute;left:0pt;flip:x;margin-left:46.4pt;margin-top:487.55pt;height:0.05pt;width:113.1pt;z-index:251671552;mso-width-relative:page;mso-height-relative:page;" filled="t" coordsize="21600,21600">
            <v:path arrowok="t"/>
            <v:fill on="t" focussize="0,0"/>
            <v:stroke/>
            <v:imagedata o:title=""/>
            <o:lock v:ext="edit"/>
          </v:line>
        </w:pict>
      </w:r>
      <w:r>
        <w:rPr>
          <w:color w:val="auto"/>
        </w:rPr>
        <w:pict>
          <v:line id="_x0000_s1086" o:spid="_x0000_s1086" o:spt="20" style="position:absolute;left:0pt;margin-left:159.5pt;margin-top:450.7pt;height:36.85pt;width:0.05pt;z-index:251669504;mso-width-relative:page;mso-height-relative:page;" filled="t" coordsize="21600,21600">
            <v:path arrowok="t"/>
            <v:fill on="t" focussize="0,0"/>
            <v:stroke/>
            <v:imagedata o:title=""/>
            <o:lock v:ext="edit"/>
          </v:line>
        </w:pict>
      </w:r>
      <w:r>
        <w:rPr>
          <w:color w:val="auto"/>
        </w:rPr>
        <w:object>
          <v:shape id="_x0000_i1027" o:spt="75" type="#_x0000_t75" style="height:564pt;width:326pt;" o:ole="t" filled="f" o:preferrelative="t" stroked="f" coordsize="21600,21600">
            <v:path/>
            <v:fill on="f" focussize="0,0"/>
            <v:stroke on="f" joinstyle="miter"/>
            <v:imagedata r:id="rId60" o:title=""/>
            <o:lock v:ext="edit" aspectratio="t"/>
            <w10:wrap type="none"/>
            <w10:anchorlock/>
          </v:shape>
          <o:OLEObject Type="Embed" ProgID="Visio.Drawing.11" ShapeID="_x0000_i1027" DrawAspect="Content" ObjectID="_1468075727" r:id="rId59">
            <o:LockedField>false</o:LockedField>
          </o:OLEObject>
        </w:object>
      </w:r>
    </w:p>
    <w:p>
      <w:pPr>
        <w:pStyle w:val="13"/>
        <w:jc w:val="center"/>
        <w:rPr>
          <w:b/>
          <w:bCs/>
          <w:color w:val="auto"/>
          <w:u w:val="single"/>
        </w:rPr>
        <w:sectPr>
          <w:pgSz w:w="11906" w:h="16838"/>
          <w:pgMar w:top="1440" w:right="1800" w:bottom="1440" w:left="1800" w:header="851" w:footer="992" w:gutter="0"/>
          <w:cols w:space="425" w:num="1"/>
          <w:docGrid w:type="lines" w:linePitch="312" w:charSpace="0"/>
        </w:sectPr>
      </w:pPr>
      <w:r>
        <w:rPr>
          <w:rFonts w:hint="eastAsia"/>
          <w:b/>
          <w:bCs/>
          <w:color w:val="auto"/>
          <w:u w:val="single"/>
        </w:rPr>
        <w:t>附图4：项目平面布置图</w:t>
      </w:r>
    </w:p>
    <w:p>
      <w:pPr>
        <w:pStyle w:val="2"/>
        <w:ind w:left="480" w:firstLine="480"/>
        <w:jc w:val="center"/>
        <w:rPr>
          <w:rFonts w:eastAsia="黑体"/>
          <w:color w:val="auto"/>
        </w:rPr>
      </w:pPr>
      <w:r>
        <w:rPr>
          <w:color w:val="auto"/>
        </w:rPr>
        <w:pict>
          <v:shape id="_x0000_s1090" o:spid="_x0000_s1090" o:spt="62" type="#_x0000_t62" style="position:absolute;left:0pt;margin-left:261.4pt;margin-top:164.95pt;height:33.8pt;width:108.2pt;z-index:251668480;mso-width-relative:page;mso-height-relative:page;" coordsize="21600,21600" adj="-2117,32262">
            <v:path/>
            <v:fill focussize="0,0"/>
            <v:stroke joinstyle="miter"/>
            <v:imagedata o:title=""/>
            <o:lock v:ext="edit"/>
            <v:textbox>
              <w:txbxContent>
                <w:p>
                  <w:pPr>
                    <w:ind w:firstLine="0" w:firstLineChars="0"/>
                  </w:pPr>
                  <w:r>
                    <w:rPr>
                      <w:rFonts w:hint="eastAsia"/>
                    </w:rPr>
                    <w:t>本项目所在地</w:t>
                  </w:r>
                </w:p>
              </w:txbxContent>
            </v:textbox>
          </v:shape>
        </w:pict>
      </w:r>
      <w:r>
        <w:rPr>
          <w:color w:val="auto"/>
        </w:rPr>
        <w:pict>
          <v:shape id="_x0000_s1089" o:spid="_x0000_s1089" o:spt="4" type="#_x0000_t4" style="position:absolute;left:0pt;margin-left:243.3pt;margin-top:212.5pt;height:5.95pt;width:5.95pt;z-index:251666432;mso-width-relative:page;mso-height-relative:page;" fillcolor="#FF0000" filled="t" stroked="t" coordsize="21600,21600">
            <v:path/>
            <v:fill on="t" focussize="0,0"/>
            <v:stroke color="#FF0000" joinstyle="miter"/>
            <v:imagedata o:title=""/>
            <o:lock v:ext="edit"/>
          </v:shape>
        </w:pict>
      </w:r>
      <w:r>
        <w:rPr>
          <w:rFonts w:hint="eastAsia" w:eastAsia="黑体"/>
          <w:color w:val="auto"/>
        </w:rPr>
        <w:drawing>
          <wp:inline distT="0" distB="0" distL="114300" distR="114300">
            <wp:extent cx="7436485" cy="4632960"/>
            <wp:effectExtent l="0" t="0" r="12065" b="15240"/>
            <wp:docPr id="45" name="图片 45" descr="e520446f06f0f6449c27344848b2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520446f06f0f6449c27344848b29d9"/>
                    <pic:cNvPicPr>
                      <a:picLocks noChangeAspect="1"/>
                    </pic:cNvPicPr>
                  </pic:nvPicPr>
                  <pic:blipFill>
                    <a:blip r:embed="rId61" cstate="email"/>
                    <a:stretch>
                      <a:fillRect/>
                    </a:stretch>
                  </pic:blipFill>
                  <pic:spPr>
                    <a:xfrm>
                      <a:off x="0" y="0"/>
                      <a:ext cx="7436485" cy="4632960"/>
                    </a:xfrm>
                    <a:prstGeom prst="rect">
                      <a:avLst/>
                    </a:prstGeom>
                  </pic:spPr>
                </pic:pic>
              </a:graphicData>
            </a:graphic>
          </wp:inline>
        </w:drawing>
      </w:r>
    </w:p>
    <w:p>
      <w:pPr>
        <w:pStyle w:val="2"/>
        <w:ind w:left="480" w:firstLine="482"/>
        <w:jc w:val="center"/>
        <w:rPr>
          <w:rFonts w:ascii="宋体" w:hAnsi="宋体" w:cs="宋体"/>
          <w:b/>
          <w:bCs/>
          <w:color w:val="auto"/>
          <w:u w:val="single"/>
        </w:rPr>
      </w:pPr>
      <w:r>
        <w:rPr>
          <w:rFonts w:hint="eastAsia" w:ascii="宋体" w:hAnsi="宋体" w:cs="宋体"/>
          <w:b/>
          <w:bCs/>
          <w:color w:val="auto"/>
          <w:u w:val="single"/>
        </w:rPr>
        <w:t>附图</w:t>
      </w:r>
      <w:r>
        <w:rPr>
          <w:rFonts w:hint="eastAsia" w:ascii="宋体" w:hAnsi="宋体" w:cs="宋体"/>
          <w:b/>
          <w:bCs/>
          <w:color w:val="auto"/>
          <w:u w:val="single"/>
          <w:lang w:val="en-US" w:eastAsia="zh-CN"/>
        </w:rPr>
        <w:t>5</w:t>
      </w:r>
      <w:r>
        <w:rPr>
          <w:rFonts w:hint="eastAsia" w:ascii="宋体" w:hAnsi="宋体" w:cs="宋体"/>
          <w:b/>
          <w:bCs/>
          <w:color w:val="auto"/>
          <w:u w:val="single"/>
        </w:rPr>
        <w:t>：项目所在地土地规划利用图</w:t>
      </w:r>
    </w:p>
    <w:p>
      <w:pPr>
        <w:ind w:firstLine="482"/>
        <w:rPr>
          <w:rFonts w:ascii="宋体" w:hAnsi="宋体" w:cs="宋体"/>
          <w:b/>
          <w:bCs/>
          <w:color w:val="auto"/>
          <w:u w:val="single"/>
        </w:rPr>
      </w:pPr>
      <w:r>
        <w:rPr>
          <w:rFonts w:hint="eastAsia" w:ascii="宋体" w:hAnsi="宋体" w:cs="宋体"/>
          <w:b/>
          <w:bCs/>
          <w:color w:val="auto"/>
          <w:u w:val="single"/>
        </w:rPr>
        <w:br w:type="page"/>
      </w:r>
    </w:p>
    <w:p>
      <w:pPr>
        <w:pStyle w:val="2"/>
        <w:ind w:left="480" w:firstLine="480"/>
        <w:jc w:val="center"/>
        <w:rPr>
          <w:rFonts w:ascii="宋体" w:hAnsi="宋体" w:cs="宋体"/>
          <w:b/>
          <w:bCs/>
          <w:color w:val="auto"/>
          <w:u w:val="single"/>
        </w:rPr>
      </w:pPr>
      <w:r>
        <w:rPr>
          <w:color w:val="auto"/>
        </w:rPr>
        <w:pict>
          <v:shape id="_x0000_s1092" o:spid="_x0000_s1092" o:spt="62" type="#_x0000_t62" style="position:absolute;left:0pt;margin-left:271.4pt;margin-top:201.8pt;height:33.8pt;width:108.2pt;z-index:251673600;mso-width-relative:page;mso-height-relative:page;" coordsize="21600,21600" adj="-2117,32262">
            <v:path/>
            <v:fill focussize="0,0"/>
            <v:stroke joinstyle="miter"/>
            <v:imagedata o:title=""/>
            <o:lock v:ext="edit"/>
            <v:textbox>
              <w:txbxContent>
                <w:p>
                  <w:pPr>
                    <w:ind w:firstLine="0" w:firstLineChars="0"/>
                  </w:pPr>
                  <w:r>
                    <w:rPr>
                      <w:rFonts w:hint="eastAsia"/>
                    </w:rPr>
                    <w:t>本项目所在地</w:t>
                  </w:r>
                </w:p>
              </w:txbxContent>
            </v:textbox>
          </v:shape>
        </w:pict>
      </w:r>
      <w:r>
        <w:rPr>
          <w:color w:val="auto"/>
        </w:rPr>
        <w:pict>
          <v:shape id="_x0000_s1091" o:spid="_x0000_s1091" o:spt="12" type="#_x0000_t12" style="position:absolute;left:0pt;margin-left:251.45pt;margin-top:245.15pt;height:11.85pt;width:16.85pt;z-index:251670528;mso-width-relative:page;mso-height-relative:page;" fillcolor="#FF0000" filled="t" coordsize="21600,21600">
            <v:path/>
            <v:fill on="t" focussize="0,0"/>
            <v:stroke joinstyle="miter"/>
            <v:imagedata o:title=""/>
            <o:lock v:ext="edit"/>
          </v:shape>
        </w:pict>
      </w:r>
      <w:r>
        <w:rPr>
          <w:rFonts w:hint="eastAsia" w:ascii="宋体" w:hAnsi="宋体" w:cs="宋体"/>
          <w:b/>
          <w:bCs/>
          <w:color w:val="auto"/>
          <w:u w:val="single"/>
        </w:rPr>
        <w:drawing>
          <wp:inline distT="0" distB="0" distL="114300" distR="114300">
            <wp:extent cx="7198360" cy="4549775"/>
            <wp:effectExtent l="19050" t="0" r="2540" b="0"/>
            <wp:docPr id="46" name="图片 46" descr="南洞庭湖银鱼三角帆蚌国家级水产种质资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南洞庭湖银鱼三角帆蚌国家级水产种质资源保护区"/>
                    <pic:cNvPicPr>
                      <a:picLocks noChangeAspect="1"/>
                    </pic:cNvPicPr>
                  </pic:nvPicPr>
                  <pic:blipFill>
                    <a:blip r:embed="rId62" cstate="email"/>
                    <a:stretch>
                      <a:fillRect/>
                    </a:stretch>
                  </pic:blipFill>
                  <pic:spPr>
                    <a:xfrm>
                      <a:off x="0" y="0"/>
                      <a:ext cx="7198360" cy="4549775"/>
                    </a:xfrm>
                    <a:prstGeom prst="rect">
                      <a:avLst/>
                    </a:prstGeom>
                  </pic:spPr>
                </pic:pic>
              </a:graphicData>
            </a:graphic>
          </wp:inline>
        </w:drawing>
      </w:r>
    </w:p>
    <w:p>
      <w:pPr>
        <w:pStyle w:val="2"/>
        <w:ind w:left="480" w:firstLine="482"/>
        <w:jc w:val="center"/>
        <w:rPr>
          <w:rStyle w:val="31"/>
          <w:color w:val="auto"/>
        </w:rPr>
        <w:sectPr>
          <w:pgSz w:w="16838" w:h="11906" w:orient="landscape"/>
          <w:pgMar w:top="1800" w:right="1440" w:bottom="1800" w:left="1440" w:header="851" w:footer="992" w:gutter="0"/>
          <w:cols w:space="425" w:num="1"/>
          <w:docGrid w:type="lines" w:linePitch="312" w:charSpace="0"/>
        </w:sectPr>
      </w:pPr>
      <w:r>
        <w:rPr>
          <w:rFonts w:hint="eastAsia" w:ascii="宋体" w:hAnsi="宋体" w:cs="宋体"/>
          <w:b/>
          <w:bCs/>
          <w:color w:val="auto"/>
          <w:u w:val="single"/>
        </w:rPr>
        <w:t>附图</w:t>
      </w:r>
      <w:r>
        <w:rPr>
          <w:rFonts w:hint="eastAsia" w:ascii="宋体" w:hAnsi="宋体" w:cs="宋体"/>
          <w:b/>
          <w:bCs/>
          <w:color w:val="auto"/>
          <w:u w:val="single"/>
          <w:lang w:val="en-US" w:eastAsia="zh-CN"/>
        </w:rPr>
        <w:t>6</w:t>
      </w:r>
      <w:r>
        <w:rPr>
          <w:rFonts w:hint="eastAsia" w:ascii="宋体" w:hAnsi="宋体" w:cs="宋体"/>
          <w:b/>
          <w:bCs/>
          <w:color w:val="auto"/>
          <w:u w:val="single"/>
        </w:rPr>
        <w:t>：项目与南洞庭湖银鱼三角帆蚌国家级水产种质资源保护区位置关系图</w:t>
      </w:r>
    </w:p>
    <w:p>
      <w:pPr>
        <w:pStyle w:val="2"/>
        <w:keepNext w:val="0"/>
        <w:keepLines w:val="0"/>
        <w:pageBreakBefore w:val="0"/>
        <w:widowControl w:val="0"/>
        <w:kinsoku/>
        <w:wordWrap/>
        <w:overflowPunct/>
        <w:topLinePunct w:val="0"/>
        <w:autoSpaceDE/>
        <w:autoSpaceDN/>
        <w:bidi w:val="0"/>
        <w:adjustRightInd/>
        <w:snapToGrid/>
        <w:ind w:left="480" w:firstLine="0" w:firstLineChars="0"/>
        <w:jc w:val="center"/>
        <w:textAlignment w:val="auto"/>
        <w:rPr>
          <w:rStyle w:val="31"/>
          <w:rFonts w:hint="eastAsia" w:eastAsia="宋体"/>
          <w:color w:val="auto"/>
          <w:lang w:eastAsia="zh-CN"/>
        </w:rPr>
      </w:pPr>
      <w:r>
        <w:rPr>
          <w:color w:val="auto"/>
        </w:rPr>
        <w:pict>
          <v:shape id="_x0000_s1121" o:spid="_x0000_s1121" o:spt="62" type="#_x0000_t62" style="position:absolute;left:0pt;margin-left:214.5pt;margin-top:229.35pt;height:33.8pt;width:108.2pt;z-index:251845632;mso-width-relative:page;mso-height-relative:page;" coordsize="21600,21600" adj="-2117,32262">
            <v:path/>
            <v:fill focussize="0,0"/>
            <v:stroke joinstyle="miter"/>
            <v:imagedata o:title=""/>
            <o:lock v:ext="edit"/>
            <v:textbox>
              <w:txbxContent>
                <w:p>
                  <w:pPr>
                    <w:ind w:firstLine="0" w:firstLineChars="0"/>
                  </w:pPr>
                  <w:r>
                    <w:rPr>
                      <w:rFonts w:hint="eastAsia"/>
                    </w:rPr>
                    <w:t>本项目所在地</w:t>
                  </w:r>
                </w:p>
              </w:txbxContent>
            </v:textbox>
          </v:shape>
        </w:pict>
      </w:r>
      <w:r>
        <w:rPr>
          <w:color w:val="auto"/>
          <w:sz w:val="21"/>
        </w:rPr>
        <w:pict>
          <v:shape id="_x0000_s1120" o:spid="_x0000_s1120" o:spt="4" type="#_x0000_t4" style="position:absolute;left:0pt;margin-left:196.35pt;margin-top:271.55pt;height:12.5pt;width:8.75pt;z-index:251641856;mso-width-relative:page;mso-height-relative:page;" fillcolor="#FF0000" filled="t" stroked="t" coordsize="21600,21600">
            <v:path/>
            <v:fill on="t" color2="#FFFFFF" focussize="0,0"/>
            <v:stroke color="#FF0000"/>
            <v:imagedata o:title=""/>
            <o:lock v:ext="edit" aspectratio="f"/>
            <v:textbox>
              <w:txbxContent>
                <w:p/>
              </w:txbxContent>
            </v:textbox>
          </v:shape>
        </w:pict>
      </w:r>
      <w:r>
        <w:rPr>
          <w:rStyle w:val="31"/>
          <w:rFonts w:hint="eastAsia" w:eastAsia="宋体"/>
          <w:color w:val="auto"/>
          <w:lang w:eastAsia="zh-CN"/>
        </w:rPr>
        <w:drawing>
          <wp:inline distT="0" distB="0" distL="114300" distR="114300">
            <wp:extent cx="7452360" cy="4575175"/>
            <wp:effectExtent l="0" t="0" r="15240" b="15875"/>
            <wp:docPr id="43" name="图片 43" descr="f6cd36dcdf364489419e5996aca3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6cd36dcdf364489419e5996aca3de5"/>
                    <pic:cNvPicPr>
                      <a:picLocks noChangeAspect="1"/>
                    </pic:cNvPicPr>
                  </pic:nvPicPr>
                  <pic:blipFill>
                    <a:blip r:embed="rId63"/>
                    <a:stretch>
                      <a:fillRect/>
                    </a:stretch>
                  </pic:blipFill>
                  <pic:spPr>
                    <a:xfrm>
                      <a:off x="0" y="0"/>
                      <a:ext cx="7452360" cy="4575175"/>
                    </a:xfrm>
                    <a:prstGeom prst="rect">
                      <a:avLst/>
                    </a:prstGeom>
                  </pic:spPr>
                </pic:pic>
              </a:graphicData>
            </a:graphic>
          </wp:inline>
        </w:drawing>
      </w:r>
    </w:p>
    <w:p>
      <w:pPr>
        <w:pStyle w:val="2"/>
        <w:ind w:left="480" w:firstLine="482"/>
        <w:jc w:val="center"/>
        <w:rPr>
          <w:rFonts w:hint="eastAsia" w:ascii="宋体" w:hAnsi="宋体" w:cs="宋体"/>
          <w:b/>
          <w:bCs/>
          <w:color w:val="auto"/>
          <w:u w:val="single"/>
        </w:rPr>
      </w:pPr>
      <w:r>
        <w:rPr>
          <w:rFonts w:hint="eastAsia" w:ascii="宋体" w:hAnsi="宋体" w:cs="宋体"/>
          <w:b/>
          <w:bCs/>
          <w:color w:val="auto"/>
          <w:u w:val="single"/>
        </w:rPr>
        <w:t>附图</w:t>
      </w:r>
      <w:r>
        <w:rPr>
          <w:rFonts w:hint="eastAsia" w:ascii="宋体" w:hAnsi="宋体" w:cs="宋体"/>
          <w:b/>
          <w:bCs/>
          <w:color w:val="auto"/>
          <w:u w:val="single"/>
          <w:lang w:val="en-US" w:eastAsia="zh-CN"/>
        </w:rPr>
        <w:t>7</w:t>
      </w:r>
      <w:r>
        <w:rPr>
          <w:rFonts w:hint="eastAsia" w:ascii="宋体" w:hAnsi="宋体" w:cs="宋体"/>
          <w:b/>
          <w:bCs/>
          <w:color w:val="auto"/>
          <w:u w:val="single"/>
        </w:rPr>
        <w:t>：项目与</w:t>
      </w:r>
      <w:r>
        <w:rPr>
          <w:rFonts w:hint="eastAsia" w:ascii="宋体" w:hAnsi="宋体" w:cs="宋体"/>
          <w:b/>
          <w:bCs/>
          <w:color w:val="auto"/>
          <w:u w:val="single"/>
          <w:lang w:eastAsia="zh-CN"/>
        </w:rPr>
        <w:t>湖南省级</w:t>
      </w:r>
      <w:r>
        <w:rPr>
          <w:rFonts w:hint="eastAsia" w:ascii="宋体" w:hAnsi="宋体" w:cs="宋体"/>
          <w:b/>
          <w:bCs/>
          <w:color w:val="auto"/>
          <w:u w:val="single"/>
        </w:rPr>
        <w:t>保护区位置关系图</w:t>
      </w:r>
    </w:p>
    <w:p>
      <w:pPr>
        <w:rPr>
          <w:rFonts w:hint="eastAsia" w:ascii="宋体" w:hAnsi="宋体" w:cs="宋体"/>
          <w:b/>
          <w:bCs/>
          <w:color w:val="auto"/>
          <w:u w:val="single"/>
        </w:rPr>
        <w:sectPr>
          <w:pgSz w:w="16838" w:h="11906" w:orient="landscape"/>
          <w:pgMar w:top="1800" w:right="1440" w:bottom="1800" w:left="1440" w:header="851" w:footer="992" w:gutter="0"/>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ind w:left="480" w:firstLine="0" w:firstLineChars="0"/>
        <w:jc w:val="left"/>
        <w:textAlignment w:val="auto"/>
        <w:rPr>
          <w:rFonts w:hint="eastAsia" w:ascii="宋体" w:hAnsi="宋体" w:cs="宋体"/>
          <w:b/>
          <w:bCs/>
          <w:color w:val="auto"/>
          <w:u w:val="single"/>
          <w:lang w:eastAsia="zh-CN"/>
        </w:rPr>
      </w:pPr>
      <w:r>
        <w:rPr>
          <w:color w:val="auto"/>
          <w:sz w:val="21"/>
        </w:rPr>
        <w:pict>
          <v:shape id="_x0000_s1122" o:spid="_x0000_s1122" o:spt="4" type="#_x0000_t4" style="position:absolute;left:0pt;margin-left:245.25pt;margin-top:229.55pt;height:12.5pt;width:8.75pt;z-index:251830272;mso-width-relative:page;mso-height-relative:page;" fillcolor="#FF0000" filled="t" stroked="t" coordsize="21600,21600">
            <v:path/>
            <v:fill on="t" color2="#FFFFFF" focussize="0,0"/>
            <v:stroke color="#FF0000"/>
            <v:imagedata o:title=""/>
            <o:lock v:ext="edit" aspectratio="f"/>
          </v:shape>
        </w:pict>
      </w:r>
      <w:r>
        <w:rPr>
          <w:color w:val="auto"/>
        </w:rPr>
        <w:pict>
          <v:shape id="_x0000_s1123" o:spid="_x0000_s1123" o:spt="62" type="#_x0000_t62" style="position:absolute;left:0pt;margin-left:265.25pt;margin-top:184.85pt;height:33.8pt;width:108.2pt;z-index:252034048;mso-width-relative:page;mso-height-relative:page;" coordsize="21600,21600" adj="-2117,32262">
            <v:path/>
            <v:fill focussize="0,0"/>
            <v:stroke joinstyle="miter"/>
            <v:imagedata o:title=""/>
            <o:lock v:ext="edit"/>
            <v:textbox>
              <w:txbxContent>
                <w:p>
                  <w:pPr>
                    <w:ind w:firstLine="0" w:firstLineChars="0"/>
                  </w:pPr>
                  <w:r>
                    <w:rPr>
                      <w:rFonts w:hint="eastAsia"/>
                    </w:rPr>
                    <w:t>本项目所在地</w:t>
                  </w:r>
                </w:p>
              </w:txbxContent>
            </v:textbox>
          </v:shape>
        </w:pict>
      </w:r>
      <w:r>
        <w:rPr>
          <w:rFonts w:hint="eastAsia" w:ascii="宋体" w:hAnsi="宋体" w:cs="宋体"/>
          <w:b/>
          <w:bCs/>
          <w:color w:val="auto"/>
          <w:u w:val="single"/>
          <w:lang w:eastAsia="zh-CN"/>
        </w:rPr>
        <w:drawing>
          <wp:inline distT="0" distB="0" distL="114300" distR="114300">
            <wp:extent cx="4932680" cy="6976745"/>
            <wp:effectExtent l="0" t="0" r="1270" b="14605"/>
            <wp:docPr id="47" name="图片 47" descr="2ab4903c44e69ac9a0f4fa6508bb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ab4903c44e69ac9a0f4fa6508bbcba"/>
                    <pic:cNvPicPr>
                      <a:picLocks noChangeAspect="1"/>
                    </pic:cNvPicPr>
                  </pic:nvPicPr>
                  <pic:blipFill>
                    <a:blip r:embed="rId64"/>
                    <a:stretch>
                      <a:fillRect/>
                    </a:stretch>
                  </pic:blipFill>
                  <pic:spPr>
                    <a:xfrm>
                      <a:off x="0" y="0"/>
                      <a:ext cx="4932680" cy="6976745"/>
                    </a:xfrm>
                    <a:prstGeom prst="rect">
                      <a:avLst/>
                    </a:prstGeom>
                  </pic:spPr>
                </pic:pic>
              </a:graphicData>
            </a:graphic>
          </wp:inline>
        </w:drawing>
      </w:r>
    </w:p>
    <w:p>
      <w:pPr>
        <w:pStyle w:val="2"/>
        <w:ind w:left="0" w:leftChars="0" w:firstLine="0" w:firstLineChars="0"/>
        <w:jc w:val="center"/>
        <w:rPr>
          <w:rFonts w:hint="eastAsia" w:ascii="宋体" w:hAnsi="宋体" w:cs="宋体"/>
          <w:b/>
          <w:bCs/>
          <w:color w:val="auto"/>
          <w:u w:val="single"/>
          <w:lang w:eastAsia="zh-CN"/>
        </w:rPr>
      </w:pPr>
      <w:r>
        <w:rPr>
          <w:rFonts w:hint="eastAsia" w:ascii="宋体" w:hAnsi="宋体" w:cs="宋体"/>
          <w:b/>
          <w:bCs/>
          <w:color w:val="auto"/>
          <w:u w:val="single"/>
        </w:rPr>
        <w:t>附图</w:t>
      </w:r>
      <w:r>
        <w:rPr>
          <w:rFonts w:hint="eastAsia" w:ascii="宋体" w:hAnsi="宋体" w:cs="宋体"/>
          <w:b/>
          <w:bCs/>
          <w:color w:val="auto"/>
          <w:u w:val="single"/>
          <w:lang w:val="en-US" w:eastAsia="zh-CN"/>
        </w:rPr>
        <w:t>8</w:t>
      </w:r>
      <w:r>
        <w:rPr>
          <w:rFonts w:hint="eastAsia" w:ascii="宋体" w:hAnsi="宋体" w:cs="宋体"/>
          <w:b/>
          <w:bCs/>
          <w:color w:val="auto"/>
          <w:u w:val="single"/>
        </w:rPr>
        <w:t>：项目与</w:t>
      </w:r>
      <w:r>
        <w:rPr>
          <w:rFonts w:hint="eastAsia" w:ascii="宋体" w:hAnsi="宋体" w:cs="宋体"/>
          <w:b/>
          <w:bCs/>
          <w:color w:val="auto"/>
          <w:u w:val="single"/>
          <w:lang w:eastAsia="zh-CN"/>
        </w:rPr>
        <w:t>琼湖公园</w:t>
      </w:r>
      <w:r>
        <w:rPr>
          <w:rFonts w:hint="eastAsia" w:ascii="宋体" w:hAnsi="宋体" w:cs="宋体"/>
          <w:b/>
          <w:bCs/>
          <w:color w:val="auto"/>
          <w:u w:val="single"/>
        </w:rPr>
        <w:t>位置关系图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新宋体-18030">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rPr>
        <w:rStyle w:val="29"/>
      </w:rPr>
      <w:fldChar w:fldCharType="begin"/>
    </w:r>
    <w:r>
      <w:rPr>
        <w:rStyle w:val="29"/>
      </w:rPr>
      <w:instrText xml:space="preserve">PAGE  </w:instrText>
    </w:r>
    <w:r>
      <w:rPr>
        <w:rStyle w:val="29"/>
      </w:rP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rStyle w:val="29"/>
      </w:rPr>
      <w:fldChar w:fldCharType="begin"/>
    </w:r>
    <w:r>
      <w:rPr>
        <w:rStyle w:val="29"/>
      </w:rPr>
      <w:instrText xml:space="preserve"> PAGE </w:instrText>
    </w:r>
    <w:r>
      <w:rPr>
        <w:rStyle w:val="29"/>
      </w:rPr>
      <w:fldChar w:fldCharType="separate"/>
    </w:r>
    <w:r>
      <w:rPr>
        <w:rStyle w:val="29"/>
      </w:rPr>
      <w:t>1</w:t>
    </w:r>
    <w:r>
      <w:rPr>
        <w:rStyle w:val="2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480"/>
      <w:jc w:val="center"/>
    </w:pPr>
    <w:r>
      <w:fldChar w:fldCharType="begin"/>
    </w:r>
    <w:r>
      <w:instrText xml:space="preserve">PAGE   \* MERGEFORMAT</w:instrText>
    </w:r>
    <w:r>
      <w:fldChar w:fldCharType="separate"/>
    </w:r>
    <w:r>
      <w:rPr>
        <w:lang w:val="zh-CN"/>
      </w:rPr>
      <w:t>94</w:t>
    </w:r>
    <w:r>
      <w:rPr>
        <w:lang w:val="zh-CN"/>
      </w:rPr>
      <w:fldChar w:fldCharType="end"/>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480" w:firstLine="0" w:firstLineChars="0"/>
      <w:jc w:val="right"/>
    </w:pPr>
    <w:r>
      <w:rPr>
        <w:rFonts w:hint="eastAsia"/>
        <w:sz w:val="21"/>
        <w:szCs w:val="21"/>
      </w:rPr>
      <w:t>益阳三鼎包装有限公司年产100t食品包装袋建设项目环境影响评价报告表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4F2C6C"/>
    <w:multiLevelType w:val="singleLevel"/>
    <w:tmpl w:val="894F2C6C"/>
    <w:lvl w:ilvl="0" w:tentative="0">
      <w:start w:val="1"/>
      <w:numFmt w:val="decimal"/>
      <w:suff w:val="nothing"/>
      <w:lvlText w:val="（%1）"/>
      <w:lvlJc w:val="left"/>
    </w:lvl>
  </w:abstractNum>
  <w:abstractNum w:abstractNumId="1">
    <w:nsid w:val="ACC54DDE"/>
    <w:multiLevelType w:val="singleLevel"/>
    <w:tmpl w:val="ACC54DDE"/>
    <w:lvl w:ilvl="0" w:tentative="0">
      <w:start w:val="2"/>
      <w:numFmt w:val="chineseCounting"/>
      <w:suff w:val="nothing"/>
      <w:lvlText w:val="%1、"/>
      <w:lvlJc w:val="left"/>
      <w:rPr>
        <w:rFonts w:hint="eastAsia"/>
      </w:rPr>
    </w:lvl>
  </w:abstractNum>
  <w:abstractNum w:abstractNumId="2">
    <w:nsid w:val="D179332C"/>
    <w:multiLevelType w:val="singleLevel"/>
    <w:tmpl w:val="D179332C"/>
    <w:lvl w:ilvl="0" w:tentative="0">
      <w:start w:val="9"/>
      <w:numFmt w:val="decimal"/>
      <w:suff w:val="nothing"/>
      <w:lvlText w:val="%1、"/>
      <w:lvlJc w:val="left"/>
    </w:lvl>
  </w:abstractNum>
  <w:abstractNum w:abstractNumId="3">
    <w:nsid w:val="258E62CE"/>
    <w:multiLevelType w:val="multilevel"/>
    <w:tmpl w:val="258E62CE"/>
    <w:lvl w:ilvl="0" w:tentative="0">
      <w:start w:val="3"/>
      <w:numFmt w:val="upperLetter"/>
      <w:lvlText w:val="%1、"/>
      <w:lvlJc w:val="left"/>
      <w:pPr>
        <w:ind w:left="907" w:hanging="43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4">
    <w:nsid w:val="39EF04EC"/>
    <w:multiLevelType w:val="singleLevel"/>
    <w:tmpl w:val="39EF04EC"/>
    <w:lvl w:ilvl="0" w:tentative="0">
      <w:start w:val="4"/>
      <w:numFmt w:val="decimal"/>
      <w:suff w:val="nothing"/>
      <w:lvlText w:val="%1、"/>
      <w:lvlJc w:val="left"/>
    </w:lvl>
  </w:abstractNum>
  <w:abstractNum w:abstractNumId="5">
    <w:nsid w:val="46894839"/>
    <w:multiLevelType w:val="multilevel"/>
    <w:tmpl w:val="46894839"/>
    <w:lvl w:ilvl="0" w:tentative="0">
      <w:start w:val="1"/>
      <w:numFmt w:val="decimal"/>
      <w:pStyle w:val="19"/>
      <w:lvlText w:val="表%1 "/>
      <w:lvlJc w:val="center"/>
      <w:pPr>
        <w:ind w:left="420" w:hanging="420"/>
      </w:pPr>
      <w:rPr>
        <w:rFonts w:hint="default" w:ascii="Times New Roman" w:hAnsi="Times New Roman" w:eastAsia="宋体"/>
        <w:b/>
        <w:bCs w:val="0"/>
        <w:i w:val="0"/>
        <w:iCs w:val="0"/>
        <w:caps w:val="0"/>
        <w:smallCaps w:val="0"/>
        <w:strike w:val="0"/>
        <w:dstrike w:val="0"/>
        <w:outline w:val="0"/>
        <w:shadow w:val="0"/>
        <w:emboss w:val="0"/>
        <w:imprint w:val="0"/>
        <w:vanish w:val="0"/>
        <w:spacing w:val="0"/>
        <w:position w:val="0"/>
        <w:sz w:val="24"/>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3C86C56"/>
    <w:multiLevelType w:val="multilevel"/>
    <w:tmpl w:val="53C86C56"/>
    <w:lvl w:ilvl="0" w:tentative="0">
      <w:start w:val="1"/>
      <w:numFmt w:val="japaneseCounting"/>
      <w:lvlText w:val="（%1）"/>
      <w:lvlJc w:val="left"/>
      <w:pPr>
        <w:ind w:left="1190" w:hanging="720"/>
      </w:pPr>
      <w:rPr>
        <w:rFonts w:hint="default"/>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num w:numId="1">
    <w:abstractNumId w:val="5"/>
  </w:num>
  <w:num w:numId="2">
    <w:abstractNumId w:val="0"/>
  </w:num>
  <w:num w:numId="3">
    <w:abstractNumId w:val="1"/>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932AC"/>
    <w:rsid w:val="0000013A"/>
    <w:rsid w:val="00000577"/>
    <w:rsid w:val="0000090C"/>
    <w:rsid w:val="00000EA8"/>
    <w:rsid w:val="00000ECB"/>
    <w:rsid w:val="0000130E"/>
    <w:rsid w:val="00001BF7"/>
    <w:rsid w:val="00001DB7"/>
    <w:rsid w:val="000020E3"/>
    <w:rsid w:val="000036FD"/>
    <w:rsid w:val="00003878"/>
    <w:rsid w:val="0000424A"/>
    <w:rsid w:val="00004B2C"/>
    <w:rsid w:val="000054A1"/>
    <w:rsid w:val="00005891"/>
    <w:rsid w:val="00005CEB"/>
    <w:rsid w:val="0000638E"/>
    <w:rsid w:val="0000644A"/>
    <w:rsid w:val="0000651A"/>
    <w:rsid w:val="000065C8"/>
    <w:rsid w:val="00007DE6"/>
    <w:rsid w:val="00007EAE"/>
    <w:rsid w:val="00010444"/>
    <w:rsid w:val="0001085F"/>
    <w:rsid w:val="000108E2"/>
    <w:rsid w:val="00010930"/>
    <w:rsid w:val="00011D84"/>
    <w:rsid w:val="00012165"/>
    <w:rsid w:val="00012C0E"/>
    <w:rsid w:val="00013F4E"/>
    <w:rsid w:val="00013FE5"/>
    <w:rsid w:val="0001435D"/>
    <w:rsid w:val="00014477"/>
    <w:rsid w:val="00014D03"/>
    <w:rsid w:val="00015281"/>
    <w:rsid w:val="000153A4"/>
    <w:rsid w:val="00015723"/>
    <w:rsid w:val="0001572B"/>
    <w:rsid w:val="00015FD1"/>
    <w:rsid w:val="00016045"/>
    <w:rsid w:val="00016418"/>
    <w:rsid w:val="00016740"/>
    <w:rsid w:val="000176F8"/>
    <w:rsid w:val="000179AB"/>
    <w:rsid w:val="00017E7C"/>
    <w:rsid w:val="0002019E"/>
    <w:rsid w:val="000201A5"/>
    <w:rsid w:val="000210C2"/>
    <w:rsid w:val="000216A0"/>
    <w:rsid w:val="00021A1D"/>
    <w:rsid w:val="00021AFC"/>
    <w:rsid w:val="00021BD8"/>
    <w:rsid w:val="00021FDF"/>
    <w:rsid w:val="000221C1"/>
    <w:rsid w:val="00022853"/>
    <w:rsid w:val="00022B3D"/>
    <w:rsid w:val="00023531"/>
    <w:rsid w:val="00023F0E"/>
    <w:rsid w:val="0002582C"/>
    <w:rsid w:val="00025E10"/>
    <w:rsid w:val="00026108"/>
    <w:rsid w:val="00026424"/>
    <w:rsid w:val="000265BB"/>
    <w:rsid w:val="00026C29"/>
    <w:rsid w:val="00026DCA"/>
    <w:rsid w:val="000277AE"/>
    <w:rsid w:val="000278B4"/>
    <w:rsid w:val="000301AF"/>
    <w:rsid w:val="000301F2"/>
    <w:rsid w:val="000307D7"/>
    <w:rsid w:val="000308D4"/>
    <w:rsid w:val="00030DAB"/>
    <w:rsid w:val="00031701"/>
    <w:rsid w:val="00031A94"/>
    <w:rsid w:val="0003223F"/>
    <w:rsid w:val="0003275A"/>
    <w:rsid w:val="00032870"/>
    <w:rsid w:val="00033651"/>
    <w:rsid w:val="00033C8E"/>
    <w:rsid w:val="000344CF"/>
    <w:rsid w:val="00034F7C"/>
    <w:rsid w:val="00035545"/>
    <w:rsid w:val="00035A39"/>
    <w:rsid w:val="00036027"/>
    <w:rsid w:val="00036F47"/>
    <w:rsid w:val="0003783D"/>
    <w:rsid w:val="00037884"/>
    <w:rsid w:val="00037A65"/>
    <w:rsid w:val="00037F58"/>
    <w:rsid w:val="00040069"/>
    <w:rsid w:val="0004015A"/>
    <w:rsid w:val="00040C98"/>
    <w:rsid w:val="00041218"/>
    <w:rsid w:val="00041608"/>
    <w:rsid w:val="000418CB"/>
    <w:rsid w:val="00041CC1"/>
    <w:rsid w:val="00041DC8"/>
    <w:rsid w:val="000429CE"/>
    <w:rsid w:val="00042BA1"/>
    <w:rsid w:val="00042F15"/>
    <w:rsid w:val="0004370B"/>
    <w:rsid w:val="00043806"/>
    <w:rsid w:val="00043E87"/>
    <w:rsid w:val="000444C4"/>
    <w:rsid w:val="00044DDE"/>
    <w:rsid w:val="00045D9B"/>
    <w:rsid w:val="0004647E"/>
    <w:rsid w:val="000464D4"/>
    <w:rsid w:val="000464F9"/>
    <w:rsid w:val="00046CF5"/>
    <w:rsid w:val="00046D7F"/>
    <w:rsid w:val="00047300"/>
    <w:rsid w:val="000476DF"/>
    <w:rsid w:val="00047BBC"/>
    <w:rsid w:val="000506D9"/>
    <w:rsid w:val="0005133D"/>
    <w:rsid w:val="000519BE"/>
    <w:rsid w:val="00052227"/>
    <w:rsid w:val="000525D4"/>
    <w:rsid w:val="0005266F"/>
    <w:rsid w:val="00053435"/>
    <w:rsid w:val="00053538"/>
    <w:rsid w:val="00053574"/>
    <w:rsid w:val="00053D47"/>
    <w:rsid w:val="00053EA8"/>
    <w:rsid w:val="00053EAF"/>
    <w:rsid w:val="00054CF0"/>
    <w:rsid w:val="00054E45"/>
    <w:rsid w:val="000552D6"/>
    <w:rsid w:val="00055AB7"/>
    <w:rsid w:val="00055B9A"/>
    <w:rsid w:val="00055D87"/>
    <w:rsid w:val="0005631D"/>
    <w:rsid w:val="00056442"/>
    <w:rsid w:val="0005646A"/>
    <w:rsid w:val="0005791E"/>
    <w:rsid w:val="0005792B"/>
    <w:rsid w:val="00060496"/>
    <w:rsid w:val="0006105E"/>
    <w:rsid w:val="000611DC"/>
    <w:rsid w:val="00061570"/>
    <w:rsid w:val="00062850"/>
    <w:rsid w:val="00062A91"/>
    <w:rsid w:val="00063ACE"/>
    <w:rsid w:val="0006406E"/>
    <w:rsid w:val="00064555"/>
    <w:rsid w:val="000645E8"/>
    <w:rsid w:val="00064876"/>
    <w:rsid w:val="00065096"/>
    <w:rsid w:val="000656BF"/>
    <w:rsid w:val="00065F2F"/>
    <w:rsid w:val="00065F90"/>
    <w:rsid w:val="000660A8"/>
    <w:rsid w:val="00066959"/>
    <w:rsid w:val="00066B6F"/>
    <w:rsid w:val="00066CC5"/>
    <w:rsid w:val="00066E6C"/>
    <w:rsid w:val="00070257"/>
    <w:rsid w:val="00070353"/>
    <w:rsid w:val="0007064A"/>
    <w:rsid w:val="00070B73"/>
    <w:rsid w:val="00071224"/>
    <w:rsid w:val="00071947"/>
    <w:rsid w:val="00071A4D"/>
    <w:rsid w:val="00072EE1"/>
    <w:rsid w:val="000733C2"/>
    <w:rsid w:val="00073801"/>
    <w:rsid w:val="00073A52"/>
    <w:rsid w:val="000740AE"/>
    <w:rsid w:val="00074314"/>
    <w:rsid w:val="0007457E"/>
    <w:rsid w:val="00074ECA"/>
    <w:rsid w:val="00075911"/>
    <w:rsid w:val="0007593F"/>
    <w:rsid w:val="00075E73"/>
    <w:rsid w:val="000763D0"/>
    <w:rsid w:val="00077628"/>
    <w:rsid w:val="000779CB"/>
    <w:rsid w:val="00080C07"/>
    <w:rsid w:val="000812CE"/>
    <w:rsid w:val="00081725"/>
    <w:rsid w:val="00081EB6"/>
    <w:rsid w:val="0008261B"/>
    <w:rsid w:val="00082A91"/>
    <w:rsid w:val="00083086"/>
    <w:rsid w:val="00083249"/>
    <w:rsid w:val="0008342C"/>
    <w:rsid w:val="00083795"/>
    <w:rsid w:val="00083BB9"/>
    <w:rsid w:val="00083E46"/>
    <w:rsid w:val="00083F27"/>
    <w:rsid w:val="0008418E"/>
    <w:rsid w:val="000841C4"/>
    <w:rsid w:val="00084345"/>
    <w:rsid w:val="000843BD"/>
    <w:rsid w:val="000846DD"/>
    <w:rsid w:val="00084BA3"/>
    <w:rsid w:val="00084E17"/>
    <w:rsid w:val="000850B2"/>
    <w:rsid w:val="0008512A"/>
    <w:rsid w:val="0008583A"/>
    <w:rsid w:val="00085BBB"/>
    <w:rsid w:val="00085F91"/>
    <w:rsid w:val="00086135"/>
    <w:rsid w:val="000865A2"/>
    <w:rsid w:val="0008678D"/>
    <w:rsid w:val="000868C0"/>
    <w:rsid w:val="0008725E"/>
    <w:rsid w:val="000872B3"/>
    <w:rsid w:val="00087359"/>
    <w:rsid w:val="0009145C"/>
    <w:rsid w:val="0009183D"/>
    <w:rsid w:val="00091979"/>
    <w:rsid w:val="000921B4"/>
    <w:rsid w:val="00092F2C"/>
    <w:rsid w:val="00093E66"/>
    <w:rsid w:val="00094119"/>
    <w:rsid w:val="00094585"/>
    <w:rsid w:val="00094773"/>
    <w:rsid w:val="00094C13"/>
    <w:rsid w:val="0009508E"/>
    <w:rsid w:val="000950A1"/>
    <w:rsid w:val="000957A2"/>
    <w:rsid w:val="00095869"/>
    <w:rsid w:val="00095D7F"/>
    <w:rsid w:val="00095EA9"/>
    <w:rsid w:val="0009657A"/>
    <w:rsid w:val="0009787C"/>
    <w:rsid w:val="00097F16"/>
    <w:rsid w:val="000A0E9A"/>
    <w:rsid w:val="000A19C4"/>
    <w:rsid w:val="000A1D4C"/>
    <w:rsid w:val="000A1E42"/>
    <w:rsid w:val="000A20ED"/>
    <w:rsid w:val="000A2AB3"/>
    <w:rsid w:val="000A2F72"/>
    <w:rsid w:val="000A2FFC"/>
    <w:rsid w:val="000A3305"/>
    <w:rsid w:val="000A3D02"/>
    <w:rsid w:val="000A3ECF"/>
    <w:rsid w:val="000A3FF4"/>
    <w:rsid w:val="000A4295"/>
    <w:rsid w:val="000A4A91"/>
    <w:rsid w:val="000A509C"/>
    <w:rsid w:val="000A5252"/>
    <w:rsid w:val="000A540F"/>
    <w:rsid w:val="000A610E"/>
    <w:rsid w:val="000A61C7"/>
    <w:rsid w:val="000A651D"/>
    <w:rsid w:val="000A7592"/>
    <w:rsid w:val="000B018F"/>
    <w:rsid w:val="000B0853"/>
    <w:rsid w:val="000B133E"/>
    <w:rsid w:val="000B1691"/>
    <w:rsid w:val="000B1A04"/>
    <w:rsid w:val="000B1E4F"/>
    <w:rsid w:val="000B1F35"/>
    <w:rsid w:val="000B1FD0"/>
    <w:rsid w:val="000B28F0"/>
    <w:rsid w:val="000B2A55"/>
    <w:rsid w:val="000B31C5"/>
    <w:rsid w:val="000B31EA"/>
    <w:rsid w:val="000B440C"/>
    <w:rsid w:val="000B4801"/>
    <w:rsid w:val="000B495C"/>
    <w:rsid w:val="000B554B"/>
    <w:rsid w:val="000B5724"/>
    <w:rsid w:val="000B6374"/>
    <w:rsid w:val="000B66D3"/>
    <w:rsid w:val="000B73D1"/>
    <w:rsid w:val="000B756D"/>
    <w:rsid w:val="000B76E3"/>
    <w:rsid w:val="000B76F4"/>
    <w:rsid w:val="000B78A0"/>
    <w:rsid w:val="000B7D33"/>
    <w:rsid w:val="000C00B9"/>
    <w:rsid w:val="000C0539"/>
    <w:rsid w:val="000C09E8"/>
    <w:rsid w:val="000C0A21"/>
    <w:rsid w:val="000C0B0E"/>
    <w:rsid w:val="000C1358"/>
    <w:rsid w:val="000C1622"/>
    <w:rsid w:val="000C19EE"/>
    <w:rsid w:val="000C1A42"/>
    <w:rsid w:val="000C20ED"/>
    <w:rsid w:val="000C318E"/>
    <w:rsid w:val="000C384F"/>
    <w:rsid w:val="000C4700"/>
    <w:rsid w:val="000C51CE"/>
    <w:rsid w:val="000C626F"/>
    <w:rsid w:val="000C6692"/>
    <w:rsid w:val="000C6CCE"/>
    <w:rsid w:val="000C7095"/>
    <w:rsid w:val="000C76F9"/>
    <w:rsid w:val="000D0502"/>
    <w:rsid w:val="000D0958"/>
    <w:rsid w:val="000D18AC"/>
    <w:rsid w:val="000D1B74"/>
    <w:rsid w:val="000D1BDC"/>
    <w:rsid w:val="000D2353"/>
    <w:rsid w:val="000D2379"/>
    <w:rsid w:val="000D2B40"/>
    <w:rsid w:val="000D2FDE"/>
    <w:rsid w:val="000D34A5"/>
    <w:rsid w:val="000D3C61"/>
    <w:rsid w:val="000D3C65"/>
    <w:rsid w:val="000D50C6"/>
    <w:rsid w:val="000D5321"/>
    <w:rsid w:val="000D5436"/>
    <w:rsid w:val="000D6A46"/>
    <w:rsid w:val="000D6BC4"/>
    <w:rsid w:val="000D71D7"/>
    <w:rsid w:val="000D7525"/>
    <w:rsid w:val="000D7967"/>
    <w:rsid w:val="000D7BB3"/>
    <w:rsid w:val="000D7FF9"/>
    <w:rsid w:val="000E0243"/>
    <w:rsid w:val="000E040E"/>
    <w:rsid w:val="000E12EF"/>
    <w:rsid w:val="000E20C3"/>
    <w:rsid w:val="000E219F"/>
    <w:rsid w:val="000E2F8D"/>
    <w:rsid w:val="000E38A4"/>
    <w:rsid w:val="000E3F22"/>
    <w:rsid w:val="000E506C"/>
    <w:rsid w:val="000E5995"/>
    <w:rsid w:val="000E5C30"/>
    <w:rsid w:val="000E6649"/>
    <w:rsid w:val="000E66DB"/>
    <w:rsid w:val="000E6791"/>
    <w:rsid w:val="000E6C46"/>
    <w:rsid w:val="000E72F6"/>
    <w:rsid w:val="000E7806"/>
    <w:rsid w:val="000F00A8"/>
    <w:rsid w:val="000F00EE"/>
    <w:rsid w:val="000F0385"/>
    <w:rsid w:val="000F0EBA"/>
    <w:rsid w:val="000F1D1C"/>
    <w:rsid w:val="000F2691"/>
    <w:rsid w:val="000F28BE"/>
    <w:rsid w:val="000F2CF7"/>
    <w:rsid w:val="000F2E73"/>
    <w:rsid w:val="000F3636"/>
    <w:rsid w:val="000F3B3B"/>
    <w:rsid w:val="000F40E1"/>
    <w:rsid w:val="000F478A"/>
    <w:rsid w:val="000F4CD2"/>
    <w:rsid w:val="000F4E70"/>
    <w:rsid w:val="000F59CF"/>
    <w:rsid w:val="000F62AC"/>
    <w:rsid w:val="000F6497"/>
    <w:rsid w:val="000F68C8"/>
    <w:rsid w:val="000F6B49"/>
    <w:rsid w:val="000F72F2"/>
    <w:rsid w:val="000F7322"/>
    <w:rsid w:val="000F76AD"/>
    <w:rsid w:val="000F7B5E"/>
    <w:rsid w:val="0010005F"/>
    <w:rsid w:val="001005D3"/>
    <w:rsid w:val="00100782"/>
    <w:rsid w:val="001013A6"/>
    <w:rsid w:val="001026E9"/>
    <w:rsid w:val="00102885"/>
    <w:rsid w:val="001028F9"/>
    <w:rsid w:val="00102DEA"/>
    <w:rsid w:val="00102E61"/>
    <w:rsid w:val="001033F0"/>
    <w:rsid w:val="00103B29"/>
    <w:rsid w:val="00103C97"/>
    <w:rsid w:val="00104102"/>
    <w:rsid w:val="00104789"/>
    <w:rsid w:val="001054F9"/>
    <w:rsid w:val="00105745"/>
    <w:rsid w:val="001062CA"/>
    <w:rsid w:val="00106694"/>
    <w:rsid w:val="001101D1"/>
    <w:rsid w:val="001102E7"/>
    <w:rsid w:val="001105E2"/>
    <w:rsid w:val="0011097B"/>
    <w:rsid w:val="00113581"/>
    <w:rsid w:val="00113597"/>
    <w:rsid w:val="001136B6"/>
    <w:rsid w:val="00114525"/>
    <w:rsid w:val="00114634"/>
    <w:rsid w:val="00114D46"/>
    <w:rsid w:val="001155B5"/>
    <w:rsid w:val="0011561B"/>
    <w:rsid w:val="00115B67"/>
    <w:rsid w:val="001166AB"/>
    <w:rsid w:val="00116B20"/>
    <w:rsid w:val="00116C8A"/>
    <w:rsid w:val="00116D6F"/>
    <w:rsid w:val="001177E4"/>
    <w:rsid w:val="00117B40"/>
    <w:rsid w:val="0012079D"/>
    <w:rsid w:val="00121162"/>
    <w:rsid w:val="001212D4"/>
    <w:rsid w:val="00121318"/>
    <w:rsid w:val="00121A2E"/>
    <w:rsid w:val="00121C71"/>
    <w:rsid w:val="00121CFE"/>
    <w:rsid w:val="00122068"/>
    <w:rsid w:val="00122C7E"/>
    <w:rsid w:val="00122F38"/>
    <w:rsid w:val="0012349D"/>
    <w:rsid w:val="00123776"/>
    <w:rsid w:val="00123C4D"/>
    <w:rsid w:val="001244B5"/>
    <w:rsid w:val="00125ADF"/>
    <w:rsid w:val="00126512"/>
    <w:rsid w:val="001269AB"/>
    <w:rsid w:val="00126A92"/>
    <w:rsid w:val="00126DB0"/>
    <w:rsid w:val="00127087"/>
    <w:rsid w:val="00127EA2"/>
    <w:rsid w:val="00130284"/>
    <w:rsid w:val="00131E32"/>
    <w:rsid w:val="00132C6A"/>
    <w:rsid w:val="00132E2B"/>
    <w:rsid w:val="00132E51"/>
    <w:rsid w:val="0013364F"/>
    <w:rsid w:val="00134297"/>
    <w:rsid w:val="00134A1E"/>
    <w:rsid w:val="00134E13"/>
    <w:rsid w:val="0013509D"/>
    <w:rsid w:val="00135227"/>
    <w:rsid w:val="0013535B"/>
    <w:rsid w:val="00135687"/>
    <w:rsid w:val="00136007"/>
    <w:rsid w:val="00137654"/>
    <w:rsid w:val="00140009"/>
    <w:rsid w:val="001402CA"/>
    <w:rsid w:val="00141097"/>
    <w:rsid w:val="00141365"/>
    <w:rsid w:val="001428D9"/>
    <w:rsid w:val="001437D2"/>
    <w:rsid w:val="00144A39"/>
    <w:rsid w:val="00144C56"/>
    <w:rsid w:val="00144CFD"/>
    <w:rsid w:val="001450EF"/>
    <w:rsid w:val="001454EA"/>
    <w:rsid w:val="0014577F"/>
    <w:rsid w:val="00145C58"/>
    <w:rsid w:val="0014636E"/>
    <w:rsid w:val="00146498"/>
    <w:rsid w:val="001470E1"/>
    <w:rsid w:val="00147206"/>
    <w:rsid w:val="0014766D"/>
    <w:rsid w:val="00150A29"/>
    <w:rsid w:val="00151086"/>
    <w:rsid w:val="001518DD"/>
    <w:rsid w:val="00151F15"/>
    <w:rsid w:val="00152879"/>
    <w:rsid w:val="001530C7"/>
    <w:rsid w:val="001538AD"/>
    <w:rsid w:val="0015390F"/>
    <w:rsid w:val="00153A3E"/>
    <w:rsid w:val="0015416D"/>
    <w:rsid w:val="00154199"/>
    <w:rsid w:val="00154C4F"/>
    <w:rsid w:val="00155C7B"/>
    <w:rsid w:val="00155EC9"/>
    <w:rsid w:val="00155F64"/>
    <w:rsid w:val="0015602E"/>
    <w:rsid w:val="00156393"/>
    <w:rsid w:val="001565FB"/>
    <w:rsid w:val="00156C77"/>
    <w:rsid w:val="00156E29"/>
    <w:rsid w:val="0015714F"/>
    <w:rsid w:val="001603B3"/>
    <w:rsid w:val="0016062C"/>
    <w:rsid w:val="00160B7A"/>
    <w:rsid w:val="00160EB1"/>
    <w:rsid w:val="001612A0"/>
    <w:rsid w:val="00161A9C"/>
    <w:rsid w:val="00161FAB"/>
    <w:rsid w:val="00161FD3"/>
    <w:rsid w:val="001631F8"/>
    <w:rsid w:val="001633EA"/>
    <w:rsid w:val="00163B0B"/>
    <w:rsid w:val="00163F87"/>
    <w:rsid w:val="001640A7"/>
    <w:rsid w:val="00164D8E"/>
    <w:rsid w:val="00165A9C"/>
    <w:rsid w:val="00165D3B"/>
    <w:rsid w:val="001662F4"/>
    <w:rsid w:val="001666C6"/>
    <w:rsid w:val="001674C1"/>
    <w:rsid w:val="00167C3B"/>
    <w:rsid w:val="00167EB9"/>
    <w:rsid w:val="001702BA"/>
    <w:rsid w:val="00170398"/>
    <w:rsid w:val="00170EA5"/>
    <w:rsid w:val="00172805"/>
    <w:rsid w:val="0017302C"/>
    <w:rsid w:val="00173B63"/>
    <w:rsid w:val="00173BC5"/>
    <w:rsid w:val="00173C5C"/>
    <w:rsid w:val="00174E5E"/>
    <w:rsid w:val="001760CE"/>
    <w:rsid w:val="00176A02"/>
    <w:rsid w:val="00176B89"/>
    <w:rsid w:val="00176ED1"/>
    <w:rsid w:val="001772A3"/>
    <w:rsid w:val="00177397"/>
    <w:rsid w:val="00177905"/>
    <w:rsid w:val="00177A87"/>
    <w:rsid w:val="00177D24"/>
    <w:rsid w:val="001804FF"/>
    <w:rsid w:val="001810D7"/>
    <w:rsid w:val="001813F2"/>
    <w:rsid w:val="001816CE"/>
    <w:rsid w:val="00181924"/>
    <w:rsid w:val="00181A35"/>
    <w:rsid w:val="00181AF8"/>
    <w:rsid w:val="001823B7"/>
    <w:rsid w:val="0018252A"/>
    <w:rsid w:val="0018288C"/>
    <w:rsid w:val="001828C7"/>
    <w:rsid w:val="00183084"/>
    <w:rsid w:val="001833BA"/>
    <w:rsid w:val="0018394A"/>
    <w:rsid w:val="00183F44"/>
    <w:rsid w:val="0018429E"/>
    <w:rsid w:val="001847F1"/>
    <w:rsid w:val="0018483B"/>
    <w:rsid w:val="00184D2A"/>
    <w:rsid w:val="00184E8B"/>
    <w:rsid w:val="001851D8"/>
    <w:rsid w:val="001853A8"/>
    <w:rsid w:val="00185F6F"/>
    <w:rsid w:val="00186146"/>
    <w:rsid w:val="001862FB"/>
    <w:rsid w:val="001864F0"/>
    <w:rsid w:val="00186792"/>
    <w:rsid w:val="00186FB6"/>
    <w:rsid w:val="00187420"/>
    <w:rsid w:val="00187580"/>
    <w:rsid w:val="00187746"/>
    <w:rsid w:val="0018776C"/>
    <w:rsid w:val="00187DF0"/>
    <w:rsid w:val="00187DF9"/>
    <w:rsid w:val="0019008D"/>
    <w:rsid w:val="00190183"/>
    <w:rsid w:val="0019033C"/>
    <w:rsid w:val="00190D99"/>
    <w:rsid w:val="00190E62"/>
    <w:rsid w:val="00191059"/>
    <w:rsid w:val="0019122C"/>
    <w:rsid w:val="001915F8"/>
    <w:rsid w:val="001917D5"/>
    <w:rsid w:val="00191DCE"/>
    <w:rsid w:val="001927B6"/>
    <w:rsid w:val="001938F6"/>
    <w:rsid w:val="00193E45"/>
    <w:rsid w:val="00194AD4"/>
    <w:rsid w:val="00194BB1"/>
    <w:rsid w:val="00194CC7"/>
    <w:rsid w:val="0019540F"/>
    <w:rsid w:val="00195CC7"/>
    <w:rsid w:val="00195F1D"/>
    <w:rsid w:val="001963DF"/>
    <w:rsid w:val="0019644F"/>
    <w:rsid w:val="001973C1"/>
    <w:rsid w:val="00197C5E"/>
    <w:rsid w:val="001A03BB"/>
    <w:rsid w:val="001A0A7C"/>
    <w:rsid w:val="001A0C22"/>
    <w:rsid w:val="001A2415"/>
    <w:rsid w:val="001A291D"/>
    <w:rsid w:val="001A2B19"/>
    <w:rsid w:val="001A2B59"/>
    <w:rsid w:val="001A3A6C"/>
    <w:rsid w:val="001A4444"/>
    <w:rsid w:val="001A4941"/>
    <w:rsid w:val="001A4E72"/>
    <w:rsid w:val="001A52C0"/>
    <w:rsid w:val="001A5CD2"/>
    <w:rsid w:val="001A6897"/>
    <w:rsid w:val="001A6DFD"/>
    <w:rsid w:val="001A7D80"/>
    <w:rsid w:val="001A7E5E"/>
    <w:rsid w:val="001B031B"/>
    <w:rsid w:val="001B0472"/>
    <w:rsid w:val="001B05D6"/>
    <w:rsid w:val="001B1348"/>
    <w:rsid w:val="001B145A"/>
    <w:rsid w:val="001B16B2"/>
    <w:rsid w:val="001B28D3"/>
    <w:rsid w:val="001B2E17"/>
    <w:rsid w:val="001B31D5"/>
    <w:rsid w:val="001B3364"/>
    <w:rsid w:val="001B3B15"/>
    <w:rsid w:val="001B413E"/>
    <w:rsid w:val="001B448A"/>
    <w:rsid w:val="001B476C"/>
    <w:rsid w:val="001B52B3"/>
    <w:rsid w:val="001B613F"/>
    <w:rsid w:val="001B61FB"/>
    <w:rsid w:val="001B717B"/>
    <w:rsid w:val="001B7558"/>
    <w:rsid w:val="001B755B"/>
    <w:rsid w:val="001B7696"/>
    <w:rsid w:val="001B772F"/>
    <w:rsid w:val="001B789D"/>
    <w:rsid w:val="001C017F"/>
    <w:rsid w:val="001C0ED7"/>
    <w:rsid w:val="001C13AD"/>
    <w:rsid w:val="001C1B01"/>
    <w:rsid w:val="001C1FB7"/>
    <w:rsid w:val="001C2499"/>
    <w:rsid w:val="001C3C3C"/>
    <w:rsid w:val="001C3F21"/>
    <w:rsid w:val="001C42A3"/>
    <w:rsid w:val="001C47CB"/>
    <w:rsid w:val="001C6B9C"/>
    <w:rsid w:val="001C73EB"/>
    <w:rsid w:val="001C745A"/>
    <w:rsid w:val="001C7538"/>
    <w:rsid w:val="001C7D73"/>
    <w:rsid w:val="001D0161"/>
    <w:rsid w:val="001D179A"/>
    <w:rsid w:val="001D1A26"/>
    <w:rsid w:val="001D2084"/>
    <w:rsid w:val="001D2676"/>
    <w:rsid w:val="001D2A7A"/>
    <w:rsid w:val="001D31C5"/>
    <w:rsid w:val="001D3D66"/>
    <w:rsid w:val="001D3FB1"/>
    <w:rsid w:val="001D4356"/>
    <w:rsid w:val="001D49CA"/>
    <w:rsid w:val="001D4A1E"/>
    <w:rsid w:val="001D531B"/>
    <w:rsid w:val="001D5D81"/>
    <w:rsid w:val="001D5EDF"/>
    <w:rsid w:val="001D6070"/>
    <w:rsid w:val="001D62B1"/>
    <w:rsid w:val="001D66A7"/>
    <w:rsid w:val="001D7989"/>
    <w:rsid w:val="001D7B4A"/>
    <w:rsid w:val="001E0DFC"/>
    <w:rsid w:val="001E11A5"/>
    <w:rsid w:val="001E130E"/>
    <w:rsid w:val="001E157E"/>
    <w:rsid w:val="001E1C88"/>
    <w:rsid w:val="001E2537"/>
    <w:rsid w:val="001E268A"/>
    <w:rsid w:val="001E282D"/>
    <w:rsid w:val="001E2C43"/>
    <w:rsid w:val="001E3001"/>
    <w:rsid w:val="001E307F"/>
    <w:rsid w:val="001E407E"/>
    <w:rsid w:val="001E4CE1"/>
    <w:rsid w:val="001E52E9"/>
    <w:rsid w:val="001E5345"/>
    <w:rsid w:val="001E597B"/>
    <w:rsid w:val="001E5AE3"/>
    <w:rsid w:val="001E5C7D"/>
    <w:rsid w:val="001E5D04"/>
    <w:rsid w:val="001E5D93"/>
    <w:rsid w:val="001E6548"/>
    <w:rsid w:val="001E66E6"/>
    <w:rsid w:val="001E75B8"/>
    <w:rsid w:val="001F006E"/>
    <w:rsid w:val="001F0145"/>
    <w:rsid w:val="001F065F"/>
    <w:rsid w:val="001F08DF"/>
    <w:rsid w:val="001F127F"/>
    <w:rsid w:val="001F1E49"/>
    <w:rsid w:val="001F1EC5"/>
    <w:rsid w:val="001F2C35"/>
    <w:rsid w:val="001F39A9"/>
    <w:rsid w:val="001F435E"/>
    <w:rsid w:val="001F4805"/>
    <w:rsid w:val="001F493E"/>
    <w:rsid w:val="001F615A"/>
    <w:rsid w:val="001F61C5"/>
    <w:rsid w:val="001F646A"/>
    <w:rsid w:val="001F690D"/>
    <w:rsid w:val="001F7200"/>
    <w:rsid w:val="001F7950"/>
    <w:rsid w:val="001F798E"/>
    <w:rsid w:val="001F7EFD"/>
    <w:rsid w:val="001F7FA9"/>
    <w:rsid w:val="0020035D"/>
    <w:rsid w:val="00200E10"/>
    <w:rsid w:val="00200F79"/>
    <w:rsid w:val="00201443"/>
    <w:rsid w:val="0020351B"/>
    <w:rsid w:val="0020420B"/>
    <w:rsid w:val="00204341"/>
    <w:rsid w:val="00204374"/>
    <w:rsid w:val="00205518"/>
    <w:rsid w:val="00205A21"/>
    <w:rsid w:val="002062CC"/>
    <w:rsid w:val="00206ACE"/>
    <w:rsid w:val="00206FCF"/>
    <w:rsid w:val="00207445"/>
    <w:rsid w:val="0020747A"/>
    <w:rsid w:val="00207C73"/>
    <w:rsid w:val="00207E8A"/>
    <w:rsid w:val="002107EA"/>
    <w:rsid w:val="002108C9"/>
    <w:rsid w:val="0021143F"/>
    <w:rsid w:val="002117A0"/>
    <w:rsid w:val="00211C35"/>
    <w:rsid w:val="002123B7"/>
    <w:rsid w:val="00212432"/>
    <w:rsid w:val="00212930"/>
    <w:rsid w:val="00212B89"/>
    <w:rsid w:val="00212FB3"/>
    <w:rsid w:val="00212FDA"/>
    <w:rsid w:val="002132D7"/>
    <w:rsid w:val="00213FF8"/>
    <w:rsid w:val="00214444"/>
    <w:rsid w:val="00214C86"/>
    <w:rsid w:val="00214FE8"/>
    <w:rsid w:val="0021553A"/>
    <w:rsid w:val="002156F6"/>
    <w:rsid w:val="0021634C"/>
    <w:rsid w:val="002171C9"/>
    <w:rsid w:val="002172CC"/>
    <w:rsid w:val="002177F3"/>
    <w:rsid w:val="00217A44"/>
    <w:rsid w:val="0022111F"/>
    <w:rsid w:val="00221228"/>
    <w:rsid w:val="002212EC"/>
    <w:rsid w:val="002214CF"/>
    <w:rsid w:val="00221BF7"/>
    <w:rsid w:val="00221F3E"/>
    <w:rsid w:val="00222631"/>
    <w:rsid w:val="00222A55"/>
    <w:rsid w:val="00222BB2"/>
    <w:rsid w:val="0022315E"/>
    <w:rsid w:val="0022380D"/>
    <w:rsid w:val="00223A2B"/>
    <w:rsid w:val="00223E1B"/>
    <w:rsid w:val="00223F18"/>
    <w:rsid w:val="0022444B"/>
    <w:rsid w:val="002244B6"/>
    <w:rsid w:val="002249D2"/>
    <w:rsid w:val="0022598C"/>
    <w:rsid w:val="00225AF0"/>
    <w:rsid w:val="00225EED"/>
    <w:rsid w:val="00227125"/>
    <w:rsid w:val="002271CC"/>
    <w:rsid w:val="00227DFE"/>
    <w:rsid w:val="00230ECD"/>
    <w:rsid w:val="00231667"/>
    <w:rsid w:val="00231688"/>
    <w:rsid w:val="00231AAE"/>
    <w:rsid w:val="00231C5C"/>
    <w:rsid w:val="002331F8"/>
    <w:rsid w:val="0023343E"/>
    <w:rsid w:val="00233F98"/>
    <w:rsid w:val="002345DF"/>
    <w:rsid w:val="002348E5"/>
    <w:rsid w:val="00234C8B"/>
    <w:rsid w:val="00234D8F"/>
    <w:rsid w:val="00235B39"/>
    <w:rsid w:val="00236202"/>
    <w:rsid w:val="002364E0"/>
    <w:rsid w:val="002365F3"/>
    <w:rsid w:val="002373F7"/>
    <w:rsid w:val="00237579"/>
    <w:rsid w:val="002375A2"/>
    <w:rsid w:val="002378D1"/>
    <w:rsid w:val="002400CA"/>
    <w:rsid w:val="00240FEC"/>
    <w:rsid w:val="002415CB"/>
    <w:rsid w:val="0024160D"/>
    <w:rsid w:val="002419CD"/>
    <w:rsid w:val="00241CFC"/>
    <w:rsid w:val="00241E94"/>
    <w:rsid w:val="00242213"/>
    <w:rsid w:val="00242C44"/>
    <w:rsid w:val="00242F56"/>
    <w:rsid w:val="002430A3"/>
    <w:rsid w:val="002434FF"/>
    <w:rsid w:val="00243A71"/>
    <w:rsid w:val="00243B86"/>
    <w:rsid w:val="002440EB"/>
    <w:rsid w:val="0024413D"/>
    <w:rsid w:val="00244617"/>
    <w:rsid w:val="002449B4"/>
    <w:rsid w:val="00244B19"/>
    <w:rsid w:val="0024500B"/>
    <w:rsid w:val="00245917"/>
    <w:rsid w:val="00245C1C"/>
    <w:rsid w:val="00245E23"/>
    <w:rsid w:val="0024621A"/>
    <w:rsid w:val="00246414"/>
    <w:rsid w:val="002465C6"/>
    <w:rsid w:val="00246709"/>
    <w:rsid w:val="002467DB"/>
    <w:rsid w:val="00246E82"/>
    <w:rsid w:val="002472B4"/>
    <w:rsid w:val="002474F5"/>
    <w:rsid w:val="00250AA4"/>
    <w:rsid w:val="00250D3C"/>
    <w:rsid w:val="00250EF7"/>
    <w:rsid w:val="00250F22"/>
    <w:rsid w:val="00251068"/>
    <w:rsid w:val="00251D28"/>
    <w:rsid w:val="00252404"/>
    <w:rsid w:val="00252515"/>
    <w:rsid w:val="00252814"/>
    <w:rsid w:val="00252AE8"/>
    <w:rsid w:val="00252B52"/>
    <w:rsid w:val="00253AB6"/>
    <w:rsid w:val="00253BE1"/>
    <w:rsid w:val="0025401E"/>
    <w:rsid w:val="002552E4"/>
    <w:rsid w:val="00255572"/>
    <w:rsid w:val="00255709"/>
    <w:rsid w:val="002568A4"/>
    <w:rsid w:val="00256A7A"/>
    <w:rsid w:val="00256F93"/>
    <w:rsid w:val="002574BF"/>
    <w:rsid w:val="00257D0C"/>
    <w:rsid w:val="00257F79"/>
    <w:rsid w:val="0026045C"/>
    <w:rsid w:val="00262195"/>
    <w:rsid w:val="00262FD8"/>
    <w:rsid w:val="00263287"/>
    <w:rsid w:val="002634C3"/>
    <w:rsid w:val="00263ADD"/>
    <w:rsid w:val="00263ADF"/>
    <w:rsid w:val="00263C51"/>
    <w:rsid w:val="00263E3D"/>
    <w:rsid w:val="002644AA"/>
    <w:rsid w:val="002645F9"/>
    <w:rsid w:val="0026494C"/>
    <w:rsid w:val="00265052"/>
    <w:rsid w:val="00265262"/>
    <w:rsid w:val="002655FB"/>
    <w:rsid w:val="002657A0"/>
    <w:rsid w:val="00265836"/>
    <w:rsid w:val="00265E4F"/>
    <w:rsid w:val="002663D2"/>
    <w:rsid w:val="00267E75"/>
    <w:rsid w:val="00267FB1"/>
    <w:rsid w:val="002707C2"/>
    <w:rsid w:val="00270C16"/>
    <w:rsid w:val="00270D99"/>
    <w:rsid w:val="0027107F"/>
    <w:rsid w:val="002710A4"/>
    <w:rsid w:val="00271A8F"/>
    <w:rsid w:val="00272611"/>
    <w:rsid w:val="0027265F"/>
    <w:rsid w:val="00272AE4"/>
    <w:rsid w:val="00272F7E"/>
    <w:rsid w:val="00274943"/>
    <w:rsid w:val="00274B8B"/>
    <w:rsid w:val="00274CE0"/>
    <w:rsid w:val="00275455"/>
    <w:rsid w:val="002756B1"/>
    <w:rsid w:val="0027645F"/>
    <w:rsid w:val="002767AC"/>
    <w:rsid w:val="00276884"/>
    <w:rsid w:val="00276BFD"/>
    <w:rsid w:val="00277947"/>
    <w:rsid w:val="00277DAD"/>
    <w:rsid w:val="00280873"/>
    <w:rsid w:val="00280C9B"/>
    <w:rsid w:val="00280F2B"/>
    <w:rsid w:val="00281094"/>
    <w:rsid w:val="0028148B"/>
    <w:rsid w:val="002820E1"/>
    <w:rsid w:val="00282C12"/>
    <w:rsid w:val="00282DAB"/>
    <w:rsid w:val="00284028"/>
    <w:rsid w:val="00284E40"/>
    <w:rsid w:val="002851DF"/>
    <w:rsid w:val="002854AF"/>
    <w:rsid w:val="00285587"/>
    <w:rsid w:val="00285884"/>
    <w:rsid w:val="002862A3"/>
    <w:rsid w:val="002862D0"/>
    <w:rsid w:val="00286338"/>
    <w:rsid w:val="00286D02"/>
    <w:rsid w:val="00287AB0"/>
    <w:rsid w:val="00290384"/>
    <w:rsid w:val="00290990"/>
    <w:rsid w:val="00290C30"/>
    <w:rsid w:val="00291B2E"/>
    <w:rsid w:val="002938B6"/>
    <w:rsid w:val="00293F2D"/>
    <w:rsid w:val="002940A8"/>
    <w:rsid w:val="0029437E"/>
    <w:rsid w:val="00294661"/>
    <w:rsid w:val="00294B25"/>
    <w:rsid w:val="00295AB9"/>
    <w:rsid w:val="00295E40"/>
    <w:rsid w:val="00296029"/>
    <w:rsid w:val="00296125"/>
    <w:rsid w:val="002962DA"/>
    <w:rsid w:val="002968B3"/>
    <w:rsid w:val="00296AE2"/>
    <w:rsid w:val="00296BDC"/>
    <w:rsid w:val="002976EE"/>
    <w:rsid w:val="00297C91"/>
    <w:rsid w:val="002A0710"/>
    <w:rsid w:val="002A0833"/>
    <w:rsid w:val="002A0896"/>
    <w:rsid w:val="002A0BA8"/>
    <w:rsid w:val="002A0E5F"/>
    <w:rsid w:val="002A1851"/>
    <w:rsid w:val="002A2245"/>
    <w:rsid w:val="002A2268"/>
    <w:rsid w:val="002A2296"/>
    <w:rsid w:val="002A2603"/>
    <w:rsid w:val="002A2893"/>
    <w:rsid w:val="002A3657"/>
    <w:rsid w:val="002A38D1"/>
    <w:rsid w:val="002A3E2C"/>
    <w:rsid w:val="002A4224"/>
    <w:rsid w:val="002A4593"/>
    <w:rsid w:val="002A4ECF"/>
    <w:rsid w:val="002A5579"/>
    <w:rsid w:val="002A5879"/>
    <w:rsid w:val="002A6156"/>
    <w:rsid w:val="002A6862"/>
    <w:rsid w:val="002A6A15"/>
    <w:rsid w:val="002A6D32"/>
    <w:rsid w:val="002A7E7E"/>
    <w:rsid w:val="002B09C1"/>
    <w:rsid w:val="002B0D37"/>
    <w:rsid w:val="002B0D4F"/>
    <w:rsid w:val="002B1FFB"/>
    <w:rsid w:val="002B20E3"/>
    <w:rsid w:val="002B2632"/>
    <w:rsid w:val="002B2784"/>
    <w:rsid w:val="002B33DD"/>
    <w:rsid w:val="002B3DB8"/>
    <w:rsid w:val="002B4402"/>
    <w:rsid w:val="002B5F49"/>
    <w:rsid w:val="002B60D9"/>
    <w:rsid w:val="002B6415"/>
    <w:rsid w:val="002B787F"/>
    <w:rsid w:val="002B7C05"/>
    <w:rsid w:val="002B7D45"/>
    <w:rsid w:val="002C008C"/>
    <w:rsid w:val="002C1041"/>
    <w:rsid w:val="002C11EE"/>
    <w:rsid w:val="002C14FE"/>
    <w:rsid w:val="002C15C8"/>
    <w:rsid w:val="002C15E4"/>
    <w:rsid w:val="002C1667"/>
    <w:rsid w:val="002C16F1"/>
    <w:rsid w:val="002C1813"/>
    <w:rsid w:val="002C19E3"/>
    <w:rsid w:val="002C1C48"/>
    <w:rsid w:val="002C1D8F"/>
    <w:rsid w:val="002C1FCA"/>
    <w:rsid w:val="002C202E"/>
    <w:rsid w:val="002C252A"/>
    <w:rsid w:val="002C2C35"/>
    <w:rsid w:val="002C323D"/>
    <w:rsid w:val="002C35BC"/>
    <w:rsid w:val="002C3B3C"/>
    <w:rsid w:val="002C3E13"/>
    <w:rsid w:val="002C5214"/>
    <w:rsid w:val="002C5C8D"/>
    <w:rsid w:val="002C6415"/>
    <w:rsid w:val="002C6788"/>
    <w:rsid w:val="002C723C"/>
    <w:rsid w:val="002C72F2"/>
    <w:rsid w:val="002C77EE"/>
    <w:rsid w:val="002D0E97"/>
    <w:rsid w:val="002D2437"/>
    <w:rsid w:val="002D294C"/>
    <w:rsid w:val="002D2EE3"/>
    <w:rsid w:val="002D2F9C"/>
    <w:rsid w:val="002D3941"/>
    <w:rsid w:val="002D45F8"/>
    <w:rsid w:val="002D512F"/>
    <w:rsid w:val="002D62DB"/>
    <w:rsid w:val="002D657F"/>
    <w:rsid w:val="002D6688"/>
    <w:rsid w:val="002D6D0D"/>
    <w:rsid w:val="002D7066"/>
    <w:rsid w:val="002D71CB"/>
    <w:rsid w:val="002D7E88"/>
    <w:rsid w:val="002D7EAA"/>
    <w:rsid w:val="002E02B4"/>
    <w:rsid w:val="002E0383"/>
    <w:rsid w:val="002E0AD3"/>
    <w:rsid w:val="002E169D"/>
    <w:rsid w:val="002E22F4"/>
    <w:rsid w:val="002E238B"/>
    <w:rsid w:val="002E36D2"/>
    <w:rsid w:val="002E3996"/>
    <w:rsid w:val="002E5165"/>
    <w:rsid w:val="002E53BC"/>
    <w:rsid w:val="002E58B0"/>
    <w:rsid w:val="002E652D"/>
    <w:rsid w:val="002E6816"/>
    <w:rsid w:val="002E77D7"/>
    <w:rsid w:val="002F0292"/>
    <w:rsid w:val="002F0924"/>
    <w:rsid w:val="002F1736"/>
    <w:rsid w:val="002F1B92"/>
    <w:rsid w:val="002F234B"/>
    <w:rsid w:val="002F270C"/>
    <w:rsid w:val="002F29AD"/>
    <w:rsid w:val="002F38F9"/>
    <w:rsid w:val="002F3F29"/>
    <w:rsid w:val="002F3F7F"/>
    <w:rsid w:val="002F4287"/>
    <w:rsid w:val="002F4BF8"/>
    <w:rsid w:val="002F4C5A"/>
    <w:rsid w:val="002F5543"/>
    <w:rsid w:val="002F5674"/>
    <w:rsid w:val="002F59F4"/>
    <w:rsid w:val="002F5CD8"/>
    <w:rsid w:val="002F6468"/>
    <w:rsid w:val="002F681A"/>
    <w:rsid w:val="002F6A12"/>
    <w:rsid w:val="002F784C"/>
    <w:rsid w:val="002F7C75"/>
    <w:rsid w:val="0030077C"/>
    <w:rsid w:val="00300B09"/>
    <w:rsid w:val="00300BA7"/>
    <w:rsid w:val="00301065"/>
    <w:rsid w:val="003012DF"/>
    <w:rsid w:val="00301785"/>
    <w:rsid w:val="003022D4"/>
    <w:rsid w:val="00302628"/>
    <w:rsid w:val="0030322E"/>
    <w:rsid w:val="00303D5C"/>
    <w:rsid w:val="00304194"/>
    <w:rsid w:val="003043D2"/>
    <w:rsid w:val="00304587"/>
    <w:rsid w:val="00304D68"/>
    <w:rsid w:val="00305121"/>
    <w:rsid w:val="00306172"/>
    <w:rsid w:val="00306DDC"/>
    <w:rsid w:val="00306F78"/>
    <w:rsid w:val="00306FD6"/>
    <w:rsid w:val="003070F7"/>
    <w:rsid w:val="00307ABF"/>
    <w:rsid w:val="00307E4B"/>
    <w:rsid w:val="00307F3E"/>
    <w:rsid w:val="0031056B"/>
    <w:rsid w:val="003112CF"/>
    <w:rsid w:val="0031141A"/>
    <w:rsid w:val="00312EA0"/>
    <w:rsid w:val="003131F5"/>
    <w:rsid w:val="003133F9"/>
    <w:rsid w:val="00313575"/>
    <w:rsid w:val="00313C0D"/>
    <w:rsid w:val="003147B7"/>
    <w:rsid w:val="00314CBA"/>
    <w:rsid w:val="00314CD3"/>
    <w:rsid w:val="00315042"/>
    <w:rsid w:val="0031526A"/>
    <w:rsid w:val="003153BE"/>
    <w:rsid w:val="00315A23"/>
    <w:rsid w:val="00316592"/>
    <w:rsid w:val="00316B75"/>
    <w:rsid w:val="00316EAA"/>
    <w:rsid w:val="00317333"/>
    <w:rsid w:val="00317879"/>
    <w:rsid w:val="00317A89"/>
    <w:rsid w:val="00317E00"/>
    <w:rsid w:val="003205F3"/>
    <w:rsid w:val="003216C3"/>
    <w:rsid w:val="00322375"/>
    <w:rsid w:val="00322B01"/>
    <w:rsid w:val="00322CBE"/>
    <w:rsid w:val="00323031"/>
    <w:rsid w:val="00323150"/>
    <w:rsid w:val="00323465"/>
    <w:rsid w:val="003238AE"/>
    <w:rsid w:val="00324171"/>
    <w:rsid w:val="00324417"/>
    <w:rsid w:val="00324C6E"/>
    <w:rsid w:val="00325344"/>
    <w:rsid w:val="00325715"/>
    <w:rsid w:val="003258DB"/>
    <w:rsid w:val="0032655B"/>
    <w:rsid w:val="003266B9"/>
    <w:rsid w:val="003269A1"/>
    <w:rsid w:val="00326DB9"/>
    <w:rsid w:val="0032759B"/>
    <w:rsid w:val="00327749"/>
    <w:rsid w:val="00327CF8"/>
    <w:rsid w:val="00327FD7"/>
    <w:rsid w:val="0033024D"/>
    <w:rsid w:val="00330729"/>
    <w:rsid w:val="00330964"/>
    <w:rsid w:val="0033110B"/>
    <w:rsid w:val="00331419"/>
    <w:rsid w:val="0033147C"/>
    <w:rsid w:val="00332497"/>
    <w:rsid w:val="0033273C"/>
    <w:rsid w:val="00332A1A"/>
    <w:rsid w:val="00332A3C"/>
    <w:rsid w:val="00332B0F"/>
    <w:rsid w:val="00332C08"/>
    <w:rsid w:val="00333496"/>
    <w:rsid w:val="00333705"/>
    <w:rsid w:val="0033429F"/>
    <w:rsid w:val="003342EA"/>
    <w:rsid w:val="00335049"/>
    <w:rsid w:val="0033515D"/>
    <w:rsid w:val="003355D7"/>
    <w:rsid w:val="00335849"/>
    <w:rsid w:val="00335B12"/>
    <w:rsid w:val="00336015"/>
    <w:rsid w:val="0033635E"/>
    <w:rsid w:val="003367C8"/>
    <w:rsid w:val="00336978"/>
    <w:rsid w:val="00336A24"/>
    <w:rsid w:val="00336C54"/>
    <w:rsid w:val="00336CE4"/>
    <w:rsid w:val="00337B10"/>
    <w:rsid w:val="0034016C"/>
    <w:rsid w:val="003415CA"/>
    <w:rsid w:val="0034185F"/>
    <w:rsid w:val="00342306"/>
    <w:rsid w:val="003426D3"/>
    <w:rsid w:val="003435F1"/>
    <w:rsid w:val="003437B7"/>
    <w:rsid w:val="00344BB8"/>
    <w:rsid w:val="00344D0A"/>
    <w:rsid w:val="00344ECE"/>
    <w:rsid w:val="0034651D"/>
    <w:rsid w:val="00346BB0"/>
    <w:rsid w:val="003473FC"/>
    <w:rsid w:val="0034769C"/>
    <w:rsid w:val="0034799C"/>
    <w:rsid w:val="00347FDF"/>
    <w:rsid w:val="00350320"/>
    <w:rsid w:val="003503E4"/>
    <w:rsid w:val="00350590"/>
    <w:rsid w:val="003505EF"/>
    <w:rsid w:val="0035066F"/>
    <w:rsid w:val="003506B4"/>
    <w:rsid w:val="0035078D"/>
    <w:rsid w:val="0035114E"/>
    <w:rsid w:val="0035123F"/>
    <w:rsid w:val="0035190B"/>
    <w:rsid w:val="00351DCE"/>
    <w:rsid w:val="00352AB9"/>
    <w:rsid w:val="00352F0D"/>
    <w:rsid w:val="00353889"/>
    <w:rsid w:val="003539BC"/>
    <w:rsid w:val="00353D16"/>
    <w:rsid w:val="00353DFF"/>
    <w:rsid w:val="00354210"/>
    <w:rsid w:val="00354374"/>
    <w:rsid w:val="003544E8"/>
    <w:rsid w:val="00355C29"/>
    <w:rsid w:val="00356145"/>
    <w:rsid w:val="003567DC"/>
    <w:rsid w:val="00356C97"/>
    <w:rsid w:val="003571B9"/>
    <w:rsid w:val="00357512"/>
    <w:rsid w:val="0035762D"/>
    <w:rsid w:val="00357958"/>
    <w:rsid w:val="00357D53"/>
    <w:rsid w:val="00361D27"/>
    <w:rsid w:val="00361F10"/>
    <w:rsid w:val="003621CD"/>
    <w:rsid w:val="0036243E"/>
    <w:rsid w:val="0036268A"/>
    <w:rsid w:val="0036287F"/>
    <w:rsid w:val="00362982"/>
    <w:rsid w:val="00362AB8"/>
    <w:rsid w:val="00363D88"/>
    <w:rsid w:val="00365286"/>
    <w:rsid w:val="003652DB"/>
    <w:rsid w:val="003661D0"/>
    <w:rsid w:val="003665DA"/>
    <w:rsid w:val="003666D1"/>
    <w:rsid w:val="0036674C"/>
    <w:rsid w:val="00367189"/>
    <w:rsid w:val="003672C1"/>
    <w:rsid w:val="00367E06"/>
    <w:rsid w:val="00367EEB"/>
    <w:rsid w:val="00370167"/>
    <w:rsid w:val="0037020C"/>
    <w:rsid w:val="00370600"/>
    <w:rsid w:val="00371043"/>
    <w:rsid w:val="00371706"/>
    <w:rsid w:val="0037213A"/>
    <w:rsid w:val="003725F8"/>
    <w:rsid w:val="00372FC5"/>
    <w:rsid w:val="0037324A"/>
    <w:rsid w:val="00373321"/>
    <w:rsid w:val="0037353D"/>
    <w:rsid w:val="003736CC"/>
    <w:rsid w:val="0037451D"/>
    <w:rsid w:val="0037465B"/>
    <w:rsid w:val="00374B6E"/>
    <w:rsid w:val="00374C6B"/>
    <w:rsid w:val="00375432"/>
    <w:rsid w:val="00375727"/>
    <w:rsid w:val="003758CD"/>
    <w:rsid w:val="00375AA9"/>
    <w:rsid w:val="00376E75"/>
    <w:rsid w:val="0037780D"/>
    <w:rsid w:val="00377E9E"/>
    <w:rsid w:val="003806C8"/>
    <w:rsid w:val="00381155"/>
    <w:rsid w:val="0038138F"/>
    <w:rsid w:val="00381F96"/>
    <w:rsid w:val="0038272F"/>
    <w:rsid w:val="00382838"/>
    <w:rsid w:val="00382F34"/>
    <w:rsid w:val="003830B4"/>
    <w:rsid w:val="0038340C"/>
    <w:rsid w:val="00383A83"/>
    <w:rsid w:val="00383CB2"/>
    <w:rsid w:val="00384584"/>
    <w:rsid w:val="00384771"/>
    <w:rsid w:val="003849B6"/>
    <w:rsid w:val="00384A3E"/>
    <w:rsid w:val="00384DE2"/>
    <w:rsid w:val="00385635"/>
    <w:rsid w:val="00385A4B"/>
    <w:rsid w:val="00385B9F"/>
    <w:rsid w:val="00385BF6"/>
    <w:rsid w:val="00386276"/>
    <w:rsid w:val="003862B1"/>
    <w:rsid w:val="0038676D"/>
    <w:rsid w:val="00386ED7"/>
    <w:rsid w:val="00387291"/>
    <w:rsid w:val="00387664"/>
    <w:rsid w:val="003879CF"/>
    <w:rsid w:val="003901B9"/>
    <w:rsid w:val="003909CF"/>
    <w:rsid w:val="00391828"/>
    <w:rsid w:val="0039215E"/>
    <w:rsid w:val="00392244"/>
    <w:rsid w:val="003923A1"/>
    <w:rsid w:val="003923D4"/>
    <w:rsid w:val="0039245B"/>
    <w:rsid w:val="0039268D"/>
    <w:rsid w:val="003931EB"/>
    <w:rsid w:val="00393A11"/>
    <w:rsid w:val="00393A45"/>
    <w:rsid w:val="00393F45"/>
    <w:rsid w:val="003946D3"/>
    <w:rsid w:val="00395413"/>
    <w:rsid w:val="0039690E"/>
    <w:rsid w:val="0039694F"/>
    <w:rsid w:val="00396A84"/>
    <w:rsid w:val="00396DD9"/>
    <w:rsid w:val="00396E60"/>
    <w:rsid w:val="0039736D"/>
    <w:rsid w:val="003974B8"/>
    <w:rsid w:val="0039783D"/>
    <w:rsid w:val="003A081E"/>
    <w:rsid w:val="003A1296"/>
    <w:rsid w:val="003A1552"/>
    <w:rsid w:val="003A1F1D"/>
    <w:rsid w:val="003A2949"/>
    <w:rsid w:val="003A2D65"/>
    <w:rsid w:val="003A2E42"/>
    <w:rsid w:val="003A2E63"/>
    <w:rsid w:val="003A2EA4"/>
    <w:rsid w:val="003A3412"/>
    <w:rsid w:val="003A37F7"/>
    <w:rsid w:val="003A3AA4"/>
    <w:rsid w:val="003A41F3"/>
    <w:rsid w:val="003A4754"/>
    <w:rsid w:val="003A4B3F"/>
    <w:rsid w:val="003A4F04"/>
    <w:rsid w:val="003A55BA"/>
    <w:rsid w:val="003A59A3"/>
    <w:rsid w:val="003A5AAD"/>
    <w:rsid w:val="003A646B"/>
    <w:rsid w:val="003A656D"/>
    <w:rsid w:val="003A65A8"/>
    <w:rsid w:val="003A6E24"/>
    <w:rsid w:val="003A72C5"/>
    <w:rsid w:val="003A7905"/>
    <w:rsid w:val="003A7938"/>
    <w:rsid w:val="003B02BE"/>
    <w:rsid w:val="003B0480"/>
    <w:rsid w:val="003B17E3"/>
    <w:rsid w:val="003B1F74"/>
    <w:rsid w:val="003B1FCC"/>
    <w:rsid w:val="003B2009"/>
    <w:rsid w:val="003B2219"/>
    <w:rsid w:val="003B25CC"/>
    <w:rsid w:val="003B2D0C"/>
    <w:rsid w:val="003B308E"/>
    <w:rsid w:val="003B31CB"/>
    <w:rsid w:val="003B47FA"/>
    <w:rsid w:val="003B5173"/>
    <w:rsid w:val="003B51BA"/>
    <w:rsid w:val="003B567E"/>
    <w:rsid w:val="003B622B"/>
    <w:rsid w:val="003B67DC"/>
    <w:rsid w:val="003B6CED"/>
    <w:rsid w:val="003C00A4"/>
    <w:rsid w:val="003C019F"/>
    <w:rsid w:val="003C06B8"/>
    <w:rsid w:val="003C0B8B"/>
    <w:rsid w:val="003C0E88"/>
    <w:rsid w:val="003C145D"/>
    <w:rsid w:val="003C1F1B"/>
    <w:rsid w:val="003C2F80"/>
    <w:rsid w:val="003C494B"/>
    <w:rsid w:val="003C4AE8"/>
    <w:rsid w:val="003C5062"/>
    <w:rsid w:val="003C5B01"/>
    <w:rsid w:val="003C6116"/>
    <w:rsid w:val="003C618A"/>
    <w:rsid w:val="003C61D2"/>
    <w:rsid w:val="003C70DB"/>
    <w:rsid w:val="003C76FB"/>
    <w:rsid w:val="003C7B5C"/>
    <w:rsid w:val="003C7BE4"/>
    <w:rsid w:val="003C7FDF"/>
    <w:rsid w:val="003D037A"/>
    <w:rsid w:val="003D109A"/>
    <w:rsid w:val="003D12BD"/>
    <w:rsid w:val="003D247E"/>
    <w:rsid w:val="003D24F7"/>
    <w:rsid w:val="003D2629"/>
    <w:rsid w:val="003D2C26"/>
    <w:rsid w:val="003D2EF4"/>
    <w:rsid w:val="003D3291"/>
    <w:rsid w:val="003D420B"/>
    <w:rsid w:val="003D4233"/>
    <w:rsid w:val="003D43B9"/>
    <w:rsid w:val="003D4871"/>
    <w:rsid w:val="003D49C6"/>
    <w:rsid w:val="003D4A82"/>
    <w:rsid w:val="003D4A95"/>
    <w:rsid w:val="003D4F25"/>
    <w:rsid w:val="003D5026"/>
    <w:rsid w:val="003D59BD"/>
    <w:rsid w:val="003D6646"/>
    <w:rsid w:val="003D6678"/>
    <w:rsid w:val="003D699D"/>
    <w:rsid w:val="003D6AE4"/>
    <w:rsid w:val="003D6B9C"/>
    <w:rsid w:val="003D6D0C"/>
    <w:rsid w:val="003D6F34"/>
    <w:rsid w:val="003D6FA5"/>
    <w:rsid w:val="003D7289"/>
    <w:rsid w:val="003D7641"/>
    <w:rsid w:val="003D7716"/>
    <w:rsid w:val="003D7AF8"/>
    <w:rsid w:val="003D7BD9"/>
    <w:rsid w:val="003E0704"/>
    <w:rsid w:val="003E0E04"/>
    <w:rsid w:val="003E1610"/>
    <w:rsid w:val="003E27F0"/>
    <w:rsid w:val="003E28F7"/>
    <w:rsid w:val="003E299E"/>
    <w:rsid w:val="003E42DD"/>
    <w:rsid w:val="003E4446"/>
    <w:rsid w:val="003E4A6E"/>
    <w:rsid w:val="003E4AB3"/>
    <w:rsid w:val="003E51ED"/>
    <w:rsid w:val="003E51FE"/>
    <w:rsid w:val="003E5B88"/>
    <w:rsid w:val="003E5DBF"/>
    <w:rsid w:val="003E65BB"/>
    <w:rsid w:val="003E6872"/>
    <w:rsid w:val="003E6A49"/>
    <w:rsid w:val="003E6AB2"/>
    <w:rsid w:val="003E73F8"/>
    <w:rsid w:val="003E7D31"/>
    <w:rsid w:val="003E7F3B"/>
    <w:rsid w:val="003F0B4F"/>
    <w:rsid w:val="003F1ADC"/>
    <w:rsid w:val="003F1E74"/>
    <w:rsid w:val="003F1F4F"/>
    <w:rsid w:val="003F2AB5"/>
    <w:rsid w:val="003F3A51"/>
    <w:rsid w:val="003F4C18"/>
    <w:rsid w:val="003F4C1B"/>
    <w:rsid w:val="003F50A6"/>
    <w:rsid w:val="003F50D8"/>
    <w:rsid w:val="003F51A5"/>
    <w:rsid w:val="003F52EA"/>
    <w:rsid w:val="003F576C"/>
    <w:rsid w:val="003F5D2F"/>
    <w:rsid w:val="003F6419"/>
    <w:rsid w:val="003F6AD2"/>
    <w:rsid w:val="003F7514"/>
    <w:rsid w:val="003F76F1"/>
    <w:rsid w:val="003F7974"/>
    <w:rsid w:val="003F7EEF"/>
    <w:rsid w:val="00400216"/>
    <w:rsid w:val="00400E20"/>
    <w:rsid w:val="00402232"/>
    <w:rsid w:val="00402D8E"/>
    <w:rsid w:val="0040353B"/>
    <w:rsid w:val="0040483F"/>
    <w:rsid w:val="00404EE5"/>
    <w:rsid w:val="00404EFD"/>
    <w:rsid w:val="00405727"/>
    <w:rsid w:val="00406118"/>
    <w:rsid w:val="00406307"/>
    <w:rsid w:val="00406677"/>
    <w:rsid w:val="00406CD2"/>
    <w:rsid w:val="00406FD0"/>
    <w:rsid w:val="004070CC"/>
    <w:rsid w:val="004072C7"/>
    <w:rsid w:val="00407989"/>
    <w:rsid w:val="0040798F"/>
    <w:rsid w:val="00407D2F"/>
    <w:rsid w:val="00407E4F"/>
    <w:rsid w:val="00407E5F"/>
    <w:rsid w:val="004106F8"/>
    <w:rsid w:val="004107FD"/>
    <w:rsid w:val="004108E5"/>
    <w:rsid w:val="004118FC"/>
    <w:rsid w:val="0041200F"/>
    <w:rsid w:val="004124B4"/>
    <w:rsid w:val="0041294C"/>
    <w:rsid w:val="00412CB9"/>
    <w:rsid w:val="00412E0D"/>
    <w:rsid w:val="00413498"/>
    <w:rsid w:val="00414616"/>
    <w:rsid w:val="00414E6B"/>
    <w:rsid w:val="00415261"/>
    <w:rsid w:val="004159AE"/>
    <w:rsid w:val="00415E28"/>
    <w:rsid w:val="00416272"/>
    <w:rsid w:val="00416385"/>
    <w:rsid w:val="004165BF"/>
    <w:rsid w:val="004170C7"/>
    <w:rsid w:val="0041710E"/>
    <w:rsid w:val="0041730F"/>
    <w:rsid w:val="004179E1"/>
    <w:rsid w:val="004179F8"/>
    <w:rsid w:val="00417AF8"/>
    <w:rsid w:val="0042155B"/>
    <w:rsid w:val="004219B5"/>
    <w:rsid w:val="00422A07"/>
    <w:rsid w:val="00422DA3"/>
    <w:rsid w:val="0042308A"/>
    <w:rsid w:val="004237BD"/>
    <w:rsid w:val="0042445A"/>
    <w:rsid w:val="00424D79"/>
    <w:rsid w:val="00425B7F"/>
    <w:rsid w:val="00425C04"/>
    <w:rsid w:val="00425EC2"/>
    <w:rsid w:val="00426345"/>
    <w:rsid w:val="00426377"/>
    <w:rsid w:val="004264D2"/>
    <w:rsid w:val="0042658B"/>
    <w:rsid w:val="0042663B"/>
    <w:rsid w:val="004268DD"/>
    <w:rsid w:val="00427DDC"/>
    <w:rsid w:val="00427F32"/>
    <w:rsid w:val="0043006B"/>
    <w:rsid w:val="00430DE4"/>
    <w:rsid w:val="00431A49"/>
    <w:rsid w:val="00431AD6"/>
    <w:rsid w:val="00431AEB"/>
    <w:rsid w:val="004320BA"/>
    <w:rsid w:val="004331EE"/>
    <w:rsid w:val="004336B9"/>
    <w:rsid w:val="00433E27"/>
    <w:rsid w:val="00434053"/>
    <w:rsid w:val="0043432B"/>
    <w:rsid w:val="00434B95"/>
    <w:rsid w:val="00435392"/>
    <w:rsid w:val="00435F2C"/>
    <w:rsid w:val="00436030"/>
    <w:rsid w:val="004361BA"/>
    <w:rsid w:val="0043661C"/>
    <w:rsid w:val="00436A21"/>
    <w:rsid w:val="00436AB0"/>
    <w:rsid w:val="00436C41"/>
    <w:rsid w:val="004370AD"/>
    <w:rsid w:val="00437D35"/>
    <w:rsid w:val="00437E7C"/>
    <w:rsid w:val="00437F81"/>
    <w:rsid w:val="004402DA"/>
    <w:rsid w:val="00441819"/>
    <w:rsid w:val="0044330D"/>
    <w:rsid w:val="004434BE"/>
    <w:rsid w:val="0044376B"/>
    <w:rsid w:val="00444C35"/>
    <w:rsid w:val="00445A13"/>
    <w:rsid w:val="00445CB2"/>
    <w:rsid w:val="00446365"/>
    <w:rsid w:val="00446532"/>
    <w:rsid w:val="0044733D"/>
    <w:rsid w:val="00447BB8"/>
    <w:rsid w:val="00450007"/>
    <w:rsid w:val="0045038F"/>
    <w:rsid w:val="00450601"/>
    <w:rsid w:val="00450967"/>
    <w:rsid w:val="00451006"/>
    <w:rsid w:val="004516B2"/>
    <w:rsid w:val="00451FF4"/>
    <w:rsid w:val="00452750"/>
    <w:rsid w:val="00454556"/>
    <w:rsid w:val="004549D3"/>
    <w:rsid w:val="00454D85"/>
    <w:rsid w:val="00455C31"/>
    <w:rsid w:val="00455D0F"/>
    <w:rsid w:val="00455D42"/>
    <w:rsid w:val="00455F0C"/>
    <w:rsid w:val="00456566"/>
    <w:rsid w:val="004566EB"/>
    <w:rsid w:val="004567E8"/>
    <w:rsid w:val="00456841"/>
    <w:rsid w:val="004576D7"/>
    <w:rsid w:val="004577F6"/>
    <w:rsid w:val="00457B53"/>
    <w:rsid w:val="0046061F"/>
    <w:rsid w:val="004609AD"/>
    <w:rsid w:val="00460D3F"/>
    <w:rsid w:val="00461222"/>
    <w:rsid w:val="00461592"/>
    <w:rsid w:val="00461D22"/>
    <w:rsid w:val="00462046"/>
    <w:rsid w:val="00462115"/>
    <w:rsid w:val="00462D8C"/>
    <w:rsid w:val="0046349E"/>
    <w:rsid w:val="004634E4"/>
    <w:rsid w:val="00463727"/>
    <w:rsid w:val="004637A5"/>
    <w:rsid w:val="00463826"/>
    <w:rsid w:val="00463B00"/>
    <w:rsid w:val="00463D92"/>
    <w:rsid w:val="00463DCD"/>
    <w:rsid w:val="00464B0E"/>
    <w:rsid w:val="00464DDB"/>
    <w:rsid w:val="00465062"/>
    <w:rsid w:val="00465274"/>
    <w:rsid w:val="0046566C"/>
    <w:rsid w:val="0046570C"/>
    <w:rsid w:val="00466182"/>
    <w:rsid w:val="0046637A"/>
    <w:rsid w:val="00466632"/>
    <w:rsid w:val="0046666D"/>
    <w:rsid w:val="00466765"/>
    <w:rsid w:val="00466D1D"/>
    <w:rsid w:val="004670E3"/>
    <w:rsid w:val="00467831"/>
    <w:rsid w:val="00470D57"/>
    <w:rsid w:val="00471066"/>
    <w:rsid w:val="00471E5D"/>
    <w:rsid w:val="0047234D"/>
    <w:rsid w:val="00472B0D"/>
    <w:rsid w:val="004734D5"/>
    <w:rsid w:val="004738A2"/>
    <w:rsid w:val="00473D39"/>
    <w:rsid w:val="00474DD4"/>
    <w:rsid w:val="00474EB8"/>
    <w:rsid w:val="00475595"/>
    <w:rsid w:val="00475F9B"/>
    <w:rsid w:val="00476670"/>
    <w:rsid w:val="00476680"/>
    <w:rsid w:val="0047679A"/>
    <w:rsid w:val="0047691E"/>
    <w:rsid w:val="00476D1D"/>
    <w:rsid w:val="0047716C"/>
    <w:rsid w:val="00477B76"/>
    <w:rsid w:val="00477DD7"/>
    <w:rsid w:val="00480681"/>
    <w:rsid w:val="004806AA"/>
    <w:rsid w:val="00480808"/>
    <w:rsid w:val="00480CF4"/>
    <w:rsid w:val="00480D5E"/>
    <w:rsid w:val="00480FBE"/>
    <w:rsid w:val="004816DB"/>
    <w:rsid w:val="004818F7"/>
    <w:rsid w:val="00482029"/>
    <w:rsid w:val="004827B7"/>
    <w:rsid w:val="0048302B"/>
    <w:rsid w:val="0048306B"/>
    <w:rsid w:val="00483BF3"/>
    <w:rsid w:val="00483FD9"/>
    <w:rsid w:val="004845D2"/>
    <w:rsid w:val="00484676"/>
    <w:rsid w:val="0048471E"/>
    <w:rsid w:val="00484820"/>
    <w:rsid w:val="00484A31"/>
    <w:rsid w:val="004850EE"/>
    <w:rsid w:val="004855FD"/>
    <w:rsid w:val="0048580B"/>
    <w:rsid w:val="00485845"/>
    <w:rsid w:val="00485912"/>
    <w:rsid w:val="00485B3A"/>
    <w:rsid w:val="00485E0C"/>
    <w:rsid w:val="0048643D"/>
    <w:rsid w:val="004867A6"/>
    <w:rsid w:val="0048682D"/>
    <w:rsid w:val="0048761D"/>
    <w:rsid w:val="0048770A"/>
    <w:rsid w:val="0048794D"/>
    <w:rsid w:val="00487A38"/>
    <w:rsid w:val="00487CA5"/>
    <w:rsid w:val="004900C6"/>
    <w:rsid w:val="0049015C"/>
    <w:rsid w:val="0049081D"/>
    <w:rsid w:val="0049098B"/>
    <w:rsid w:val="00490A38"/>
    <w:rsid w:val="00490B0F"/>
    <w:rsid w:val="00491F12"/>
    <w:rsid w:val="00492531"/>
    <w:rsid w:val="00493149"/>
    <w:rsid w:val="00493369"/>
    <w:rsid w:val="004937B5"/>
    <w:rsid w:val="00493ED7"/>
    <w:rsid w:val="00494018"/>
    <w:rsid w:val="0049568D"/>
    <w:rsid w:val="00495CE0"/>
    <w:rsid w:val="004960FD"/>
    <w:rsid w:val="0049637D"/>
    <w:rsid w:val="004967D3"/>
    <w:rsid w:val="004968B1"/>
    <w:rsid w:val="004968DA"/>
    <w:rsid w:val="00496D58"/>
    <w:rsid w:val="00497E38"/>
    <w:rsid w:val="00497EAC"/>
    <w:rsid w:val="004A0177"/>
    <w:rsid w:val="004A01DA"/>
    <w:rsid w:val="004A1428"/>
    <w:rsid w:val="004A15AD"/>
    <w:rsid w:val="004A192B"/>
    <w:rsid w:val="004A1A3C"/>
    <w:rsid w:val="004A1ADE"/>
    <w:rsid w:val="004A1E3F"/>
    <w:rsid w:val="004A2641"/>
    <w:rsid w:val="004A26C9"/>
    <w:rsid w:val="004A2F31"/>
    <w:rsid w:val="004A3382"/>
    <w:rsid w:val="004A3CFA"/>
    <w:rsid w:val="004A442B"/>
    <w:rsid w:val="004A4483"/>
    <w:rsid w:val="004A4DA6"/>
    <w:rsid w:val="004A5383"/>
    <w:rsid w:val="004A5A37"/>
    <w:rsid w:val="004A62EC"/>
    <w:rsid w:val="004A6607"/>
    <w:rsid w:val="004A663A"/>
    <w:rsid w:val="004A696D"/>
    <w:rsid w:val="004A6C1C"/>
    <w:rsid w:val="004A7774"/>
    <w:rsid w:val="004A7CB1"/>
    <w:rsid w:val="004B0211"/>
    <w:rsid w:val="004B04F5"/>
    <w:rsid w:val="004B0A1F"/>
    <w:rsid w:val="004B0C35"/>
    <w:rsid w:val="004B0E50"/>
    <w:rsid w:val="004B104A"/>
    <w:rsid w:val="004B17A2"/>
    <w:rsid w:val="004B1CC9"/>
    <w:rsid w:val="004B2088"/>
    <w:rsid w:val="004B233E"/>
    <w:rsid w:val="004B2820"/>
    <w:rsid w:val="004B2F70"/>
    <w:rsid w:val="004B3496"/>
    <w:rsid w:val="004B35F0"/>
    <w:rsid w:val="004B38D6"/>
    <w:rsid w:val="004B3CD9"/>
    <w:rsid w:val="004B53CA"/>
    <w:rsid w:val="004B54FE"/>
    <w:rsid w:val="004B59C1"/>
    <w:rsid w:val="004B601D"/>
    <w:rsid w:val="004B6735"/>
    <w:rsid w:val="004B6751"/>
    <w:rsid w:val="004B7377"/>
    <w:rsid w:val="004B766C"/>
    <w:rsid w:val="004B76E0"/>
    <w:rsid w:val="004C04F4"/>
    <w:rsid w:val="004C0D3D"/>
    <w:rsid w:val="004C0DD6"/>
    <w:rsid w:val="004C0F9A"/>
    <w:rsid w:val="004C1441"/>
    <w:rsid w:val="004C1589"/>
    <w:rsid w:val="004C20DC"/>
    <w:rsid w:val="004C28C3"/>
    <w:rsid w:val="004C28F0"/>
    <w:rsid w:val="004C2C85"/>
    <w:rsid w:val="004C33A6"/>
    <w:rsid w:val="004C360F"/>
    <w:rsid w:val="004C3A62"/>
    <w:rsid w:val="004C3D8E"/>
    <w:rsid w:val="004C40A9"/>
    <w:rsid w:val="004C50D0"/>
    <w:rsid w:val="004C5266"/>
    <w:rsid w:val="004C531B"/>
    <w:rsid w:val="004C6C9D"/>
    <w:rsid w:val="004C71D0"/>
    <w:rsid w:val="004C730F"/>
    <w:rsid w:val="004C77FB"/>
    <w:rsid w:val="004C7F88"/>
    <w:rsid w:val="004D0D42"/>
    <w:rsid w:val="004D17BB"/>
    <w:rsid w:val="004D18C1"/>
    <w:rsid w:val="004D2198"/>
    <w:rsid w:val="004D2B6E"/>
    <w:rsid w:val="004D3B4F"/>
    <w:rsid w:val="004D429A"/>
    <w:rsid w:val="004D455A"/>
    <w:rsid w:val="004D48F5"/>
    <w:rsid w:val="004D4977"/>
    <w:rsid w:val="004D4B41"/>
    <w:rsid w:val="004D527F"/>
    <w:rsid w:val="004D5851"/>
    <w:rsid w:val="004D5977"/>
    <w:rsid w:val="004D59FD"/>
    <w:rsid w:val="004D5EB4"/>
    <w:rsid w:val="004D61D5"/>
    <w:rsid w:val="004D659B"/>
    <w:rsid w:val="004D66CB"/>
    <w:rsid w:val="004D7519"/>
    <w:rsid w:val="004E04A6"/>
    <w:rsid w:val="004E0C6C"/>
    <w:rsid w:val="004E1D72"/>
    <w:rsid w:val="004E2D74"/>
    <w:rsid w:val="004E3E12"/>
    <w:rsid w:val="004E4F7A"/>
    <w:rsid w:val="004E51BF"/>
    <w:rsid w:val="004E56E8"/>
    <w:rsid w:val="004E59B1"/>
    <w:rsid w:val="004E5AC6"/>
    <w:rsid w:val="004E5F7E"/>
    <w:rsid w:val="004E62B8"/>
    <w:rsid w:val="004E66DC"/>
    <w:rsid w:val="004E6F56"/>
    <w:rsid w:val="004F04CA"/>
    <w:rsid w:val="004F10E5"/>
    <w:rsid w:val="004F1A04"/>
    <w:rsid w:val="004F1D5E"/>
    <w:rsid w:val="004F1E03"/>
    <w:rsid w:val="004F2777"/>
    <w:rsid w:val="004F3531"/>
    <w:rsid w:val="004F3689"/>
    <w:rsid w:val="004F38E6"/>
    <w:rsid w:val="004F39B3"/>
    <w:rsid w:val="004F472C"/>
    <w:rsid w:val="004F4906"/>
    <w:rsid w:val="004F4D2C"/>
    <w:rsid w:val="004F5894"/>
    <w:rsid w:val="004F5C4E"/>
    <w:rsid w:val="004F6112"/>
    <w:rsid w:val="004F6437"/>
    <w:rsid w:val="004F65D9"/>
    <w:rsid w:val="004F680F"/>
    <w:rsid w:val="004F6DF7"/>
    <w:rsid w:val="004F789B"/>
    <w:rsid w:val="004F7B28"/>
    <w:rsid w:val="004F7ED4"/>
    <w:rsid w:val="005003BF"/>
    <w:rsid w:val="00500B66"/>
    <w:rsid w:val="00501277"/>
    <w:rsid w:val="0050132B"/>
    <w:rsid w:val="00501880"/>
    <w:rsid w:val="005018D9"/>
    <w:rsid w:val="00502611"/>
    <w:rsid w:val="0050299A"/>
    <w:rsid w:val="00502D73"/>
    <w:rsid w:val="00502D77"/>
    <w:rsid w:val="00503BB3"/>
    <w:rsid w:val="00503DDA"/>
    <w:rsid w:val="0050443E"/>
    <w:rsid w:val="00504A55"/>
    <w:rsid w:val="00505213"/>
    <w:rsid w:val="0050560B"/>
    <w:rsid w:val="00505798"/>
    <w:rsid w:val="00505B06"/>
    <w:rsid w:val="00505D90"/>
    <w:rsid w:val="0050623B"/>
    <w:rsid w:val="0050632C"/>
    <w:rsid w:val="00506412"/>
    <w:rsid w:val="0050695F"/>
    <w:rsid w:val="00506A9A"/>
    <w:rsid w:val="00506D31"/>
    <w:rsid w:val="00506E1D"/>
    <w:rsid w:val="005072BF"/>
    <w:rsid w:val="005077CB"/>
    <w:rsid w:val="005078EF"/>
    <w:rsid w:val="005109E6"/>
    <w:rsid w:val="00511085"/>
    <w:rsid w:val="00511352"/>
    <w:rsid w:val="005114E3"/>
    <w:rsid w:val="00512266"/>
    <w:rsid w:val="005125F6"/>
    <w:rsid w:val="0051281B"/>
    <w:rsid w:val="00512E52"/>
    <w:rsid w:val="005130CC"/>
    <w:rsid w:val="005135D0"/>
    <w:rsid w:val="005136F7"/>
    <w:rsid w:val="00514088"/>
    <w:rsid w:val="005140F8"/>
    <w:rsid w:val="0051483D"/>
    <w:rsid w:val="00514957"/>
    <w:rsid w:val="00514D38"/>
    <w:rsid w:val="00515229"/>
    <w:rsid w:val="00515D5E"/>
    <w:rsid w:val="00515ED8"/>
    <w:rsid w:val="00516228"/>
    <w:rsid w:val="0051702A"/>
    <w:rsid w:val="005176D9"/>
    <w:rsid w:val="00517804"/>
    <w:rsid w:val="00517919"/>
    <w:rsid w:val="00517C69"/>
    <w:rsid w:val="005213BC"/>
    <w:rsid w:val="0052142D"/>
    <w:rsid w:val="00521EC5"/>
    <w:rsid w:val="00522649"/>
    <w:rsid w:val="0052266E"/>
    <w:rsid w:val="00522F51"/>
    <w:rsid w:val="005231AB"/>
    <w:rsid w:val="00523BA0"/>
    <w:rsid w:val="00523EFB"/>
    <w:rsid w:val="005246CC"/>
    <w:rsid w:val="00524DF9"/>
    <w:rsid w:val="00524EEE"/>
    <w:rsid w:val="0052506E"/>
    <w:rsid w:val="005253C4"/>
    <w:rsid w:val="005254E3"/>
    <w:rsid w:val="00525806"/>
    <w:rsid w:val="00525D7D"/>
    <w:rsid w:val="00526CD0"/>
    <w:rsid w:val="00527C65"/>
    <w:rsid w:val="00527CDE"/>
    <w:rsid w:val="00527D8D"/>
    <w:rsid w:val="0053021C"/>
    <w:rsid w:val="0053038D"/>
    <w:rsid w:val="00530A86"/>
    <w:rsid w:val="005310F4"/>
    <w:rsid w:val="00531951"/>
    <w:rsid w:val="00532070"/>
    <w:rsid w:val="0053260D"/>
    <w:rsid w:val="00532979"/>
    <w:rsid w:val="00533686"/>
    <w:rsid w:val="005336F6"/>
    <w:rsid w:val="0053386D"/>
    <w:rsid w:val="00534557"/>
    <w:rsid w:val="0053469A"/>
    <w:rsid w:val="00534A52"/>
    <w:rsid w:val="00535242"/>
    <w:rsid w:val="00535792"/>
    <w:rsid w:val="00535D16"/>
    <w:rsid w:val="00536474"/>
    <w:rsid w:val="00536A00"/>
    <w:rsid w:val="00536AD5"/>
    <w:rsid w:val="00536E29"/>
    <w:rsid w:val="00536EC7"/>
    <w:rsid w:val="00537224"/>
    <w:rsid w:val="005375EA"/>
    <w:rsid w:val="00537A75"/>
    <w:rsid w:val="00537B6C"/>
    <w:rsid w:val="00540292"/>
    <w:rsid w:val="005405F8"/>
    <w:rsid w:val="00540A92"/>
    <w:rsid w:val="005411E2"/>
    <w:rsid w:val="00541514"/>
    <w:rsid w:val="00541583"/>
    <w:rsid w:val="00541656"/>
    <w:rsid w:val="005417B4"/>
    <w:rsid w:val="00541CF7"/>
    <w:rsid w:val="00542D00"/>
    <w:rsid w:val="00542D38"/>
    <w:rsid w:val="00542EA1"/>
    <w:rsid w:val="00543389"/>
    <w:rsid w:val="00543C12"/>
    <w:rsid w:val="005440D2"/>
    <w:rsid w:val="005444AC"/>
    <w:rsid w:val="00544759"/>
    <w:rsid w:val="00545893"/>
    <w:rsid w:val="005458AC"/>
    <w:rsid w:val="00545927"/>
    <w:rsid w:val="0054598E"/>
    <w:rsid w:val="005461D4"/>
    <w:rsid w:val="00547780"/>
    <w:rsid w:val="00547B10"/>
    <w:rsid w:val="00547C94"/>
    <w:rsid w:val="00547E74"/>
    <w:rsid w:val="005500F4"/>
    <w:rsid w:val="005506E4"/>
    <w:rsid w:val="00551CAE"/>
    <w:rsid w:val="00551DD5"/>
    <w:rsid w:val="00552180"/>
    <w:rsid w:val="00552729"/>
    <w:rsid w:val="00553678"/>
    <w:rsid w:val="00553948"/>
    <w:rsid w:val="00553B97"/>
    <w:rsid w:val="0055419A"/>
    <w:rsid w:val="005544F2"/>
    <w:rsid w:val="00554CB0"/>
    <w:rsid w:val="00554D98"/>
    <w:rsid w:val="0055553B"/>
    <w:rsid w:val="00555CA3"/>
    <w:rsid w:val="00555CB8"/>
    <w:rsid w:val="00556039"/>
    <w:rsid w:val="00556172"/>
    <w:rsid w:val="0055650C"/>
    <w:rsid w:val="00556A33"/>
    <w:rsid w:val="005570F8"/>
    <w:rsid w:val="005601E4"/>
    <w:rsid w:val="005602CF"/>
    <w:rsid w:val="00560799"/>
    <w:rsid w:val="00560BBE"/>
    <w:rsid w:val="00561629"/>
    <w:rsid w:val="00561B72"/>
    <w:rsid w:val="00561DAD"/>
    <w:rsid w:val="00561E72"/>
    <w:rsid w:val="00562AE3"/>
    <w:rsid w:val="00562DF7"/>
    <w:rsid w:val="00562F4C"/>
    <w:rsid w:val="005638B2"/>
    <w:rsid w:val="00563B21"/>
    <w:rsid w:val="00563CB7"/>
    <w:rsid w:val="00564311"/>
    <w:rsid w:val="00565926"/>
    <w:rsid w:val="00565B3E"/>
    <w:rsid w:val="00565BB2"/>
    <w:rsid w:val="00565FB7"/>
    <w:rsid w:val="005664DA"/>
    <w:rsid w:val="0056757E"/>
    <w:rsid w:val="005678CB"/>
    <w:rsid w:val="005701D8"/>
    <w:rsid w:val="0057039C"/>
    <w:rsid w:val="00570589"/>
    <w:rsid w:val="005705EE"/>
    <w:rsid w:val="00570B4E"/>
    <w:rsid w:val="00570DD4"/>
    <w:rsid w:val="00570EBE"/>
    <w:rsid w:val="005711D6"/>
    <w:rsid w:val="00571A37"/>
    <w:rsid w:val="005720F7"/>
    <w:rsid w:val="00572D23"/>
    <w:rsid w:val="00574474"/>
    <w:rsid w:val="005748E0"/>
    <w:rsid w:val="00574DE9"/>
    <w:rsid w:val="0057594D"/>
    <w:rsid w:val="00576515"/>
    <w:rsid w:val="00576941"/>
    <w:rsid w:val="005775B7"/>
    <w:rsid w:val="005778F6"/>
    <w:rsid w:val="005800AC"/>
    <w:rsid w:val="00580B0A"/>
    <w:rsid w:val="005813EF"/>
    <w:rsid w:val="00581431"/>
    <w:rsid w:val="0058186F"/>
    <w:rsid w:val="0058217A"/>
    <w:rsid w:val="00582804"/>
    <w:rsid w:val="00582908"/>
    <w:rsid w:val="0058382C"/>
    <w:rsid w:val="0058445E"/>
    <w:rsid w:val="00584538"/>
    <w:rsid w:val="005847C2"/>
    <w:rsid w:val="00584B32"/>
    <w:rsid w:val="00584D4B"/>
    <w:rsid w:val="00584DC9"/>
    <w:rsid w:val="00585E8A"/>
    <w:rsid w:val="00585FE9"/>
    <w:rsid w:val="005860A8"/>
    <w:rsid w:val="005862F3"/>
    <w:rsid w:val="00586C3B"/>
    <w:rsid w:val="00586F90"/>
    <w:rsid w:val="00587280"/>
    <w:rsid w:val="00587E82"/>
    <w:rsid w:val="00590172"/>
    <w:rsid w:val="0059130A"/>
    <w:rsid w:val="00592867"/>
    <w:rsid w:val="0059303C"/>
    <w:rsid w:val="0059329A"/>
    <w:rsid w:val="00593A49"/>
    <w:rsid w:val="00593DEF"/>
    <w:rsid w:val="00593ECB"/>
    <w:rsid w:val="00593FBC"/>
    <w:rsid w:val="00594639"/>
    <w:rsid w:val="005947DA"/>
    <w:rsid w:val="00594833"/>
    <w:rsid w:val="00594846"/>
    <w:rsid w:val="00594C5E"/>
    <w:rsid w:val="00594D8A"/>
    <w:rsid w:val="00595540"/>
    <w:rsid w:val="005957AD"/>
    <w:rsid w:val="005958AB"/>
    <w:rsid w:val="005965CD"/>
    <w:rsid w:val="005A002B"/>
    <w:rsid w:val="005A1AF3"/>
    <w:rsid w:val="005A22A1"/>
    <w:rsid w:val="005A2417"/>
    <w:rsid w:val="005A2743"/>
    <w:rsid w:val="005A27E2"/>
    <w:rsid w:val="005A2A7B"/>
    <w:rsid w:val="005A2CB8"/>
    <w:rsid w:val="005A2CE9"/>
    <w:rsid w:val="005A37C3"/>
    <w:rsid w:val="005A3C56"/>
    <w:rsid w:val="005A3E4D"/>
    <w:rsid w:val="005A4006"/>
    <w:rsid w:val="005A40E8"/>
    <w:rsid w:val="005A411F"/>
    <w:rsid w:val="005A450F"/>
    <w:rsid w:val="005A4A1C"/>
    <w:rsid w:val="005A58A7"/>
    <w:rsid w:val="005A68DF"/>
    <w:rsid w:val="005A69B1"/>
    <w:rsid w:val="005A759C"/>
    <w:rsid w:val="005A7779"/>
    <w:rsid w:val="005A7D59"/>
    <w:rsid w:val="005A7D80"/>
    <w:rsid w:val="005A7DA0"/>
    <w:rsid w:val="005B00CD"/>
    <w:rsid w:val="005B03EF"/>
    <w:rsid w:val="005B0720"/>
    <w:rsid w:val="005B07AA"/>
    <w:rsid w:val="005B0ACA"/>
    <w:rsid w:val="005B102F"/>
    <w:rsid w:val="005B121C"/>
    <w:rsid w:val="005B12ED"/>
    <w:rsid w:val="005B134F"/>
    <w:rsid w:val="005B17DD"/>
    <w:rsid w:val="005B276C"/>
    <w:rsid w:val="005B2E1B"/>
    <w:rsid w:val="005B36D6"/>
    <w:rsid w:val="005B46FF"/>
    <w:rsid w:val="005B53FB"/>
    <w:rsid w:val="005B566C"/>
    <w:rsid w:val="005B5E30"/>
    <w:rsid w:val="005B62FB"/>
    <w:rsid w:val="005B6E8D"/>
    <w:rsid w:val="005B70BD"/>
    <w:rsid w:val="005B7944"/>
    <w:rsid w:val="005C0051"/>
    <w:rsid w:val="005C0264"/>
    <w:rsid w:val="005C06F4"/>
    <w:rsid w:val="005C0767"/>
    <w:rsid w:val="005C125A"/>
    <w:rsid w:val="005C1343"/>
    <w:rsid w:val="005C1705"/>
    <w:rsid w:val="005C1DCA"/>
    <w:rsid w:val="005C2078"/>
    <w:rsid w:val="005C2121"/>
    <w:rsid w:val="005C242F"/>
    <w:rsid w:val="005C27B1"/>
    <w:rsid w:val="005C29D2"/>
    <w:rsid w:val="005C2DD7"/>
    <w:rsid w:val="005C30F8"/>
    <w:rsid w:val="005C4435"/>
    <w:rsid w:val="005C51ED"/>
    <w:rsid w:val="005C5A03"/>
    <w:rsid w:val="005C5D4A"/>
    <w:rsid w:val="005C6387"/>
    <w:rsid w:val="005C76D6"/>
    <w:rsid w:val="005C7A18"/>
    <w:rsid w:val="005D0882"/>
    <w:rsid w:val="005D12E5"/>
    <w:rsid w:val="005D1C2E"/>
    <w:rsid w:val="005D2A4C"/>
    <w:rsid w:val="005D2B9D"/>
    <w:rsid w:val="005D4334"/>
    <w:rsid w:val="005D43B4"/>
    <w:rsid w:val="005D4DDD"/>
    <w:rsid w:val="005D566F"/>
    <w:rsid w:val="005D61CC"/>
    <w:rsid w:val="005D6222"/>
    <w:rsid w:val="005D6D9F"/>
    <w:rsid w:val="005D7689"/>
    <w:rsid w:val="005D7D44"/>
    <w:rsid w:val="005E0803"/>
    <w:rsid w:val="005E0AA0"/>
    <w:rsid w:val="005E154B"/>
    <w:rsid w:val="005E1619"/>
    <w:rsid w:val="005E1CE8"/>
    <w:rsid w:val="005E1D2E"/>
    <w:rsid w:val="005E1FE2"/>
    <w:rsid w:val="005E2425"/>
    <w:rsid w:val="005E2637"/>
    <w:rsid w:val="005E2899"/>
    <w:rsid w:val="005E37C4"/>
    <w:rsid w:val="005E3C78"/>
    <w:rsid w:val="005E4535"/>
    <w:rsid w:val="005E4C5F"/>
    <w:rsid w:val="005E4D6A"/>
    <w:rsid w:val="005E4DB6"/>
    <w:rsid w:val="005E51F3"/>
    <w:rsid w:val="005E544D"/>
    <w:rsid w:val="005E5E1F"/>
    <w:rsid w:val="005E6CB4"/>
    <w:rsid w:val="005E6D02"/>
    <w:rsid w:val="005E7128"/>
    <w:rsid w:val="005E71F0"/>
    <w:rsid w:val="005E7443"/>
    <w:rsid w:val="005F03E6"/>
    <w:rsid w:val="005F193A"/>
    <w:rsid w:val="005F2330"/>
    <w:rsid w:val="005F23EA"/>
    <w:rsid w:val="005F2EAD"/>
    <w:rsid w:val="005F3D69"/>
    <w:rsid w:val="005F3FA0"/>
    <w:rsid w:val="005F552E"/>
    <w:rsid w:val="005F62A9"/>
    <w:rsid w:val="005F633D"/>
    <w:rsid w:val="005F6B3A"/>
    <w:rsid w:val="005F6D23"/>
    <w:rsid w:val="005F6DDC"/>
    <w:rsid w:val="005F76C7"/>
    <w:rsid w:val="005F79FF"/>
    <w:rsid w:val="00600138"/>
    <w:rsid w:val="006001B5"/>
    <w:rsid w:val="006001D2"/>
    <w:rsid w:val="006004F7"/>
    <w:rsid w:val="0060103B"/>
    <w:rsid w:val="00601288"/>
    <w:rsid w:val="006012F2"/>
    <w:rsid w:val="00601A84"/>
    <w:rsid w:val="00601B66"/>
    <w:rsid w:val="00603697"/>
    <w:rsid w:val="00603B15"/>
    <w:rsid w:val="00603BDA"/>
    <w:rsid w:val="0060429B"/>
    <w:rsid w:val="00604935"/>
    <w:rsid w:val="00605AE9"/>
    <w:rsid w:val="006060D2"/>
    <w:rsid w:val="00606408"/>
    <w:rsid w:val="006067C1"/>
    <w:rsid w:val="00610B1A"/>
    <w:rsid w:val="00610C18"/>
    <w:rsid w:val="0061205F"/>
    <w:rsid w:val="0061391F"/>
    <w:rsid w:val="00613E23"/>
    <w:rsid w:val="006140F4"/>
    <w:rsid w:val="006153A1"/>
    <w:rsid w:val="0061601D"/>
    <w:rsid w:val="00616BAB"/>
    <w:rsid w:val="00616F3A"/>
    <w:rsid w:val="006171A0"/>
    <w:rsid w:val="0061778F"/>
    <w:rsid w:val="00617F55"/>
    <w:rsid w:val="0062013E"/>
    <w:rsid w:val="0062100C"/>
    <w:rsid w:val="006211DF"/>
    <w:rsid w:val="006213FC"/>
    <w:rsid w:val="006214CB"/>
    <w:rsid w:val="00621603"/>
    <w:rsid w:val="0062168D"/>
    <w:rsid w:val="00621C2E"/>
    <w:rsid w:val="00621E88"/>
    <w:rsid w:val="00622573"/>
    <w:rsid w:val="00622CD9"/>
    <w:rsid w:val="0062353C"/>
    <w:rsid w:val="0062442E"/>
    <w:rsid w:val="00625246"/>
    <w:rsid w:val="00625D5C"/>
    <w:rsid w:val="006267B6"/>
    <w:rsid w:val="00627350"/>
    <w:rsid w:val="00627456"/>
    <w:rsid w:val="00627835"/>
    <w:rsid w:val="00627B04"/>
    <w:rsid w:val="00627EA0"/>
    <w:rsid w:val="00630808"/>
    <w:rsid w:val="00630E79"/>
    <w:rsid w:val="00631532"/>
    <w:rsid w:val="00631560"/>
    <w:rsid w:val="00631A44"/>
    <w:rsid w:val="00631E69"/>
    <w:rsid w:val="00632063"/>
    <w:rsid w:val="00633627"/>
    <w:rsid w:val="00633A51"/>
    <w:rsid w:val="00633A52"/>
    <w:rsid w:val="00634BFF"/>
    <w:rsid w:val="00634C0F"/>
    <w:rsid w:val="00634D33"/>
    <w:rsid w:val="00635194"/>
    <w:rsid w:val="00635795"/>
    <w:rsid w:val="00635841"/>
    <w:rsid w:val="00635EDD"/>
    <w:rsid w:val="0063618A"/>
    <w:rsid w:val="006364BF"/>
    <w:rsid w:val="00636590"/>
    <w:rsid w:val="00636AE7"/>
    <w:rsid w:val="00636F96"/>
    <w:rsid w:val="0063753E"/>
    <w:rsid w:val="0064046F"/>
    <w:rsid w:val="00640F7E"/>
    <w:rsid w:val="00641020"/>
    <w:rsid w:val="00641481"/>
    <w:rsid w:val="006414F1"/>
    <w:rsid w:val="00641847"/>
    <w:rsid w:val="006434FF"/>
    <w:rsid w:val="006440B3"/>
    <w:rsid w:val="00644468"/>
    <w:rsid w:val="00645318"/>
    <w:rsid w:val="006458CB"/>
    <w:rsid w:val="00645C05"/>
    <w:rsid w:val="0064683F"/>
    <w:rsid w:val="00646CCE"/>
    <w:rsid w:val="00647A52"/>
    <w:rsid w:val="00647C21"/>
    <w:rsid w:val="0065040A"/>
    <w:rsid w:val="00650538"/>
    <w:rsid w:val="00650B14"/>
    <w:rsid w:val="006520EF"/>
    <w:rsid w:val="00653021"/>
    <w:rsid w:val="00653766"/>
    <w:rsid w:val="00653A3A"/>
    <w:rsid w:val="00653CFE"/>
    <w:rsid w:val="00653ECB"/>
    <w:rsid w:val="00653FFF"/>
    <w:rsid w:val="006543F9"/>
    <w:rsid w:val="00654622"/>
    <w:rsid w:val="00654D9F"/>
    <w:rsid w:val="00654E66"/>
    <w:rsid w:val="00654F9D"/>
    <w:rsid w:val="006551D8"/>
    <w:rsid w:val="0065737E"/>
    <w:rsid w:val="00660738"/>
    <w:rsid w:val="006609E4"/>
    <w:rsid w:val="00660BD6"/>
    <w:rsid w:val="00660D1C"/>
    <w:rsid w:val="006610B3"/>
    <w:rsid w:val="00661153"/>
    <w:rsid w:val="006611C8"/>
    <w:rsid w:val="006613B8"/>
    <w:rsid w:val="00661442"/>
    <w:rsid w:val="00662200"/>
    <w:rsid w:val="00662B83"/>
    <w:rsid w:val="00662D37"/>
    <w:rsid w:val="00662F29"/>
    <w:rsid w:val="00662F75"/>
    <w:rsid w:val="0066339F"/>
    <w:rsid w:val="0066381F"/>
    <w:rsid w:val="00663D8A"/>
    <w:rsid w:val="00664266"/>
    <w:rsid w:val="00664395"/>
    <w:rsid w:val="0066540C"/>
    <w:rsid w:val="00665CB4"/>
    <w:rsid w:val="006668EA"/>
    <w:rsid w:val="00666B42"/>
    <w:rsid w:val="00666C5E"/>
    <w:rsid w:val="00666EFC"/>
    <w:rsid w:val="00667282"/>
    <w:rsid w:val="0066743A"/>
    <w:rsid w:val="0066759A"/>
    <w:rsid w:val="0066780B"/>
    <w:rsid w:val="006702C1"/>
    <w:rsid w:val="006703BF"/>
    <w:rsid w:val="00670CF8"/>
    <w:rsid w:val="00671051"/>
    <w:rsid w:val="00671651"/>
    <w:rsid w:val="006718BB"/>
    <w:rsid w:val="00671B58"/>
    <w:rsid w:val="00671C9A"/>
    <w:rsid w:val="0067241D"/>
    <w:rsid w:val="00672495"/>
    <w:rsid w:val="00672CCD"/>
    <w:rsid w:val="006730C6"/>
    <w:rsid w:val="006737FC"/>
    <w:rsid w:val="00673C8B"/>
    <w:rsid w:val="00673EB8"/>
    <w:rsid w:val="0067452D"/>
    <w:rsid w:val="00675225"/>
    <w:rsid w:val="006755BE"/>
    <w:rsid w:val="00677623"/>
    <w:rsid w:val="006779AF"/>
    <w:rsid w:val="00677E04"/>
    <w:rsid w:val="00677F62"/>
    <w:rsid w:val="006804AF"/>
    <w:rsid w:val="006805CA"/>
    <w:rsid w:val="006805D0"/>
    <w:rsid w:val="006805D4"/>
    <w:rsid w:val="00680C8B"/>
    <w:rsid w:val="00680EE7"/>
    <w:rsid w:val="00681862"/>
    <w:rsid w:val="00681ECD"/>
    <w:rsid w:val="00682163"/>
    <w:rsid w:val="00682255"/>
    <w:rsid w:val="006822A6"/>
    <w:rsid w:val="0068348F"/>
    <w:rsid w:val="00683C40"/>
    <w:rsid w:val="00683D00"/>
    <w:rsid w:val="00684351"/>
    <w:rsid w:val="00684673"/>
    <w:rsid w:val="00685150"/>
    <w:rsid w:val="00685345"/>
    <w:rsid w:val="00685B83"/>
    <w:rsid w:val="006863DC"/>
    <w:rsid w:val="0068652B"/>
    <w:rsid w:val="00687230"/>
    <w:rsid w:val="0068734A"/>
    <w:rsid w:val="006877E8"/>
    <w:rsid w:val="00687AF4"/>
    <w:rsid w:val="00690148"/>
    <w:rsid w:val="006904F3"/>
    <w:rsid w:val="00690A76"/>
    <w:rsid w:val="00690D2F"/>
    <w:rsid w:val="006913FD"/>
    <w:rsid w:val="00691C43"/>
    <w:rsid w:val="00692B6D"/>
    <w:rsid w:val="006936BD"/>
    <w:rsid w:val="00693D03"/>
    <w:rsid w:val="00694386"/>
    <w:rsid w:val="006949DD"/>
    <w:rsid w:val="00694D41"/>
    <w:rsid w:val="00694DBD"/>
    <w:rsid w:val="00695086"/>
    <w:rsid w:val="006950F8"/>
    <w:rsid w:val="006954F4"/>
    <w:rsid w:val="00695B57"/>
    <w:rsid w:val="00695D4C"/>
    <w:rsid w:val="00695F6E"/>
    <w:rsid w:val="006960DE"/>
    <w:rsid w:val="00696459"/>
    <w:rsid w:val="006967F1"/>
    <w:rsid w:val="006A0608"/>
    <w:rsid w:val="006A07F4"/>
    <w:rsid w:val="006A0AF0"/>
    <w:rsid w:val="006A0DAB"/>
    <w:rsid w:val="006A0E41"/>
    <w:rsid w:val="006A15E3"/>
    <w:rsid w:val="006A21A8"/>
    <w:rsid w:val="006A289D"/>
    <w:rsid w:val="006A2B36"/>
    <w:rsid w:val="006A2C29"/>
    <w:rsid w:val="006A2F85"/>
    <w:rsid w:val="006A314B"/>
    <w:rsid w:val="006A341E"/>
    <w:rsid w:val="006A3C9B"/>
    <w:rsid w:val="006A3CC7"/>
    <w:rsid w:val="006A3F0B"/>
    <w:rsid w:val="006A416D"/>
    <w:rsid w:val="006A43C7"/>
    <w:rsid w:val="006A459D"/>
    <w:rsid w:val="006A50EF"/>
    <w:rsid w:val="006A5201"/>
    <w:rsid w:val="006A5535"/>
    <w:rsid w:val="006A60F5"/>
    <w:rsid w:val="006A6426"/>
    <w:rsid w:val="006A6B6E"/>
    <w:rsid w:val="006A7880"/>
    <w:rsid w:val="006A7952"/>
    <w:rsid w:val="006A7E9F"/>
    <w:rsid w:val="006A7EA7"/>
    <w:rsid w:val="006B001C"/>
    <w:rsid w:val="006B09E5"/>
    <w:rsid w:val="006B1010"/>
    <w:rsid w:val="006B18C6"/>
    <w:rsid w:val="006B1C44"/>
    <w:rsid w:val="006B1C80"/>
    <w:rsid w:val="006B2256"/>
    <w:rsid w:val="006B2351"/>
    <w:rsid w:val="006B244F"/>
    <w:rsid w:val="006B2CC8"/>
    <w:rsid w:val="006B2DA0"/>
    <w:rsid w:val="006B495E"/>
    <w:rsid w:val="006B49A4"/>
    <w:rsid w:val="006B4CB8"/>
    <w:rsid w:val="006B5355"/>
    <w:rsid w:val="006B546F"/>
    <w:rsid w:val="006B6172"/>
    <w:rsid w:val="006B6475"/>
    <w:rsid w:val="006B6CF5"/>
    <w:rsid w:val="006B7162"/>
    <w:rsid w:val="006B7405"/>
    <w:rsid w:val="006C06DC"/>
    <w:rsid w:val="006C0ABA"/>
    <w:rsid w:val="006C0B42"/>
    <w:rsid w:val="006C24BE"/>
    <w:rsid w:val="006C26B5"/>
    <w:rsid w:val="006C2D24"/>
    <w:rsid w:val="006C30D9"/>
    <w:rsid w:val="006C3442"/>
    <w:rsid w:val="006C34E3"/>
    <w:rsid w:val="006C4596"/>
    <w:rsid w:val="006C49E6"/>
    <w:rsid w:val="006C4BF2"/>
    <w:rsid w:val="006C4D36"/>
    <w:rsid w:val="006C595D"/>
    <w:rsid w:val="006C59F8"/>
    <w:rsid w:val="006C5CDF"/>
    <w:rsid w:val="006C625F"/>
    <w:rsid w:val="006C66F1"/>
    <w:rsid w:val="006C6BB2"/>
    <w:rsid w:val="006C6C17"/>
    <w:rsid w:val="006C6E75"/>
    <w:rsid w:val="006C79D9"/>
    <w:rsid w:val="006D00B3"/>
    <w:rsid w:val="006D00F5"/>
    <w:rsid w:val="006D023D"/>
    <w:rsid w:val="006D08AA"/>
    <w:rsid w:val="006D0E54"/>
    <w:rsid w:val="006D1278"/>
    <w:rsid w:val="006D26DC"/>
    <w:rsid w:val="006D271C"/>
    <w:rsid w:val="006D2E91"/>
    <w:rsid w:val="006D35B7"/>
    <w:rsid w:val="006D3E0E"/>
    <w:rsid w:val="006D577D"/>
    <w:rsid w:val="006D5F19"/>
    <w:rsid w:val="006D64BC"/>
    <w:rsid w:val="006D6D95"/>
    <w:rsid w:val="006D721B"/>
    <w:rsid w:val="006D7247"/>
    <w:rsid w:val="006D7251"/>
    <w:rsid w:val="006D735A"/>
    <w:rsid w:val="006D7664"/>
    <w:rsid w:val="006D7688"/>
    <w:rsid w:val="006D78EB"/>
    <w:rsid w:val="006D790F"/>
    <w:rsid w:val="006E0325"/>
    <w:rsid w:val="006E0535"/>
    <w:rsid w:val="006E0968"/>
    <w:rsid w:val="006E1185"/>
    <w:rsid w:val="006E144E"/>
    <w:rsid w:val="006E204D"/>
    <w:rsid w:val="006E2091"/>
    <w:rsid w:val="006E228D"/>
    <w:rsid w:val="006E28BB"/>
    <w:rsid w:val="006E2F55"/>
    <w:rsid w:val="006E300D"/>
    <w:rsid w:val="006E33DA"/>
    <w:rsid w:val="006E3887"/>
    <w:rsid w:val="006E3A74"/>
    <w:rsid w:val="006E480D"/>
    <w:rsid w:val="006E4A20"/>
    <w:rsid w:val="006E4ADB"/>
    <w:rsid w:val="006E5682"/>
    <w:rsid w:val="006E5CF9"/>
    <w:rsid w:val="006E6498"/>
    <w:rsid w:val="006E7A9C"/>
    <w:rsid w:val="006F04F2"/>
    <w:rsid w:val="006F07E3"/>
    <w:rsid w:val="006F0967"/>
    <w:rsid w:val="006F0973"/>
    <w:rsid w:val="006F1C4C"/>
    <w:rsid w:val="006F21D6"/>
    <w:rsid w:val="006F2361"/>
    <w:rsid w:val="006F2611"/>
    <w:rsid w:val="006F2692"/>
    <w:rsid w:val="006F3360"/>
    <w:rsid w:val="006F3D9B"/>
    <w:rsid w:val="006F4493"/>
    <w:rsid w:val="006F4B6E"/>
    <w:rsid w:val="006F521F"/>
    <w:rsid w:val="006F645C"/>
    <w:rsid w:val="006F7376"/>
    <w:rsid w:val="0070116B"/>
    <w:rsid w:val="00701867"/>
    <w:rsid w:val="00701A33"/>
    <w:rsid w:val="00701B42"/>
    <w:rsid w:val="00702B67"/>
    <w:rsid w:val="00704133"/>
    <w:rsid w:val="00704592"/>
    <w:rsid w:val="00704A21"/>
    <w:rsid w:val="00704A84"/>
    <w:rsid w:val="00704A93"/>
    <w:rsid w:val="00705154"/>
    <w:rsid w:val="007052D3"/>
    <w:rsid w:val="007066BD"/>
    <w:rsid w:val="0071034C"/>
    <w:rsid w:val="00710509"/>
    <w:rsid w:val="00710981"/>
    <w:rsid w:val="0071180A"/>
    <w:rsid w:val="00711CCC"/>
    <w:rsid w:val="007124DE"/>
    <w:rsid w:val="00712F3F"/>
    <w:rsid w:val="00713835"/>
    <w:rsid w:val="00714212"/>
    <w:rsid w:val="00714A59"/>
    <w:rsid w:val="00716166"/>
    <w:rsid w:val="00716265"/>
    <w:rsid w:val="00717103"/>
    <w:rsid w:val="007172FB"/>
    <w:rsid w:val="00717329"/>
    <w:rsid w:val="00717859"/>
    <w:rsid w:val="00717A6E"/>
    <w:rsid w:val="00717B63"/>
    <w:rsid w:val="00717E1F"/>
    <w:rsid w:val="00717E44"/>
    <w:rsid w:val="00717E81"/>
    <w:rsid w:val="00720120"/>
    <w:rsid w:val="007203E8"/>
    <w:rsid w:val="0072058A"/>
    <w:rsid w:val="00720CC8"/>
    <w:rsid w:val="00721B07"/>
    <w:rsid w:val="0072210A"/>
    <w:rsid w:val="007221D5"/>
    <w:rsid w:val="00722F5A"/>
    <w:rsid w:val="007234AD"/>
    <w:rsid w:val="007234DE"/>
    <w:rsid w:val="00723CBD"/>
    <w:rsid w:val="00724A29"/>
    <w:rsid w:val="0072519A"/>
    <w:rsid w:val="00725850"/>
    <w:rsid w:val="00725873"/>
    <w:rsid w:val="00725FE9"/>
    <w:rsid w:val="00726824"/>
    <w:rsid w:val="00726C63"/>
    <w:rsid w:val="007277F3"/>
    <w:rsid w:val="00727CD1"/>
    <w:rsid w:val="007302E1"/>
    <w:rsid w:val="00730FD6"/>
    <w:rsid w:val="007310CD"/>
    <w:rsid w:val="00731D9E"/>
    <w:rsid w:val="00732284"/>
    <w:rsid w:val="00732C91"/>
    <w:rsid w:val="00733EF8"/>
    <w:rsid w:val="00734938"/>
    <w:rsid w:val="00734AB2"/>
    <w:rsid w:val="00735073"/>
    <w:rsid w:val="00735550"/>
    <w:rsid w:val="0073585F"/>
    <w:rsid w:val="00735F45"/>
    <w:rsid w:val="007366CF"/>
    <w:rsid w:val="00736AB8"/>
    <w:rsid w:val="00737BC3"/>
    <w:rsid w:val="00737FC5"/>
    <w:rsid w:val="0074008A"/>
    <w:rsid w:val="00741359"/>
    <w:rsid w:val="00741402"/>
    <w:rsid w:val="007419B4"/>
    <w:rsid w:val="00741A5D"/>
    <w:rsid w:val="00741E7B"/>
    <w:rsid w:val="00742725"/>
    <w:rsid w:val="007429F5"/>
    <w:rsid w:val="00742C19"/>
    <w:rsid w:val="0074307F"/>
    <w:rsid w:val="007438E0"/>
    <w:rsid w:val="00743C84"/>
    <w:rsid w:val="00743C95"/>
    <w:rsid w:val="00743DD9"/>
    <w:rsid w:val="0074401A"/>
    <w:rsid w:val="0074431C"/>
    <w:rsid w:val="007444E3"/>
    <w:rsid w:val="007444F1"/>
    <w:rsid w:val="007446F2"/>
    <w:rsid w:val="007449B6"/>
    <w:rsid w:val="00744CBF"/>
    <w:rsid w:val="00744F71"/>
    <w:rsid w:val="007457CE"/>
    <w:rsid w:val="00745FC7"/>
    <w:rsid w:val="007460D4"/>
    <w:rsid w:val="007466C4"/>
    <w:rsid w:val="00746789"/>
    <w:rsid w:val="00746D36"/>
    <w:rsid w:val="00746EF4"/>
    <w:rsid w:val="00747A94"/>
    <w:rsid w:val="00747B9D"/>
    <w:rsid w:val="00750091"/>
    <w:rsid w:val="007501E3"/>
    <w:rsid w:val="0075031D"/>
    <w:rsid w:val="00750538"/>
    <w:rsid w:val="00750864"/>
    <w:rsid w:val="00750B07"/>
    <w:rsid w:val="00750E23"/>
    <w:rsid w:val="0075197B"/>
    <w:rsid w:val="00751A79"/>
    <w:rsid w:val="00751BF9"/>
    <w:rsid w:val="00751D00"/>
    <w:rsid w:val="007525DE"/>
    <w:rsid w:val="007528D1"/>
    <w:rsid w:val="00752DEC"/>
    <w:rsid w:val="00752E72"/>
    <w:rsid w:val="00753868"/>
    <w:rsid w:val="0075389F"/>
    <w:rsid w:val="0075395A"/>
    <w:rsid w:val="007540BC"/>
    <w:rsid w:val="007542C1"/>
    <w:rsid w:val="00754476"/>
    <w:rsid w:val="0075455A"/>
    <w:rsid w:val="0075538C"/>
    <w:rsid w:val="007553C6"/>
    <w:rsid w:val="00755539"/>
    <w:rsid w:val="00755D00"/>
    <w:rsid w:val="00755E5F"/>
    <w:rsid w:val="00755FF4"/>
    <w:rsid w:val="007563EB"/>
    <w:rsid w:val="00756743"/>
    <w:rsid w:val="00756865"/>
    <w:rsid w:val="007569CB"/>
    <w:rsid w:val="00756F29"/>
    <w:rsid w:val="0075731F"/>
    <w:rsid w:val="00757540"/>
    <w:rsid w:val="00757BF4"/>
    <w:rsid w:val="00757CB2"/>
    <w:rsid w:val="00760C0F"/>
    <w:rsid w:val="00760C14"/>
    <w:rsid w:val="00760D74"/>
    <w:rsid w:val="00761262"/>
    <w:rsid w:val="00762235"/>
    <w:rsid w:val="00762800"/>
    <w:rsid w:val="00762816"/>
    <w:rsid w:val="00762B47"/>
    <w:rsid w:val="00762DE1"/>
    <w:rsid w:val="00762F8A"/>
    <w:rsid w:val="00763539"/>
    <w:rsid w:val="00763864"/>
    <w:rsid w:val="0076391F"/>
    <w:rsid w:val="00763D05"/>
    <w:rsid w:val="00765F6C"/>
    <w:rsid w:val="00766224"/>
    <w:rsid w:val="00766398"/>
    <w:rsid w:val="0076680C"/>
    <w:rsid w:val="007676C6"/>
    <w:rsid w:val="00767CC4"/>
    <w:rsid w:val="00770144"/>
    <w:rsid w:val="007714F5"/>
    <w:rsid w:val="00771749"/>
    <w:rsid w:val="00772241"/>
    <w:rsid w:val="00772912"/>
    <w:rsid w:val="00772A76"/>
    <w:rsid w:val="00772F32"/>
    <w:rsid w:val="00772FA5"/>
    <w:rsid w:val="007731D6"/>
    <w:rsid w:val="007744D5"/>
    <w:rsid w:val="007749A1"/>
    <w:rsid w:val="00774E85"/>
    <w:rsid w:val="00775B25"/>
    <w:rsid w:val="00775DB6"/>
    <w:rsid w:val="00775E19"/>
    <w:rsid w:val="00775F6D"/>
    <w:rsid w:val="007761FB"/>
    <w:rsid w:val="00776C84"/>
    <w:rsid w:val="00776E6E"/>
    <w:rsid w:val="0077714D"/>
    <w:rsid w:val="0077747D"/>
    <w:rsid w:val="00777B56"/>
    <w:rsid w:val="00777EF9"/>
    <w:rsid w:val="007806A7"/>
    <w:rsid w:val="0078090C"/>
    <w:rsid w:val="007809B1"/>
    <w:rsid w:val="00780C5F"/>
    <w:rsid w:val="00780FF7"/>
    <w:rsid w:val="00781221"/>
    <w:rsid w:val="0078142C"/>
    <w:rsid w:val="00781958"/>
    <w:rsid w:val="00781ECD"/>
    <w:rsid w:val="007824C2"/>
    <w:rsid w:val="00782DA2"/>
    <w:rsid w:val="00782FF4"/>
    <w:rsid w:val="00783C0E"/>
    <w:rsid w:val="00784016"/>
    <w:rsid w:val="007851E2"/>
    <w:rsid w:val="007852F3"/>
    <w:rsid w:val="00785B4E"/>
    <w:rsid w:val="00786242"/>
    <w:rsid w:val="007864C0"/>
    <w:rsid w:val="0078693A"/>
    <w:rsid w:val="00786DF3"/>
    <w:rsid w:val="00786F4D"/>
    <w:rsid w:val="007873AC"/>
    <w:rsid w:val="0078759D"/>
    <w:rsid w:val="00787687"/>
    <w:rsid w:val="007877C6"/>
    <w:rsid w:val="00790080"/>
    <w:rsid w:val="00790712"/>
    <w:rsid w:val="00790A80"/>
    <w:rsid w:val="00790D4C"/>
    <w:rsid w:val="0079134E"/>
    <w:rsid w:val="0079166D"/>
    <w:rsid w:val="00791EFF"/>
    <w:rsid w:val="007926F0"/>
    <w:rsid w:val="00792A79"/>
    <w:rsid w:val="00792D1C"/>
    <w:rsid w:val="007932AC"/>
    <w:rsid w:val="007935BB"/>
    <w:rsid w:val="007938C5"/>
    <w:rsid w:val="00793A32"/>
    <w:rsid w:val="00793C52"/>
    <w:rsid w:val="0079439E"/>
    <w:rsid w:val="00795341"/>
    <w:rsid w:val="00795512"/>
    <w:rsid w:val="00795A29"/>
    <w:rsid w:val="00795EBF"/>
    <w:rsid w:val="007968AA"/>
    <w:rsid w:val="00796A3F"/>
    <w:rsid w:val="00796C67"/>
    <w:rsid w:val="007977A8"/>
    <w:rsid w:val="00797BE0"/>
    <w:rsid w:val="007A0AD9"/>
    <w:rsid w:val="007A179E"/>
    <w:rsid w:val="007A28AD"/>
    <w:rsid w:val="007A2B52"/>
    <w:rsid w:val="007A2EF6"/>
    <w:rsid w:val="007A36F5"/>
    <w:rsid w:val="007A5509"/>
    <w:rsid w:val="007A624B"/>
    <w:rsid w:val="007A6531"/>
    <w:rsid w:val="007A69EC"/>
    <w:rsid w:val="007A69F1"/>
    <w:rsid w:val="007A6A8C"/>
    <w:rsid w:val="007A6B51"/>
    <w:rsid w:val="007A7C42"/>
    <w:rsid w:val="007B02E6"/>
    <w:rsid w:val="007B0366"/>
    <w:rsid w:val="007B04A6"/>
    <w:rsid w:val="007B0ECE"/>
    <w:rsid w:val="007B14BF"/>
    <w:rsid w:val="007B1B07"/>
    <w:rsid w:val="007B1B89"/>
    <w:rsid w:val="007B1DEC"/>
    <w:rsid w:val="007B1E9F"/>
    <w:rsid w:val="007B3EB8"/>
    <w:rsid w:val="007B436D"/>
    <w:rsid w:val="007B450C"/>
    <w:rsid w:val="007B499E"/>
    <w:rsid w:val="007B4B0B"/>
    <w:rsid w:val="007B4D74"/>
    <w:rsid w:val="007B4FB1"/>
    <w:rsid w:val="007B5047"/>
    <w:rsid w:val="007B50BD"/>
    <w:rsid w:val="007B5313"/>
    <w:rsid w:val="007B5553"/>
    <w:rsid w:val="007B556B"/>
    <w:rsid w:val="007B6245"/>
    <w:rsid w:val="007B6B63"/>
    <w:rsid w:val="007B6DC2"/>
    <w:rsid w:val="007B6FD2"/>
    <w:rsid w:val="007B700B"/>
    <w:rsid w:val="007B75FF"/>
    <w:rsid w:val="007B7AB9"/>
    <w:rsid w:val="007C02A5"/>
    <w:rsid w:val="007C04B7"/>
    <w:rsid w:val="007C0F27"/>
    <w:rsid w:val="007C17A8"/>
    <w:rsid w:val="007C188C"/>
    <w:rsid w:val="007C1E85"/>
    <w:rsid w:val="007C2889"/>
    <w:rsid w:val="007C3ADB"/>
    <w:rsid w:val="007C3B07"/>
    <w:rsid w:val="007C406D"/>
    <w:rsid w:val="007C413E"/>
    <w:rsid w:val="007C4284"/>
    <w:rsid w:val="007C4A3D"/>
    <w:rsid w:val="007C4C23"/>
    <w:rsid w:val="007C4E67"/>
    <w:rsid w:val="007C4ED5"/>
    <w:rsid w:val="007C52B9"/>
    <w:rsid w:val="007C55B2"/>
    <w:rsid w:val="007C5B95"/>
    <w:rsid w:val="007C611A"/>
    <w:rsid w:val="007C6AA8"/>
    <w:rsid w:val="007C6BB8"/>
    <w:rsid w:val="007C6DF0"/>
    <w:rsid w:val="007C6F3B"/>
    <w:rsid w:val="007C7494"/>
    <w:rsid w:val="007C75EB"/>
    <w:rsid w:val="007C7BC8"/>
    <w:rsid w:val="007D0654"/>
    <w:rsid w:val="007D0D7B"/>
    <w:rsid w:val="007D0DED"/>
    <w:rsid w:val="007D1077"/>
    <w:rsid w:val="007D1094"/>
    <w:rsid w:val="007D1308"/>
    <w:rsid w:val="007D1881"/>
    <w:rsid w:val="007D1D55"/>
    <w:rsid w:val="007D1E16"/>
    <w:rsid w:val="007D22C7"/>
    <w:rsid w:val="007D2A87"/>
    <w:rsid w:val="007D2BF8"/>
    <w:rsid w:val="007D2FB2"/>
    <w:rsid w:val="007D3031"/>
    <w:rsid w:val="007D35DA"/>
    <w:rsid w:val="007D364B"/>
    <w:rsid w:val="007D41B3"/>
    <w:rsid w:val="007D46DA"/>
    <w:rsid w:val="007D49C0"/>
    <w:rsid w:val="007D4D0F"/>
    <w:rsid w:val="007D4F33"/>
    <w:rsid w:val="007D5735"/>
    <w:rsid w:val="007D5A75"/>
    <w:rsid w:val="007D5F9A"/>
    <w:rsid w:val="007D6035"/>
    <w:rsid w:val="007D770B"/>
    <w:rsid w:val="007D77BE"/>
    <w:rsid w:val="007D7813"/>
    <w:rsid w:val="007D7D79"/>
    <w:rsid w:val="007E058D"/>
    <w:rsid w:val="007E0B20"/>
    <w:rsid w:val="007E11BD"/>
    <w:rsid w:val="007E1F13"/>
    <w:rsid w:val="007E2279"/>
    <w:rsid w:val="007E22D7"/>
    <w:rsid w:val="007E25FF"/>
    <w:rsid w:val="007E29F6"/>
    <w:rsid w:val="007E2A25"/>
    <w:rsid w:val="007E2FD4"/>
    <w:rsid w:val="007E3226"/>
    <w:rsid w:val="007E3C8E"/>
    <w:rsid w:val="007E3E59"/>
    <w:rsid w:val="007E4177"/>
    <w:rsid w:val="007E4322"/>
    <w:rsid w:val="007E446A"/>
    <w:rsid w:val="007E4B99"/>
    <w:rsid w:val="007E5098"/>
    <w:rsid w:val="007E5ACA"/>
    <w:rsid w:val="007E5AD5"/>
    <w:rsid w:val="007E5CD2"/>
    <w:rsid w:val="007E5E4E"/>
    <w:rsid w:val="007E61F4"/>
    <w:rsid w:val="007E78D6"/>
    <w:rsid w:val="007F07B5"/>
    <w:rsid w:val="007F0E20"/>
    <w:rsid w:val="007F11C1"/>
    <w:rsid w:val="007F193D"/>
    <w:rsid w:val="007F1EC9"/>
    <w:rsid w:val="007F1EF3"/>
    <w:rsid w:val="007F1F8B"/>
    <w:rsid w:val="007F2C84"/>
    <w:rsid w:val="007F3485"/>
    <w:rsid w:val="007F4763"/>
    <w:rsid w:val="007F47F0"/>
    <w:rsid w:val="007F48EC"/>
    <w:rsid w:val="007F49A6"/>
    <w:rsid w:val="007F5157"/>
    <w:rsid w:val="007F57A3"/>
    <w:rsid w:val="007F60B3"/>
    <w:rsid w:val="007F62C3"/>
    <w:rsid w:val="007F728E"/>
    <w:rsid w:val="007F749D"/>
    <w:rsid w:val="007F7613"/>
    <w:rsid w:val="007F7EC9"/>
    <w:rsid w:val="0080000F"/>
    <w:rsid w:val="00800B50"/>
    <w:rsid w:val="008019A4"/>
    <w:rsid w:val="00801CDD"/>
    <w:rsid w:val="008022C3"/>
    <w:rsid w:val="00802810"/>
    <w:rsid w:val="00802B21"/>
    <w:rsid w:val="008040F8"/>
    <w:rsid w:val="00804511"/>
    <w:rsid w:val="00804E7C"/>
    <w:rsid w:val="00805035"/>
    <w:rsid w:val="00805A9F"/>
    <w:rsid w:val="008063FA"/>
    <w:rsid w:val="008064F6"/>
    <w:rsid w:val="00806502"/>
    <w:rsid w:val="00806B70"/>
    <w:rsid w:val="00807D98"/>
    <w:rsid w:val="00810313"/>
    <w:rsid w:val="00811173"/>
    <w:rsid w:val="008112E2"/>
    <w:rsid w:val="00811B7F"/>
    <w:rsid w:val="00811D02"/>
    <w:rsid w:val="00811D6D"/>
    <w:rsid w:val="00811EB1"/>
    <w:rsid w:val="008123A8"/>
    <w:rsid w:val="0081384E"/>
    <w:rsid w:val="00813B44"/>
    <w:rsid w:val="00813D62"/>
    <w:rsid w:val="00814013"/>
    <w:rsid w:val="008146FA"/>
    <w:rsid w:val="008147F0"/>
    <w:rsid w:val="00814AED"/>
    <w:rsid w:val="00815901"/>
    <w:rsid w:val="00815B53"/>
    <w:rsid w:val="0081620E"/>
    <w:rsid w:val="0081634B"/>
    <w:rsid w:val="00817BF9"/>
    <w:rsid w:val="00817F3D"/>
    <w:rsid w:val="00820309"/>
    <w:rsid w:val="008208DB"/>
    <w:rsid w:val="00820B1C"/>
    <w:rsid w:val="00820F5E"/>
    <w:rsid w:val="00821983"/>
    <w:rsid w:val="00821F11"/>
    <w:rsid w:val="008223BA"/>
    <w:rsid w:val="0082296E"/>
    <w:rsid w:val="00822FB8"/>
    <w:rsid w:val="00823799"/>
    <w:rsid w:val="00823E4F"/>
    <w:rsid w:val="00824422"/>
    <w:rsid w:val="00824997"/>
    <w:rsid w:val="008255AF"/>
    <w:rsid w:val="008259B9"/>
    <w:rsid w:val="00825A47"/>
    <w:rsid w:val="00826130"/>
    <w:rsid w:val="0082632B"/>
    <w:rsid w:val="00827006"/>
    <w:rsid w:val="008273D9"/>
    <w:rsid w:val="00827A01"/>
    <w:rsid w:val="00827DF3"/>
    <w:rsid w:val="00831653"/>
    <w:rsid w:val="00831DFE"/>
    <w:rsid w:val="0083297B"/>
    <w:rsid w:val="00832B6C"/>
    <w:rsid w:val="0083334B"/>
    <w:rsid w:val="00833696"/>
    <w:rsid w:val="00833F66"/>
    <w:rsid w:val="008343CA"/>
    <w:rsid w:val="008343EA"/>
    <w:rsid w:val="0083474F"/>
    <w:rsid w:val="00834784"/>
    <w:rsid w:val="00834B20"/>
    <w:rsid w:val="00834D49"/>
    <w:rsid w:val="00835223"/>
    <w:rsid w:val="0083543E"/>
    <w:rsid w:val="00835D0C"/>
    <w:rsid w:val="00835DCA"/>
    <w:rsid w:val="008360AE"/>
    <w:rsid w:val="008362BB"/>
    <w:rsid w:val="008369E4"/>
    <w:rsid w:val="00836BB6"/>
    <w:rsid w:val="00836E40"/>
    <w:rsid w:val="00836FB0"/>
    <w:rsid w:val="00837118"/>
    <w:rsid w:val="00837317"/>
    <w:rsid w:val="00837369"/>
    <w:rsid w:val="00837909"/>
    <w:rsid w:val="00837BF3"/>
    <w:rsid w:val="00837DD3"/>
    <w:rsid w:val="00840672"/>
    <w:rsid w:val="008408C2"/>
    <w:rsid w:val="00842C2A"/>
    <w:rsid w:val="00842EAF"/>
    <w:rsid w:val="008432D2"/>
    <w:rsid w:val="00844288"/>
    <w:rsid w:val="008442E8"/>
    <w:rsid w:val="0084458B"/>
    <w:rsid w:val="008450ED"/>
    <w:rsid w:val="008457E7"/>
    <w:rsid w:val="00846264"/>
    <w:rsid w:val="00846AF1"/>
    <w:rsid w:val="008472CD"/>
    <w:rsid w:val="0084773E"/>
    <w:rsid w:val="00847A36"/>
    <w:rsid w:val="00850A6B"/>
    <w:rsid w:val="00851230"/>
    <w:rsid w:val="00851AD8"/>
    <w:rsid w:val="00852117"/>
    <w:rsid w:val="008525E1"/>
    <w:rsid w:val="008527F0"/>
    <w:rsid w:val="00852A1E"/>
    <w:rsid w:val="00852E8A"/>
    <w:rsid w:val="00853569"/>
    <w:rsid w:val="00853690"/>
    <w:rsid w:val="00853AE3"/>
    <w:rsid w:val="008547E6"/>
    <w:rsid w:val="00854C49"/>
    <w:rsid w:val="0085508D"/>
    <w:rsid w:val="008559FD"/>
    <w:rsid w:val="00855E23"/>
    <w:rsid w:val="00856524"/>
    <w:rsid w:val="0085697F"/>
    <w:rsid w:val="008576A9"/>
    <w:rsid w:val="00857AF6"/>
    <w:rsid w:val="00857F56"/>
    <w:rsid w:val="00857FCF"/>
    <w:rsid w:val="00860070"/>
    <w:rsid w:val="008608CE"/>
    <w:rsid w:val="0086114A"/>
    <w:rsid w:val="00861993"/>
    <w:rsid w:val="00861EBC"/>
    <w:rsid w:val="00862371"/>
    <w:rsid w:val="00862AC0"/>
    <w:rsid w:val="00862B34"/>
    <w:rsid w:val="008630A8"/>
    <w:rsid w:val="008635C3"/>
    <w:rsid w:val="0086380F"/>
    <w:rsid w:val="0086387C"/>
    <w:rsid w:val="00863D35"/>
    <w:rsid w:val="00864B15"/>
    <w:rsid w:val="00864B80"/>
    <w:rsid w:val="00864BD3"/>
    <w:rsid w:val="00865593"/>
    <w:rsid w:val="008657F0"/>
    <w:rsid w:val="0086583F"/>
    <w:rsid w:val="00865CEE"/>
    <w:rsid w:val="00865F00"/>
    <w:rsid w:val="0086648B"/>
    <w:rsid w:val="00866599"/>
    <w:rsid w:val="0086667B"/>
    <w:rsid w:val="00866DB8"/>
    <w:rsid w:val="008711C7"/>
    <w:rsid w:val="008731C5"/>
    <w:rsid w:val="008736BF"/>
    <w:rsid w:val="008738E7"/>
    <w:rsid w:val="008740AB"/>
    <w:rsid w:val="00874490"/>
    <w:rsid w:val="00874521"/>
    <w:rsid w:val="00874C44"/>
    <w:rsid w:val="00874FEA"/>
    <w:rsid w:val="00875A3C"/>
    <w:rsid w:val="00875F01"/>
    <w:rsid w:val="008760B7"/>
    <w:rsid w:val="00876237"/>
    <w:rsid w:val="00876B8F"/>
    <w:rsid w:val="00877696"/>
    <w:rsid w:val="00877797"/>
    <w:rsid w:val="008777EF"/>
    <w:rsid w:val="008778F5"/>
    <w:rsid w:val="00877E34"/>
    <w:rsid w:val="008802F9"/>
    <w:rsid w:val="00880518"/>
    <w:rsid w:val="00881AAF"/>
    <w:rsid w:val="00881D1F"/>
    <w:rsid w:val="00882597"/>
    <w:rsid w:val="0088365D"/>
    <w:rsid w:val="008837F2"/>
    <w:rsid w:val="008838CA"/>
    <w:rsid w:val="008841E0"/>
    <w:rsid w:val="00885120"/>
    <w:rsid w:val="008851BB"/>
    <w:rsid w:val="008852E6"/>
    <w:rsid w:val="008859A6"/>
    <w:rsid w:val="00885A30"/>
    <w:rsid w:val="0088602C"/>
    <w:rsid w:val="008869BA"/>
    <w:rsid w:val="0088755D"/>
    <w:rsid w:val="00890541"/>
    <w:rsid w:val="00890A61"/>
    <w:rsid w:val="0089115D"/>
    <w:rsid w:val="00891A3D"/>
    <w:rsid w:val="00891B06"/>
    <w:rsid w:val="00891D23"/>
    <w:rsid w:val="0089242D"/>
    <w:rsid w:val="00892B4B"/>
    <w:rsid w:val="00892B73"/>
    <w:rsid w:val="00892D48"/>
    <w:rsid w:val="0089302F"/>
    <w:rsid w:val="008937CA"/>
    <w:rsid w:val="0089447C"/>
    <w:rsid w:val="00895250"/>
    <w:rsid w:val="00895399"/>
    <w:rsid w:val="0089586F"/>
    <w:rsid w:val="008958A8"/>
    <w:rsid w:val="00895E47"/>
    <w:rsid w:val="00895FBF"/>
    <w:rsid w:val="00896F95"/>
    <w:rsid w:val="00897359"/>
    <w:rsid w:val="00897712"/>
    <w:rsid w:val="00897AB9"/>
    <w:rsid w:val="00897DF8"/>
    <w:rsid w:val="008A022C"/>
    <w:rsid w:val="008A077B"/>
    <w:rsid w:val="008A081A"/>
    <w:rsid w:val="008A0F4D"/>
    <w:rsid w:val="008A121D"/>
    <w:rsid w:val="008A15EB"/>
    <w:rsid w:val="008A195E"/>
    <w:rsid w:val="008A1C12"/>
    <w:rsid w:val="008A26BD"/>
    <w:rsid w:val="008A27DC"/>
    <w:rsid w:val="008A2EB9"/>
    <w:rsid w:val="008A300C"/>
    <w:rsid w:val="008A3061"/>
    <w:rsid w:val="008A334F"/>
    <w:rsid w:val="008A3D7A"/>
    <w:rsid w:val="008A3DEB"/>
    <w:rsid w:val="008A3F0D"/>
    <w:rsid w:val="008A4A83"/>
    <w:rsid w:val="008A4D43"/>
    <w:rsid w:val="008A61F0"/>
    <w:rsid w:val="008A68F4"/>
    <w:rsid w:val="008A6DD9"/>
    <w:rsid w:val="008A74AF"/>
    <w:rsid w:val="008A773A"/>
    <w:rsid w:val="008A7B82"/>
    <w:rsid w:val="008A7EBD"/>
    <w:rsid w:val="008A7F02"/>
    <w:rsid w:val="008B00DE"/>
    <w:rsid w:val="008B254E"/>
    <w:rsid w:val="008B25E4"/>
    <w:rsid w:val="008B27A5"/>
    <w:rsid w:val="008B2A4D"/>
    <w:rsid w:val="008B31D0"/>
    <w:rsid w:val="008B326A"/>
    <w:rsid w:val="008B3BFB"/>
    <w:rsid w:val="008B4091"/>
    <w:rsid w:val="008B490E"/>
    <w:rsid w:val="008B500A"/>
    <w:rsid w:val="008B562F"/>
    <w:rsid w:val="008B57FB"/>
    <w:rsid w:val="008B594C"/>
    <w:rsid w:val="008B5D1D"/>
    <w:rsid w:val="008B5D80"/>
    <w:rsid w:val="008B5DE7"/>
    <w:rsid w:val="008B600B"/>
    <w:rsid w:val="008B678A"/>
    <w:rsid w:val="008B6AFD"/>
    <w:rsid w:val="008B7887"/>
    <w:rsid w:val="008C03EB"/>
    <w:rsid w:val="008C099C"/>
    <w:rsid w:val="008C15F0"/>
    <w:rsid w:val="008C167B"/>
    <w:rsid w:val="008C1C7A"/>
    <w:rsid w:val="008C269E"/>
    <w:rsid w:val="008C27D4"/>
    <w:rsid w:val="008C2972"/>
    <w:rsid w:val="008C3138"/>
    <w:rsid w:val="008C316D"/>
    <w:rsid w:val="008C3B75"/>
    <w:rsid w:val="008C3D47"/>
    <w:rsid w:val="008C43D6"/>
    <w:rsid w:val="008C4827"/>
    <w:rsid w:val="008C49F4"/>
    <w:rsid w:val="008C5422"/>
    <w:rsid w:val="008C5564"/>
    <w:rsid w:val="008C568C"/>
    <w:rsid w:val="008C5AE6"/>
    <w:rsid w:val="008C5EB3"/>
    <w:rsid w:val="008C6AEC"/>
    <w:rsid w:val="008C6B28"/>
    <w:rsid w:val="008C7056"/>
    <w:rsid w:val="008C743A"/>
    <w:rsid w:val="008D02F4"/>
    <w:rsid w:val="008D073A"/>
    <w:rsid w:val="008D0D9D"/>
    <w:rsid w:val="008D11E8"/>
    <w:rsid w:val="008D1244"/>
    <w:rsid w:val="008D12AA"/>
    <w:rsid w:val="008D14E6"/>
    <w:rsid w:val="008D19F3"/>
    <w:rsid w:val="008D1B08"/>
    <w:rsid w:val="008D27DA"/>
    <w:rsid w:val="008D315B"/>
    <w:rsid w:val="008D3B5A"/>
    <w:rsid w:val="008D40AC"/>
    <w:rsid w:val="008D4687"/>
    <w:rsid w:val="008D51EC"/>
    <w:rsid w:val="008D5D87"/>
    <w:rsid w:val="008D6362"/>
    <w:rsid w:val="008D6AFC"/>
    <w:rsid w:val="008D7481"/>
    <w:rsid w:val="008D753C"/>
    <w:rsid w:val="008D7677"/>
    <w:rsid w:val="008D7DE8"/>
    <w:rsid w:val="008D7FE5"/>
    <w:rsid w:val="008E090E"/>
    <w:rsid w:val="008E0C42"/>
    <w:rsid w:val="008E18C6"/>
    <w:rsid w:val="008E1A83"/>
    <w:rsid w:val="008E255C"/>
    <w:rsid w:val="008E25FD"/>
    <w:rsid w:val="008E2B39"/>
    <w:rsid w:val="008E2B74"/>
    <w:rsid w:val="008E2BE9"/>
    <w:rsid w:val="008E2BF5"/>
    <w:rsid w:val="008E303F"/>
    <w:rsid w:val="008E3C94"/>
    <w:rsid w:val="008E45CC"/>
    <w:rsid w:val="008E4A46"/>
    <w:rsid w:val="008E56F3"/>
    <w:rsid w:val="008E714C"/>
    <w:rsid w:val="008F006F"/>
    <w:rsid w:val="008F032D"/>
    <w:rsid w:val="008F08D2"/>
    <w:rsid w:val="008F107C"/>
    <w:rsid w:val="008F1246"/>
    <w:rsid w:val="008F16FC"/>
    <w:rsid w:val="008F1D58"/>
    <w:rsid w:val="008F345C"/>
    <w:rsid w:val="008F5158"/>
    <w:rsid w:val="008F52D0"/>
    <w:rsid w:val="008F5AA7"/>
    <w:rsid w:val="008F640B"/>
    <w:rsid w:val="008F6A3D"/>
    <w:rsid w:val="008F6C41"/>
    <w:rsid w:val="008F7515"/>
    <w:rsid w:val="008F7BA1"/>
    <w:rsid w:val="0090041F"/>
    <w:rsid w:val="0090048D"/>
    <w:rsid w:val="00900A90"/>
    <w:rsid w:val="00901650"/>
    <w:rsid w:val="009016E7"/>
    <w:rsid w:val="00901957"/>
    <w:rsid w:val="00901DA5"/>
    <w:rsid w:val="00901DE2"/>
    <w:rsid w:val="00902A5C"/>
    <w:rsid w:val="00904B5A"/>
    <w:rsid w:val="0090580D"/>
    <w:rsid w:val="00905F51"/>
    <w:rsid w:val="00906A64"/>
    <w:rsid w:val="00906A68"/>
    <w:rsid w:val="0090739E"/>
    <w:rsid w:val="0090797B"/>
    <w:rsid w:val="009079DA"/>
    <w:rsid w:val="00907BBA"/>
    <w:rsid w:val="00910ADB"/>
    <w:rsid w:val="00911AF9"/>
    <w:rsid w:val="00911D00"/>
    <w:rsid w:val="009120EC"/>
    <w:rsid w:val="00912A0B"/>
    <w:rsid w:val="00913415"/>
    <w:rsid w:val="0091468E"/>
    <w:rsid w:val="009148CC"/>
    <w:rsid w:val="00915004"/>
    <w:rsid w:val="00915463"/>
    <w:rsid w:val="00915674"/>
    <w:rsid w:val="009158DD"/>
    <w:rsid w:val="0091601B"/>
    <w:rsid w:val="0091655A"/>
    <w:rsid w:val="009165C9"/>
    <w:rsid w:val="00916852"/>
    <w:rsid w:val="0091756C"/>
    <w:rsid w:val="0092039D"/>
    <w:rsid w:val="009203BF"/>
    <w:rsid w:val="00920C74"/>
    <w:rsid w:val="009213AE"/>
    <w:rsid w:val="009214F8"/>
    <w:rsid w:val="00921A66"/>
    <w:rsid w:val="009225E8"/>
    <w:rsid w:val="00922B24"/>
    <w:rsid w:val="009231BE"/>
    <w:rsid w:val="009233EC"/>
    <w:rsid w:val="00923754"/>
    <w:rsid w:val="009239F0"/>
    <w:rsid w:val="009246B0"/>
    <w:rsid w:val="00924F3A"/>
    <w:rsid w:val="009250C5"/>
    <w:rsid w:val="009251A8"/>
    <w:rsid w:val="00925209"/>
    <w:rsid w:val="0092522B"/>
    <w:rsid w:val="009259F1"/>
    <w:rsid w:val="00926194"/>
    <w:rsid w:val="0092620D"/>
    <w:rsid w:val="0092620E"/>
    <w:rsid w:val="00926B53"/>
    <w:rsid w:val="00927046"/>
    <w:rsid w:val="009275C9"/>
    <w:rsid w:val="00927A56"/>
    <w:rsid w:val="00927A8C"/>
    <w:rsid w:val="0093079E"/>
    <w:rsid w:val="00930B59"/>
    <w:rsid w:val="00930F4E"/>
    <w:rsid w:val="0093131A"/>
    <w:rsid w:val="0093190D"/>
    <w:rsid w:val="00931C72"/>
    <w:rsid w:val="00931F91"/>
    <w:rsid w:val="009326C0"/>
    <w:rsid w:val="00933487"/>
    <w:rsid w:val="00934903"/>
    <w:rsid w:val="00934F74"/>
    <w:rsid w:val="00935179"/>
    <w:rsid w:val="0093526D"/>
    <w:rsid w:val="009352B0"/>
    <w:rsid w:val="00935782"/>
    <w:rsid w:val="0093580E"/>
    <w:rsid w:val="00935C8E"/>
    <w:rsid w:val="00936189"/>
    <w:rsid w:val="009364FB"/>
    <w:rsid w:val="009369F6"/>
    <w:rsid w:val="00936C15"/>
    <w:rsid w:val="00936CB4"/>
    <w:rsid w:val="00936E6E"/>
    <w:rsid w:val="009374E6"/>
    <w:rsid w:val="00937AF8"/>
    <w:rsid w:val="009400CD"/>
    <w:rsid w:val="00940BC7"/>
    <w:rsid w:val="00940C93"/>
    <w:rsid w:val="00941FBC"/>
    <w:rsid w:val="009420CF"/>
    <w:rsid w:val="00942553"/>
    <w:rsid w:val="00942555"/>
    <w:rsid w:val="00942720"/>
    <w:rsid w:val="0094327B"/>
    <w:rsid w:val="009434C2"/>
    <w:rsid w:val="00943575"/>
    <w:rsid w:val="00943EC5"/>
    <w:rsid w:val="0094441B"/>
    <w:rsid w:val="00944C12"/>
    <w:rsid w:val="00944C15"/>
    <w:rsid w:val="00944E40"/>
    <w:rsid w:val="009455AF"/>
    <w:rsid w:val="00945AA3"/>
    <w:rsid w:val="00945B02"/>
    <w:rsid w:val="009461F0"/>
    <w:rsid w:val="00946DA8"/>
    <w:rsid w:val="00947155"/>
    <w:rsid w:val="0094760D"/>
    <w:rsid w:val="009501A5"/>
    <w:rsid w:val="00950369"/>
    <w:rsid w:val="009503B3"/>
    <w:rsid w:val="0095049B"/>
    <w:rsid w:val="00950644"/>
    <w:rsid w:val="0095089F"/>
    <w:rsid w:val="00950A56"/>
    <w:rsid w:val="00950B80"/>
    <w:rsid w:val="00950EFC"/>
    <w:rsid w:val="0095112E"/>
    <w:rsid w:val="009519A4"/>
    <w:rsid w:val="00951D49"/>
    <w:rsid w:val="00951F2A"/>
    <w:rsid w:val="009522FF"/>
    <w:rsid w:val="00952847"/>
    <w:rsid w:val="009528C2"/>
    <w:rsid w:val="00952F08"/>
    <w:rsid w:val="00953008"/>
    <w:rsid w:val="00953362"/>
    <w:rsid w:val="009535F4"/>
    <w:rsid w:val="00953A75"/>
    <w:rsid w:val="00953C48"/>
    <w:rsid w:val="00954343"/>
    <w:rsid w:val="00954903"/>
    <w:rsid w:val="009549D9"/>
    <w:rsid w:val="00954A8C"/>
    <w:rsid w:val="00955255"/>
    <w:rsid w:val="009555D1"/>
    <w:rsid w:val="009561C2"/>
    <w:rsid w:val="0095675A"/>
    <w:rsid w:val="00956A33"/>
    <w:rsid w:val="00957087"/>
    <w:rsid w:val="00957101"/>
    <w:rsid w:val="009571D9"/>
    <w:rsid w:val="00957300"/>
    <w:rsid w:val="00957C72"/>
    <w:rsid w:val="00960573"/>
    <w:rsid w:val="00960C7A"/>
    <w:rsid w:val="00960F70"/>
    <w:rsid w:val="009611DE"/>
    <w:rsid w:val="00961202"/>
    <w:rsid w:val="00961B57"/>
    <w:rsid w:val="00961BE8"/>
    <w:rsid w:val="00961D9B"/>
    <w:rsid w:val="00961E63"/>
    <w:rsid w:val="009624C4"/>
    <w:rsid w:val="009624D4"/>
    <w:rsid w:val="009624EB"/>
    <w:rsid w:val="00962901"/>
    <w:rsid w:val="00962C73"/>
    <w:rsid w:val="00962FE5"/>
    <w:rsid w:val="00963821"/>
    <w:rsid w:val="0096405F"/>
    <w:rsid w:val="009640A3"/>
    <w:rsid w:val="00964379"/>
    <w:rsid w:val="00964535"/>
    <w:rsid w:val="0096470C"/>
    <w:rsid w:val="009650C8"/>
    <w:rsid w:val="009652DB"/>
    <w:rsid w:val="00965D23"/>
    <w:rsid w:val="00965F65"/>
    <w:rsid w:val="00965FE0"/>
    <w:rsid w:val="00966166"/>
    <w:rsid w:val="009663E9"/>
    <w:rsid w:val="0096653A"/>
    <w:rsid w:val="00966983"/>
    <w:rsid w:val="0096720A"/>
    <w:rsid w:val="0096727A"/>
    <w:rsid w:val="009672C5"/>
    <w:rsid w:val="0096754B"/>
    <w:rsid w:val="00967551"/>
    <w:rsid w:val="00967589"/>
    <w:rsid w:val="009677C1"/>
    <w:rsid w:val="009677E8"/>
    <w:rsid w:val="00970D71"/>
    <w:rsid w:val="00970D73"/>
    <w:rsid w:val="0097242A"/>
    <w:rsid w:val="00972635"/>
    <w:rsid w:val="00972E15"/>
    <w:rsid w:val="00973147"/>
    <w:rsid w:val="0097351E"/>
    <w:rsid w:val="00973DAE"/>
    <w:rsid w:val="00974806"/>
    <w:rsid w:val="00974EBD"/>
    <w:rsid w:val="009758C2"/>
    <w:rsid w:val="00975E2A"/>
    <w:rsid w:val="0097644F"/>
    <w:rsid w:val="009764CE"/>
    <w:rsid w:val="00976551"/>
    <w:rsid w:val="00976BE4"/>
    <w:rsid w:val="00976FC4"/>
    <w:rsid w:val="009770EC"/>
    <w:rsid w:val="0097776B"/>
    <w:rsid w:val="009802B3"/>
    <w:rsid w:val="00981101"/>
    <w:rsid w:val="00981185"/>
    <w:rsid w:val="009811AF"/>
    <w:rsid w:val="009819B7"/>
    <w:rsid w:val="009833FF"/>
    <w:rsid w:val="009839A7"/>
    <w:rsid w:val="009841C9"/>
    <w:rsid w:val="009841E1"/>
    <w:rsid w:val="009847BE"/>
    <w:rsid w:val="00984D2F"/>
    <w:rsid w:val="0098627C"/>
    <w:rsid w:val="00986386"/>
    <w:rsid w:val="0098649F"/>
    <w:rsid w:val="0098693F"/>
    <w:rsid w:val="00986EBF"/>
    <w:rsid w:val="00987703"/>
    <w:rsid w:val="0099034A"/>
    <w:rsid w:val="009917C8"/>
    <w:rsid w:val="009920DC"/>
    <w:rsid w:val="00992B42"/>
    <w:rsid w:val="00992EED"/>
    <w:rsid w:val="0099313C"/>
    <w:rsid w:val="0099360D"/>
    <w:rsid w:val="00993970"/>
    <w:rsid w:val="00993A06"/>
    <w:rsid w:val="00993CCB"/>
    <w:rsid w:val="00994759"/>
    <w:rsid w:val="00994A8C"/>
    <w:rsid w:val="00994E6B"/>
    <w:rsid w:val="00994F24"/>
    <w:rsid w:val="009950F7"/>
    <w:rsid w:val="009955A4"/>
    <w:rsid w:val="009959CA"/>
    <w:rsid w:val="00996055"/>
    <w:rsid w:val="009962BA"/>
    <w:rsid w:val="009966D7"/>
    <w:rsid w:val="00996E2D"/>
    <w:rsid w:val="00997C4F"/>
    <w:rsid w:val="00997EA9"/>
    <w:rsid w:val="009A034D"/>
    <w:rsid w:val="009A063C"/>
    <w:rsid w:val="009A12CF"/>
    <w:rsid w:val="009A1858"/>
    <w:rsid w:val="009A1FF2"/>
    <w:rsid w:val="009A22FA"/>
    <w:rsid w:val="009A24CD"/>
    <w:rsid w:val="009A2624"/>
    <w:rsid w:val="009A26DF"/>
    <w:rsid w:val="009A2B48"/>
    <w:rsid w:val="009A34D2"/>
    <w:rsid w:val="009A3E78"/>
    <w:rsid w:val="009A419C"/>
    <w:rsid w:val="009A47C9"/>
    <w:rsid w:val="009A4E8D"/>
    <w:rsid w:val="009A519A"/>
    <w:rsid w:val="009A5241"/>
    <w:rsid w:val="009A5A72"/>
    <w:rsid w:val="009A60AB"/>
    <w:rsid w:val="009A670E"/>
    <w:rsid w:val="009A67F7"/>
    <w:rsid w:val="009A685B"/>
    <w:rsid w:val="009A6A58"/>
    <w:rsid w:val="009A6DD1"/>
    <w:rsid w:val="009A71DD"/>
    <w:rsid w:val="009A7CCE"/>
    <w:rsid w:val="009A7DD5"/>
    <w:rsid w:val="009B12CA"/>
    <w:rsid w:val="009B1411"/>
    <w:rsid w:val="009B15E6"/>
    <w:rsid w:val="009B17C0"/>
    <w:rsid w:val="009B1CDC"/>
    <w:rsid w:val="009B1D01"/>
    <w:rsid w:val="009B20AD"/>
    <w:rsid w:val="009B21AA"/>
    <w:rsid w:val="009B29C5"/>
    <w:rsid w:val="009B2F09"/>
    <w:rsid w:val="009B3E4D"/>
    <w:rsid w:val="009B3F06"/>
    <w:rsid w:val="009B42A0"/>
    <w:rsid w:val="009B42BF"/>
    <w:rsid w:val="009B47EF"/>
    <w:rsid w:val="009B4A34"/>
    <w:rsid w:val="009B6B48"/>
    <w:rsid w:val="009B7020"/>
    <w:rsid w:val="009B7507"/>
    <w:rsid w:val="009C0CE8"/>
    <w:rsid w:val="009C1305"/>
    <w:rsid w:val="009C18FE"/>
    <w:rsid w:val="009C25A3"/>
    <w:rsid w:val="009C2620"/>
    <w:rsid w:val="009C2682"/>
    <w:rsid w:val="009C335A"/>
    <w:rsid w:val="009C357A"/>
    <w:rsid w:val="009C359A"/>
    <w:rsid w:val="009C378D"/>
    <w:rsid w:val="009C4153"/>
    <w:rsid w:val="009C6273"/>
    <w:rsid w:val="009C630B"/>
    <w:rsid w:val="009C6706"/>
    <w:rsid w:val="009C6DE7"/>
    <w:rsid w:val="009D0315"/>
    <w:rsid w:val="009D0424"/>
    <w:rsid w:val="009D09FB"/>
    <w:rsid w:val="009D0AE4"/>
    <w:rsid w:val="009D0CB7"/>
    <w:rsid w:val="009D1DFB"/>
    <w:rsid w:val="009D1FAA"/>
    <w:rsid w:val="009D27ED"/>
    <w:rsid w:val="009D2F8A"/>
    <w:rsid w:val="009D33F9"/>
    <w:rsid w:val="009D3425"/>
    <w:rsid w:val="009D3958"/>
    <w:rsid w:val="009D418E"/>
    <w:rsid w:val="009D552F"/>
    <w:rsid w:val="009D693A"/>
    <w:rsid w:val="009D6992"/>
    <w:rsid w:val="009D722C"/>
    <w:rsid w:val="009D7528"/>
    <w:rsid w:val="009D7533"/>
    <w:rsid w:val="009E0460"/>
    <w:rsid w:val="009E0647"/>
    <w:rsid w:val="009E0986"/>
    <w:rsid w:val="009E1049"/>
    <w:rsid w:val="009E10B4"/>
    <w:rsid w:val="009E1405"/>
    <w:rsid w:val="009E2BEE"/>
    <w:rsid w:val="009E3D59"/>
    <w:rsid w:val="009E4171"/>
    <w:rsid w:val="009E41B2"/>
    <w:rsid w:val="009E4A98"/>
    <w:rsid w:val="009E4BD4"/>
    <w:rsid w:val="009E54F5"/>
    <w:rsid w:val="009E60D8"/>
    <w:rsid w:val="009E6E32"/>
    <w:rsid w:val="009E7052"/>
    <w:rsid w:val="009E7255"/>
    <w:rsid w:val="009E74F4"/>
    <w:rsid w:val="009E7676"/>
    <w:rsid w:val="009F01E4"/>
    <w:rsid w:val="009F0346"/>
    <w:rsid w:val="009F04B7"/>
    <w:rsid w:val="009F0717"/>
    <w:rsid w:val="009F0B12"/>
    <w:rsid w:val="009F0DA7"/>
    <w:rsid w:val="009F0FA6"/>
    <w:rsid w:val="009F1201"/>
    <w:rsid w:val="009F198B"/>
    <w:rsid w:val="009F19FC"/>
    <w:rsid w:val="009F1DB2"/>
    <w:rsid w:val="009F1E04"/>
    <w:rsid w:val="009F20C4"/>
    <w:rsid w:val="009F2281"/>
    <w:rsid w:val="009F46FE"/>
    <w:rsid w:val="009F4981"/>
    <w:rsid w:val="009F49C9"/>
    <w:rsid w:val="009F4AF5"/>
    <w:rsid w:val="009F57A3"/>
    <w:rsid w:val="009F58EC"/>
    <w:rsid w:val="009F5D3F"/>
    <w:rsid w:val="009F6281"/>
    <w:rsid w:val="009F691A"/>
    <w:rsid w:val="009F78C9"/>
    <w:rsid w:val="009F7B88"/>
    <w:rsid w:val="00A0039B"/>
    <w:rsid w:val="00A0045C"/>
    <w:rsid w:val="00A00C77"/>
    <w:rsid w:val="00A011BD"/>
    <w:rsid w:val="00A01291"/>
    <w:rsid w:val="00A013EB"/>
    <w:rsid w:val="00A02055"/>
    <w:rsid w:val="00A020BD"/>
    <w:rsid w:val="00A024FF"/>
    <w:rsid w:val="00A028D8"/>
    <w:rsid w:val="00A02C78"/>
    <w:rsid w:val="00A02F76"/>
    <w:rsid w:val="00A03187"/>
    <w:rsid w:val="00A0376B"/>
    <w:rsid w:val="00A0399E"/>
    <w:rsid w:val="00A03AD5"/>
    <w:rsid w:val="00A047C4"/>
    <w:rsid w:val="00A04A23"/>
    <w:rsid w:val="00A04B74"/>
    <w:rsid w:val="00A056F9"/>
    <w:rsid w:val="00A05939"/>
    <w:rsid w:val="00A05C64"/>
    <w:rsid w:val="00A06011"/>
    <w:rsid w:val="00A06513"/>
    <w:rsid w:val="00A10260"/>
    <w:rsid w:val="00A1063D"/>
    <w:rsid w:val="00A11123"/>
    <w:rsid w:val="00A11632"/>
    <w:rsid w:val="00A123E0"/>
    <w:rsid w:val="00A13658"/>
    <w:rsid w:val="00A13D25"/>
    <w:rsid w:val="00A13E81"/>
    <w:rsid w:val="00A142BC"/>
    <w:rsid w:val="00A14669"/>
    <w:rsid w:val="00A14ACF"/>
    <w:rsid w:val="00A14E03"/>
    <w:rsid w:val="00A14F9C"/>
    <w:rsid w:val="00A15815"/>
    <w:rsid w:val="00A1697C"/>
    <w:rsid w:val="00A1765E"/>
    <w:rsid w:val="00A203F3"/>
    <w:rsid w:val="00A2044A"/>
    <w:rsid w:val="00A20C60"/>
    <w:rsid w:val="00A20EAD"/>
    <w:rsid w:val="00A21300"/>
    <w:rsid w:val="00A21C8B"/>
    <w:rsid w:val="00A21CDE"/>
    <w:rsid w:val="00A22364"/>
    <w:rsid w:val="00A22ABA"/>
    <w:rsid w:val="00A22CDE"/>
    <w:rsid w:val="00A23C7F"/>
    <w:rsid w:val="00A250F5"/>
    <w:rsid w:val="00A25633"/>
    <w:rsid w:val="00A257FE"/>
    <w:rsid w:val="00A25955"/>
    <w:rsid w:val="00A25BF4"/>
    <w:rsid w:val="00A260B9"/>
    <w:rsid w:val="00A26484"/>
    <w:rsid w:val="00A269C1"/>
    <w:rsid w:val="00A26F55"/>
    <w:rsid w:val="00A27DB8"/>
    <w:rsid w:val="00A3006C"/>
    <w:rsid w:val="00A30EB0"/>
    <w:rsid w:val="00A3116D"/>
    <w:rsid w:val="00A312CE"/>
    <w:rsid w:val="00A3166A"/>
    <w:rsid w:val="00A323AB"/>
    <w:rsid w:val="00A3249C"/>
    <w:rsid w:val="00A32CA1"/>
    <w:rsid w:val="00A33165"/>
    <w:rsid w:val="00A344C8"/>
    <w:rsid w:val="00A34773"/>
    <w:rsid w:val="00A34885"/>
    <w:rsid w:val="00A34DBD"/>
    <w:rsid w:val="00A34EA6"/>
    <w:rsid w:val="00A35240"/>
    <w:rsid w:val="00A35294"/>
    <w:rsid w:val="00A36029"/>
    <w:rsid w:val="00A363D9"/>
    <w:rsid w:val="00A36814"/>
    <w:rsid w:val="00A3690F"/>
    <w:rsid w:val="00A36917"/>
    <w:rsid w:val="00A36AD6"/>
    <w:rsid w:val="00A375E1"/>
    <w:rsid w:val="00A40994"/>
    <w:rsid w:val="00A409D2"/>
    <w:rsid w:val="00A40DFE"/>
    <w:rsid w:val="00A41033"/>
    <w:rsid w:val="00A41A3F"/>
    <w:rsid w:val="00A423EF"/>
    <w:rsid w:val="00A4295A"/>
    <w:rsid w:val="00A42D4B"/>
    <w:rsid w:val="00A42D80"/>
    <w:rsid w:val="00A4382E"/>
    <w:rsid w:val="00A43886"/>
    <w:rsid w:val="00A43E76"/>
    <w:rsid w:val="00A444F9"/>
    <w:rsid w:val="00A446CB"/>
    <w:rsid w:val="00A44D76"/>
    <w:rsid w:val="00A44FBA"/>
    <w:rsid w:val="00A45748"/>
    <w:rsid w:val="00A45CAD"/>
    <w:rsid w:val="00A463F9"/>
    <w:rsid w:val="00A46636"/>
    <w:rsid w:val="00A47886"/>
    <w:rsid w:val="00A504A9"/>
    <w:rsid w:val="00A514BE"/>
    <w:rsid w:val="00A51810"/>
    <w:rsid w:val="00A525AA"/>
    <w:rsid w:val="00A52FF1"/>
    <w:rsid w:val="00A5320A"/>
    <w:rsid w:val="00A533DC"/>
    <w:rsid w:val="00A533FD"/>
    <w:rsid w:val="00A53B2B"/>
    <w:rsid w:val="00A54623"/>
    <w:rsid w:val="00A54DAA"/>
    <w:rsid w:val="00A5558A"/>
    <w:rsid w:val="00A55AB0"/>
    <w:rsid w:val="00A561B1"/>
    <w:rsid w:val="00A562D2"/>
    <w:rsid w:val="00A564F3"/>
    <w:rsid w:val="00A56666"/>
    <w:rsid w:val="00A570C4"/>
    <w:rsid w:val="00A570D9"/>
    <w:rsid w:val="00A57B99"/>
    <w:rsid w:val="00A57F86"/>
    <w:rsid w:val="00A6028E"/>
    <w:rsid w:val="00A60D5D"/>
    <w:rsid w:val="00A60D9E"/>
    <w:rsid w:val="00A615BD"/>
    <w:rsid w:val="00A61841"/>
    <w:rsid w:val="00A61869"/>
    <w:rsid w:val="00A6192A"/>
    <w:rsid w:val="00A61E68"/>
    <w:rsid w:val="00A623E9"/>
    <w:rsid w:val="00A62828"/>
    <w:rsid w:val="00A628DA"/>
    <w:rsid w:val="00A62E90"/>
    <w:rsid w:val="00A632B8"/>
    <w:rsid w:val="00A634B9"/>
    <w:rsid w:val="00A65564"/>
    <w:rsid w:val="00A659D8"/>
    <w:rsid w:val="00A661D2"/>
    <w:rsid w:val="00A66485"/>
    <w:rsid w:val="00A6689D"/>
    <w:rsid w:val="00A66F50"/>
    <w:rsid w:val="00A701E4"/>
    <w:rsid w:val="00A70336"/>
    <w:rsid w:val="00A709A7"/>
    <w:rsid w:val="00A70C9A"/>
    <w:rsid w:val="00A70F65"/>
    <w:rsid w:val="00A712F4"/>
    <w:rsid w:val="00A71637"/>
    <w:rsid w:val="00A7171A"/>
    <w:rsid w:val="00A72390"/>
    <w:rsid w:val="00A72410"/>
    <w:rsid w:val="00A732DE"/>
    <w:rsid w:val="00A7349F"/>
    <w:rsid w:val="00A7409F"/>
    <w:rsid w:val="00A74272"/>
    <w:rsid w:val="00A74761"/>
    <w:rsid w:val="00A74AD9"/>
    <w:rsid w:val="00A74EB9"/>
    <w:rsid w:val="00A75732"/>
    <w:rsid w:val="00A759C4"/>
    <w:rsid w:val="00A75A3A"/>
    <w:rsid w:val="00A75E29"/>
    <w:rsid w:val="00A76040"/>
    <w:rsid w:val="00A765C8"/>
    <w:rsid w:val="00A768D9"/>
    <w:rsid w:val="00A76B82"/>
    <w:rsid w:val="00A76FC3"/>
    <w:rsid w:val="00A77686"/>
    <w:rsid w:val="00A77AAD"/>
    <w:rsid w:val="00A80740"/>
    <w:rsid w:val="00A80977"/>
    <w:rsid w:val="00A80ED5"/>
    <w:rsid w:val="00A81AAC"/>
    <w:rsid w:val="00A81EF3"/>
    <w:rsid w:val="00A82012"/>
    <w:rsid w:val="00A82458"/>
    <w:rsid w:val="00A8291E"/>
    <w:rsid w:val="00A82E90"/>
    <w:rsid w:val="00A832BC"/>
    <w:rsid w:val="00A84B3B"/>
    <w:rsid w:val="00A84CD2"/>
    <w:rsid w:val="00A8520D"/>
    <w:rsid w:val="00A85377"/>
    <w:rsid w:val="00A85592"/>
    <w:rsid w:val="00A8668E"/>
    <w:rsid w:val="00A86C50"/>
    <w:rsid w:val="00A87BE4"/>
    <w:rsid w:val="00A907AE"/>
    <w:rsid w:val="00A9144C"/>
    <w:rsid w:val="00A915D6"/>
    <w:rsid w:val="00A916D3"/>
    <w:rsid w:val="00A91D36"/>
    <w:rsid w:val="00A91EE7"/>
    <w:rsid w:val="00A92376"/>
    <w:rsid w:val="00A929BA"/>
    <w:rsid w:val="00A92EBF"/>
    <w:rsid w:val="00A93585"/>
    <w:rsid w:val="00A938B9"/>
    <w:rsid w:val="00A93CB4"/>
    <w:rsid w:val="00A93CD9"/>
    <w:rsid w:val="00A9480C"/>
    <w:rsid w:val="00A949DC"/>
    <w:rsid w:val="00A94A8F"/>
    <w:rsid w:val="00A95309"/>
    <w:rsid w:val="00A95927"/>
    <w:rsid w:val="00A95B36"/>
    <w:rsid w:val="00A95DFC"/>
    <w:rsid w:val="00A96018"/>
    <w:rsid w:val="00A96570"/>
    <w:rsid w:val="00A96A71"/>
    <w:rsid w:val="00A96E52"/>
    <w:rsid w:val="00A974CB"/>
    <w:rsid w:val="00A974F5"/>
    <w:rsid w:val="00A977F5"/>
    <w:rsid w:val="00AA08BA"/>
    <w:rsid w:val="00AA0DEA"/>
    <w:rsid w:val="00AA0F50"/>
    <w:rsid w:val="00AA122A"/>
    <w:rsid w:val="00AA1C01"/>
    <w:rsid w:val="00AA2BD5"/>
    <w:rsid w:val="00AA2FAA"/>
    <w:rsid w:val="00AA34DD"/>
    <w:rsid w:val="00AA3A82"/>
    <w:rsid w:val="00AA45BE"/>
    <w:rsid w:val="00AA4904"/>
    <w:rsid w:val="00AA5B45"/>
    <w:rsid w:val="00AA6448"/>
    <w:rsid w:val="00AA669C"/>
    <w:rsid w:val="00AA673E"/>
    <w:rsid w:val="00AA6F24"/>
    <w:rsid w:val="00AA7493"/>
    <w:rsid w:val="00AA755C"/>
    <w:rsid w:val="00AA767A"/>
    <w:rsid w:val="00AA79EC"/>
    <w:rsid w:val="00AA7B52"/>
    <w:rsid w:val="00AA7DC5"/>
    <w:rsid w:val="00AB0AC7"/>
    <w:rsid w:val="00AB0C9D"/>
    <w:rsid w:val="00AB0CB7"/>
    <w:rsid w:val="00AB0E1B"/>
    <w:rsid w:val="00AB1749"/>
    <w:rsid w:val="00AB17CB"/>
    <w:rsid w:val="00AB1973"/>
    <w:rsid w:val="00AB1A0B"/>
    <w:rsid w:val="00AB1F95"/>
    <w:rsid w:val="00AB207E"/>
    <w:rsid w:val="00AB2233"/>
    <w:rsid w:val="00AB282C"/>
    <w:rsid w:val="00AB2E11"/>
    <w:rsid w:val="00AB2E68"/>
    <w:rsid w:val="00AB3202"/>
    <w:rsid w:val="00AB3CA5"/>
    <w:rsid w:val="00AB4521"/>
    <w:rsid w:val="00AB4546"/>
    <w:rsid w:val="00AB4944"/>
    <w:rsid w:val="00AB57A1"/>
    <w:rsid w:val="00AB5846"/>
    <w:rsid w:val="00AB5BAE"/>
    <w:rsid w:val="00AB5EFB"/>
    <w:rsid w:val="00AB5F08"/>
    <w:rsid w:val="00AB5FF1"/>
    <w:rsid w:val="00AB70B6"/>
    <w:rsid w:val="00AB7EAA"/>
    <w:rsid w:val="00AC0029"/>
    <w:rsid w:val="00AC0038"/>
    <w:rsid w:val="00AC100B"/>
    <w:rsid w:val="00AC112B"/>
    <w:rsid w:val="00AC12EE"/>
    <w:rsid w:val="00AC295B"/>
    <w:rsid w:val="00AC2C7F"/>
    <w:rsid w:val="00AC2CA8"/>
    <w:rsid w:val="00AC3357"/>
    <w:rsid w:val="00AC337C"/>
    <w:rsid w:val="00AC35CF"/>
    <w:rsid w:val="00AC35EE"/>
    <w:rsid w:val="00AC42C9"/>
    <w:rsid w:val="00AC4309"/>
    <w:rsid w:val="00AC4613"/>
    <w:rsid w:val="00AC4EC7"/>
    <w:rsid w:val="00AC57CA"/>
    <w:rsid w:val="00AC5CB8"/>
    <w:rsid w:val="00AC61CF"/>
    <w:rsid w:val="00AC63C4"/>
    <w:rsid w:val="00AC6518"/>
    <w:rsid w:val="00AC70F7"/>
    <w:rsid w:val="00AC726B"/>
    <w:rsid w:val="00AC7402"/>
    <w:rsid w:val="00AC7764"/>
    <w:rsid w:val="00AC78B4"/>
    <w:rsid w:val="00AC79E1"/>
    <w:rsid w:val="00AD068C"/>
    <w:rsid w:val="00AD1082"/>
    <w:rsid w:val="00AD10BF"/>
    <w:rsid w:val="00AD12C9"/>
    <w:rsid w:val="00AD1D72"/>
    <w:rsid w:val="00AD2072"/>
    <w:rsid w:val="00AD21F6"/>
    <w:rsid w:val="00AD242B"/>
    <w:rsid w:val="00AD28DD"/>
    <w:rsid w:val="00AD2DFB"/>
    <w:rsid w:val="00AD3077"/>
    <w:rsid w:val="00AD36C0"/>
    <w:rsid w:val="00AD3CF7"/>
    <w:rsid w:val="00AD442D"/>
    <w:rsid w:val="00AD4C97"/>
    <w:rsid w:val="00AD5063"/>
    <w:rsid w:val="00AD5A7E"/>
    <w:rsid w:val="00AD5B30"/>
    <w:rsid w:val="00AD6217"/>
    <w:rsid w:val="00AD62D8"/>
    <w:rsid w:val="00AD6542"/>
    <w:rsid w:val="00AD6997"/>
    <w:rsid w:val="00AD6AC2"/>
    <w:rsid w:val="00AD7190"/>
    <w:rsid w:val="00AD7273"/>
    <w:rsid w:val="00AD7454"/>
    <w:rsid w:val="00AD7546"/>
    <w:rsid w:val="00AD7A90"/>
    <w:rsid w:val="00AE0ADD"/>
    <w:rsid w:val="00AE0FEE"/>
    <w:rsid w:val="00AE1615"/>
    <w:rsid w:val="00AE1A80"/>
    <w:rsid w:val="00AE1F99"/>
    <w:rsid w:val="00AE25AB"/>
    <w:rsid w:val="00AE2B05"/>
    <w:rsid w:val="00AE2CA6"/>
    <w:rsid w:val="00AE2F90"/>
    <w:rsid w:val="00AE32F7"/>
    <w:rsid w:val="00AE359B"/>
    <w:rsid w:val="00AE3772"/>
    <w:rsid w:val="00AE3E38"/>
    <w:rsid w:val="00AE4A91"/>
    <w:rsid w:val="00AE5DBD"/>
    <w:rsid w:val="00AE5EE7"/>
    <w:rsid w:val="00AE6630"/>
    <w:rsid w:val="00AE6CF8"/>
    <w:rsid w:val="00AE7A0D"/>
    <w:rsid w:val="00AE7B98"/>
    <w:rsid w:val="00AE7E6D"/>
    <w:rsid w:val="00AF08F2"/>
    <w:rsid w:val="00AF0C40"/>
    <w:rsid w:val="00AF0D70"/>
    <w:rsid w:val="00AF0DD8"/>
    <w:rsid w:val="00AF16EC"/>
    <w:rsid w:val="00AF1AB0"/>
    <w:rsid w:val="00AF2BA3"/>
    <w:rsid w:val="00AF2D11"/>
    <w:rsid w:val="00AF2DC3"/>
    <w:rsid w:val="00AF30B2"/>
    <w:rsid w:val="00AF3680"/>
    <w:rsid w:val="00AF3C1D"/>
    <w:rsid w:val="00AF4321"/>
    <w:rsid w:val="00AF435E"/>
    <w:rsid w:val="00AF4894"/>
    <w:rsid w:val="00AF49AD"/>
    <w:rsid w:val="00AF4B91"/>
    <w:rsid w:val="00AF4E1E"/>
    <w:rsid w:val="00AF4ED7"/>
    <w:rsid w:val="00AF549C"/>
    <w:rsid w:val="00AF66E7"/>
    <w:rsid w:val="00AF757E"/>
    <w:rsid w:val="00AF7AFE"/>
    <w:rsid w:val="00AF7BD5"/>
    <w:rsid w:val="00B00BC4"/>
    <w:rsid w:val="00B013B4"/>
    <w:rsid w:val="00B014E3"/>
    <w:rsid w:val="00B01503"/>
    <w:rsid w:val="00B01513"/>
    <w:rsid w:val="00B01516"/>
    <w:rsid w:val="00B01769"/>
    <w:rsid w:val="00B01803"/>
    <w:rsid w:val="00B01CA3"/>
    <w:rsid w:val="00B022A4"/>
    <w:rsid w:val="00B02840"/>
    <w:rsid w:val="00B02B60"/>
    <w:rsid w:val="00B02CAF"/>
    <w:rsid w:val="00B02F7F"/>
    <w:rsid w:val="00B0318D"/>
    <w:rsid w:val="00B0322B"/>
    <w:rsid w:val="00B0325C"/>
    <w:rsid w:val="00B03383"/>
    <w:rsid w:val="00B03976"/>
    <w:rsid w:val="00B03DCC"/>
    <w:rsid w:val="00B03DCE"/>
    <w:rsid w:val="00B042CB"/>
    <w:rsid w:val="00B042F3"/>
    <w:rsid w:val="00B045BE"/>
    <w:rsid w:val="00B04644"/>
    <w:rsid w:val="00B0492A"/>
    <w:rsid w:val="00B0493F"/>
    <w:rsid w:val="00B049DA"/>
    <w:rsid w:val="00B04F8F"/>
    <w:rsid w:val="00B0507D"/>
    <w:rsid w:val="00B050A8"/>
    <w:rsid w:val="00B055FA"/>
    <w:rsid w:val="00B059D2"/>
    <w:rsid w:val="00B05B47"/>
    <w:rsid w:val="00B06469"/>
    <w:rsid w:val="00B0647F"/>
    <w:rsid w:val="00B06F6A"/>
    <w:rsid w:val="00B0707E"/>
    <w:rsid w:val="00B079E6"/>
    <w:rsid w:val="00B104E3"/>
    <w:rsid w:val="00B10F26"/>
    <w:rsid w:val="00B112CF"/>
    <w:rsid w:val="00B122F1"/>
    <w:rsid w:val="00B128C2"/>
    <w:rsid w:val="00B12A0D"/>
    <w:rsid w:val="00B13591"/>
    <w:rsid w:val="00B139AF"/>
    <w:rsid w:val="00B13F5E"/>
    <w:rsid w:val="00B14246"/>
    <w:rsid w:val="00B14D24"/>
    <w:rsid w:val="00B14DF2"/>
    <w:rsid w:val="00B153DD"/>
    <w:rsid w:val="00B15467"/>
    <w:rsid w:val="00B15724"/>
    <w:rsid w:val="00B1604F"/>
    <w:rsid w:val="00B16270"/>
    <w:rsid w:val="00B16528"/>
    <w:rsid w:val="00B16801"/>
    <w:rsid w:val="00B16D98"/>
    <w:rsid w:val="00B17116"/>
    <w:rsid w:val="00B17F7D"/>
    <w:rsid w:val="00B209A0"/>
    <w:rsid w:val="00B20C55"/>
    <w:rsid w:val="00B215EF"/>
    <w:rsid w:val="00B21682"/>
    <w:rsid w:val="00B21CDC"/>
    <w:rsid w:val="00B21D95"/>
    <w:rsid w:val="00B22018"/>
    <w:rsid w:val="00B2249A"/>
    <w:rsid w:val="00B237CD"/>
    <w:rsid w:val="00B23BCF"/>
    <w:rsid w:val="00B23E8F"/>
    <w:rsid w:val="00B24020"/>
    <w:rsid w:val="00B24499"/>
    <w:rsid w:val="00B24A39"/>
    <w:rsid w:val="00B25335"/>
    <w:rsid w:val="00B25C82"/>
    <w:rsid w:val="00B26283"/>
    <w:rsid w:val="00B264A1"/>
    <w:rsid w:val="00B26D5F"/>
    <w:rsid w:val="00B26E39"/>
    <w:rsid w:val="00B26EEA"/>
    <w:rsid w:val="00B26EF8"/>
    <w:rsid w:val="00B27560"/>
    <w:rsid w:val="00B27A88"/>
    <w:rsid w:val="00B303E7"/>
    <w:rsid w:val="00B31078"/>
    <w:rsid w:val="00B31199"/>
    <w:rsid w:val="00B3134C"/>
    <w:rsid w:val="00B3159D"/>
    <w:rsid w:val="00B31C70"/>
    <w:rsid w:val="00B31CAA"/>
    <w:rsid w:val="00B3268B"/>
    <w:rsid w:val="00B32B8E"/>
    <w:rsid w:val="00B32BBE"/>
    <w:rsid w:val="00B32D39"/>
    <w:rsid w:val="00B33075"/>
    <w:rsid w:val="00B334A6"/>
    <w:rsid w:val="00B33596"/>
    <w:rsid w:val="00B33DF1"/>
    <w:rsid w:val="00B3418E"/>
    <w:rsid w:val="00B341AC"/>
    <w:rsid w:val="00B34240"/>
    <w:rsid w:val="00B34619"/>
    <w:rsid w:val="00B35A38"/>
    <w:rsid w:val="00B36522"/>
    <w:rsid w:val="00B366CC"/>
    <w:rsid w:val="00B36D08"/>
    <w:rsid w:val="00B36DD4"/>
    <w:rsid w:val="00B36FFC"/>
    <w:rsid w:val="00B37177"/>
    <w:rsid w:val="00B378A6"/>
    <w:rsid w:val="00B402DA"/>
    <w:rsid w:val="00B4042E"/>
    <w:rsid w:val="00B40918"/>
    <w:rsid w:val="00B40C18"/>
    <w:rsid w:val="00B40F8D"/>
    <w:rsid w:val="00B41005"/>
    <w:rsid w:val="00B410A0"/>
    <w:rsid w:val="00B4138C"/>
    <w:rsid w:val="00B413F3"/>
    <w:rsid w:val="00B414FA"/>
    <w:rsid w:val="00B42128"/>
    <w:rsid w:val="00B421CB"/>
    <w:rsid w:val="00B426F7"/>
    <w:rsid w:val="00B44052"/>
    <w:rsid w:val="00B44301"/>
    <w:rsid w:val="00B44619"/>
    <w:rsid w:val="00B45493"/>
    <w:rsid w:val="00B45519"/>
    <w:rsid w:val="00B46140"/>
    <w:rsid w:val="00B46398"/>
    <w:rsid w:val="00B4652E"/>
    <w:rsid w:val="00B46FB2"/>
    <w:rsid w:val="00B471EB"/>
    <w:rsid w:val="00B474B5"/>
    <w:rsid w:val="00B474E1"/>
    <w:rsid w:val="00B478B5"/>
    <w:rsid w:val="00B5060E"/>
    <w:rsid w:val="00B514AB"/>
    <w:rsid w:val="00B51FF4"/>
    <w:rsid w:val="00B536A0"/>
    <w:rsid w:val="00B5379C"/>
    <w:rsid w:val="00B54440"/>
    <w:rsid w:val="00B5462D"/>
    <w:rsid w:val="00B54C3D"/>
    <w:rsid w:val="00B55918"/>
    <w:rsid w:val="00B55C75"/>
    <w:rsid w:val="00B56B82"/>
    <w:rsid w:val="00B56CF0"/>
    <w:rsid w:val="00B56D49"/>
    <w:rsid w:val="00B574CD"/>
    <w:rsid w:val="00B57568"/>
    <w:rsid w:val="00B60211"/>
    <w:rsid w:val="00B6039B"/>
    <w:rsid w:val="00B61DAA"/>
    <w:rsid w:val="00B61E73"/>
    <w:rsid w:val="00B61F2B"/>
    <w:rsid w:val="00B6256F"/>
    <w:rsid w:val="00B62600"/>
    <w:rsid w:val="00B62997"/>
    <w:rsid w:val="00B62C8C"/>
    <w:rsid w:val="00B62CC1"/>
    <w:rsid w:val="00B63B44"/>
    <w:rsid w:val="00B641A6"/>
    <w:rsid w:val="00B643EF"/>
    <w:rsid w:val="00B646C2"/>
    <w:rsid w:val="00B64E2C"/>
    <w:rsid w:val="00B6509E"/>
    <w:rsid w:val="00B65A73"/>
    <w:rsid w:val="00B65CC3"/>
    <w:rsid w:val="00B65EB1"/>
    <w:rsid w:val="00B66123"/>
    <w:rsid w:val="00B6679A"/>
    <w:rsid w:val="00B66EAB"/>
    <w:rsid w:val="00B67280"/>
    <w:rsid w:val="00B67333"/>
    <w:rsid w:val="00B67508"/>
    <w:rsid w:val="00B679AD"/>
    <w:rsid w:val="00B67DB5"/>
    <w:rsid w:val="00B67EFF"/>
    <w:rsid w:val="00B70093"/>
    <w:rsid w:val="00B70101"/>
    <w:rsid w:val="00B705F6"/>
    <w:rsid w:val="00B70C2B"/>
    <w:rsid w:val="00B71787"/>
    <w:rsid w:val="00B71A9A"/>
    <w:rsid w:val="00B7210A"/>
    <w:rsid w:val="00B7251C"/>
    <w:rsid w:val="00B72938"/>
    <w:rsid w:val="00B73227"/>
    <w:rsid w:val="00B73582"/>
    <w:rsid w:val="00B74372"/>
    <w:rsid w:val="00B74436"/>
    <w:rsid w:val="00B745E9"/>
    <w:rsid w:val="00B748F8"/>
    <w:rsid w:val="00B74C08"/>
    <w:rsid w:val="00B7500F"/>
    <w:rsid w:val="00B7522B"/>
    <w:rsid w:val="00B755D6"/>
    <w:rsid w:val="00B757EA"/>
    <w:rsid w:val="00B75AD9"/>
    <w:rsid w:val="00B7689C"/>
    <w:rsid w:val="00B7712B"/>
    <w:rsid w:val="00B77376"/>
    <w:rsid w:val="00B7786F"/>
    <w:rsid w:val="00B77D27"/>
    <w:rsid w:val="00B81156"/>
    <w:rsid w:val="00B81495"/>
    <w:rsid w:val="00B814BF"/>
    <w:rsid w:val="00B815FE"/>
    <w:rsid w:val="00B81CDB"/>
    <w:rsid w:val="00B82B95"/>
    <w:rsid w:val="00B8359C"/>
    <w:rsid w:val="00B83787"/>
    <w:rsid w:val="00B8458B"/>
    <w:rsid w:val="00B8465E"/>
    <w:rsid w:val="00B8557A"/>
    <w:rsid w:val="00B87853"/>
    <w:rsid w:val="00B87FC2"/>
    <w:rsid w:val="00B901B6"/>
    <w:rsid w:val="00B90262"/>
    <w:rsid w:val="00B9071F"/>
    <w:rsid w:val="00B907FB"/>
    <w:rsid w:val="00B90D2D"/>
    <w:rsid w:val="00B90D6E"/>
    <w:rsid w:val="00B9116D"/>
    <w:rsid w:val="00B912F0"/>
    <w:rsid w:val="00B9174A"/>
    <w:rsid w:val="00B917BB"/>
    <w:rsid w:val="00B9255C"/>
    <w:rsid w:val="00B927B0"/>
    <w:rsid w:val="00B93545"/>
    <w:rsid w:val="00B93C51"/>
    <w:rsid w:val="00B95A94"/>
    <w:rsid w:val="00B95EBC"/>
    <w:rsid w:val="00B96697"/>
    <w:rsid w:val="00B969F9"/>
    <w:rsid w:val="00B971D5"/>
    <w:rsid w:val="00B97365"/>
    <w:rsid w:val="00B97ACD"/>
    <w:rsid w:val="00B97BF8"/>
    <w:rsid w:val="00BA02E0"/>
    <w:rsid w:val="00BA0634"/>
    <w:rsid w:val="00BA06C1"/>
    <w:rsid w:val="00BA0C1A"/>
    <w:rsid w:val="00BA2300"/>
    <w:rsid w:val="00BA39DD"/>
    <w:rsid w:val="00BA39DE"/>
    <w:rsid w:val="00BA3E20"/>
    <w:rsid w:val="00BA3EBA"/>
    <w:rsid w:val="00BA503B"/>
    <w:rsid w:val="00BA5561"/>
    <w:rsid w:val="00BA5BD0"/>
    <w:rsid w:val="00BA5FE7"/>
    <w:rsid w:val="00BA6946"/>
    <w:rsid w:val="00BA6EDE"/>
    <w:rsid w:val="00BA706C"/>
    <w:rsid w:val="00BA721E"/>
    <w:rsid w:val="00BA75AA"/>
    <w:rsid w:val="00BB0E31"/>
    <w:rsid w:val="00BB175E"/>
    <w:rsid w:val="00BB198F"/>
    <w:rsid w:val="00BB1AD6"/>
    <w:rsid w:val="00BB2166"/>
    <w:rsid w:val="00BB286B"/>
    <w:rsid w:val="00BB30D6"/>
    <w:rsid w:val="00BB3121"/>
    <w:rsid w:val="00BB31A7"/>
    <w:rsid w:val="00BB3526"/>
    <w:rsid w:val="00BB3FB7"/>
    <w:rsid w:val="00BB409E"/>
    <w:rsid w:val="00BB4196"/>
    <w:rsid w:val="00BB5165"/>
    <w:rsid w:val="00BB51D0"/>
    <w:rsid w:val="00BB5432"/>
    <w:rsid w:val="00BB5653"/>
    <w:rsid w:val="00BB672B"/>
    <w:rsid w:val="00BB704B"/>
    <w:rsid w:val="00BB7837"/>
    <w:rsid w:val="00BB7C46"/>
    <w:rsid w:val="00BB7D25"/>
    <w:rsid w:val="00BC0705"/>
    <w:rsid w:val="00BC0F75"/>
    <w:rsid w:val="00BC2560"/>
    <w:rsid w:val="00BC27E2"/>
    <w:rsid w:val="00BC3BE1"/>
    <w:rsid w:val="00BC3CEE"/>
    <w:rsid w:val="00BC409E"/>
    <w:rsid w:val="00BC4843"/>
    <w:rsid w:val="00BC514F"/>
    <w:rsid w:val="00BC5564"/>
    <w:rsid w:val="00BC5C64"/>
    <w:rsid w:val="00BC5FE9"/>
    <w:rsid w:val="00BC60D5"/>
    <w:rsid w:val="00BC674B"/>
    <w:rsid w:val="00BC67EA"/>
    <w:rsid w:val="00BC7F4B"/>
    <w:rsid w:val="00BD0140"/>
    <w:rsid w:val="00BD015B"/>
    <w:rsid w:val="00BD04EF"/>
    <w:rsid w:val="00BD0754"/>
    <w:rsid w:val="00BD1736"/>
    <w:rsid w:val="00BD17DD"/>
    <w:rsid w:val="00BD1CF8"/>
    <w:rsid w:val="00BD1F89"/>
    <w:rsid w:val="00BD2524"/>
    <w:rsid w:val="00BD25A9"/>
    <w:rsid w:val="00BD2882"/>
    <w:rsid w:val="00BD2B0E"/>
    <w:rsid w:val="00BD3733"/>
    <w:rsid w:val="00BD520E"/>
    <w:rsid w:val="00BD65FF"/>
    <w:rsid w:val="00BD67A2"/>
    <w:rsid w:val="00BD6E60"/>
    <w:rsid w:val="00BD7880"/>
    <w:rsid w:val="00BD7D63"/>
    <w:rsid w:val="00BE039A"/>
    <w:rsid w:val="00BE16D8"/>
    <w:rsid w:val="00BE1798"/>
    <w:rsid w:val="00BE19BE"/>
    <w:rsid w:val="00BE1A31"/>
    <w:rsid w:val="00BE1B0D"/>
    <w:rsid w:val="00BE1E80"/>
    <w:rsid w:val="00BE2A09"/>
    <w:rsid w:val="00BE2AF7"/>
    <w:rsid w:val="00BE37D1"/>
    <w:rsid w:val="00BE441F"/>
    <w:rsid w:val="00BE48FA"/>
    <w:rsid w:val="00BE4A00"/>
    <w:rsid w:val="00BE4B63"/>
    <w:rsid w:val="00BE4EDC"/>
    <w:rsid w:val="00BE54BB"/>
    <w:rsid w:val="00BE5B34"/>
    <w:rsid w:val="00BE6A17"/>
    <w:rsid w:val="00BE7003"/>
    <w:rsid w:val="00BE7EE0"/>
    <w:rsid w:val="00BE7F01"/>
    <w:rsid w:val="00BE7F20"/>
    <w:rsid w:val="00BE7F2E"/>
    <w:rsid w:val="00BF02FE"/>
    <w:rsid w:val="00BF082D"/>
    <w:rsid w:val="00BF09B4"/>
    <w:rsid w:val="00BF0BFF"/>
    <w:rsid w:val="00BF1923"/>
    <w:rsid w:val="00BF212D"/>
    <w:rsid w:val="00BF2559"/>
    <w:rsid w:val="00BF25D4"/>
    <w:rsid w:val="00BF2B24"/>
    <w:rsid w:val="00BF3156"/>
    <w:rsid w:val="00BF3296"/>
    <w:rsid w:val="00BF3573"/>
    <w:rsid w:val="00BF4787"/>
    <w:rsid w:val="00BF4CBB"/>
    <w:rsid w:val="00BF4D63"/>
    <w:rsid w:val="00BF5750"/>
    <w:rsid w:val="00BF5E30"/>
    <w:rsid w:val="00BF6030"/>
    <w:rsid w:val="00BF6D8F"/>
    <w:rsid w:val="00BF6E0C"/>
    <w:rsid w:val="00BF70B6"/>
    <w:rsid w:val="00BF7419"/>
    <w:rsid w:val="00BF753E"/>
    <w:rsid w:val="00BF7745"/>
    <w:rsid w:val="00BF77D6"/>
    <w:rsid w:val="00C001AB"/>
    <w:rsid w:val="00C0065E"/>
    <w:rsid w:val="00C007EF"/>
    <w:rsid w:val="00C00A32"/>
    <w:rsid w:val="00C00E2B"/>
    <w:rsid w:val="00C011B8"/>
    <w:rsid w:val="00C02652"/>
    <w:rsid w:val="00C04294"/>
    <w:rsid w:val="00C0466B"/>
    <w:rsid w:val="00C06401"/>
    <w:rsid w:val="00C064D9"/>
    <w:rsid w:val="00C0664C"/>
    <w:rsid w:val="00C076A5"/>
    <w:rsid w:val="00C07B1C"/>
    <w:rsid w:val="00C07CDC"/>
    <w:rsid w:val="00C108B5"/>
    <w:rsid w:val="00C10E50"/>
    <w:rsid w:val="00C11C87"/>
    <w:rsid w:val="00C11D3C"/>
    <w:rsid w:val="00C1309D"/>
    <w:rsid w:val="00C13A87"/>
    <w:rsid w:val="00C13BFA"/>
    <w:rsid w:val="00C14084"/>
    <w:rsid w:val="00C14AC1"/>
    <w:rsid w:val="00C14B0E"/>
    <w:rsid w:val="00C14C22"/>
    <w:rsid w:val="00C14CBE"/>
    <w:rsid w:val="00C14D75"/>
    <w:rsid w:val="00C15032"/>
    <w:rsid w:val="00C1556A"/>
    <w:rsid w:val="00C15FBC"/>
    <w:rsid w:val="00C16570"/>
    <w:rsid w:val="00C16B22"/>
    <w:rsid w:val="00C16C95"/>
    <w:rsid w:val="00C17231"/>
    <w:rsid w:val="00C17D25"/>
    <w:rsid w:val="00C17F77"/>
    <w:rsid w:val="00C20D16"/>
    <w:rsid w:val="00C20DD9"/>
    <w:rsid w:val="00C21D00"/>
    <w:rsid w:val="00C22473"/>
    <w:rsid w:val="00C224AD"/>
    <w:rsid w:val="00C229C4"/>
    <w:rsid w:val="00C22AED"/>
    <w:rsid w:val="00C22DC7"/>
    <w:rsid w:val="00C22F16"/>
    <w:rsid w:val="00C2366C"/>
    <w:rsid w:val="00C244A7"/>
    <w:rsid w:val="00C24AC0"/>
    <w:rsid w:val="00C24B4B"/>
    <w:rsid w:val="00C24C02"/>
    <w:rsid w:val="00C25353"/>
    <w:rsid w:val="00C25688"/>
    <w:rsid w:val="00C25716"/>
    <w:rsid w:val="00C25962"/>
    <w:rsid w:val="00C25B7F"/>
    <w:rsid w:val="00C25EEB"/>
    <w:rsid w:val="00C26254"/>
    <w:rsid w:val="00C265FD"/>
    <w:rsid w:val="00C26657"/>
    <w:rsid w:val="00C2683F"/>
    <w:rsid w:val="00C26EC5"/>
    <w:rsid w:val="00C27067"/>
    <w:rsid w:val="00C27294"/>
    <w:rsid w:val="00C27855"/>
    <w:rsid w:val="00C27AA9"/>
    <w:rsid w:val="00C302DF"/>
    <w:rsid w:val="00C3056C"/>
    <w:rsid w:val="00C305BA"/>
    <w:rsid w:val="00C3063C"/>
    <w:rsid w:val="00C30B84"/>
    <w:rsid w:val="00C30B86"/>
    <w:rsid w:val="00C31EC0"/>
    <w:rsid w:val="00C32335"/>
    <w:rsid w:val="00C32744"/>
    <w:rsid w:val="00C32F9D"/>
    <w:rsid w:val="00C33335"/>
    <w:rsid w:val="00C33945"/>
    <w:rsid w:val="00C34F12"/>
    <w:rsid w:val="00C35310"/>
    <w:rsid w:val="00C35A4D"/>
    <w:rsid w:val="00C35A55"/>
    <w:rsid w:val="00C35B6D"/>
    <w:rsid w:val="00C35D77"/>
    <w:rsid w:val="00C3613C"/>
    <w:rsid w:val="00C36149"/>
    <w:rsid w:val="00C3617F"/>
    <w:rsid w:val="00C367CE"/>
    <w:rsid w:val="00C36840"/>
    <w:rsid w:val="00C36981"/>
    <w:rsid w:val="00C36BFE"/>
    <w:rsid w:val="00C36CEF"/>
    <w:rsid w:val="00C4015A"/>
    <w:rsid w:val="00C40371"/>
    <w:rsid w:val="00C40E01"/>
    <w:rsid w:val="00C40F17"/>
    <w:rsid w:val="00C413DC"/>
    <w:rsid w:val="00C416E8"/>
    <w:rsid w:val="00C4263E"/>
    <w:rsid w:val="00C42E6B"/>
    <w:rsid w:val="00C42FA5"/>
    <w:rsid w:val="00C4331C"/>
    <w:rsid w:val="00C438F8"/>
    <w:rsid w:val="00C43C73"/>
    <w:rsid w:val="00C44074"/>
    <w:rsid w:val="00C44095"/>
    <w:rsid w:val="00C44235"/>
    <w:rsid w:val="00C44B16"/>
    <w:rsid w:val="00C44C2D"/>
    <w:rsid w:val="00C452FE"/>
    <w:rsid w:val="00C46101"/>
    <w:rsid w:val="00C4624B"/>
    <w:rsid w:val="00C46FCE"/>
    <w:rsid w:val="00C473D0"/>
    <w:rsid w:val="00C476D9"/>
    <w:rsid w:val="00C476E0"/>
    <w:rsid w:val="00C47F1F"/>
    <w:rsid w:val="00C503AC"/>
    <w:rsid w:val="00C5084B"/>
    <w:rsid w:val="00C516FC"/>
    <w:rsid w:val="00C5196B"/>
    <w:rsid w:val="00C51A92"/>
    <w:rsid w:val="00C52804"/>
    <w:rsid w:val="00C5287D"/>
    <w:rsid w:val="00C528D0"/>
    <w:rsid w:val="00C52E99"/>
    <w:rsid w:val="00C52F10"/>
    <w:rsid w:val="00C531D3"/>
    <w:rsid w:val="00C53267"/>
    <w:rsid w:val="00C538BA"/>
    <w:rsid w:val="00C53C58"/>
    <w:rsid w:val="00C54AC4"/>
    <w:rsid w:val="00C54E2A"/>
    <w:rsid w:val="00C55139"/>
    <w:rsid w:val="00C559AC"/>
    <w:rsid w:val="00C565B3"/>
    <w:rsid w:val="00C571B9"/>
    <w:rsid w:val="00C575EE"/>
    <w:rsid w:val="00C57B52"/>
    <w:rsid w:val="00C57CE6"/>
    <w:rsid w:val="00C57D4D"/>
    <w:rsid w:val="00C60BE3"/>
    <w:rsid w:val="00C60C63"/>
    <w:rsid w:val="00C60EC0"/>
    <w:rsid w:val="00C611CB"/>
    <w:rsid w:val="00C61360"/>
    <w:rsid w:val="00C61BA0"/>
    <w:rsid w:val="00C6296E"/>
    <w:rsid w:val="00C63A75"/>
    <w:rsid w:val="00C63F08"/>
    <w:rsid w:val="00C63F3A"/>
    <w:rsid w:val="00C649B8"/>
    <w:rsid w:val="00C64F36"/>
    <w:rsid w:val="00C65571"/>
    <w:rsid w:val="00C65AFF"/>
    <w:rsid w:val="00C65F26"/>
    <w:rsid w:val="00C662B5"/>
    <w:rsid w:val="00C669EE"/>
    <w:rsid w:val="00C66C0E"/>
    <w:rsid w:val="00C67381"/>
    <w:rsid w:val="00C70034"/>
    <w:rsid w:val="00C700B1"/>
    <w:rsid w:val="00C7017B"/>
    <w:rsid w:val="00C705BD"/>
    <w:rsid w:val="00C70C59"/>
    <w:rsid w:val="00C70FB0"/>
    <w:rsid w:val="00C717B7"/>
    <w:rsid w:val="00C72281"/>
    <w:rsid w:val="00C724B6"/>
    <w:rsid w:val="00C724F5"/>
    <w:rsid w:val="00C7264A"/>
    <w:rsid w:val="00C727CB"/>
    <w:rsid w:val="00C7381F"/>
    <w:rsid w:val="00C73C51"/>
    <w:rsid w:val="00C743AD"/>
    <w:rsid w:val="00C74620"/>
    <w:rsid w:val="00C7474A"/>
    <w:rsid w:val="00C74DE0"/>
    <w:rsid w:val="00C75673"/>
    <w:rsid w:val="00C756D6"/>
    <w:rsid w:val="00C75857"/>
    <w:rsid w:val="00C75B6C"/>
    <w:rsid w:val="00C76024"/>
    <w:rsid w:val="00C7664F"/>
    <w:rsid w:val="00C76F40"/>
    <w:rsid w:val="00C76F6D"/>
    <w:rsid w:val="00C770A7"/>
    <w:rsid w:val="00C77736"/>
    <w:rsid w:val="00C77F31"/>
    <w:rsid w:val="00C77FAB"/>
    <w:rsid w:val="00C80718"/>
    <w:rsid w:val="00C807EA"/>
    <w:rsid w:val="00C80CB2"/>
    <w:rsid w:val="00C80DF0"/>
    <w:rsid w:val="00C80FC6"/>
    <w:rsid w:val="00C81493"/>
    <w:rsid w:val="00C81C3B"/>
    <w:rsid w:val="00C83BEA"/>
    <w:rsid w:val="00C840BF"/>
    <w:rsid w:val="00C84A50"/>
    <w:rsid w:val="00C84E9B"/>
    <w:rsid w:val="00C855F5"/>
    <w:rsid w:val="00C86BDF"/>
    <w:rsid w:val="00C86C46"/>
    <w:rsid w:val="00C86EEA"/>
    <w:rsid w:val="00C87032"/>
    <w:rsid w:val="00C871F2"/>
    <w:rsid w:val="00C876C2"/>
    <w:rsid w:val="00C87AEF"/>
    <w:rsid w:val="00C87B7C"/>
    <w:rsid w:val="00C904F9"/>
    <w:rsid w:val="00C90B9B"/>
    <w:rsid w:val="00C90CC7"/>
    <w:rsid w:val="00C90DEF"/>
    <w:rsid w:val="00C91168"/>
    <w:rsid w:val="00C91B67"/>
    <w:rsid w:val="00C91F45"/>
    <w:rsid w:val="00C927BC"/>
    <w:rsid w:val="00C928F7"/>
    <w:rsid w:val="00C92B6D"/>
    <w:rsid w:val="00C92DEC"/>
    <w:rsid w:val="00C938B6"/>
    <w:rsid w:val="00C93BD6"/>
    <w:rsid w:val="00C94221"/>
    <w:rsid w:val="00C94E0D"/>
    <w:rsid w:val="00C94E49"/>
    <w:rsid w:val="00C953F3"/>
    <w:rsid w:val="00C9548E"/>
    <w:rsid w:val="00C95677"/>
    <w:rsid w:val="00C95842"/>
    <w:rsid w:val="00C9592C"/>
    <w:rsid w:val="00C95AFE"/>
    <w:rsid w:val="00C9621D"/>
    <w:rsid w:val="00C966D3"/>
    <w:rsid w:val="00C978B4"/>
    <w:rsid w:val="00C9798A"/>
    <w:rsid w:val="00CA032E"/>
    <w:rsid w:val="00CA054D"/>
    <w:rsid w:val="00CA0B81"/>
    <w:rsid w:val="00CA0E2E"/>
    <w:rsid w:val="00CA1225"/>
    <w:rsid w:val="00CA1AB6"/>
    <w:rsid w:val="00CA20D8"/>
    <w:rsid w:val="00CA221C"/>
    <w:rsid w:val="00CA2237"/>
    <w:rsid w:val="00CA24A1"/>
    <w:rsid w:val="00CA314A"/>
    <w:rsid w:val="00CA3438"/>
    <w:rsid w:val="00CA3BB1"/>
    <w:rsid w:val="00CA41CF"/>
    <w:rsid w:val="00CA561E"/>
    <w:rsid w:val="00CA58C1"/>
    <w:rsid w:val="00CA5D53"/>
    <w:rsid w:val="00CA5E47"/>
    <w:rsid w:val="00CA6220"/>
    <w:rsid w:val="00CA64F0"/>
    <w:rsid w:val="00CA671B"/>
    <w:rsid w:val="00CA697A"/>
    <w:rsid w:val="00CA6CF3"/>
    <w:rsid w:val="00CA6D91"/>
    <w:rsid w:val="00CA7ACB"/>
    <w:rsid w:val="00CA7F62"/>
    <w:rsid w:val="00CB07C0"/>
    <w:rsid w:val="00CB1212"/>
    <w:rsid w:val="00CB1898"/>
    <w:rsid w:val="00CB2518"/>
    <w:rsid w:val="00CB33DC"/>
    <w:rsid w:val="00CB3AC9"/>
    <w:rsid w:val="00CB434E"/>
    <w:rsid w:val="00CB438F"/>
    <w:rsid w:val="00CB43D1"/>
    <w:rsid w:val="00CB46BC"/>
    <w:rsid w:val="00CB4D37"/>
    <w:rsid w:val="00CB577D"/>
    <w:rsid w:val="00CB6075"/>
    <w:rsid w:val="00CB6AA0"/>
    <w:rsid w:val="00CC00A9"/>
    <w:rsid w:val="00CC016A"/>
    <w:rsid w:val="00CC09E3"/>
    <w:rsid w:val="00CC0AC0"/>
    <w:rsid w:val="00CC1303"/>
    <w:rsid w:val="00CC23DB"/>
    <w:rsid w:val="00CC2C18"/>
    <w:rsid w:val="00CC33C8"/>
    <w:rsid w:val="00CC3446"/>
    <w:rsid w:val="00CC3E5F"/>
    <w:rsid w:val="00CC4165"/>
    <w:rsid w:val="00CC45CA"/>
    <w:rsid w:val="00CC49E0"/>
    <w:rsid w:val="00CC4AAB"/>
    <w:rsid w:val="00CC4BCE"/>
    <w:rsid w:val="00CC4D95"/>
    <w:rsid w:val="00CC5221"/>
    <w:rsid w:val="00CC58BE"/>
    <w:rsid w:val="00CC5984"/>
    <w:rsid w:val="00CC5A5B"/>
    <w:rsid w:val="00CC5C6E"/>
    <w:rsid w:val="00CC6A7F"/>
    <w:rsid w:val="00CC6C1E"/>
    <w:rsid w:val="00CC7228"/>
    <w:rsid w:val="00CC73DB"/>
    <w:rsid w:val="00CC77EB"/>
    <w:rsid w:val="00CC7D19"/>
    <w:rsid w:val="00CD04FD"/>
    <w:rsid w:val="00CD061B"/>
    <w:rsid w:val="00CD06B4"/>
    <w:rsid w:val="00CD0759"/>
    <w:rsid w:val="00CD0FB3"/>
    <w:rsid w:val="00CD1444"/>
    <w:rsid w:val="00CD18B7"/>
    <w:rsid w:val="00CD2DCF"/>
    <w:rsid w:val="00CD34D0"/>
    <w:rsid w:val="00CD38EE"/>
    <w:rsid w:val="00CD4D16"/>
    <w:rsid w:val="00CD5673"/>
    <w:rsid w:val="00CD5F60"/>
    <w:rsid w:val="00CD6108"/>
    <w:rsid w:val="00CD6650"/>
    <w:rsid w:val="00CD6B0C"/>
    <w:rsid w:val="00CD7358"/>
    <w:rsid w:val="00CD76CD"/>
    <w:rsid w:val="00CE002A"/>
    <w:rsid w:val="00CE0CA6"/>
    <w:rsid w:val="00CE0FF4"/>
    <w:rsid w:val="00CE1996"/>
    <w:rsid w:val="00CE1C37"/>
    <w:rsid w:val="00CE1FAA"/>
    <w:rsid w:val="00CE2A2A"/>
    <w:rsid w:val="00CE3705"/>
    <w:rsid w:val="00CE3D63"/>
    <w:rsid w:val="00CE4132"/>
    <w:rsid w:val="00CE4C56"/>
    <w:rsid w:val="00CE5A7F"/>
    <w:rsid w:val="00CE60F7"/>
    <w:rsid w:val="00CE687F"/>
    <w:rsid w:val="00CE74C4"/>
    <w:rsid w:val="00CE7B4C"/>
    <w:rsid w:val="00CF0CB3"/>
    <w:rsid w:val="00CF0EDA"/>
    <w:rsid w:val="00CF140D"/>
    <w:rsid w:val="00CF1B21"/>
    <w:rsid w:val="00CF1FFE"/>
    <w:rsid w:val="00CF20E6"/>
    <w:rsid w:val="00CF231C"/>
    <w:rsid w:val="00CF340B"/>
    <w:rsid w:val="00CF34C2"/>
    <w:rsid w:val="00CF418B"/>
    <w:rsid w:val="00CF41E8"/>
    <w:rsid w:val="00CF41EE"/>
    <w:rsid w:val="00CF46FD"/>
    <w:rsid w:val="00CF4DA9"/>
    <w:rsid w:val="00CF5256"/>
    <w:rsid w:val="00CF5D6D"/>
    <w:rsid w:val="00CF5DC6"/>
    <w:rsid w:val="00CF5DCF"/>
    <w:rsid w:val="00CF5F8B"/>
    <w:rsid w:val="00CF6745"/>
    <w:rsid w:val="00CF7224"/>
    <w:rsid w:val="00CF7A94"/>
    <w:rsid w:val="00CF7BEE"/>
    <w:rsid w:val="00CF7E2E"/>
    <w:rsid w:val="00D00C5F"/>
    <w:rsid w:val="00D00DA5"/>
    <w:rsid w:val="00D014C8"/>
    <w:rsid w:val="00D01664"/>
    <w:rsid w:val="00D01CB5"/>
    <w:rsid w:val="00D01DA0"/>
    <w:rsid w:val="00D0261D"/>
    <w:rsid w:val="00D029A7"/>
    <w:rsid w:val="00D02ED2"/>
    <w:rsid w:val="00D03F0F"/>
    <w:rsid w:val="00D043BF"/>
    <w:rsid w:val="00D04A5C"/>
    <w:rsid w:val="00D04D41"/>
    <w:rsid w:val="00D050EC"/>
    <w:rsid w:val="00D05269"/>
    <w:rsid w:val="00D0560C"/>
    <w:rsid w:val="00D05CF1"/>
    <w:rsid w:val="00D05F06"/>
    <w:rsid w:val="00D06000"/>
    <w:rsid w:val="00D07B9E"/>
    <w:rsid w:val="00D07F10"/>
    <w:rsid w:val="00D101AB"/>
    <w:rsid w:val="00D101D4"/>
    <w:rsid w:val="00D10F32"/>
    <w:rsid w:val="00D11A26"/>
    <w:rsid w:val="00D11DD7"/>
    <w:rsid w:val="00D11FA3"/>
    <w:rsid w:val="00D123C7"/>
    <w:rsid w:val="00D1272C"/>
    <w:rsid w:val="00D12AD1"/>
    <w:rsid w:val="00D13708"/>
    <w:rsid w:val="00D137D9"/>
    <w:rsid w:val="00D139FC"/>
    <w:rsid w:val="00D14912"/>
    <w:rsid w:val="00D14CF2"/>
    <w:rsid w:val="00D14EB4"/>
    <w:rsid w:val="00D15001"/>
    <w:rsid w:val="00D15A28"/>
    <w:rsid w:val="00D15B1F"/>
    <w:rsid w:val="00D1751D"/>
    <w:rsid w:val="00D175D9"/>
    <w:rsid w:val="00D1779A"/>
    <w:rsid w:val="00D17B78"/>
    <w:rsid w:val="00D202E1"/>
    <w:rsid w:val="00D20D05"/>
    <w:rsid w:val="00D20EF8"/>
    <w:rsid w:val="00D22178"/>
    <w:rsid w:val="00D2272A"/>
    <w:rsid w:val="00D22730"/>
    <w:rsid w:val="00D233C4"/>
    <w:rsid w:val="00D23796"/>
    <w:rsid w:val="00D23A38"/>
    <w:rsid w:val="00D23A6C"/>
    <w:rsid w:val="00D2448C"/>
    <w:rsid w:val="00D2493F"/>
    <w:rsid w:val="00D24B44"/>
    <w:rsid w:val="00D24DB6"/>
    <w:rsid w:val="00D2566E"/>
    <w:rsid w:val="00D2596A"/>
    <w:rsid w:val="00D2685A"/>
    <w:rsid w:val="00D27306"/>
    <w:rsid w:val="00D27413"/>
    <w:rsid w:val="00D27AF1"/>
    <w:rsid w:val="00D27CFD"/>
    <w:rsid w:val="00D27DE0"/>
    <w:rsid w:val="00D305A3"/>
    <w:rsid w:val="00D30AB0"/>
    <w:rsid w:val="00D30C46"/>
    <w:rsid w:val="00D30D4D"/>
    <w:rsid w:val="00D310EE"/>
    <w:rsid w:val="00D3190E"/>
    <w:rsid w:val="00D33BEA"/>
    <w:rsid w:val="00D343D9"/>
    <w:rsid w:val="00D34651"/>
    <w:rsid w:val="00D34685"/>
    <w:rsid w:val="00D347BD"/>
    <w:rsid w:val="00D34802"/>
    <w:rsid w:val="00D3577C"/>
    <w:rsid w:val="00D35B74"/>
    <w:rsid w:val="00D36A12"/>
    <w:rsid w:val="00D37213"/>
    <w:rsid w:val="00D37268"/>
    <w:rsid w:val="00D37D6F"/>
    <w:rsid w:val="00D40054"/>
    <w:rsid w:val="00D4037E"/>
    <w:rsid w:val="00D40605"/>
    <w:rsid w:val="00D409B9"/>
    <w:rsid w:val="00D41357"/>
    <w:rsid w:val="00D41F7F"/>
    <w:rsid w:val="00D420C5"/>
    <w:rsid w:val="00D4302B"/>
    <w:rsid w:val="00D437EE"/>
    <w:rsid w:val="00D44049"/>
    <w:rsid w:val="00D4434A"/>
    <w:rsid w:val="00D44733"/>
    <w:rsid w:val="00D453B2"/>
    <w:rsid w:val="00D45ED5"/>
    <w:rsid w:val="00D45FD8"/>
    <w:rsid w:val="00D4616C"/>
    <w:rsid w:val="00D463EB"/>
    <w:rsid w:val="00D4672F"/>
    <w:rsid w:val="00D507C6"/>
    <w:rsid w:val="00D50912"/>
    <w:rsid w:val="00D514AB"/>
    <w:rsid w:val="00D51616"/>
    <w:rsid w:val="00D51C77"/>
    <w:rsid w:val="00D51E4F"/>
    <w:rsid w:val="00D52207"/>
    <w:rsid w:val="00D5220F"/>
    <w:rsid w:val="00D52915"/>
    <w:rsid w:val="00D52A65"/>
    <w:rsid w:val="00D52A80"/>
    <w:rsid w:val="00D53507"/>
    <w:rsid w:val="00D53554"/>
    <w:rsid w:val="00D547D7"/>
    <w:rsid w:val="00D5503F"/>
    <w:rsid w:val="00D56175"/>
    <w:rsid w:val="00D56495"/>
    <w:rsid w:val="00D56E0F"/>
    <w:rsid w:val="00D5798E"/>
    <w:rsid w:val="00D57FCF"/>
    <w:rsid w:val="00D60125"/>
    <w:rsid w:val="00D603FE"/>
    <w:rsid w:val="00D60CCA"/>
    <w:rsid w:val="00D61446"/>
    <w:rsid w:val="00D614CB"/>
    <w:rsid w:val="00D61F75"/>
    <w:rsid w:val="00D624A3"/>
    <w:rsid w:val="00D63AB7"/>
    <w:rsid w:val="00D64158"/>
    <w:rsid w:val="00D647AE"/>
    <w:rsid w:val="00D6533B"/>
    <w:rsid w:val="00D65527"/>
    <w:rsid w:val="00D658C8"/>
    <w:rsid w:val="00D659F4"/>
    <w:rsid w:val="00D65A96"/>
    <w:rsid w:val="00D65E67"/>
    <w:rsid w:val="00D65F1A"/>
    <w:rsid w:val="00D65FDD"/>
    <w:rsid w:val="00D66203"/>
    <w:rsid w:val="00D66207"/>
    <w:rsid w:val="00D66451"/>
    <w:rsid w:val="00D66C03"/>
    <w:rsid w:val="00D67172"/>
    <w:rsid w:val="00D67F46"/>
    <w:rsid w:val="00D708FA"/>
    <w:rsid w:val="00D70E6E"/>
    <w:rsid w:val="00D7180E"/>
    <w:rsid w:val="00D725B6"/>
    <w:rsid w:val="00D72F57"/>
    <w:rsid w:val="00D73DA5"/>
    <w:rsid w:val="00D745D0"/>
    <w:rsid w:val="00D74C84"/>
    <w:rsid w:val="00D74CA3"/>
    <w:rsid w:val="00D7518F"/>
    <w:rsid w:val="00D76EAF"/>
    <w:rsid w:val="00D76FC8"/>
    <w:rsid w:val="00D77230"/>
    <w:rsid w:val="00D77A1F"/>
    <w:rsid w:val="00D77CD4"/>
    <w:rsid w:val="00D77E85"/>
    <w:rsid w:val="00D77EC5"/>
    <w:rsid w:val="00D80022"/>
    <w:rsid w:val="00D80304"/>
    <w:rsid w:val="00D80820"/>
    <w:rsid w:val="00D8092E"/>
    <w:rsid w:val="00D80C54"/>
    <w:rsid w:val="00D80DAB"/>
    <w:rsid w:val="00D810FA"/>
    <w:rsid w:val="00D818ED"/>
    <w:rsid w:val="00D82647"/>
    <w:rsid w:val="00D8293E"/>
    <w:rsid w:val="00D82B01"/>
    <w:rsid w:val="00D82FE6"/>
    <w:rsid w:val="00D83B89"/>
    <w:rsid w:val="00D83D69"/>
    <w:rsid w:val="00D840C4"/>
    <w:rsid w:val="00D84C6B"/>
    <w:rsid w:val="00D85691"/>
    <w:rsid w:val="00D85703"/>
    <w:rsid w:val="00D85A47"/>
    <w:rsid w:val="00D8608D"/>
    <w:rsid w:val="00D8609C"/>
    <w:rsid w:val="00D863DC"/>
    <w:rsid w:val="00D86AF3"/>
    <w:rsid w:val="00D86C59"/>
    <w:rsid w:val="00D87995"/>
    <w:rsid w:val="00D87A7E"/>
    <w:rsid w:val="00D91DAD"/>
    <w:rsid w:val="00D92286"/>
    <w:rsid w:val="00D92291"/>
    <w:rsid w:val="00D9234A"/>
    <w:rsid w:val="00D92FC1"/>
    <w:rsid w:val="00D93444"/>
    <w:rsid w:val="00D935E7"/>
    <w:rsid w:val="00D93C83"/>
    <w:rsid w:val="00D94192"/>
    <w:rsid w:val="00D95AB9"/>
    <w:rsid w:val="00D96195"/>
    <w:rsid w:val="00D9662A"/>
    <w:rsid w:val="00D9681B"/>
    <w:rsid w:val="00D96F95"/>
    <w:rsid w:val="00D970AA"/>
    <w:rsid w:val="00D97543"/>
    <w:rsid w:val="00D9766A"/>
    <w:rsid w:val="00D97DA2"/>
    <w:rsid w:val="00DA00D4"/>
    <w:rsid w:val="00DA06A9"/>
    <w:rsid w:val="00DA08EA"/>
    <w:rsid w:val="00DA09A4"/>
    <w:rsid w:val="00DA10AD"/>
    <w:rsid w:val="00DA1B2A"/>
    <w:rsid w:val="00DA1B3E"/>
    <w:rsid w:val="00DA1B81"/>
    <w:rsid w:val="00DA1D60"/>
    <w:rsid w:val="00DA1F3C"/>
    <w:rsid w:val="00DA2176"/>
    <w:rsid w:val="00DA22F0"/>
    <w:rsid w:val="00DA2665"/>
    <w:rsid w:val="00DA2B31"/>
    <w:rsid w:val="00DA3C5A"/>
    <w:rsid w:val="00DA3E0E"/>
    <w:rsid w:val="00DA432D"/>
    <w:rsid w:val="00DA4AC8"/>
    <w:rsid w:val="00DA5E39"/>
    <w:rsid w:val="00DA5F3B"/>
    <w:rsid w:val="00DA5F48"/>
    <w:rsid w:val="00DA61E4"/>
    <w:rsid w:val="00DA62B6"/>
    <w:rsid w:val="00DA6441"/>
    <w:rsid w:val="00DA6D52"/>
    <w:rsid w:val="00DA78FE"/>
    <w:rsid w:val="00DB058C"/>
    <w:rsid w:val="00DB05E2"/>
    <w:rsid w:val="00DB0881"/>
    <w:rsid w:val="00DB0953"/>
    <w:rsid w:val="00DB0E84"/>
    <w:rsid w:val="00DB11EB"/>
    <w:rsid w:val="00DB20B4"/>
    <w:rsid w:val="00DB26E1"/>
    <w:rsid w:val="00DB2E57"/>
    <w:rsid w:val="00DB376D"/>
    <w:rsid w:val="00DB379D"/>
    <w:rsid w:val="00DB4051"/>
    <w:rsid w:val="00DB487A"/>
    <w:rsid w:val="00DB54FB"/>
    <w:rsid w:val="00DB59D8"/>
    <w:rsid w:val="00DB5C3A"/>
    <w:rsid w:val="00DB66B0"/>
    <w:rsid w:val="00DB69D4"/>
    <w:rsid w:val="00DB6B77"/>
    <w:rsid w:val="00DB6BE1"/>
    <w:rsid w:val="00DB7FB2"/>
    <w:rsid w:val="00DC0285"/>
    <w:rsid w:val="00DC0BC0"/>
    <w:rsid w:val="00DC0CB9"/>
    <w:rsid w:val="00DC10A2"/>
    <w:rsid w:val="00DC10E9"/>
    <w:rsid w:val="00DC11B1"/>
    <w:rsid w:val="00DC1C92"/>
    <w:rsid w:val="00DC1FC7"/>
    <w:rsid w:val="00DC25CE"/>
    <w:rsid w:val="00DC3106"/>
    <w:rsid w:val="00DC3413"/>
    <w:rsid w:val="00DC3F3C"/>
    <w:rsid w:val="00DC40FA"/>
    <w:rsid w:val="00DC4D0C"/>
    <w:rsid w:val="00DC4D19"/>
    <w:rsid w:val="00DC53A4"/>
    <w:rsid w:val="00DC6513"/>
    <w:rsid w:val="00DC6A8E"/>
    <w:rsid w:val="00DC7128"/>
    <w:rsid w:val="00DC7307"/>
    <w:rsid w:val="00DC77C8"/>
    <w:rsid w:val="00DC7848"/>
    <w:rsid w:val="00DC7CDF"/>
    <w:rsid w:val="00DD02AA"/>
    <w:rsid w:val="00DD0A27"/>
    <w:rsid w:val="00DD0DF7"/>
    <w:rsid w:val="00DD1D3D"/>
    <w:rsid w:val="00DD2A16"/>
    <w:rsid w:val="00DD2A64"/>
    <w:rsid w:val="00DD2AA5"/>
    <w:rsid w:val="00DD37E3"/>
    <w:rsid w:val="00DD3AB2"/>
    <w:rsid w:val="00DD3CA8"/>
    <w:rsid w:val="00DD3D67"/>
    <w:rsid w:val="00DD47C0"/>
    <w:rsid w:val="00DD49EF"/>
    <w:rsid w:val="00DD51ED"/>
    <w:rsid w:val="00DD5440"/>
    <w:rsid w:val="00DD569B"/>
    <w:rsid w:val="00DD577F"/>
    <w:rsid w:val="00DD57CC"/>
    <w:rsid w:val="00DD5837"/>
    <w:rsid w:val="00DD6608"/>
    <w:rsid w:val="00DD6AC0"/>
    <w:rsid w:val="00DD6C64"/>
    <w:rsid w:val="00DD6D4F"/>
    <w:rsid w:val="00DD6E50"/>
    <w:rsid w:val="00DD7A49"/>
    <w:rsid w:val="00DD7B71"/>
    <w:rsid w:val="00DE00A2"/>
    <w:rsid w:val="00DE0153"/>
    <w:rsid w:val="00DE06E9"/>
    <w:rsid w:val="00DE1085"/>
    <w:rsid w:val="00DE1323"/>
    <w:rsid w:val="00DE16D6"/>
    <w:rsid w:val="00DE1ABA"/>
    <w:rsid w:val="00DE1C1A"/>
    <w:rsid w:val="00DE215F"/>
    <w:rsid w:val="00DE23D7"/>
    <w:rsid w:val="00DE25F5"/>
    <w:rsid w:val="00DE27A3"/>
    <w:rsid w:val="00DE28D2"/>
    <w:rsid w:val="00DE28FD"/>
    <w:rsid w:val="00DE2C08"/>
    <w:rsid w:val="00DE2E7A"/>
    <w:rsid w:val="00DE3F62"/>
    <w:rsid w:val="00DE4383"/>
    <w:rsid w:val="00DE44A1"/>
    <w:rsid w:val="00DE4510"/>
    <w:rsid w:val="00DE4609"/>
    <w:rsid w:val="00DE4754"/>
    <w:rsid w:val="00DE59D7"/>
    <w:rsid w:val="00DE5BCB"/>
    <w:rsid w:val="00DE5ED5"/>
    <w:rsid w:val="00DE6404"/>
    <w:rsid w:val="00DE6EF8"/>
    <w:rsid w:val="00DE7415"/>
    <w:rsid w:val="00DE742C"/>
    <w:rsid w:val="00DE7C62"/>
    <w:rsid w:val="00DF01DD"/>
    <w:rsid w:val="00DF03B8"/>
    <w:rsid w:val="00DF04C7"/>
    <w:rsid w:val="00DF0E3F"/>
    <w:rsid w:val="00DF0E67"/>
    <w:rsid w:val="00DF105F"/>
    <w:rsid w:val="00DF14D0"/>
    <w:rsid w:val="00DF1736"/>
    <w:rsid w:val="00DF239F"/>
    <w:rsid w:val="00DF25CE"/>
    <w:rsid w:val="00DF28F9"/>
    <w:rsid w:val="00DF29DB"/>
    <w:rsid w:val="00DF3295"/>
    <w:rsid w:val="00DF32B7"/>
    <w:rsid w:val="00DF3465"/>
    <w:rsid w:val="00DF3803"/>
    <w:rsid w:val="00DF3942"/>
    <w:rsid w:val="00DF3DAB"/>
    <w:rsid w:val="00DF3F97"/>
    <w:rsid w:val="00DF4613"/>
    <w:rsid w:val="00DF474F"/>
    <w:rsid w:val="00DF4939"/>
    <w:rsid w:val="00DF49F5"/>
    <w:rsid w:val="00DF4CC2"/>
    <w:rsid w:val="00DF4E10"/>
    <w:rsid w:val="00DF5371"/>
    <w:rsid w:val="00DF53AB"/>
    <w:rsid w:val="00DF606B"/>
    <w:rsid w:val="00DF68F6"/>
    <w:rsid w:val="00DF6CD6"/>
    <w:rsid w:val="00DF6D3D"/>
    <w:rsid w:val="00DF70EB"/>
    <w:rsid w:val="00DF7196"/>
    <w:rsid w:val="00DF764E"/>
    <w:rsid w:val="00DF7871"/>
    <w:rsid w:val="00E001B3"/>
    <w:rsid w:val="00E00209"/>
    <w:rsid w:val="00E00432"/>
    <w:rsid w:val="00E007D1"/>
    <w:rsid w:val="00E007FD"/>
    <w:rsid w:val="00E01003"/>
    <w:rsid w:val="00E01450"/>
    <w:rsid w:val="00E0245B"/>
    <w:rsid w:val="00E02476"/>
    <w:rsid w:val="00E0250D"/>
    <w:rsid w:val="00E026B6"/>
    <w:rsid w:val="00E026EB"/>
    <w:rsid w:val="00E02AEE"/>
    <w:rsid w:val="00E031F2"/>
    <w:rsid w:val="00E035F8"/>
    <w:rsid w:val="00E03897"/>
    <w:rsid w:val="00E03E61"/>
    <w:rsid w:val="00E03FE1"/>
    <w:rsid w:val="00E040E4"/>
    <w:rsid w:val="00E04E39"/>
    <w:rsid w:val="00E05255"/>
    <w:rsid w:val="00E053CE"/>
    <w:rsid w:val="00E05811"/>
    <w:rsid w:val="00E05965"/>
    <w:rsid w:val="00E0611B"/>
    <w:rsid w:val="00E063A6"/>
    <w:rsid w:val="00E06914"/>
    <w:rsid w:val="00E06AE5"/>
    <w:rsid w:val="00E1023F"/>
    <w:rsid w:val="00E107EC"/>
    <w:rsid w:val="00E11285"/>
    <w:rsid w:val="00E12496"/>
    <w:rsid w:val="00E124C9"/>
    <w:rsid w:val="00E12D06"/>
    <w:rsid w:val="00E12E9F"/>
    <w:rsid w:val="00E1395B"/>
    <w:rsid w:val="00E14A54"/>
    <w:rsid w:val="00E14A6D"/>
    <w:rsid w:val="00E1504E"/>
    <w:rsid w:val="00E15144"/>
    <w:rsid w:val="00E15F57"/>
    <w:rsid w:val="00E16283"/>
    <w:rsid w:val="00E201AF"/>
    <w:rsid w:val="00E206C2"/>
    <w:rsid w:val="00E219DD"/>
    <w:rsid w:val="00E21CF5"/>
    <w:rsid w:val="00E2218C"/>
    <w:rsid w:val="00E2239E"/>
    <w:rsid w:val="00E226D8"/>
    <w:rsid w:val="00E22C66"/>
    <w:rsid w:val="00E22EAA"/>
    <w:rsid w:val="00E236E1"/>
    <w:rsid w:val="00E24753"/>
    <w:rsid w:val="00E24E9C"/>
    <w:rsid w:val="00E24EBE"/>
    <w:rsid w:val="00E24F21"/>
    <w:rsid w:val="00E252CF"/>
    <w:rsid w:val="00E25330"/>
    <w:rsid w:val="00E25669"/>
    <w:rsid w:val="00E25718"/>
    <w:rsid w:val="00E25887"/>
    <w:rsid w:val="00E258B1"/>
    <w:rsid w:val="00E258F1"/>
    <w:rsid w:val="00E259C4"/>
    <w:rsid w:val="00E25A5E"/>
    <w:rsid w:val="00E25A9C"/>
    <w:rsid w:val="00E26A0A"/>
    <w:rsid w:val="00E2744A"/>
    <w:rsid w:val="00E279B3"/>
    <w:rsid w:val="00E27C43"/>
    <w:rsid w:val="00E30474"/>
    <w:rsid w:val="00E30796"/>
    <w:rsid w:val="00E31392"/>
    <w:rsid w:val="00E31764"/>
    <w:rsid w:val="00E31923"/>
    <w:rsid w:val="00E32141"/>
    <w:rsid w:val="00E3363C"/>
    <w:rsid w:val="00E3388E"/>
    <w:rsid w:val="00E33CE7"/>
    <w:rsid w:val="00E33F73"/>
    <w:rsid w:val="00E345C3"/>
    <w:rsid w:val="00E347BA"/>
    <w:rsid w:val="00E35425"/>
    <w:rsid w:val="00E35921"/>
    <w:rsid w:val="00E36140"/>
    <w:rsid w:val="00E36929"/>
    <w:rsid w:val="00E3695F"/>
    <w:rsid w:val="00E36BEB"/>
    <w:rsid w:val="00E4009F"/>
    <w:rsid w:val="00E4148A"/>
    <w:rsid w:val="00E41AF6"/>
    <w:rsid w:val="00E421F0"/>
    <w:rsid w:val="00E42E77"/>
    <w:rsid w:val="00E43271"/>
    <w:rsid w:val="00E43CA8"/>
    <w:rsid w:val="00E4475B"/>
    <w:rsid w:val="00E4629C"/>
    <w:rsid w:val="00E46544"/>
    <w:rsid w:val="00E46642"/>
    <w:rsid w:val="00E46B74"/>
    <w:rsid w:val="00E4746B"/>
    <w:rsid w:val="00E4747C"/>
    <w:rsid w:val="00E505C5"/>
    <w:rsid w:val="00E50936"/>
    <w:rsid w:val="00E50FB6"/>
    <w:rsid w:val="00E5112D"/>
    <w:rsid w:val="00E51CDA"/>
    <w:rsid w:val="00E51D15"/>
    <w:rsid w:val="00E51DDA"/>
    <w:rsid w:val="00E527D7"/>
    <w:rsid w:val="00E52B3D"/>
    <w:rsid w:val="00E53899"/>
    <w:rsid w:val="00E53A3C"/>
    <w:rsid w:val="00E53BDE"/>
    <w:rsid w:val="00E53F96"/>
    <w:rsid w:val="00E54677"/>
    <w:rsid w:val="00E54D57"/>
    <w:rsid w:val="00E55A95"/>
    <w:rsid w:val="00E55BB9"/>
    <w:rsid w:val="00E56AC6"/>
    <w:rsid w:val="00E56FA8"/>
    <w:rsid w:val="00E570F5"/>
    <w:rsid w:val="00E57394"/>
    <w:rsid w:val="00E573C0"/>
    <w:rsid w:val="00E576C2"/>
    <w:rsid w:val="00E60FA5"/>
    <w:rsid w:val="00E61142"/>
    <w:rsid w:val="00E617B8"/>
    <w:rsid w:val="00E62734"/>
    <w:rsid w:val="00E627FD"/>
    <w:rsid w:val="00E63001"/>
    <w:rsid w:val="00E63228"/>
    <w:rsid w:val="00E632C4"/>
    <w:rsid w:val="00E63627"/>
    <w:rsid w:val="00E63D4F"/>
    <w:rsid w:val="00E63FB9"/>
    <w:rsid w:val="00E65A75"/>
    <w:rsid w:val="00E664F2"/>
    <w:rsid w:val="00E66ADA"/>
    <w:rsid w:val="00E67515"/>
    <w:rsid w:val="00E703DF"/>
    <w:rsid w:val="00E71E7D"/>
    <w:rsid w:val="00E725C2"/>
    <w:rsid w:val="00E72FD6"/>
    <w:rsid w:val="00E73075"/>
    <w:rsid w:val="00E74557"/>
    <w:rsid w:val="00E74677"/>
    <w:rsid w:val="00E7468C"/>
    <w:rsid w:val="00E74745"/>
    <w:rsid w:val="00E7496A"/>
    <w:rsid w:val="00E74C54"/>
    <w:rsid w:val="00E755E4"/>
    <w:rsid w:val="00E75656"/>
    <w:rsid w:val="00E75BF7"/>
    <w:rsid w:val="00E763B1"/>
    <w:rsid w:val="00E76E0D"/>
    <w:rsid w:val="00E76EA7"/>
    <w:rsid w:val="00E772CE"/>
    <w:rsid w:val="00E775C3"/>
    <w:rsid w:val="00E8097E"/>
    <w:rsid w:val="00E816CF"/>
    <w:rsid w:val="00E82164"/>
    <w:rsid w:val="00E835E0"/>
    <w:rsid w:val="00E8416B"/>
    <w:rsid w:val="00E84314"/>
    <w:rsid w:val="00E84CEE"/>
    <w:rsid w:val="00E8533F"/>
    <w:rsid w:val="00E85ACF"/>
    <w:rsid w:val="00E85FCF"/>
    <w:rsid w:val="00E866D3"/>
    <w:rsid w:val="00E8687A"/>
    <w:rsid w:val="00E86D2A"/>
    <w:rsid w:val="00E8704C"/>
    <w:rsid w:val="00E87F02"/>
    <w:rsid w:val="00E90F42"/>
    <w:rsid w:val="00E90FD8"/>
    <w:rsid w:val="00E910B4"/>
    <w:rsid w:val="00E91AA9"/>
    <w:rsid w:val="00E91CF5"/>
    <w:rsid w:val="00E92BEB"/>
    <w:rsid w:val="00E92D9D"/>
    <w:rsid w:val="00E939BC"/>
    <w:rsid w:val="00E93A21"/>
    <w:rsid w:val="00E94389"/>
    <w:rsid w:val="00E94B5E"/>
    <w:rsid w:val="00E94EB1"/>
    <w:rsid w:val="00E95B5C"/>
    <w:rsid w:val="00E95C4A"/>
    <w:rsid w:val="00E96040"/>
    <w:rsid w:val="00E96597"/>
    <w:rsid w:val="00E97137"/>
    <w:rsid w:val="00E9713C"/>
    <w:rsid w:val="00E97549"/>
    <w:rsid w:val="00EA0256"/>
    <w:rsid w:val="00EA0262"/>
    <w:rsid w:val="00EA057C"/>
    <w:rsid w:val="00EA0751"/>
    <w:rsid w:val="00EA0771"/>
    <w:rsid w:val="00EA0963"/>
    <w:rsid w:val="00EA0986"/>
    <w:rsid w:val="00EA18EC"/>
    <w:rsid w:val="00EA1E28"/>
    <w:rsid w:val="00EA2095"/>
    <w:rsid w:val="00EA20AD"/>
    <w:rsid w:val="00EA2886"/>
    <w:rsid w:val="00EA2ED0"/>
    <w:rsid w:val="00EA425B"/>
    <w:rsid w:val="00EA4D93"/>
    <w:rsid w:val="00EA55B1"/>
    <w:rsid w:val="00EA5823"/>
    <w:rsid w:val="00EA5E2F"/>
    <w:rsid w:val="00EA617A"/>
    <w:rsid w:val="00EA6221"/>
    <w:rsid w:val="00EA62A8"/>
    <w:rsid w:val="00EA6C61"/>
    <w:rsid w:val="00EA6D77"/>
    <w:rsid w:val="00EA6E5F"/>
    <w:rsid w:val="00EA7213"/>
    <w:rsid w:val="00EB008E"/>
    <w:rsid w:val="00EB0810"/>
    <w:rsid w:val="00EB0A43"/>
    <w:rsid w:val="00EB0C54"/>
    <w:rsid w:val="00EB145C"/>
    <w:rsid w:val="00EB38F5"/>
    <w:rsid w:val="00EB4236"/>
    <w:rsid w:val="00EB4374"/>
    <w:rsid w:val="00EB442C"/>
    <w:rsid w:val="00EB4680"/>
    <w:rsid w:val="00EB4883"/>
    <w:rsid w:val="00EB5487"/>
    <w:rsid w:val="00EB583A"/>
    <w:rsid w:val="00EB5F8E"/>
    <w:rsid w:val="00EB62AB"/>
    <w:rsid w:val="00EB6B8A"/>
    <w:rsid w:val="00EB6C68"/>
    <w:rsid w:val="00EB767A"/>
    <w:rsid w:val="00EB77BF"/>
    <w:rsid w:val="00EB798A"/>
    <w:rsid w:val="00EB7D4B"/>
    <w:rsid w:val="00EC0043"/>
    <w:rsid w:val="00EC03BC"/>
    <w:rsid w:val="00EC04C9"/>
    <w:rsid w:val="00EC078D"/>
    <w:rsid w:val="00EC0941"/>
    <w:rsid w:val="00EC18D1"/>
    <w:rsid w:val="00EC1947"/>
    <w:rsid w:val="00EC2153"/>
    <w:rsid w:val="00EC2619"/>
    <w:rsid w:val="00EC2A4B"/>
    <w:rsid w:val="00EC2A7A"/>
    <w:rsid w:val="00EC2E4B"/>
    <w:rsid w:val="00EC3386"/>
    <w:rsid w:val="00EC37FB"/>
    <w:rsid w:val="00EC3DA5"/>
    <w:rsid w:val="00EC4747"/>
    <w:rsid w:val="00EC4821"/>
    <w:rsid w:val="00EC4918"/>
    <w:rsid w:val="00EC4A51"/>
    <w:rsid w:val="00EC76B4"/>
    <w:rsid w:val="00ED049C"/>
    <w:rsid w:val="00ED0534"/>
    <w:rsid w:val="00ED0663"/>
    <w:rsid w:val="00ED0DB7"/>
    <w:rsid w:val="00ED0FE3"/>
    <w:rsid w:val="00ED0FE5"/>
    <w:rsid w:val="00ED10C9"/>
    <w:rsid w:val="00ED1536"/>
    <w:rsid w:val="00ED1926"/>
    <w:rsid w:val="00ED26E3"/>
    <w:rsid w:val="00ED2E41"/>
    <w:rsid w:val="00ED2E9B"/>
    <w:rsid w:val="00ED3350"/>
    <w:rsid w:val="00ED3618"/>
    <w:rsid w:val="00ED36D1"/>
    <w:rsid w:val="00ED3727"/>
    <w:rsid w:val="00ED39B3"/>
    <w:rsid w:val="00ED3B6A"/>
    <w:rsid w:val="00ED4081"/>
    <w:rsid w:val="00ED4861"/>
    <w:rsid w:val="00ED4FA0"/>
    <w:rsid w:val="00ED5949"/>
    <w:rsid w:val="00ED5E19"/>
    <w:rsid w:val="00ED6F24"/>
    <w:rsid w:val="00ED78FF"/>
    <w:rsid w:val="00EE016F"/>
    <w:rsid w:val="00EE1248"/>
    <w:rsid w:val="00EE39B5"/>
    <w:rsid w:val="00EE3A22"/>
    <w:rsid w:val="00EE4B56"/>
    <w:rsid w:val="00EE5FD3"/>
    <w:rsid w:val="00EE63DE"/>
    <w:rsid w:val="00EE6B81"/>
    <w:rsid w:val="00EE6CEE"/>
    <w:rsid w:val="00EE7134"/>
    <w:rsid w:val="00EE7166"/>
    <w:rsid w:val="00EE728D"/>
    <w:rsid w:val="00EE72A8"/>
    <w:rsid w:val="00EE72EE"/>
    <w:rsid w:val="00EE73F9"/>
    <w:rsid w:val="00EE7BFF"/>
    <w:rsid w:val="00EF02F3"/>
    <w:rsid w:val="00EF117C"/>
    <w:rsid w:val="00EF1C13"/>
    <w:rsid w:val="00EF25B6"/>
    <w:rsid w:val="00EF35BC"/>
    <w:rsid w:val="00EF364E"/>
    <w:rsid w:val="00EF3B4B"/>
    <w:rsid w:val="00EF3F68"/>
    <w:rsid w:val="00EF456E"/>
    <w:rsid w:val="00EF4BF6"/>
    <w:rsid w:val="00EF4F81"/>
    <w:rsid w:val="00EF56A5"/>
    <w:rsid w:val="00EF5BBC"/>
    <w:rsid w:val="00EF61CE"/>
    <w:rsid w:val="00EF6809"/>
    <w:rsid w:val="00EF686A"/>
    <w:rsid w:val="00EF6A91"/>
    <w:rsid w:val="00EF6FF7"/>
    <w:rsid w:val="00EF75D8"/>
    <w:rsid w:val="00EF798C"/>
    <w:rsid w:val="00EF79F9"/>
    <w:rsid w:val="00EF7CC3"/>
    <w:rsid w:val="00F00C60"/>
    <w:rsid w:val="00F00F06"/>
    <w:rsid w:val="00F00FD1"/>
    <w:rsid w:val="00F01290"/>
    <w:rsid w:val="00F0178A"/>
    <w:rsid w:val="00F01B28"/>
    <w:rsid w:val="00F01B29"/>
    <w:rsid w:val="00F0230B"/>
    <w:rsid w:val="00F02D21"/>
    <w:rsid w:val="00F035F3"/>
    <w:rsid w:val="00F03633"/>
    <w:rsid w:val="00F03FA8"/>
    <w:rsid w:val="00F04792"/>
    <w:rsid w:val="00F047F4"/>
    <w:rsid w:val="00F04E3E"/>
    <w:rsid w:val="00F058C4"/>
    <w:rsid w:val="00F0676C"/>
    <w:rsid w:val="00F0694A"/>
    <w:rsid w:val="00F072DE"/>
    <w:rsid w:val="00F07BAC"/>
    <w:rsid w:val="00F07C3E"/>
    <w:rsid w:val="00F07CE9"/>
    <w:rsid w:val="00F07D0D"/>
    <w:rsid w:val="00F10454"/>
    <w:rsid w:val="00F105F7"/>
    <w:rsid w:val="00F1074B"/>
    <w:rsid w:val="00F109AC"/>
    <w:rsid w:val="00F111D3"/>
    <w:rsid w:val="00F115CC"/>
    <w:rsid w:val="00F1197D"/>
    <w:rsid w:val="00F12305"/>
    <w:rsid w:val="00F1273E"/>
    <w:rsid w:val="00F13136"/>
    <w:rsid w:val="00F13D6F"/>
    <w:rsid w:val="00F13E2A"/>
    <w:rsid w:val="00F148AE"/>
    <w:rsid w:val="00F14C9B"/>
    <w:rsid w:val="00F1508F"/>
    <w:rsid w:val="00F15F88"/>
    <w:rsid w:val="00F1714C"/>
    <w:rsid w:val="00F175FA"/>
    <w:rsid w:val="00F20217"/>
    <w:rsid w:val="00F206FE"/>
    <w:rsid w:val="00F20A18"/>
    <w:rsid w:val="00F21401"/>
    <w:rsid w:val="00F21F52"/>
    <w:rsid w:val="00F2221E"/>
    <w:rsid w:val="00F22D28"/>
    <w:rsid w:val="00F23C79"/>
    <w:rsid w:val="00F24144"/>
    <w:rsid w:val="00F24AE5"/>
    <w:rsid w:val="00F24DAB"/>
    <w:rsid w:val="00F24EE2"/>
    <w:rsid w:val="00F250FD"/>
    <w:rsid w:val="00F2595E"/>
    <w:rsid w:val="00F25B03"/>
    <w:rsid w:val="00F26221"/>
    <w:rsid w:val="00F2681C"/>
    <w:rsid w:val="00F26D3D"/>
    <w:rsid w:val="00F26EBF"/>
    <w:rsid w:val="00F3000C"/>
    <w:rsid w:val="00F30AE2"/>
    <w:rsid w:val="00F30DAB"/>
    <w:rsid w:val="00F313A4"/>
    <w:rsid w:val="00F31CA7"/>
    <w:rsid w:val="00F328AB"/>
    <w:rsid w:val="00F3312E"/>
    <w:rsid w:val="00F33EF8"/>
    <w:rsid w:val="00F34437"/>
    <w:rsid w:val="00F3475B"/>
    <w:rsid w:val="00F34913"/>
    <w:rsid w:val="00F34C32"/>
    <w:rsid w:val="00F34D94"/>
    <w:rsid w:val="00F352A6"/>
    <w:rsid w:val="00F35FA5"/>
    <w:rsid w:val="00F361FD"/>
    <w:rsid w:val="00F36CB9"/>
    <w:rsid w:val="00F3748A"/>
    <w:rsid w:val="00F37675"/>
    <w:rsid w:val="00F379C0"/>
    <w:rsid w:val="00F37A44"/>
    <w:rsid w:val="00F37BE6"/>
    <w:rsid w:val="00F37F92"/>
    <w:rsid w:val="00F40181"/>
    <w:rsid w:val="00F4061D"/>
    <w:rsid w:val="00F40988"/>
    <w:rsid w:val="00F40A7C"/>
    <w:rsid w:val="00F41230"/>
    <w:rsid w:val="00F427DC"/>
    <w:rsid w:val="00F4296B"/>
    <w:rsid w:val="00F42D49"/>
    <w:rsid w:val="00F4354C"/>
    <w:rsid w:val="00F437AF"/>
    <w:rsid w:val="00F43875"/>
    <w:rsid w:val="00F43953"/>
    <w:rsid w:val="00F448E0"/>
    <w:rsid w:val="00F4587B"/>
    <w:rsid w:val="00F466D1"/>
    <w:rsid w:val="00F4682A"/>
    <w:rsid w:val="00F47188"/>
    <w:rsid w:val="00F47F72"/>
    <w:rsid w:val="00F50308"/>
    <w:rsid w:val="00F50512"/>
    <w:rsid w:val="00F507EB"/>
    <w:rsid w:val="00F50806"/>
    <w:rsid w:val="00F509EF"/>
    <w:rsid w:val="00F50C18"/>
    <w:rsid w:val="00F510B5"/>
    <w:rsid w:val="00F51386"/>
    <w:rsid w:val="00F51728"/>
    <w:rsid w:val="00F5240C"/>
    <w:rsid w:val="00F527E0"/>
    <w:rsid w:val="00F528B8"/>
    <w:rsid w:val="00F52E1E"/>
    <w:rsid w:val="00F5344F"/>
    <w:rsid w:val="00F53BE8"/>
    <w:rsid w:val="00F5441C"/>
    <w:rsid w:val="00F54BE4"/>
    <w:rsid w:val="00F5510A"/>
    <w:rsid w:val="00F556DE"/>
    <w:rsid w:val="00F558EF"/>
    <w:rsid w:val="00F55BBB"/>
    <w:rsid w:val="00F55C3F"/>
    <w:rsid w:val="00F5654B"/>
    <w:rsid w:val="00F567EF"/>
    <w:rsid w:val="00F56F97"/>
    <w:rsid w:val="00F573A0"/>
    <w:rsid w:val="00F577EE"/>
    <w:rsid w:val="00F57EBB"/>
    <w:rsid w:val="00F60139"/>
    <w:rsid w:val="00F60AA6"/>
    <w:rsid w:val="00F60CD4"/>
    <w:rsid w:val="00F6117C"/>
    <w:rsid w:val="00F613C1"/>
    <w:rsid w:val="00F61AED"/>
    <w:rsid w:val="00F6262E"/>
    <w:rsid w:val="00F62CEB"/>
    <w:rsid w:val="00F643B4"/>
    <w:rsid w:val="00F65913"/>
    <w:rsid w:val="00F65955"/>
    <w:rsid w:val="00F65BDE"/>
    <w:rsid w:val="00F65D0B"/>
    <w:rsid w:val="00F65FB4"/>
    <w:rsid w:val="00F670A6"/>
    <w:rsid w:val="00F678D4"/>
    <w:rsid w:val="00F703FA"/>
    <w:rsid w:val="00F70A9D"/>
    <w:rsid w:val="00F70CCB"/>
    <w:rsid w:val="00F71292"/>
    <w:rsid w:val="00F71C22"/>
    <w:rsid w:val="00F71DD1"/>
    <w:rsid w:val="00F72B71"/>
    <w:rsid w:val="00F7336D"/>
    <w:rsid w:val="00F73370"/>
    <w:rsid w:val="00F7353F"/>
    <w:rsid w:val="00F7354B"/>
    <w:rsid w:val="00F73CD0"/>
    <w:rsid w:val="00F744E2"/>
    <w:rsid w:val="00F74878"/>
    <w:rsid w:val="00F7597D"/>
    <w:rsid w:val="00F77021"/>
    <w:rsid w:val="00F777F7"/>
    <w:rsid w:val="00F803D7"/>
    <w:rsid w:val="00F80680"/>
    <w:rsid w:val="00F81204"/>
    <w:rsid w:val="00F8140E"/>
    <w:rsid w:val="00F815E2"/>
    <w:rsid w:val="00F82339"/>
    <w:rsid w:val="00F82828"/>
    <w:rsid w:val="00F8304C"/>
    <w:rsid w:val="00F83D25"/>
    <w:rsid w:val="00F840FF"/>
    <w:rsid w:val="00F84882"/>
    <w:rsid w:val="00F8532D"/>
    <w:rsid w:val="00F85509"/>
    <w:rsid w:val="00F86198"/>
    <w:rsid w:val="00F863C7"/>
    <w:rsid w:val="00F86711"/>
    <w:rsid w:val="00F869DC"/>
    <w:rsid w:val="00F87143"/>
    <w:rsid w:val="00F87226"/>
    <w:rsid w:val="00F8735B"/>
    <w:rsid w:val="00F87A27"/>
    <w:rsid w:val="00F87CD6"/>
    <w:rsid w:val="00F87FFA"/>
    <w:rsid w:val="00F904F3"/>
    <w:rsid w:val="00F90618"/>
    <w:rsid w:val="00F90C63"/>
    <w:rsid w:val="00F90D13"/>
    <w:rsid w:val="00F91051"/>
    <w:rsid w:val="00F911B8"/>
    <w:rsid w:val="00F91206"/>
    <w:rsid w:val="00F9133C"/>
    <w:rsid w:val="00F9262B"/>
    <w:rsid w:val="00F9296C"/>
    <w:rsid w:val="00F92E3D"/>
    <w:rsid w:val="00F94142"/>
    <w:rsid w:val="00F941C4"/>
    <w:rsid w:val="00F9497C"/>
    <w:rsid w:val="00F95776"/>
    <w:rsid w:val="00F95B95"/>
    <w:rsid w:val="00F95D75"/>
    <w:rsid w:val="00F95EE1"/>
    <w:rsid w:val="00F95F1A"/>
    <w:rsid w:val="00F96600"/>
    <w:rsid w:val="00F96989"/>
    <w:rsid w:val="00F96C45"/>
    <w:rsid w:val="00F96E0F"/>
    <w:rsid w:val="00F97908"/>
    <w:rsid w:val="00F97B20"/>
    <w:rsid w:val="00F97D32"/>
    <w:rsid w:val="00FA0CA8"/>
    <w:rsid w:val="00FA24FC"/>
    <w:rsid w:val="00FA2875"/>
    <w:rsid w:val="00FA287F"/>
    <w:rsid w:val="00FA2A9A"/>
    <w:rsid w:val="00FA32C5"/>
    <w:rsid w:val="00FA364F"/>
    <w:rsid w:val="00FA3F08"/>
    <w:rsid w:val="00FA4050"/>
    <w:rsid w:val="00FA4ABF"/>
    <w:rsid w:val="00FA5035"/>
    <w:rsid w:val="00FA542C"/>
    <w:rsid w:val="00FA58E5"/>
    <w:rsid w:val="00FA5AF1"/>
    <w:rsid w:val="00FA5C26"/>
    <w:rsid w:val="00FA5C71"/>
    <w:rsid w:val="00FA6396"/>
    <w:rsid w:val="00FA660B"/>
    <w:rsid w:val="00FA73F0"/>
    <w:rsid w:val="00FA77A4"/>
    <w:rsid w:val="00FA7E68"/>
    <w:rsid w:val="00FB07D6"/>
    <w:rsid w:val="00FB0C11"/>
    <w:rsid w:val="00FB111A"/>
    <w:rsid w:val="00FB132D"/>
    <w:rsid w:val="00FB20B2"/>
    <w:rsid w:val="00FB293A"/>
    <w:rsid w:val="00FB3A52"/>
    <w:rsid w:val="00FB3D95"/>
    <w:rsid w:val="00FB4359"/>
    <w:rsid w:val="00FB4400"/>
    <w:rsid w:val="00FB4620"/>
    <w:rsid w:val="00FB478D"/>
    <w:rsid w:val="00FB4827"/>
    <w:rsid w:val="00FB4F5A"/>
    <w:rsid w:val="00FB56A0"/>
    <w:rsid w:val="00FB5C83"/>
    <w:rsid w:val="00FB5DAF"/>
    <w:rsid w:val="00FB64D0"/>
    <w:rsid w:val="00FB6606"/>
    <w:rsid w:val="00FB73D7"/>
    <w:rsid w:val="00FB7B58"/>
    <w:rsid w:val="00FB7DC7"/>
    <w:rsid w:val="00FB7F6E"/>
    <w:rsid w:val="00FC015E"/>
    <w:rsid w:val="00FC0AFD"/>
    <w:rsid w:val="00FC0EEC"/>
    <w:rsid w:val="00FC1146"/>
    <w:rsid w:val="00FC1269"/>
    <w:rsid w:val="00FC1396"/>
    <w:rsid w:val="00FC162D"/>
    <w:rsid w:val="00FC16C2"/>
    <w:rsid w:val="00FC1E84"/>
    <w:rsid w:val="00FC39CA"/>
    <w:rsid w:val="00FC3E18"/>
    <w:rsid w:val="00FC4134"/>
    <w:rsid w:val="00FC4CF5"/>
    <w:rsid w:val="00FC5BF5"/>
    <w:rsid w:val="00FC5DA8"/>
    <w:rsid w:val="00FC626D"/>
    <w:rsid w:val="00FC7CAB"/>
    <w:rsid w:val="00FD09BF"/>
    <w:rsid w:val="00FD14F4"/>
    <w:rsid w:val="00FD1914"/>
    <w:rsid w:val="00FD27F7"/>
    <w:rsid w:val="00FD280F"/>
    <w:rsid w:val="00FD28CC"/>
    <w:rsid w:val="00FD2903"/>
    <w:rsid w:val="00FD293D"/>
    <w:rsid w:val="00FD2EBE"/>
    <w:rsid w:val="00FD3413"/>
    <w:rsid w:val="00FD39C6"/>
    <w:rsid w:val="00FD3F2A"/>
    <w:rsid w:val="00FD3FE7"/>
    <w:rsid w:val="00FD455B"/>
    <w:rsid w:val="00FD5B4B"/>
    <w:rsid w:val="00FD5BBB"/>
    <w:rsid w:val="00FD623B"/>
    <w:rsid w:val="00FD661A"/>
    <w:rsid w:val="00FD71C7"/>
    <w:rsid w:val="00FD7750"/>
    <w:rsid w:val="00FD77D6"/>
    <w:rsid w:val="00FD79E7"/>
    <w:rsid w:val="00FD7B3B"/>
    <w:rsid w:val="00FE058E"/>
    <w:rsid w:val="00FE05C9"/>
    <w:rsid w:val="00FE0CDB"/>
    <w:rsid w:val="00FE0E85"/>
    <w:rsid w:val="00FE0F8A"/>
    <w:rsid w:val="00FE157C"/>
    <w:rsid w:val="00FE1684"/>
    <w:rsid w:val="00FE1798"/>
    <w:rsid w:val="00FE2A15"/>
    <w:rsid w:val="00FE3309"/>
    <w:rsid w:val="00FE3321"/>
    <w:rsid w:val="00FE3952"/>
    <w:rsid w:val="00FE3ED2"/>
    <w:rsid w:val="00FE406B"/>
    <w:rsid w:val="00FE4243"/>
    <w:rsid w:val="00FE45B1"/>
    <w:rsid w:val="00FE4630"/>
    <w:rsid w:val="00FE486E"/>
    <w:rsid w:val="00FE49AD"/>
    <w:rsid w:val="00FE55B8"/>
    <w:rsid w:val="00FE6909"/>
    <w:rsid w:val="00FE6AF6"/>
    <w:rsid w:val="00FE6D40"/>
    <w:rsid w:val="00FE6D94"/>
    <w:rsid w:val="00FE760A"/>
    <w:rsid w:val="00FE77BE"/>
    <w:rsid w:val="00FE7971"/>
    <w:rsid w:val="00FF026A"/>
    <w:rsid w:val="00FF04CE"/>
    <w:rsid w:val="00FF06C3"/>
    <w:rsid w:val="00FF0B99"/>
    <w:rsid w:val="00FF14FA"/>
    <w:rsid w:val="00FF1A02"/>
    <w:rsid w:val="00FF213B"/>
    <w:rsid w:val="00FF3C57"/>
    <w:rsid w:val="00FF40E6"/>
    <w:rsid w:val="00FF43F0"/>
    <w:rsid w:val="00FF489E"/>
    <w:rsid w:val="00FF4928"/>
    <w:rsid w:val="00FF4B8A"/>
    <w:rsid w:val="00FF4E9F"/>
    <w:rsid w:val="00FF5476"/>
    <w:rsid w:val="00FF77F3"/>
    <w:rsid w:val="01025311"/>
    <w:rsid w:val="07A46C33"/>
    <w:rsid w:val="08437D48"/>
    <w:rsid w:val="0CB47946"/>
    <w:rsid w:val="1060255E"/>
    <w:rsid w:val="110C7725"/>
    <w:rsid w:val="11F017C9"/>
    <w:rsid w:val="12100E46"/>
    <w:rsid w:val="15FE35EA"/>
    <w:rsid w:val="178045C5"/>
    <w:rsid w:val="1A1533C2"/>
    <w:rsid w:val="1B705349"/>
    <w:rsid w:val="1C7F49E2"/>
    <w:rsid w:val="1E277844"/>
    <w:rsid w:val="1EA42D7D"/>
    <w:rsid w:val="1F801F59"/>
    <w:rsid w:val="21AC4859"/>
    <w:rsid w:val="220D6636"/>
    <w:rsid w:val="225C7EF9"/>
    <w:rsid w:val="23C95065"/>
    <w:rsid w:val="23D01751"/>
    <w:rsid w:val="28C5591B"/>
    <w:rsid w:val="2BE316DC"/>
    <w:rsid w:val="30D66098"/>
    <w:rsid w:val="345733B9"/>
    <w:rsid w:val="34601196"/>
    <w:rsid w:val="34F966F9"/>
    <w:rsid w:val="350D5595"/>
    <w:rsid w:val="37212206"/>
    <w:rsid w:val="397372B0"/>
    <w:rsid w:val="39BA75A8"/>
    <w:rsid w:val="3C572262"/>
    <w:rsid w:val="3D1A39AA"/>
    <w:rsid w:val="41A43082"/>
    <w:rsid w:val="435E3277"/>
    <w:rsid w:val="451B3FE2"/>
    <w:rsid w:val="45907EB5"/>
    <w:rsid w:val="489837AC"/>
    <w:rsid w:val="4B096BFE"/>
    <w:rsid w:val="4C9D718D"/>
    <w:rsid w:val="4F6F3571"/>
    <w:rsid w:val="50824002"/>
    <w:rsid w:val="524B60D9"/>
    <w:rsid w:val="53142F61"/>
    <w:rsid w:val="55B230C4"/>
    <w:rsid w:val="56490B45"/>
    <w:rsid w:val="5762218D"/>
    <w:rsid w:val="5E906F29"/>
    <w:rsid w:val="5F5F4854"/>
    <w:rsid w:val="60E40DE5"/>
    <w:rsid w:val="615A0F39"/>
    <w:rsid w:val="67C92A0F"/>
    <w:rsid w:val="685C5B54"/>
    <w:rsid w:val="6891422D"/>
    <w:rsid w:val="6AD3202C"/>
    <w:rsid w:val="6FF90862"/>
    <w:rsid w:val="719B165C"/>
    <w:rsid w:val="71DC05B2"/>
    <w:rsid w:val="71E21DC0"/>
    <w:rsid w:val="72652FBB"/>
    <w:rsid w:val="76D558AD"/>
    <w:rsid w:val="774C0385"/>
    <w:rsid w:val="7A5812B7"/>
    <w:rsid w:val="7BF9065C"/>
    <w:rsid w:val="7D6265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styleId="4">
    <w:name w:val="heading 1"/>
    <w:basedOn w:val="1"/>
    <w:next w:val="1"/>
    <w:link w:val="81"/>
    <w:qFormat/>
    <w:uiPriority w:val="0"/>
    <w:pPr>
      <w:keepNext/>
      <w:keepLines/>
      <w:spacing w:before="120" w:after="120"/>
      <w:ind w:firstLine="0" w:firstLineChars="0"/>
      <w:outlineLvl w:val="0"/>
    </w:pPr>
    <w:rPr>
      <w:b/>
      <w:bCs/>
      <w:kern w:val="44"/>
      <w:sz w:val="32"/>
      <w:szCs w:val="44"/>
    </w:rPr>
  </w:style>
  <w:style w:type="paragraph" w:styleId="5">
    <w:name w:val="heading 2"/>
    <w:basedOn w:val="1"/>
    <w:next w:val="1"/>
    <w:qFormat/>
    <w:uiPriority w:val="0"/>
    <w:pPr>
      <w:keepNext/>
      <w:keepLines/>
      <w:spacing w:before="120" w:after="120"/>
      <w:ind w:firstLine="0" w:firstLineChars="0"/>
      <w:jc w:val="center"/>
      <w:outlineLvl w:val="1"/>
    </w:pPr>
    <w:rPr>
      <w:rFonts w:ascii="Arial" w:hAnsi="Arial"/>
      <w:b/>
      <w:bCs/>
      <w:sz w:val="28"/>
      <w:szCs w:val="32"/>
    </w:rPr>
  </w:style>
  <w:style w:type="paragraph" w:styleId="6">
    <w:name w:val="heading 3"/>
    <w:basedOn w:val="1"/>
    <w:next w:val="1"/>
    <w:qFormat/>
    <w:uiPriority w:val="0"/>
    <w:pPr>
      <w:keepNext/>
      <w:keepLines/>
      <w:spacing w:before="120" w:after="120"/>
      <w:ind w:firstLine="0" w:firstLineChars="0"/>
      <w:outlineLvl w:val="2"/>
    </w:pPr>
    <w:rPr>
      <w:bCs/>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68"/>
    <w:qFormat/>
    <w:uiPriority w:val="0"/>
    <w:pPr>
      <w:adjustRightInd/>
      <w:spacing w:after="120"/>
      <w:ind w:left="420" w:leftChars="200" w:firstLine="420" w:firstLineChars="200"/>
      <w:jc w:val="left"/>
    </w:pPr>
  </w:style>
  <w:style w:type="paragraph" w:styleId="3">
    <w:name w:val="Body Text Indent"/>
    <w:basedOn w:val="1"/>
    <w:link w:val="67"/>
    <w:qFormat/>
    <w:uiPriority w:val="0"/>
    <w:pPr>
      <w:adjustRightInd w:val="0"/>
      <w:ind w:firstLine="482" w:firstLineChars="0"/>
      <w:jc w:val="both"/>
    </w:pPr>
  </w:style>
  <w:style w:type="paragraph" w:styleId="7">
    <w:name w:val="Normal Indent"/>
    <w:basedOn w:val="1"/>
    <w:qFormat/>
    <w:uiPriority w:val="0"/>
    <w:pPr>
      <w:jc w:val="both"/>
    </w:pPr>
    <w:rPr>
      <w:sz w:val="28"/>
    </w:rPr>
  </w:style>
  <w:style w:type="paragraph" w:styleId="8">
    <w:name w:val="Document Map"/>
    <w:basedOn w:val="1"/>
    <w:semiHidden/>
    <w:qFormat/>
    <w:uiPriority w:val="0"/>
    <w:pPr>
      <w:shd w:val="clear" w:color="auto" w:fill="000080"/>
      <w:spacing w:line="240" w:lineRule="auto"/>
      <w:ind w:firstLine="0" w:firstLineChars="0"/>
      <w:jc w:val="both"/>
    </w:pPr>
    <w:rPr>
      <w:sz w:val="21"/>
    </w:rPr>
  </w:style>
  <w:style w:type="paragraph" w:styleId="9">
    <w:name w:val="annotation text"/>
    <w:basedOn w:val="1"/>
    <w:qFormat/>
    <w:uiPriority w:val="99"/>
    <w:pPr>
      <w:spacing w:line="240" w:lineRule="auto"/>
      <w:ind w:firstLine="0" w:firstLineChars="0"/>
    </w:pPr>
    <w:rPr>
      <w:sz w:val="21"/>
    </w:rPr>
  </w:style>
  <w:style w:type="paragraph" w:styleId="10">
    <w:name w:val="Body Text 3"/>
    <w:basedOn w:val="1"/>
    <w:qFormat/>
    <w:uiPriority w:val="0"/>
    <w:pPr>
      <w:spacing w:after="120" w:line="240" w:lineRule="auto"/>
      <w:ind w:firstLine="0" w:firstLineChars="0"/>
      <w:jc w:val="both"/>
    </w:pPr>
    <w:rPr>
      <w:sz w:val="16"/>
      <w:szCs w:val="16"/>
    </w:rPr>
  </w:style>
  <w:style w:type="paragraph" w:styleId="11">
    <w:name w:val="Body Text"/>
    <w:basedOn w:val="1"/>
    <w:next w:val="12"/>
    <w:link w:val="65"/>
    <w:qFormat/>
    <w:uiPriority w:val="0"/>
    <w:pPr>
      <w:ind w:firstLine="0" w:firstLineChars="0"/>
      <w:jc w:val="center"/>
    </w:pPr>
  </w:style>
  <w:style w:type="paragraph" w:customStyle="1" w:styleId="1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3">
    <w:name w:val="Plain Text"/>
    <w:basedOn w:val="1"/>
    <w:link w:val="44"/>
    <w:qFormat/>
    <w:uiPriority w:val="0"/>
    <w:pPr>
      <w:spacing w:line="240" w:lineRule="auto"/>
      <w:ind w:firstLine="0" w:firstLineChars="0"/>
      <w:jc w:val="both"/>
    </w:pPr>
    <w:rPr>
      <w:rFonts w:ascii="宋体" w:hAnsi="Courier New" w:cs="Courier New"/>
      <w:sz w:val="21"/>
      <w:szCs w:val="21"/>
    </w:rPr>
  </w:style>
  <w:style w:type="paragraph" w:styleId="14">
    <w:name w:val="Date"/>
    <w:basedOn w:val="1"/>
    <w:next w:val="1"/>
    <w:qFormat/>
    <w:uiPriority w:val="0"/>
    <w:pPr>
      <w:spacing w:line="240" w:lineRule="auto"/>
      <w:ind w:left="100" w:leftChars="2500" w:firstLine="0" w:firstLineChars="0"/>
      <w:jc w:val="both"/>
    </w:pPr>
    <w:rPr>
      <w:color w:val="0000FF"/>
      <w:sz w:val="28"/>
      <w:szCs w:val="20"/>
    </w:rPr>
  </w:style>
  <w:style w:type="paragraph" w:styleId="15">
    <w:name w:val="Body Text Indent 2"/>
    <w:basedOn w:val="1"/>
    <w:qFormat/>
    <w:uiPriority w:val="0"/>
    <w:pPr>
      <w:ind w:firstLine="480"/>
      <w:jc w:val="both"/>
    </w:pPr>
  </w:style>
  <w:style w:type="paragraph" w:styleId="16">
    <w:name w:val="Balloon Text"/>
    <w:basedOn w:val="1"/>
    <w:semiHidden/>
    <w:qFormat/>
    <w:uiPriority w:val="0"/>
    <w:pPr>
      <w:spacing w:line="240" w:lineRule="auto"/>
      <w:ind w:firstLine="0" w:firstLineChars="0"/>
      <w:jc w:val="both"/>
    </w:pPr>
    <w:rPr>
      <w:sz w:val="18"/>
      <w:szCs w:val="18"/>
    </w:rPr>
  </w:style>
  <w:style w:type="paragraph" w:styleId="17">
    <w:name w:val="footer"/>
    <w:basedOn w:val="1"/>
    <w:link w:val="55"/>
    <w:qFormat/>
    <w:uiPriority w:val="99"/>
    <w:pPr>
      <w:tabs>
        <w:tab w:val="center" w:pos="4153"/>
        <w:tab w:val="right" w:pos="8306"/>
      </w:tabs>
      <w:snapToGrid w:val="0"/>
      <w:spacing w:line="240" w:lineRule="auto"/>
      <w:ind w:firstLine="0" w:firstLineChars="0"/>
    </w:pPr>
    <w:rPr>
      <w:sz w:val="18"/>
      <w:szCs w:val="18"/>
    </w:rPr>
  </w:style>
  <w:style w:type="paragraph" w:styleId="18">
    <w:name w:val="header"/>
    <w:basedOn w:val="1"/>
    <w:qFormat/>
    <w:uiPriority w:val="0"/>
    <w:pPr>
      <w:pBdr>
        <w:bottom w:val="single" w:color="auto" w:sz="6" w:space="1"/>
      </w:pBdr>
      <w:tabs>
        <w:tab w:val="center" w:pos="4153"/>
        <w:tab w:val="right" w:pos="8306"/>
      </w:tabs>
      <w:snapToGrid w:val="0"/>
      <w:spacing w:line="240" w:lineRule="auto"/>
      <w:ind w:firstLine="0" w:firstLineChars="0"/>
      <w:jc w:val="center"/>
    </w:pPr>
    <w:rPr>
      <w:sz w:val="18"/>
      <w:szCs w:val="18"/>
    </w:rPr>
  </w:style>
  <w:style w:type="paragraph" w:styleId="19">
    <w:name w:val="Subtitle"/>
    <w:basedOn w:val="1"/>
    <w:next w:val="1"/>
    <w:link w:val="57"/>
    <w:qFormat/>
    <w:uiPriority w:val="0"/>
    <w:pPr>
      <w:numPr>
        <w:ilvl w:val="0"/>
        <w:numId w:val="1"/>
      </w:numPr>
      <w:ind w:firstLine="0" w:firstLineChars="0"/>
      <w:jc w:val="center"/>
      <w:outlineLvl w:val="1"/>
    </w:pPr>
    <w:rPr>
      <w:b/>
      <w:bCs/>
      <w:kern w:val="28"/>
      <w:szCs w:val="32"/>
    </w:rPr>
  </w:style>
  <w:style w:type="paragraph" w:styleId="20">
    <w:name w:val="List"/>
    <w:basedOn w:val="1"/>
    <w:qFormat/>
    <w:uiPriority w:val="0"/>
    <w:pPr>
      <w:spacing w:line="320" w:lineRule="exact"/>
      <w:ind w:firstLine="0" w:firstLineChars="0"/>
      <w:jc w:val="center"/>
    </w:pPr>
    <w:rPr>
      <w:sz w:val="21"/>
    </w:rPr>
  </w:style>
  <w:style w:type="paragraph" w:styleId="21">
    <w:name w:val="Body Text Indent 3"/>
    <w:basedOn w:val="1"/>
    <w:qFormat/>
    <w:uiPriority w:val="0"/>
    <w:pPr>
      <w:spacing w:after="120" w:line="240" w:lineRule="auto"/>
      <w:ind w:left="420" w:leftChars="200" w:firstLine="0" w:firstLineChars="0"/>
      <w:jc w:val="both"/>
    </w:pPr>
    <w:rPr>
      <w:sz w:val="16"/>
      <w:szCs w:val="16"/>
    </w:rPr>
  </w:style>
  <w:style w:type="paragraph" w:styleId="22">
    <w:name w:val="Normal (Web)"/>
    <w:basedOn w:val="1"/>
    <w:qFormat/>
    <w:uiPriority w:val="0"/>
    <w:pPr>
      <w:widowControl/>
      <w:spacing w:before="100" w:beforeAutospacing="1" w:after="100" w:afterAutospacing="1" w:line="240" w:lineRule="auto"/>
      <w:ind w:firstLine="0" w:firstLineChars="0"/>
    </w:pPr>
    <w:rPr>
      <w:rFonts w:ascii="宋体" w:hAnsi="宋体" w:cs="宋体"/>
      <w:kern w:val="0"/>
    </w:rPr>
  </w:style>
  <w:style w:type="paragraph" w:styleId="23">
    <w:name w:val="annotation subject"/>
    <w:basedOn w:val="9"/>
    <w:next w:val="9"/>
    <w:semiHidden/>
    <w:qFormat/>
    <w:uiPriority w:val="0"/>
    <w:rPr>
      <w:b/>
      <w:bCs/>
    </w:rPr>
  </w:style>
  <w:style w:type="paragraph" w:styleId="24">
    <w:name w:val="Body Text First Indent"/>
    <w:basedOn w:val="11"/>
    <w:link w:val="66"/>
    <w:qFormat/>
    <w:uiPriority w:val="0"/>
    <w:pPr>
      <w:spacing w:after="120"/>
      <w:ind w:firstLine="420" w:firstLineChars="100"/>
      <w:jc w:val="left"/>
    </w:pPr>
  </w:style>
  <w:style w:type="table" w:styleId="26">
    <w:name w:val="Table Grid"/>
    <w:basedOn w:val="25"/>
    <w:qFormat/>
    <w:uiPriority w:val="0"/>
    <w:pPr>
      <w:widowControl w:val="0"/>
      <w:spacing w:line="360" w:lineRule="auto"/>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0"/>
    <w:rPr>
      <w:b/>
      <w:bCs/>
    </w:rPr>
  </w:style>
  <w:style w:type="character" w:styleId="29">
    <w:name w:val="page number"/>
    <w:basedOn w:val="27"/>
    <w:qFormat/>
    <w:uiPriority w:val="0"/>
  </w:style>
  <w:style w:type="character" w:styleId="30">
    <w:name w:val="Hyperlink"/>
    <w:qFormat/>
    <w:uiPriority w:val="0"/>
    <w:rPr>
      <w:color w:val="136EC2"/>
      <w:u w:val="single"/>
    </w:rPr>
  </w:style>
  <w:style w:type="character" w:styleId="31">
    <w:name w:val="annotation reference"/>
    <w:semiHidden/>
    <w:qFormat/>
    <w:uiPriority w:val="0"/>
    <w:rPr>
      <w:sz w:val="21"/>
      <w:szCs w:val="21"/>
    </w:rPr>
  </w:style>
  <w:style w:type="paragraph" w:customStyle="1" w:styleId="3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xl24"/>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character" w:customStyle="1" w:styleId="34">
    <w:name w:val="content3"/>
    <w:basedOn w:val="27"/>
    <w:qFormat/>
    <w:uiPriority w:val="0"/>
  </w:style>
  <w:style w:type="paragraph" w:customStyle="1" w:styleId="35">
    <w:name w:val="Char Char Char Char Char Char Char"/>
    <w:basedOn w:val="1"/>
    <w:qFormat/>
    <w:uiPriority w:val="0"/>
    <w:pPr>
      <w:spacing w:line="240" w:lineRule="auto"/>
      <w:ind w:firstLine="0" w:firstLineChars="0"/>
      <w:jc w:val="both"/>
    </w:pPr>
    <w:rPr>
      <w:sz w:val="21"/>
    </w:rPr>
  </w:style>
  <w:style w:type="paragraph" w:customStyle="1" w:styleId="36">
    <w:name w:val="Char Char Char Char Char Char Char1"/>
    <w:basedOn w:val="1"/>
    <w:qFormat/>
    <w:uiPriority w:val="0"/>
    <w:pPr>
      <w:spacing w:line="240" w:lineRule="auto"/>
      <w:ind w:firstLine="0" w:firstLineChars="0"/>
      <w:jc w:val="both"/>
    </w:pPr>
    <w:rPr>
      <w:sz w:val="21"/>
    </w:rPr>
  </w:style>
  <w:style w:type="paragraph" w:customStyle="1" w:styleId="37">
    <w:name w:val="表"/>
    <w:basedOn w:val="1"/>
    <w:qFormat/>
    <w:uiPriority w:val="0"/>
    <w:pPr>
      <w:adjustRightInd w:val="0"/>
      <w:spacing w:before="40" w:after="40" w:line="240" w:lineRule="exact"/>
      <w:ind w:firstLine="0" w:firstLineChars="0"/>
      <w:jc w:val="center"/>
      <w:textAlignment w:val="baseline"/>
    </w:pPr>
    <w:rPr>
      <w:kern w:val="21"/>
      <w:sz w:val="21"/>
      <w:szCs w:val="20"/>
    </w:rPr>
  </w:style>
  <w:style w:type="paragraph" w:customStyle="1" w:styleId="38">
    <w:name w:val="表格"/>
    <w:basedOn w:val="1"/>
    <w:qFormat/>
    <w:uiPriority w:val="0"/>
    <w:pPr>
      <w:spacing w:line="240" w:lineRule="auto"/>
      <w:ind w:firstLine="0" w:firstLineChars="0"/>
      <w:jc w:val="center"/>
    </w:pPr>
  </w:style>
  <w:style w:type="paragraph" w:customStyle="1" w:styleId="39">
    <w:name w:val="默认段落字体 Para Char"/>
    <w:basedOn w:val="1"/>
    <w:qFormat/>
    <w:uiPriority w:val="0"/>
    <w:pPr>
      <w:spacing w:line="240" w:lineRule="auto"/>
      <w:ind w:firstLine="0" w:firstLineChars="0"/>
      <w:jc w:val="both"/>
    </w:pPr>
  </w:style>
  <w:style w:type="paragraph" w:customStyle="1" w:styleId="40">
    <w:name w:val="标准"/>
    <w:basedOn w:val="1"/>
    <w:qFormat/>
    <w:uiPriority w:val="0"/>
    <w:pPr>
      <w:adjustRightInd w:val="0"/>
      <w:spacing w:line="480" w:lineRule="exact"/>
      <w:ind w:firstLine="0" w:firstLineChars="0"/>
      <w:jc w:val="both"/>
      <w:textAlignment w:val="baseline"/>
    </w:pPr>
    <w:rPr>
      <w:kern w:val="0"/>
      <w:sz w:val="28"/>
      <w:szCs w:val="20"/>
      <w:lang w:val="en-GB"/>
    </w:rPr>
  </w:style>
  <w:style w:type="paragraph" w:customStyle="1" w:styleId="41">
    <w:name w:val="表题"/>
    <w:basedOn w:val="1"/>
    <w:qFormat/>
    <w:uiPriority w:val="0"/>
    <w:pPr>
      <w:autoSpaceDE w:val="0"/>
      <w:autoSpaceDN w:val="0"/>
      <w:adjustRightInd w:val="0"/>
      <w:spacing w:line="480" w:lineRule="atLeast"/>
      <w:ind w:firstLine="0" w:firstLineChars="0"/>
      <w:jc w:val="center"/>
      <w:textAlignment w:val="baseline"/>
    </w:pPr>
    <w:rPr>
      <w:rFonts w:ascii="黑体" w:eastAsia="黑体"/>
      <w:kern w:val="16"/>
      <w:sz w:val="21"/>
      <w:szCs w:val="20"/>
    </w:rPr>
  </w:style>
  <w:style w:type="paragraph" w:customStyle="1" w:styleId="42">
    <w:name w:val="Char"/>
    <w:basedOn w:val="1"/>
    <w:qFormat/>
    <w:uiPriority w:val="0"/>
    <w:pPr>
      <w:spacing w:line="240" w:lineRule="auto"/>
      <w:ind w:firstLine="0" w:firstLineChars="0"/>
      <w:jc w:val="both"/>
    </w:pPr>
    <w:rPr>
      <w:sz w:val="21"/>
    </w:rPr>
  </w:style>
  <w:style w:type="paragraph" w:customStyle="1" w:styleId="43">
    <w:name w:val="默认段落字体 Para Char Char Char Char"/>
    <w:basedOn w:val="1"/>
    <w:qFormat/>
    <w:uiPriority w:val="0"/>
    <w:pPr>
      <w:spacing w:line="240" w:lineRule="auto"/>
      <w:ind w:firstLine="0" w:firstLineChars="0"/>
      <w:jc w:val="both"/>
    </w:pPr>
    <w:rPr>
      <w:sz w:val="21"/>
    </w:rPr>
  </w:style>
  <w:style w:type="character" w:customStyle="1" w:styleId="44">
    <w:name w:val="纯文本 Char"/>
    <w:link w:val="13"/>
    <w:qFormat/>
    <w:uiPriority w:val="0"/>
    <w:rPr>
      <w:rFonts w:ascii="宋体" w:hAnsi="Courier New" w:eastAsia="宋体" w:cs="Courier New"/>
      <w:kern w:val="2"/>
      <w:sz w:val="21"/>
      <w:szCs w:val="21"/>
      <w:lang w:val="en-US" w:eastAsia="zh-CN" w:bidi="ar-SA"/>
    </w:rPr>
  </w:style>
  <w:style w:type="character" w:customStyle="1" w:styleId="45">
    <w:name w:val="unnamed1"/>
    <w:basedOn w:val="27"/>
    <w:qFormat/>
    <w:uiPriority w:val="0"/>
  </w:style>
  <w:style w:type="character" w:customStyle="1" w:styleId="46">
    <w:name w:val="divtxt1"/>
    <w:qFormat/>
    <w:uiPriority w:val="0"/>
    <w:rPr>
      <w:color w:val="000000"/>
      <w:spacing w:val="15"/>
    </w:rPr>
  </w:style>
  <w:style w:type="paragraph" w:customStyle="1" w:styleId="47">
    <w:name w:val="表格文字"/>
    <w:basedOn w:val="1"/>
    <w:next w:val="1"/>
    <w:qFormat/>
    <w:uiPriority w:val="0"/>
    <w:pPr>
      <w:autoSpaceDE w:val="0"/>
      <w:autoSpaceDN w:val="0"/>
      <w:adjustRightInd w:val="0"/>
      <w:spacing w:before="60" w:after="60" w:line="240" w:lineRule="auto"/>
      <w:ind w:firstLine="0" w:firstLineChars="0"/>
      <w:textAlignment w:val="bottom"/>
    </w:pPr>
    <w:rPr>
      <w:kern w:val="0"/>
      <w:sz w:val="21"/>
      <w:szCs w:val="20"/>
    </w:rPr>
  </w:style>
  <w:style w:type="paragraph" w:customStyle="1" w:styleId="48">
    <w:name w:val="8--"/>
    <w:basedOn w:val="1"/>
    <w:qFormat/>
    <w:uiPriority w:val="0"/>
    <w:pPr>
      <w:adjustRightInd w:val="0"/>
      <w:spacing w:line="360" w:lineRule="atLeast"/>
      <w:ind w:firstLine="0" w:firstLineChars="0"/>
      <w:textAlignment w:val="baseline"/>
    </w:pPr>
    <w:rPr>
      <w:kern w:val="0"/>
      <w:szCs w:val="20"/>
    </w:rPr>
  </w:style>
  <w:style w:type="paragraph" w:customStyle="1" w:styleId="49">
    <w:name w:val="Char Char Char Char"/>
    <w:basedOn w:val="1"/>
    <w:qFormat/>
    <w:uiPriority w:val="0"/>
    <w:pPr>
      <w:spacing w:line="240" w:lineRule="auto"/>
      <w:ind w:firstLine="0" w:firstLineChars="0"/>
      <w:jc w:val="both"/>
    </w:pPr>
    <w:rPr>
      <w:rFonts w:ascii="Tahoma" w:hAnsi="Tahoma"/>
    </w:rPr>
  </w:style>
  <w:style w:type="paragraph" w:customStyle="1" w:styleId="50">
    <w:name w:val="Char1"/>
    <w:basedOn w:val="1"/>
    <w:semiHidden/>
    <w:qFormat/>
    <w:uiPriority w:val="0"/>
    <w:pPr>
      <w:spacing w:line="240" w:lineRule="auto"/>
      <w:ind w:left="510" w:firstLine="0" w:firstLineChars="0"/>
      <w:jc w:val="both"/>
    </w:pPr>
    <w:rPr>
      <w:sz w:val="21"/>
      <w:szCs w:val="21"/>
    </w:rPr>
  </w:style>
  <w:style w:type="paragraph" w:customStyle="1" w:styleId="51">
    <w:name w:val="zhang正文"/>
    <w:basedOn w:val="3"/>
    <w:qFormat/>
    <w:uiPriority w:val="0"/>
    <w:pPr>
      <w:autoSpaceDE w:val="0"/>
      <w:autoSpaceDN w:val="0"/>
      <w:snapToGrid w:val="0"/>
      <w:spacing w:line="500" w:lineRule="exact"/>
      <w:ind w:firstLine="539"/>
      <w:textAlignment w:val="baseline"/>
    </w:pPr>
    <w:rPr>
      <w:rFonts w:eastAsia="楷体_GB2312"/>
      <w:kern w:val="0"/>
      <w:sz w:val="28"/>
      <w:szCs w:val="20"/>
    </w:rPr>
  </w:style>
  <w:style w:type="character" w:customStyle="1" w:styleId="52">
    <w:name w:val="unnamed21"/>
    <w:qFormat/>
    <w:uiPriority w:val="0"/>
    <w:rPr>
      <w:rFonts w:hint="eastAsia" w:ascii="楷体_GB2312" w:eastAsia="楷体_GB2312"/>
      <w:color w:val="336666"/>
      <w:sz w:val="24"/>
      <w:szCs w:val="24"/>
    </w:rPr>
  </w:style>
  <w:style w:type="paragraph" w:customStyle="1" w:styleId="53">
    <w:name w:val="p0"/>
    <w:basedOn w:val="1"/>
    <w:qFormat/>
    <w:uiPriority w:val="0"/>
    <w:pPr>
      <w:widowControl/>
      <w:spacing w:line="240" w:lineRule="auto"/>
      <w:ind w:firstLine="0" w:firstLineChars="0"/>
      <w:jc w:val="both"/>
    </w:pPr>
    <w:rPr>
      <w:kern w:val="0"/>
      <w:sz w:val="21"/>
      <w:szCs w:val="20"/>
    </w:rPr>
  </w:style>
  <w:style w:type="character" w:customStyle="1" w:styleId="54">
    <w:name w:val="postbody1"/>
    <w:qFormat/>
    <w:uiPriority w:val="0"/>
    <w:rPr>
      <w:sz w:val="21"/>
      <w:szCs w:val="21"/>
    </w:rPr>
  </w:style>
  <w:style w:type="character" w:customStyle="1" w:styleId="55">
    <w:name w:val="页脚 Char"/>
    <w:link w:val="17"/>
    <w:qFormat/>
    <w:uiPriority w:val="99"/>
    <w:rPr>
      <w:kern w:val="2"/>
      <w:sz w:val="18"/>
      <w:szCs w:val="18"/>
    </w:rPr>
  </w:style>
  <w:style w:type="character" w:customStyle="1" w:styleId="56">
    <w:name w:val="副标题 Char"/>
    <w:basedOn w:val="27"/>
    <w:qFormat/>
    <w:uiPriority w:val="0"/>
    <w:rPr>
      <w:rFonts w:asciiTheme="majorHAnsi" w:hAnsiTheme="majorHAnsi" w:cstheme="majorBidi"/>
      <w:b/>
      <w:bCs/>
      <w:kern w:val="28"/>
      <w:sz w:val="32"/>
      <w:szCs w:val="32"/>
    </w:rPr>
  </w:style>
  <w:style w:type="character" w:customStyle="1" w:styleId="57">
    <w:name w:val="副标题 Char1"/>
    <w:link w:val="19"/>
    <w:qFormat/>
    <w:uiPriority w:val="0"/>
    <w:rPr>
      <w:b/>
      <w:bCs/>
      <w:kern w:val="28"/>
      <w:sz w:val="24"/>
      <w:szCs w:val="32"/>
    </w:rPr>
  </w:style>
  <w:style w:type="paragraph" w:customStyle="1" w:styleId="58">
    <w:name w:val="CEE正文"/>
    <w:basedOn w:val="1"/>
    <w:link w:val="59"/>
    <w:qFormat/>
    <w:uiPriority w:val="0"/>
    <w:rPr>
      <w:kern w:val="0"/>
    </w:rPr>
  </w:style>
  <w:style w:type="character" w:customStyle="1" w:styleId="59">
    <w:name w:val="CEE正文 Char"/>
    <w:link w:val="58"/>
    <w:qFormat/>
    <w:uiPriority w:val="0"/>
    <w:rPr>
      <w:sz w:val="24"/>
      <w:szCs w:val="24"/>
    </w:rPr>
  </w:style>
  <w:style w:type="paragraph" w:customStyle="1" w:styleId="60">
    <w:name w:val="正文文本 (2)1"/>
    <w:basedOn w:val="1"/>
    <w:qFormat/>
    <w:uiPriority w:val="0"/>
    <w:pPr>
      <w:shd w:val="clear" w:color="auto" w:fill="FFFFFF"/>
      <w:spacing w:line="466" w:lineRule="exact"/>
      <w:ind w:hanging="940" w:firstLineChars="0"/>
      <w:jc w:val="distribute"/>
    </w:pPr>
    <w:rPr>
      <w:rFonts w:ascii="MingLiU" w:hAnsi="MingLiU" w:eastAsia="MingLiU" w:cs="MingLiU"/>
      <w:sz w:val="22"/>
      <w:szCs w:val="22"/>
      <w:lang w:val="en-GB" w:eastAsia="zh-TW"/>
    </w:rPr>
  </w:style>
  <w:style w:type="paragraph" w:styleId="61">
    <w:name w:val="List Paragraph"/>
    <w:basedOn w:val="1"/>
    <w:qFormat/>
    <w:uiPriority w:val="34"/>
    <w:pPr>
      <w:ind w:firstLine="420"/>
    </w:pPr>
  </w:style>
  <w:style w:type="character" w:customStyle="1" w:styleId="62">
    <w:name w:val="TT正文 Char"/>
    <w:link w:val="63"/>
    <w:qFormat/>
    <w:uiPriority w:val="0"/>
    <w:rPr>
      <w:kern w:val="2"/>
      <w:sz w:val="24"/>
      <w:szCs w:val="24"/>
    </w:rPr>
  </w:style>
  <w:style w:type="paragraph" w:customStyle="1" w:styleId="63">
    <w:name w:val="TT正文"/>
    <w:basedOn w:val="1"/>
    <w:link w:val="62"/>
    <w:qFormat/>
    <w:uiPriority w:val="0"/>
    <w:pPr>
      <w:jc w:val="both"/>
    </w:pPr>
  </w:style>
  <w:style w:type="paragraph" w:customStyle="1" w:styleId="64">
    <w:name w:val="Table Paragraph"/>
    <w:basedOn w:val="1"/>
    <w:qFormat/>
    <w:uiPriority w:val="1"/>
    <w:pPr>
      <w:spacing w:line="240" w:lineRule="auto"/>
      <w:ind w:firstLine="0" w:firstLineChars="0"/>
    </w:pPr>
    <w:rPr>
      <w:rFonts w:asciiTheme="minorHAnsi" w:hAnsiTheme="minorHAnsi" w:eastAsiaTheme="minorEastAsia" w:cstheme="minorBidi"/>
      <w:kern w:val="0"/>
      <w:sz w:val="22"/>
      <w:szCs w:val="22"/>
      <w:lang w:eastAsia="en-US"/>
    </w:rPr>
  </w:style>
  <w:style w:type="character" w:customStyle="1" w:styleId="65">
    <w:name w:val="正文文本 Char"/>
    <w:basedOn w:val="27"/>
    <w:link w:val="11"/>
    <w:qFormat/>
    <w:uiPriority w:val="0"/>
    <w:rPr>
      <w:kern w:val="2"/>
      <w:sz w:val="24"/>
      <w:szCs w:val="24"/>
    </w:rPr>
  </w:style>
  <w:style w:type="character" w:customStyle="1" w:styleId="66">
    <w:name w:val="正文首行缩进 Char"/>
    <w:basedOn w:val="65"/>
    <w:link w:val="24"/>
    <w:qFormat/>
    <w:uiPriority w:val="0"/>
    <w:rPr>
      <w:kern w:val="2"/>
      <w:sz w:val="24"/>
      <w:szCs w:val="24"/>
    </w:rPr>
  </w:style>
  <w:style w:type="character" w:customStyle="1" w:styleId="67">
    <w:name w:val="正文文本缩进 Char"/>
    <w:basedOn w:val="27"/>
    <w:link w:val="3"/>
    <w:qFormat/>
    <w:uiPriority w:val="0"/>
    <w:rPr>
      <w:kern w:val="2"/>
      <w:sz w:val="24"/>
      <w:szCs w:val="24"/>
    </w:rPr>
  </w:style>
  <w:style w:type="character" w:customStyle="1" w:styleId="68">
    <w:name w:val="正文首行缩进 2 Char"/>
    <w:basedOn w:val="67"/>
    <w:link w:val="2"/>
    <w:qFormat/>
    <w:uiPriority w:val="0"/>
    <w:rPr>
      <w:kern w:val="2"/>
      <w:sz w:val="24"/>
      <w:szCs w:val="24"/>
    </w:rPr>
  </w:style>
  <w:style w:type="paragraph" w:customStyle="1" w:styleId="69">
    <w:name w:val="Char Char Char1 Char Char Char Char Char Char Char Char Char Char Char Char Char Char Char Char"/>
    <w:basedOn w:val="1"/>
    <w:qFormat/>
    <w:uiPriority w:val="0"/>
    <w:pPr>
      <w:adjustRightInd w:val="0"/>
      <w:spacing w:line="360" w:lineRule="atLeast"/>
      <w:ind w:firstLine="0" w:firstLineChars="0"/>
      <w:textAlignment w:val="baseline"/>
    </w:pPr>
    <w:rPr>
      <w:sz w:val="21"/>
      <w:szCs w:val="20"/>
    </w:rPr>
  </w:style>
  <w:style w:type="paragraph" w:customStyle="1" w:styleId="70">
    <w:name w:val="样式 首行缩进:  1 厘米 行距: 固定值 25 磅"/>
    <w:basedOn w:val="1"/>
    <w:qFormat/>
    <w:uiPriority w:val="0"/>
    <w:pPr>
      <w:adjustRightInd w:val="0"/>
      <w:textAlignment w:val="baseline"/>
    </w:pPr>
    <w:rPr>
      <w:rFonts w:ascii="宋体" w:cs="宋体"/>
      <w:snapToGrid w:val="0"/>
      <w:kern w:val="24"/>
    </w:rPr>
  </w:style>
  <w:style w:type="paragraph" w:customStyle="1" w:styleId="71">
    <w:name w:val="表头1"/>
    <w:basedOn w:val="1"/>
    <w:qFormat/>
    <w:uiPriority w:val="0"/>
    <w:pPr>
      <w:adjustRightInd w:val="0"/>
      <w:snapToGrid w:val="0"/>
      <w:spacing w:line="240" w:lineRule="auto"/>
      <w:ind w:firstLine="0" w:firstLineChars="0"/>
      <w:jc w:val="center"/>
    </w:pPr>
    <w:rPr>
      <w:b/>
      <w:bCs/>
      <w:kern w:val="24"/>
    </w:rPr>
  </w:style>
  <w:style w:type="paragraph" w:customStyle="1" w:styleId="72">
    <w:name w:val="Char Char Char1 Char Char Char Char Char Char Char Char Char Char Char Char Char Char Char Char1"/>
    <w:basedOn w:val="1"/>
    <w:qFormat/>
    <w:uiPriority w:val="0"/>
    <w:pPr>
      <w:adjustRightInd w:val="0"/>
      <w:spacing w:line="360" w:lineRule="atLeast"/>
      <w:ind w:firstLine="0" w:firstLineChars="0"/>
      <w:textAlignment w:val="baseline"/>
    </w:pPr>
    <w:rPr>
      <w:sz w:val="21"/>
      <w:szCs w:val="20"/>
    </w:rPr>
  </w:style>
  <w:style w:type="paragraph" w:customStyle="1" w:styleId="73">
    <w:name w:val="D表0"/>
    <w:basedOn w:val="1"/>
    <w:qFormat/>
    <w:uiPriority w:val="0"/>
    <w:pPr>
      <w:spacing w:line="240" w:lineRule="auto"/>
      <w:ind w:firstLine="0" w:firstLineChars="0"/>
      <w:jc w:val="center"/>
    </w:pPr>
    <w:rPr>
      <w:rFonts w:hint="eastAsia"/>
      <w:sz w:val="21"/>
      <w:szCs w:val="21"/>
    </w:rPr>
  </w:style>
  <w:style w:type="character" w:customStyle="1" w:styleId="74">
    <w:name w:val="表文字 Char"/>
    <w:basedOn w:val="27"/>
    <w:link w:val="75"/>
    <w:qFormat/>
    <w:uiPriority w:val="0"/>
    <w:rPr>
      <w:sz w:val="24"/>
    </w:rPr>
  </w:style>
  <w:style w:type="paragraph" w:customStyle="1" w:styleId="75">
    <w:name w:val="表文字"/>
    <w:basedOn w:val="1"/>
    <w:link w:val="74"/>
    <w:qFormat/>
    <w:uiPriority w:val="0"/>
    <w:pPr>
      <w:overflowPunct w:val="0"/>
      <w:autoSpaceDE w:val="0"/>
      <w:autoSpaceDN w:val="0"/>
      <w:adjustRightInd w:val="0"/>
      <w:spacing w:line="240" w:lineRule="atLeast"/>
      <w:ind w:firstLine="0" w:firstLineChars="0"/>
      <w:jc w:val="center"/>
      <w:textAlignment w:val="baseline"/>
    </w:pPr>
    <w:rPr>
      <w:kern w:val="0"/>
      <w:szCs w:val="20"/>
    </w:rPr>
  </w:style>
  <w:style w:type="paragraph" w:customStyle="1" w:styleId="76">
    <w:name w:val="Char Char1 Char Char Char Char Char Char Char"/>
    <w:basedOn w:val="1"/>
    <w:qFormat/>
    <w:uiPriority w:val="0"/>
    <w:pPr>
      <w:spacing w:line="240" w:lineRule="auto"/>
      <w:ind w:firstLine="0" w:firstLineChars="0"/>
      <w:jc w:val="both"/>
    </w:pPr>
    <w:rPr>
      <w:rFonts w:ascii="Calibri" w:hAnsi="Calibri"/>
      <w:sz w:val="21"/>
      <w:szCs w:val="22"/>
    </w:rPr>
  </w:style>
  <w:style w:type="character" w:customStyle="1" w:styleId="77">
    <w:name w:val="正文(首行缩进) Char"/>
    <w:link w:val="78"/>
    <w:qFormat/>
    <w:uiPriority w:val="0"/>
    <w:rPr>
      <w:rFonts w:ascii="宋体" w:hAnsi="宋体"/>
      <w:sz w:val="24"/>
    </w:rPr>
  </w:style>
  <w:style w:type="paragraph" w:customStyle="1" w:styleId="78">
    <w:name w:val="正文(首行缩进)"/>
    <w:basedOn w:val="1"/>
    <w:link w:val="77"/>
    <w:qFormat/>
    <w:uiPriority w:val="0"/>
    <w:pPr>
      <w:ind w:firstLine="510"/>
      <w:jc w:val="both"/>
    </w:pPr>
    <w:rPr>
      <w:rFonts w:ascii="宋体" w:hAnsi="宋体"/>
      <w:kern w:val="0"/>
      <w:szCs w:val="20"/>
    </w:rPr>
  </w:style>
  <w:style w:type="paragraph" w:customStyle="1" w:styleId="79">
    <w:name w:val="zl正文"/>
    <w:basedOn w:val="1"/>
    <w:qFormat/>
    <w:uiPriority w:val="0"/>
    <w:pPr>
      <w:ind w:firstLine="480"/>
      <w:jc w:val="both"/>
    </w:pPr>
  </w:style>
  <w:style w:type="paragraph" w:customStyle="1" w:styleId="80">
    <w:name w:val="Char Char Char Char1"/>
    <w:basedOn w:val="1"/>
    <w:qFormat/>
    <w:uiPriority w:val="0"/>
    <w:pPr>
      <w:spacing w:line="240" w:lineRule="auto"/>
      <w:ind w:firstLine="0" w:firstLineChars="0"/>
      <w:jc w:val="both"/>
    </w:pPr>
    <w:rPr>
      <w:sz w:val="21"/>
    </w:rPr>
  </w:style>
  <w:style w:type="character" w:customStyle="1" w:styleId="81">
    <w:name w:val="标题 1 Char"/>
    <w:link w:val="4"/>
    <w:qFormat/>
    <w:uiPriority w:val="0"/>
    <w:rPr>
      <w:rFonts w:ascii="Times New Roman" w:hAnsi="Times New Roman" w:eastAsia="宋体"/>
      <w:b/>
      <w:bCs/>
      <w:kern w:val="44"/>
      <w:sz w:val="32"/>
      <w:szCs w:val="44"/>
    </w:rPr>
  </w:style>
  <w:style w:type="character" w:customStyle="1" w:styleId="82">
    <w:name w:val="fontstyle01"/>
    <w:basedOn w:val="27"/>
    <w:qFormat/>
    <w:uiPriority w:val="0"/>
    <w:rPr>
      <w:rFonts w:ascii="宋体" w:hAnsi="宋体" w:eastAsia="宋体" w:cs="宋体"/>
      <w:color w:val="000000"/>
      <w:sz w:val="24"/>
      <w:szCs w:val="24"/>
    </w:rPr>
  </w:style>
  <w:style w:type="character" w:customStyle="1" w:styleId="83">
    <w:name w:val="fontstyle21"/>
    <w:basedOn w:val="27"/>
    <w:qFormat/>
    <w:uiPriority w:val="0"/>
    <w:rPr>
      <w:rFonts w:ascii="TimesNewRomanPSMT" w:hAnsi="TimesNewRomanPSMT" w:eastAsia="TimesNewRomanPSMT" w:cs="TimesNewRomanPSMT"/>
      <w:color w:val="000000"/>
      <w:sz w:val="24"/>
      <w:szCs w:val="24"/>
    </w:rPr>
  </w:style>
  <w:style w:type="paragraph" w:customStyle="1" w:styleId="84">
    <w:name w:val="报告书正文"/>
    <w:basedOn w:val="1"/>
    <w:qFormat/>
    <w:uiPriority w:val="0"/>
    <w:pPr>
      <w:spacing w:line="300" w:lineRule="auto"/>
    </w:pPr>
    <w:rPr>
      <w:szCs w:val="20"/>
    </w:rPr>
  </w:style>
  <w:style w:type="paragraph" w:customStyle="1" w:styleId="85">
    <w:name w:val="表 内容"/>
    <w:basedOn w:val="1"/>
    <w:qFormat/>
    <w:uiPriority w:val="0"/>
    <w:pPr>
      <w:jc w:val="center"/>
    </w:pPr>
    <w:rPr>
      <w:rFonts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emf"/><Relationship Id="rId6" Type="http://schemas.openxmlformats.org/officeDocument/2006/relationships/footer" Target="footer1.xml"/><Relationship Id="rId59" Type="http://schemas.openxmlformats.org/officeDocument/2006/relationships/oleObject" Target="embeddings/oleObject3.bin"/><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jpeg"/><Relationship Id="rId55" Type="http://schemas.openxmlformats.org/officeDocument/2006/relationships/image" Target="media/image43.pn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jpeg"/><Relationship Id="rId5" Type="http://schemas.openxmlformats.org/officeDocument/2006/relationships/header" Target="head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2.bin"/><Relationship Id="rId27" Type="http://schemas.openxmlformats.org/officeDocument/2006/relationships/image" Target="media/image16.jpeg"/><Relationship Id="rId26" Type="http://schemas.openxmlformats.org/officeDocument/2006/relationships/image" Target="media/image15.wmf"/><Relationship Id="rId25" Type="http://schemas.openxmlformats.org/officeDocument/2006/relationships/oleObject" Target="embeddings/oleObject1.bin"/><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Info spid="_x0000_s1047"/>
    <customShpInfo spid="_x0000_s1046"/>
    <customShpInfo spid="_x0000_s1045"/>
    <customShpInfo spid="_x0000_s1044"/>
    <customShpInfo spid="_x0000_s1043"/>
    <customShpInfo spid="_x0000_s1042"/>
    <customShpInfo spid="_x0000_s1027"/>
    <customShpInfo spid="_x0000_s1041"/>
    <customShpInfo spid="_x0000_s1028"/>
    <customShpInfo spid="_x0000_s1040"/>
    <customShpInfo spid="_x0000_s1029"/>
    <customShpInfo spid="_x0000_s1030"/>
    <customShpInfo spid="_x0000_s1039"/>
    <customShpInfo spid="_x0000_s1038"/>
    <customShpInfo spid="_x0000_s1037"/>
    <customShpInfo spid="_x0000_s1036"/>
    <customShpInfo spid="_x0000_s1031"/>
    <customShpInfo spid="_x0000_s1032"/>
    <customShpInfo spid="_x0000_s1035"/>
    <customShpInfo spid="_x0000_s1033"/>
    <customShpInfo spid="_x0000_s1080"/>
    <customShpInfo spid="_x0000_s1081"/>
    <customShpInfo spid="_x0000_s1083"/>
    <customShpInfo spid="_x0000_s1099"/>
    <customShpInfo spid="_x0000_s1100"/>
    <customShpInfo spid="_x0000_s1098"/>
    <customShpInfo spid="_x0000_s1097"/>
    <customShpInfo spid="_x0000_s1096"/>
    <customShpInfo spid="_x0000_s1095"/>
    <customShpInfo spid="_x0000_s1119"/>
    <customShpInfo spid="_x0000_s1118"/>
    <customShpInfo spid="_x0000_s1116"/>
    <customShpInfo spid="_x0000_s1110"/>
    <customShpInfo spid="_x0000_s1117"/>
    <customShpInfo spid="_x0000_s1111"/>
    <customShpInfo spid="_x0000_s1115"/>
    <customShpInfo spid="_x0000_s1105"/>
    <customShpInfo spid="_x0000_s1114"/>
    <customShpInfo spid="_x0000_s1113"/>
    <customShpInfo spid="_x0000_s1112"/>
    <customShpInfo spid="_x0000_s1109"/>
    <customShpInfo spid="_x0000_s1108"/>
    <customShpInfo spid="_x0000_s1104"/>
    <customShpInfo spid="_x0000_s1107"/>
    <customShpInfo spid="_x0000_s1103"/>
    <customShpInfo spid="_x0000_s1102"/>
    <customShpInfo spid="_x0000_s1101"/>
    <customShpInfo spid="_x0000_s1085"/>
    <customShpInfo spid="_x0000_s1084"/>
    <customShpInfo spid="_x0000_s1088"/>
    <customShpInfo spid="_x0000_s1087"/>
    <customShpInfo spid="_x0000_s1086"/>
    <customShpInfo spid="_x0000_s1090"/>
    <customShpInfo spid="_x0000_s1089"/>
    <customShpInfo spid="_x0000_s1092"/>
    <customShpInfo spid="_x0000_s1091"/>
    <customShpInfo spid="_x0000_s1121"/>
    <customShpInfo spid="_x0000_s1120"/>
    <customShpInfo spid="_x0000_s1122"/>
    <customShpInfo spid="_x0000_s112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D085C8-321A-4316-A45F-8C8B32550AEE}">
  <ds:schemaRefs/>
</ds:datastoreItem>
</file>

<file path=docProps/app.xml><?xml version="1.0" encoding="utf-8"?>
<Properties xmlns="http://schemas.openxmlformats.org/officeDocument/2006/extended-properties" xmlns:vt="http://schemas.openxmlformats.org/officeDocument/2006/docPropsVTypes">
  <Template>Normal</Template>
  <Company>***</Company>
  <Pages>95</Pages>
  <Words>8253</Words>
  <Characters>47043</Characters>
  <Lines>392</Lines>
  <Paragraphs>110</Paragraphs>
  <TotalTime>26</TotalTime>
  <ScaleCrop>false</ScaleCrop>
  <LinksUpToDate>false</LinksUpToDate>
  <CharactersWithSpaces>55186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2019-07-23T06:14:00Z</dcterms:created>
  <dc:creator>*</dc:creator>
  <cp:lastModifiedBy>巧</cp:lastModifiedBy>
  <cp:lastPrinted>2012-04-19T07:53:00Z</cp:lastPrinted>
  <dcterms:modified xsi:type="dcterms:W3CDTF">2020-09-28T06:17:14Z</dcterms:modified>
  <dc:title>建设项目环境影响报告表</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