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9E" w:rsidRPr="004D14B6" w:rsidRDefault="00E67A9E" w:rsidP="00E67A9E">
      <w:pPr>
        <w:spacing w:line="520" w:lineRule="exact"/>
        <w:rPr>
          <w:rFonts w:ascii="宋体" w:hAnsi="宋体" w:hint="eastAsia"/>
          <w:sz w:val="28"/>
          <w:szCs w:val="28"/>
        </w:rPr>
      </w:pPr>
    </w:p>
    <w:p w:rsidR="00E67A9E" w:rsidRPr="004D14B6" w:rsidRDefault="00E67A9E" w:rsidP="00E67A9E">
      <w:pPr>
        <w:spacing w:line="520" w:lineRule="exact"/>
        <w:rPr>
          <w:rFonts w:ascii="宋体" w:hAnsi="宋体"/>
          <w:sz w:val="28"/>
          <w:szCs w:val="28"/>
        </w:rPr>
      </w:pPr>
    </w:p>
    <w:p w:rsidR="002E6D02" w:rsidRDefault="002E6D02" w:rsidP="002E6D02">
      <w:pPr>
        <w:spacing w:line="440" w:lineRule="atLeast"/>
        <w:rPr>
          <w:rFonts w:ascii="宋体" w:hAnsi="宋体" w:hint="eastAsia"/>
          <w:sz w:val="28"/>
          <w:szCs w:val="28"/>
        </w:rPr>
      </w:pPr>
    </w:p>
    <w:p w:rsidR="00E67A9E" w:rsidRPr="002E6D02" w:rsidRDefault="00E67A9E" w:rsidP="002E6D02">
      <w:pPr>
        <w:spacing w:line="440" w:lineRule="atLeast"/>
        <w:ind w:firstLineChars="1500" w:firstLine="4800"/>
        <w:rPr>
          <w:rFonts w:asciiTheme="minorEastAsia" w:eastAsiaTheme="minorEastAsia" w:hAnsiTheme="minorEastAsia"/>
          <w:sz w:val="32"/>
          <w:szCs w:val="32"/>
        </w:rPr>
      </w:pPr>
      <w:r w:rsidRPr="002E6D02">
        <w:rPr>
          <w:rFonts w:asciiTheme="minorEastAsia" w:eastAsiaTheme="minorEastAsia" w:hAnsiTheme="minorEastAsia" w:hint="eastAsia"/>
          <w:sz w:val="32"/>
          <w:szCs w:val="32"/>
        </w:rPr>
        <w:t>益环审(表</w:t>
      </w:r>
      <w:r w:rsidR="00900CEF" w:rsidRPr="002E6D02">
        <w:rPr>
          <w:rFonts w:asciiTheme="minorEastAsia" w:eastAsiaTheme="minorEastAsia" w:hAnsiTheme="minorEastAsia" w:hint="eastAsia"/>
          <w:sz w:val="32"/>
          <w:szCs w:val="32"/>
        </w:rPr>
        <w:t>)[2020</w:t>
      </w:r>
      <w:r w:rsidRPr="002E6D02">
        <w:rPr>
          <w:rFonts w:asciiTheme="minorEastAsia" w:eastAsiaTheme="minorEastAsia" w:hAnsiTheme="minorEastAsia" w:hint="eastAsia"/>
          <w:sz w:val="32"/>
          <w:szCs w:val="32"/>
        </w:rPr>
        <w:t>]</w:t>
      </w:r>
      <w:r w:rsidR="00C648B5" w:rsidRPr="002E6D02">
        <w:rPr>
          <w:rFonts w:asciiTheme="minorEastAsia" w:eastAsiaTheme="minorEastAsia" w:hAnsiTheme="minorEastAsia" w:hint="eastAsia"/>
          <w:sz w:val="32"/>
          <w:szCs w:val="32"/>
        </w:rPr>
        <w:t>9</w:t>
      </w:r>
      <w:r w:rsidRPr="002E6D02">
        <w:rPr>
          <w:rFonts w:asciiTheme="minorEastAsia" w:eastAsiaTheme="minorEastAsia" w:hAnsiTheme="minorEastAsia" w:hint="eastAsia"/>
          <w:sz w:val="32"/>
          <w:szCs w:val="32"/>
        </w:rPr>
        <w:t>号</w:t>
      </w:r>
    </w:p>
    <w:p w:rsidR="002E6D02" w:rsidRDefault="00E67A9E" w:rsidP="002E6D02">
      <w:pPr>
        <w:spacing w:after="0" w:line="520" w:lineRule="exact"/>
        <w:jc w:val="center"/>
        <w:rPr>
          <w:rFonts w:asciiTheme="majorEastAsia" w:eastAsiaTheme="majorEastAsia" w:hAnsiTheme="majorEastAsia" w:hint="eastAsia"/>
          <w:b/>
          <w:bCs/>
          <w:sz w:val="44"/>
          <w:szCs w:val="44"/>
        </w:rPr>
      </w:pPr>
      <w:r w:rsidRPr="002E6D02">
        <w:rPr>
          <w:rFonts w:asciiTheme="majorEastAsia" w:eastAsiaTheme="majorEastAsia" w:hAnsiTheme="majorEastAsia"/>
          <w:b/>
          <w:bCs/>
          <w:sz w:val="44"/>
          <w:szCs w:val="44"/>
        </w:rPr>
        <w:t>关于《</w:t>
      </w:r>
      <w:r w:rsidRPr="002E6D02">
        <w:rPr>
          <w:rFonts w:asciiTheme="majorEastAsia" w:eastAsiaTheme="majorEastAsia" w:hAnsiTheme="majorEastAsia" w:hint="eastAsia"/>
          <w:b/>
          <w:bCs/>
          <w:sz w:val="44"/>
          <w:szCs w:val="44"/>
        </w:rPr>
        <w:t>桃江县新鑫石料有限公司</w:t>
      </w:r>
    </w:p>
    <w:p w:rsidR="002E6D02" w:rsidRDefault="00E67A9E" w:rsidP="002E6D02">
      <w:pPr>
        <w:spacing w:after="0" w:line="520" w:lineRule="exact"/>
        <w:jc w:val="center"/>
        <w:rPr>
          <w:rFonts w:asciiTheme="majorEastAsia" w:eastAsiaTheme="majorEastAsia" w:hAnsiTheme="majorEastAsia" w:hint="eastAsia"/>
          <w:b/>
          <w:bCs/>
          <w:sz w:val="44"/>
          <w:szCs w:val="44"/>
        </w:rPr>
      </w:pPr>
      <w:r w:rsidRPr="002E6D02">
        <w:rPr>
          <w:rFonts w:asciiTheme="majorEastAsia" w:eastAsiaTheme="majorEastAsia" w:hAnsiTheme="majorEastAsia" w:hint="eastAsia"/>
          <w:b/>
          <w:bCs/>
          <w:sz w:val="44"/>
          <w:szCs w:val="44"/>
        </w:rPr>
        <w:t>年开采及加工80万吨石料改扩建项目</w:t>
      </w:r>
    </w:p>
    <w:p w:rsidR="00E67A9E" w:rsidRPr="002E6D02" w:rsidRDefault="00E67A9E" w:rsidP="002E6D02">
      <w:pPr>
        <w:spacing w:after="0" w:line="520" w:lineRule="exact"/>
        <w:jc w:val="center"/>
        <w:rPr>
          <w:rFonts w:asciiTheme="majorEastAsia" w:eastAsiaTheme="majorEastAsia" w:hAnsiTheme="majorEastAsia"/>
          <w:b/>
          <w:bCs/>
          <w:sz w:val="44"/>
          <w:szCs w:val="44"/>
        </w:rPr>
      </w:pPr>
      <w:r w:rsidRPr="002E6D02">
        <w:rPr>
          <w:rFonts w:asciiTheme="majorEastAsia" w:eastAsiaTheme="majorEastAsia" w:hAnsiTheme="majorEastAsia"/>
          <w:b/>
          <w:bCs/>
          <w:sz w:val="44"/>
          <w:szCs w:val="44"/>
        </w:rPr>
        <w:t>环境影响报告表》的批复</w:t>
      </w:r>
    </w:p>
    <w:p w:rsidR="00E67A9E" w:rsidRPr="002E6D02" w:rsidRDefault="00E67A9E" w:rsidP="00933F83">
      <w:pPr>
        <w:spacing w:after="0" w:line="560" w:lineRule="exact"/>
        <w:jc w:val="both"/>
        <w:rPr>
          <w:rFonts w:ascii="仿宋" w:eastAsia="仿宋" w:hAnsi="仿宋"/>
          <w:sz w:val="32"/>
          <w:szCs w:val="32"/>
        </w:rPr>
      </w:pPr>
      <w:r w:rsidRPr="002E6D02">
        <w:rPr>
          <w:rFonts w:ascii="仿宋" w:eastAsia="仿宋" w:hAnsi="仿宋" w:hint="eastAsia"/>
          <w:sz w:val="32"/>
          <w:szCs w:val="32"/>
        </w:rPr>
        <w:t>桃江县新鑫石料有限公司：</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你公司呈报的《关于请求对</w:t>
      </w:r>
      <w:r w:rsidRPr="002E6D02">
        <w:rPr>
          <w:rFonts w:ascii="仿宋" w:eastAsia="仿宋" w:hAnsi="仿宋"/>
          <w:sz w:val="32"/>
          <w:szCs w:val="32"/>
        </w:rPr>
        <w:t>&lt;</w:t>
      </w:r>
      <w:r w:rsidRPr="002E6D02">
        <w:rPr>
          <w:rFonts w:ascii="仿宋" w:eastAsia="仿宋" w:hAnsi="仿宋" w:hint="eastAsia"/>
          <w:sz w:val="32"/>
          <w:szCs w:val="32"/>
        </w:rPr>
        <w:t>桃江县新鑫石料有限公司年开采及加工80万吨石料改扩建项目环境影响报告表</w:t>
      </w:r>
      <w:r w:rsidRPr="002E6D02">
        <w:rPr>
          <w:rFonts w:ascii="仿宋" w:eastAsia="仿宋" w:hAnsi="仿宋"/>
          <w:sz w:val="32"/>
          <w:szCs w:val="32"/>
        </w:rPr>
        <w:t>&gt;</w:t>
      </w:r>
      <w:r w:rsidRPr="002E6D02">
        <w:rPr>
          <w:rFonts w:ascii="仿宋" w:eastAsia="仿宋" w:hAnsi="仿宋" w:hint="eastAsia"/>
          <w:sz w:val="32"/>
          <w:szCs w:val="32"/>
        </w:rPr>
        <w:t>进行审批的报告》、益阳市生态环境局桃江分局的预审意见及有关材料已收悉，经审查、研究，批复如下：</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一、桃江县新鑫石料有限公司位于益阳市桃江县松木塘镇松木塘村，现有矿区面积为0.0793平方公里，开采标高：+362.60米至190.00米；现有生产规模为：年开采石灰岩40万吨，年产碎石40万吨。公司拟投资12000万元在现有矿区范围内增大石灰岩年开采量，建设年开采及加工80万吨石料改扩建项目。主要建设内容：扩建矿石转运工作面、生产车间、产品堆场、排土场、地磅室、生活办公区、配电房、临时运输道路等，新建污水处理设施。项目实施后，年开采石灰岩80万吨，年产各类碎石80万吨（含机制砂16万吨）。</w:t>
      </w:r>
      <w:r w:rsidRPr="002E6D02">
        <w:rPr>
          <w:rFonts w:ascii="仿宋" w:eastAsia="仿宋" w:hAnsi="仿宋" w:cs="宋体" w:hint="eastAsia"/>
          <w:sz w:val="32"/>
          <w:szCs w:val="32"/>
        </w:rPr>
        <w:t>项目符合国家产业政策，</w:t>
      </w:r>
      <w:r w:rsidRPr="002E6D02">
        <w:rPr>
          <w:rFonts w:ascii="仿宋" w:eastAsia="仿宋" w:hAnsi="仿宋" w:cs="宋体" w:hint="eastAsia"/>
          <w:spacing w:val="8"/>
          <w:sz w:val="32"/>
          <w:szCs w:val="32"/>
        </w:rPr>
        <w:t>选址基本合理。</w:t>
      </w:r>
      <w:r w:rsidRPr="002E6D02">
        <w:rPr>
          <w:rFonts w:ascii="仿宋" w:eastAsia="仿宋" w:hAnsi="仿宋" w:hint="eastAsia"/>
          <w:sz w:val="32"/>
          <w:szCs w:val="32"/>
        </w:rPr>
        <w:t>根据重庆丰达环境影响评价有限公司编制的环评报告表的分析结论和益阳市生态环境局桃江分局的预审意见，</w:t>
      </w:r>
      <w:r w:rsidRPr="002E6D02">
        <w:rPr>
          <w:rFonts w:ascii="仿宋" w:eastAsia="仿宋" w:hAnsi="仿宋" w:hint="eastAsia"/>
          <w:sz w:val="32"/>
          <w:szCs w:val="32"/>
        </w:rPr>
        <w:lastRenderedPageBreak/>
        <w:t>在建设单位认真落实环评报告表提出的污染防治和生态保护措施，确保污染物达标排放的前提下，从环境保护的角度分析，</w:t>
      </w:r>
      <w:r w:rsidR="00933F83" w:rsidRPr="002E6D02">
        <w:rPr>
          <w:rFonts w:ascii="仿宋" w:eastAsia="仿宋" w:hAnsi="仿宋" w:hint="eastAsia"/>
          <w:sz w:val="32"/>
          <w:szCs w:val="32"/>
        </w:rPr>
        <w:t>我局</w:t>
      </w:r>
      <w:r w:rsidRPr="002E6D02">
        <w:rPr>
          <w:rFonts w:ascii="仿宋" w:eastAsia="仿宋" w:hAnsi="仿宋" w:hint="eastAsia"/>
          <w:sz w:val="32"/>
          <w:szCs w:val="32"/>
        </w:rPr>
        <w:t>同意桃江县新鑫石料有限公司年开采及加工80万吨石料改扩建项目</w:t>
      </w:r>
      <w:r w:rsidR="00933F83" w:rsidRPr="002E6D02">
        <w:rPr>
          <w:rFonts w:ascii="仿宋" w:eastAsia="仿宋" w:hAnsi="仿宋" w:hint="eastAsia"/>
          <w:sz w:val="32"/>
          <w:szCs w:val="32"/>
        </w:rPr>
        <w:t>的</w:t>
      </w:r>
      <w:r w:rsidRPr="002E6D02">
        <w:rPr>
          <w:rFonts w:ascii="仿宋" w:eastAsia="仿宋" w:hAnsi="仿宋" w:hint="eastAsia"/>
          <w:sz w:val="32"/>
          <w:szCs w:val="32"/>
        </w:rPr>
        <w:t>建设。</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二、建设单位在工程设计、建设和运营管理中，应全面执行环保“三同时”制度，落实报告表提出的各项污染防治和风险防范措施，并着重做好以下工作：</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（一）本项目为改扩建项目，必须把现有工程存在的环境问题纳入改扩建项目中一并解决。</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二）严格履行建设单位的生态环境保护主体责任，加强环境管理，建立环境管理机构，配备专职或兼职环保管理人员，完善环境管理的各项规章制度，定期对“三废”处理设施进行维护和检查，严禁“三废”不经处理直接排放。</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三）加强大气污染防控。对穿孔、爆破、装卸、运输等过程采取喷雾、洒水等措施抑尘，同时加强运输管理，汽车加盖篷布等措施减少物料洒落和扬尘污染；生产车间、原材料仓库、产品仓库均为封闭厂房，物料输送采取封闭廊道，破碎、筛分粉尘经布袋除尘器处理，确保外排粉尘达到《大气污染物综合排放标准》（GB16297-1996）表2中无组织排放监控浓度限值要求；食堂油烟经油烟净化装置处理达到《饮食业油烟排放标准（试行）》（</w:t>
      </w:r>
      <w:r w:rsidRPr="002E6D02">
        <w:rPr>
          <w:rFonts w:ascii="仿宋" w:eastAsia="仿宋" w:hAnsi="仿宋"/>
          <w:sz w:val="32"/>
          <w:szCs w:val="32"/>
        </w:rPr>
        <w:t>GB18483-2001</w:t>
      </w:r>
      <w:r w:rsidRPr="002E6D02">
        <w:rPr>
          <w:rFonts w:ascii="仿宋" w:eastAsia="仿宋" w:hAnsi="仿宋" w:hint="eastAsia"/>
          <w:sz w:val="32"/>
          <w:szCs w:val="32"/>
        </w:rPr>
        <w:t>）要求后高空排放。</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lastRenderedPageBreak/>
        <w:t>（四）按“雨污分流”的原则建设场区排水系统。洗砂废水经处理后回用于生产或洒水抑尘，不得外排；生活污水经隔油池、化粪池处理后用于周边农林灌溉施肥。</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五）工程应选用低噪声设备，严格控制作业时间，夜间（22:00-6:00）禁止作业，合理布局并对高噪声设备采取减振降噪措施，运输车辆限速、限载、禁鸣，减少噪声对周围环境的影响，场界四周要多植树木，形成绿化隔离带，确保厂界噪声达到《工业企业厂界环境噪声排放标准》（GB12348-2008）中的2类标准。</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六）做好固废管理工作。剥离土石、破碎固废（主要为土块）必须规范堆存于排土场，排土场建设须满足《一般工业固体废物贮存、处置场污染控制标准》（GB18599-2001）的要求；收集的粉尘、压滤机泥饼等综合利用；废机油按要求暂存后外委有资质单位收集安全处置；生活垃圾分类收集后由当地环卫部门及时清运，禁止乱堆乱弃。</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（七）矿区服务期满后，按水土保持方案和地质灾害评估的要求，做好矿区及停用排土场的复垦和生态恢复工作。</w:t>
      </w:r>
    </w:p>
    <w:p w:rsidR="00E67A9E" w:rsidRPr="002E6D02" w:rsidRDefault="00E67A9E"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t>（八）建立健全环境管理制度，落实各项环境风险防范措施，制定行之有效的环境风险事故应急预案和切实可行的应急措施，确保环境安全。</w:t>
      </w:r>
    </w:p>
    <w:p w:rsidR="00933F83" w:rsidRPr="002E6D02" w:rsidRDefault="00933F83" w:rsidP="00933F83">
      <w:pPr>
        <w:spacing w:after="0" w:line="560" w:lineRule="exact"/>
        <w:ind w:firstLineChars="200" w:firstLine="640"/>
        <w:jc w:val="both"/>
        <w:rPr>
          <w:rFonts w:ascii="仿宋" w:eastAsia="仿宋" w:hAnsi="仿宋" w:hint="eastAsia"/>
          <w:sz w:val="32"/>
          <w:szCs w:val="32"/>
        </w:rPr>
      </w:pPr>
      <w:r w:rsidRPr="002E6D02">
        <w:rPr>
          <w:rFonts w:ascii="仿宋" w:eastAsia="仿宋" w:hAnsi="仿宋" w:hint="eastAsia"/>
          <w:sz w:val="32"/>
          <w:szCs w:val="32"/>
        </w:rPr>
        <w:t>三、本项目的生产和经营必须严格执行益阳市和桃江县两级人民政府关于山砂制砂的相关规划和管理要求。</w:t>
      </w:r>
    </w:p>
    <w:p w:rsidR="00E67A9E" w:rsidRPr="002E6D02" w:rsidRDefault="00933F83" w:rsidP="00933F83">
      <w:pPr>
        <w:spacing w:after="0" w:line="560" w:lineRule="exact"/>
        <w:ind w:firstLineChars="200" w:firstLine="640"/>
        <w:jc w:val="both"/>
        <w:rPr>
          <w:rFonts w:ascii="仿宋" w:eastAsia="仿宋" w:hAnsi="仿宋"/>
          <w:sz w:val="32"/>
          <w:szCs w:val="32"/>
        </w:rPr>
      </w:pPr>
      <w:r w:rsidRPr="002E6D02">
        <w:rPr>
          <w:rFonts w:ascii="仿宋" w:eastAsia="仿宋" w:hAnsi="仿宋" w:hint="eastAsia"/>
          <w:sz w:val="32"/>
          <w:szCs w:val="32"/>
        </w:rPr>
        <w:lastRenderedPageBreak/>
        <w:t>四、</w:t>
      </w:r>
      <w:r w:rsidR="00E67A9E" w:rsidRPr="002E6D02">
        <w:rPr>
          <w:rFonts w:ascii="仿宋" w:eastAsia="仿宋" w:hAnsi="仿宋" w:hint="eastAsia"/>
          <w:sz w:val="32"/>
          <w:szCs w:val="32"/>
        </w:rPr>
        <w:t>项目建设后，按《建设项目环境保护</w:t>
      </w:r>
      <w:r w:rsidRPr="002E6D02">
        <w:rPr>
          <w:rFonts w:ascii="仿宋" w:eastAsia="仿宋" w:hAnsi="仿宋" w:hint="eastAsia"/>
          <w:sz w:val="32"/>
          <w:szCs w:val="32"/>
        </w:rPr>
        <w:t>管理条例》的有关规定，及时办理竣工环境保护验收手续。益阳市生态环境</w:t>
      </w:r>
      <w:r w:rsidR="00E67A9E" w:rsidRPr="002E6D02">
        <w:rPr>
          <w:rFonts w:ascii="仿宋" w:eastAsia="仿宋" w:hAnsi="仿宋" w:hint="eastAsia"/>
          <w:sz w:val="32"/>
          <w:szCs w:val="32"/>
        </w:rPr>
        <w:t>局桃江分局负责项目建设期间的“三同时”现场监督检查和日常环境管理。</w:t>
      </w:r>
    </w:p>
    <w:p w:rsidR="00E67A9E" w:rsidRPr="002E6D02" w:rsidRDefault="00E67A9E" w:rsidP="00933F83">
      <w:pPr>
        <w:spacing w:after="0" w:line="560" w:lineRule="exact"/>
        <w:ind w:firstLineChars="200" w:firstLine="640"/>
        <w:jc w:val="both"/>
        <w:rPr>
          <w:rFonts w:ascii="仿宋" w:eastAsia="仿宋" w:hAnsi="仿宋"/>
          <w:sz w:val="32"/>
          <w:szCs w:val="32"/>
        </w:rPr>
      </w:pPr>
    </w:p>
    <w:p w:rsidR="0068495E" w:rsidRPr="002E6D02" w:rsidRDefault="00E67A9E" w:rsidP="00933F83">
      <w:pPr>
        <w:tabs>
          <w:tab w:val="left" w:pos="5400"/>
        </w:tabs>
        <w:spacing w:after="0" w:line="560" w:lineRule="exact"/>
        <w:jc w:val="both"/>
        <w:rPr>
          <w:rFonts w:ascii="仿宋" w:eastAsia="仿宋" w:hAnsi="仿宋" w:hint="eastAsia"/>
          <w:sz w:val="32"/>
          <w:szCs w:val="32"/>
        </w:rPr>
      </w:pPr>
      <w:r w:rsidRPr="002E6D02">
        <w:rPr>
          <w:rFonts w:ascii="仿宋" w:eastAsia="仿宋" w:hAnsi="仿宋"/>
          <w:sz w:val="32"/>
          <w:szCs w:val="32"/>
        </w:rPr>
        <w:tab/>
      </w:r>
    </w:p>
    <w:p w:rsidR="0068495E" w:rsidRPr="002E6D02" w:rsidRDefault="0068495E" w:rsidP="00933F83">
      <w:pPr>
        <w:tabs>
          <w:tab w:val="left" w:pos="5400"/>
        </w:tabs>
        <w:spacing w:after="0" w:line="560" w:lineRule="exact"/>
        <w:jc w:val="both"/>
        <w:rPr>
          <w:rFonts w:ascii="仿宋" w:eastAsia="仿宋" w:hAnsi="仿宋" w:hint="eastAsia"/>
          <w:sz w:val="32"/>
          <w:szCs w:val="32"/>
        </w:rPr>
      </w:pPr>
    </w:p>
    <w:p w:rsidR="004358AB" w:rsidRPr="002E6D02" w:rsidRDefault="00933F83" w:rsidP="0068495E">
      <w:pPr>
        <w:tabs>
          <w:tab w:val="left" w:pos="5400"/>
        </w:tabs>
        <w:spacing w:after="0" w:line="560" w:lineRule="exact"/>
        <w:ind w:firstLineChars="1650" w:firstLine="5280"/>
        <w:jc w:val="both"/>
        <w:rPr>
          <w:rFonts w:ascii="仿宋" w:eastAsia="仿宋" w:hAnsi="仿宋"/>
          <w:sz w:val="32"/>
          <w:szCs w:val="32"/>
        </w:rPr>
      </w:pPr>
      <w:r w:rsidRPr="002E6D02">
        <w:rPr>
          <w:rFonts w:ascii="仿宋" w:eastAsia="仿宋" w:hAnsi="仿宋" w:hint="eastAsia"/>
          <w:sz w:val="32"/>
          <w:szCs w:val="32"/>
        </w:rPr>
        <w:t>2020</w:t>
      </w:r>
      <w:r w:rsidR="00E67A9E" w:rsidRPr="002E6D02">
        <w:rPr>
          <w:rFonts w:ascii="仿宋" w:eastAsia="仿宋" w:hAnsi="仿宋" w:hint="eastAsia"/>
          <w:sz w:val="32"/>
          <w:szCs w:val="32"/>
        </w:rPr>
        <w:t>年</w:t>
      </w:r>
      <w:r w:rsidRPr="002E6D02">
        <w:rPr>
          <w:rFonts w:ascii="仿宋" w:eastAsia="仿宋" w:hAnsi="仿宋" w:hint="eastAsia"/>
          <w:sz w:val="32"/>
          <w:szCs w:val="32"/>
        </w:rPr>
        <w:t>2</w:t>
      </w:r>
      <w:r w:rsidR="00E67A9E" w:rsidRPr="002E6D02">
        <w:rPr>
          <w:rFonts w:ascii="仿宋" w:eastAsia="仿宋" w:hAnsi="仿宋" w:hint="eastAsia"/>
          <w:sz w:val="32"/>
          <w:szCs w:val="32"/>
        </w:rPr>
        <w:t>月</w:t>
      </w:r>
      <w:r w:rsidRPr="002E6D02">
        <w:rPr>
          <w:rFonts w:ascii="仿宋" w:eastAsia="仿宋" w:hAnsi="仿宋" w:hint="eastAsia"/>
          <w:sz w:val="32"/>
          <w:szCs w:val="32"/>
        </w:rPr>
        <w:t>18</w:t>
      </w:r>
      <w:r w:rsidR="00E67A9E" w:rsidRPr="002E6D02">
        <w:rPr>
          <w:rFonts w:ascii="仿宋" w:eastAsia="仿宋" w:hAnsi="仿宋" w:hint="eastAsia"/>
          <w:sz w:val="32"/>
          <w:szCs w:val="32"/>
        </w:rPr>
        <w:t>日</w:t>
      </w:r>
    </w:p>
    <w:sectPr w:rsidR="004358AB" w:rsidRPr="002E6D02" w:rsidSect="00120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F1C" w:rsidRDefault="00090F1C" w:rsidP="00E67A9E">
      <w:pPr>
        <w:spacing w:after="0"/>
      </w:pPr>
      <w:r>
        <w:separator/>
      </w:r>
    </w:p>
  </w:endnote>
  <w:endnote w:type="continuationSeparator" w:id="0">
    <w:p w:rsidR="00090F1C" w:rsidRDefault="00090F1C" w:rsidP="00E67A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F1C" w:rsidRDefault="00090F1C" w:rsidP="00E67A9E">
      <w:pPr>
        <w:spacing w:after="0"/>
      </w:pPr>
      <w:r>
        <w:separator/>
      </w:r>
    </w:p>
  </w:footnote>
  <w:footnote w:type="continuationSeparator" w:id="0">
    <w:p w:rsidR="00090F1C" w:rsidRDefault="00090F1C" w:rsidP="00E67A9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90F1C"/>
    <w:rsid w:val="001019C6"/>
    <w:rsid w:val="002B4678"/>
    <w:rsid w:val="002E34C9"/>
    <w:rsid w:val="002E6D02"/>
    <w:rsid w:val="00323B43"/>
    <w:rsid w:val="003D37D8"/>
    <w:rsid w:val="00426133"/>
    <w:rsid w:val="004358AB"/>
    <w:rsid w:val="004A712B"/>
    <w:rsid w:val="004B10DC"/>
    <w:rsid w:val="005C361D"/>
    <w:rsid w:val="0068495E"/>
    <w:rsid w:val="00792B51"/>
    <w:rsid w:val="008414DF"/>
    <w:rsid w:val="008B7726"/>
    <w:rsid w:val="008F1E83"/>
    <w:rsid w:val="00900CEF"/>
    <w:rsid w:val="009133AC"/>
    <w:rsid w:val="00933F83"/>
    <w:rsid w:val="00A62D1D"/>
    <w:rsid w:val="00B30FB3"/>
    <w:rsid w:val="00B977CC"/>
    <w:rsid w:val="00C648B5"/>
    <w:rsid w:val="00D31D50"/>
    <w:rsid w:val="00D572E4"/>
    <w:rsid w:val="00E67A9E"/>
    <w:rsid w:val="00EA23B6"/>
    <w:rsid w:val="00F53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7A9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67A9E"/>
    <w:rPr>
      <w:rFonts w:ascii="Tahoma" w:hAnsi="Tahoma"/>
      <w:sz w:val="18"/>
      <w:szCs w:val="18"/>
    </w:rPr>
  </w:style>
  <w:style w:type="paragraph" w:styleId="a4">
    <w:name w:val="footer"/>
    <w:basedOn w:val="a"/>
    <w:link w:val="Char0"/>
    <w:uiPriority w:val="99"/>
    <w:semiHidden/>
    <w:unhideWhenUsed/>
    <w:rsid w:val="00E67A9E"/>
    <w:pPr>
      <w:tabs>
        <w:tab w:val="center" w:pos="4153"/>
        <w:tab w:val="right" w:pos="8306"/>
      </w:tabs>
    </w:pPr>
    <w:rPr>
      <w:sz w:val="18"/>
      <w:szCs w:val="18"/>
    </w:rPr>
  </w:style>
  <w:style w:type="character" w:customStyle="1" w:styleId="Char0">
    <w:name w:val="页脚 Char"/>
    <w:basedOn w:val="a0"/>
    <w:link w:val="a4"/>
    <w:uiPriority w:val="99"/>
    <w:semiHidden/>
    <w:rsid w:val="00E67A9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4</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cp:lastModifiedBy>
  <cp:revision>13</cp:revision>
  <cp:lastPrinted>2020-02-19T02:54:00Z</cp:lastPrinted>
  <dcterms:created xsi:type="dcterms:W3CDTF">2008-09-11T17:20:00Z</dcterms:created>
  <dcterms:modified xsi:type="dcterms:W3CDTF">2020-02-19T06:24:00Z</dcterms:modified>
</cp:coreProperties>
</file>