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985"/>
        </w:tabs>
        <w:spacing w:line="560" w:lineRule="exact"/>
        <w:jc w:val="center"/>
        <w:rPr>
          <w:rFonts w:ascii="宋体" w:hAnsi="宋体"/>
          <w:bCs/>
          <w:sz w:val="32"/>
          <w:szCs w:val="32"/>
        </w:rPr>
      </w:pPr>
    </w:p>
    <w:p>
      <w:pPr>
        <w:pStyle w:val="2"/>
        <w:spacing w:line="560" w:lineRule="exact"/>
        <w:rPr>
          <w:rFonts w:ascii="仿宋" w:hAnsi="仿宋" w:eastAsia="仿宋"/>
          <w:sz w:val="32"/>
          <w:szCs w:val="32"/>
        </w:rPr>
      </w:pPr>
    </w:p>
    <w:p>
      <w:pPr>
        <w:pStyle w:val="2"/>
        <w:spacing w:line="560" w:lineRule="exact"/>
        <w:rPr>
          <w:rFonts w:ascii="仿宋" w:hAnsi="仿宋" w:eastAsia="仿宋"/>
          <w:sz w:val="32"/>
          <w:szCs w:val="32"/>
        </w:rPr>
      </w:pPr>
    </w:p>
    <w:p>
      <w:pPr>
        <w:pStyle w:val="2"/>
        <w:spacing w:line="560" w:lineRule="exact"/>
        <w:jc w:val="right"/>
        <w:rPr>
          <w:rFonts w:asciiTheme="minorEastAsia" w:hAnsiTheme="minorEastAsia" w:eastAsiaTheme="minorEastAsia"/>
          <w:spacing w:val="-20"/>
          <w:sz w:val="30"/>
          <w:szCs w:val="30"/>
        </w:rPr>
      </w:pPr>
      <w:r>
        <w:rPr>
          <w:rFonts w:hint="eastAsia" w:ascii="仿宋" w:hAnsi="仿宋" w:eastAsia="仿宋"/>
          <w:sz w:val="32"/>
          <w:szCs w:val="32"/>
        </w:rPr>
        <w:t>益环审(表)〔2020〕97</w:t>
      </w:r>
      <w:r>
        <w:rPr>
          <w:rFonts w:hint="eastAsia" w:asciiTheme="minorEastAsia" w:hAnsiTheme="minorEastAsia" w:eastAsiaTheme="minorEastAsia"/>
          <w:spacing w:val="-20"/>
          <w:sz w:val="30"/>
          <w:szCs w:val="30"/>
        </w:rPr>
        <w:t>号</w:t>
      </w:r>
    </w:p>
    <w:p>
      <w:pPr>
        <w:tabs>
          <w:tab w:val="left" w:pos="1021"/>
        </w:tabs>
        <w:spacing w:line="460" w:lineRule="exact"/>
        <w:jc w:val="center"/>
        <w:rPr>
          <w:rFonts w:ascii="方正小标宋简体" w:eastAsia="方正小标宋简体" w:hAnsiTheme="majorEastAsia"/>
          <w:sz w:val="44"/>
          <w:szCs w:val="44"/>
        </w:rPr>
      </w:pPr>
      <w:r>
        <w:rPr>
          <w:rFonts w:hint="eastAsia" w:ascii="方正小标宋简体" w:eastAsia="方正小标宋简体" w:hAnsiTheme="majorEastAsia"/>
          <w:sz w:val="44"/>
          <w:szCs w:val="44"/>
        </w:rPr>
        <w:t>益阳市生态环境局</w:t>
      </w:r>
    </w:p>
    <w:p>
      <w:pPr>
        <w:tabs>
          <w:tab w:val="left" w:pos="1021"/>
        </w:tabs>
        <w:spacing w:line="460" w:lineRule="exact"/>
        <w:jc w:val="center"/>
        <w:rPr>
          <w:rFonts w:ascii="方正小标宋简体" w:eastAsia="方正小标宋简体" w:hAnsiTheme="majorEastAsia"/>
          <w:sz w:val="44"/>
          <w:szCs w:val="44"/>
        </w:rPr>
      </w:pPr>
      <w:r>
        <w:rPr>
          <w:rFonts w:hint="eastAsia" w:ascii="方正小标宋简体" w:eastAsia="方正小标宋简体" w:hAnsiTheme="majorEastAsia"/>
          <w:sz w:val="44"/>
          <w:szCs w:val="44"/>
        </w:rPr>
        <w:t>关于南县碧水源水务有限公司</w:t>
      </w:r>
    </w:p>
    <w:p>
      <w:pPr>
        <w:tabs>
          <w:tab w:val="left" w:pos="1021"/>
        </w:tabs>
        <w:spacing w:line="460" w:lineRule="exact"/>
        <w:jc w:val="center"/>
        <w:rPr>
          <w:rFonts w:ascii="方正小标宋简体" w:eastAsia="方正小标宋简体" w:cs="Times New Roman" w:hAnsiTheme="majorEastAsia"/>
          <w:sz w:val="44"/>
          <w:szCs w:val="44"/>
        </w:rPr>
      </w:pPr>
      <w:r>
        <w:rPr>
          <w:rFonts w:hint="eastAsia" w:ascii="方正小标宋简体" w:eastAsia="方正小标宋简体" w:hAnsiTheme="majorEastAsia"/>
          <w:sz w:val="44"/>
          <w:szCs w:val="44"/>
        </w:rPr>
        <w:t>南县</w:t>
      </w:r>
      <w:r>
        <w:rPr>
          <w:rFonts w:hint="eastAsia" w:ascii="方正小标宋简体" w:eastAsia="方正小标宋简体" w:cs="Times New Roman" w:hAnsiTheme="majorEastAsia"/>
          <w:sz w:val="44"/>
          <w:szCs w:val="44"/>
        </w:rPr>
        <w:t>污泥集中处理中心工程环境影响</w:t>
      </w:r>
    </w:p>
    <w:p>
      <w:pPr>
        <w:tabs>
          <w:tab w:val="left" w:pos="1021"/>
        </w:tabs>
        <w:spacing w:line="460" w:lineRule="exact"/>
        <w:jc w:val="center"/>
        <w:rPr>
          <w:rFonts w:ascii="方正小标宋简体" w:eastAsia="方正小标宋简体" w:cs="Times New Roman" w:hAnsiTheme="majorEastAsia"/>
          <w:sz w:val="44"/>
          <w:szCs w:val="44"/>
        </w:rPr>
      </w:pPr>
      <w:r>
        <w:rPr>
          <w:rFonts w:hint="eastAsia" w:ascii="方正小标宋简体" w:eastAsia="方正小标宋简体" w:cs="Times New Roman" w:hAnsiTheme="majorEastAsia"/>
          <w:sz w:val="44"/>
          <w:szCs w:val="44"/>
        </w:rPr>
        <w:t>报告表的批复</w:t>
      </w:r>
    </w:p>
    <w:p>
      <w:pPr>
        <w:spacing w:after="0" w:line="520" w:lineRule="exact"/>
        <w:jc w:val="both"/>
        <w:rPr>
          <w:rFonts w:ascii="仿宋" w:hAnsi="仿宋" w:eastAsia="仿宋" w:cs="Times New Roman"/>
          <w:sz w:val="32"/>
          <w:szCs w:val="32"/>
        </w:rPr>
      </w:pPr>
      <w:r>
        <w:rPr>
          <w:rFonts w:hint="eastAsia" w:ascii="仿宋" w:hAnsi="仿宋" w:eastAsia="仿宋" w:cs="Times New Roman"/>
          <w:sz w:val="32"/>
          <w:szCs w:val="32"/>
        </w:rPr>
        <w:t>南县碧水源水务</w:t>
      </w:r>
      <w:r>
        <w:rPr>
          <w:rFonts w:ascii="仿宋" w:hAnsi="仿宋" w:eastAsia="仿宋" w:cs="Times New Roman"/>
          <w:sz w:val="32"/>
          <w:szCs w:val="32"/>
        </w:rPr>
        <w:t>有限公司</w:t>
      </w:r>
      <w:r>
        <w:rPr>
          <w:rFonts w:hint="eastAsia" w:ascii="仿宋" w:hAnsi="仿宋" w:eastAsia="仿宋" w:cs="Times New Roman"/>
          <w:sz w:val="32"/>
          <w:szCs w:val="32"/>
        </w:rPr>
        <w:t>：</w:t>
      </w:r>
    </w:p>
    <w:p>
      <w:pPr>
        <w:pStyle w:val="2"/>
        <w:spacing w:after="0" w:line="520" w:lineRule="exact"/>
        <w:ind w:firstLine="640" w:firstLineChars="200"/>
        <w:jc w:val="both"/>
        <w:rPr>
          <w:rFonts w:ascii="仿宋" w:hAnsi="仿宋" w:eastAsia="仿宋" w:cs="Times New Roman"/>
          <w:sz w:val="32"/>
          <w:szCs w:val="32"/>
        </w:rPr>
      </w:pPr>
      <w:r>
        <w:rPr>
          <w:rFonts w:hint="eastAsia" w:ascii="仿宋" w:hAnsi="仿宋" w:eastAsia="仿宋" w:cs="Times New Roman"/>
          <w:sz w:val="32"/>
          <w:szCs w:val="32"/>
        </w:rPr>
        <w:t>你公司呈报的《关于请求对《南县污泥集中处理中心工程环境影响报告表》进行审批的报告》、益阳市生态环境局南县分局的预审意见及相关材料收悉。经审查、研究，批复如下：</w:t>
      </w:r>
    </w:p>
    <w:p>
      <w:pPr>
        <w:pStyle w:val="2"/>
        <w:spacing w:after="0" w:line="520" w:lineRule="exact"/>
        <w:ind w:firstLine="640" w:firstLineChars="200"/>
        <w:jc w:val="both"/>
        <w:rPr>
          <w:rFonts w:ascii="仿宋" w:hAnsi="仿宋" w:eastAsia="仿宋" w:cs="Times New Roman"/>
          <w:sz w:val="32"/>
          <w:szCs w:val="32"/>
        </w:rPr>
      </w:pPr>
      <w:r>
        <w:rPr>
          <w:rFonts w:hint="eastAsia" w:ascii="仿宋" w:hAnsi="仿宋" w:eastAsia="仿宋" w:cs="Times New Roman"/>
          <w:sz w:val="32"/>
          <w:szCs w:val="32"/>
        </w:rPr>
        <w:t>南县碧水源水务</w:t>
      </w:r>
      <w:r>
        <w:rPr>
          <w:rFonts w:ascii="仿宋" w:hAnsi="仿宋" w:eastAsia="仿宋" w:cs="Times New Roman"/>
          <w:sz w:val="32"/>
          <w:szCs w:val="32"/>
        </w:rPr>
        <w:t>有限公司</w:t>
      </w:r>
      <w:r>
        <w:rPr>
          <w:rFonts w:hint="eastAsia" w:ascii="仿宋" w:hAnsi="仿宋" w:eastAsia="仿宋" w:cs="Times New Roman"/>
          <w:sz w:val="32"/>
          <w:szCs w:val="32"/>
        </w:rPr>
        <w:t>拟投资1194.31万元在公司负责运营的南县第二污水处理厂内的西南角建设南县污泥集中处理中心工程，项目总占地面积1057m2，采取“稀释调理+板框压滤”处理工艺，收集和处置南县县城区域范围及各乡镇的污水处理厂产生的污泥，处理规模为近期25t</w:t>
      </w:r>
      <w:r>
        <w:rPr>
          <w:rFonts w:ascii="Arial" w:hAnsi="Arial" w:eastAsia="仿宋" w:cs="Arial"/>
          <w:sz w:val="32"/>
          <w:szCs w:val="32"/>
        </w:rPr>
        <w:t>/</w:t>
      </w:r>
      <w:r>
        <w:rPr>
          <w:rFonts w:hint="eastAsia" w:ascii="Arial" w:hAnsi="Arial" w:eastAsia="仿宋" w:cs="Arial"/>
          <w:sz w:val="32"/>
          <w:szCs w:val="32"/>
        </w:rPr>
        <w:t>d，远期60</w:t>
      </w:r>
      <w:r>
        <w:rPr>
          <w:rFonts w:hint="eastAsia" w:ascii="仿宋" w:hAnsi="仿宋" w:eastAsia="仿宋" w:cs="Times New Roman"/>
          <w:sz w:val="32"/>
          <w:szCs w:val="32"/>
        </w:rPr>
        <w:t>t</w:t>
      </w:r>
      <w:r>
        <w:rPr>
          <w:rFonts w:ascii="Arial" w:hAnsi="Arial" w:eastAsia="仿宋" w:cs="Arial"/>
          <w:sz w:val="32"/>
          <w:szCs w:val="32"/>
        </w:rPr>
        <w:t>/</w:t>
      </w:r>
      <w:r>
        <w:rPr>
          <w:rFonts w:hint="eastAsia" w:ascii="Arial" w:hAnsi="Arial" w:eastAsia="仿宋" w:cs="Arial"/>
          <w:sz w:val="32"/>
          <w:szCs w:val="32"/>
        </w:rPr>
        <w:t>d，主要建设内容包括污泥稀释系统、污泥调理系统、压滤系统、污泥储存系统，配套的办公、供配电、给排水、机修及废水处理等环保工程均依托南县第二污水处理厂的现有工程。</w:t>
      </w:r>
      <w:r>
        <w:rPr>
          <w:rFonts w:hint="eastAsia" w:ascii="仿宋" w:hAnsi="仿宋" w:eastAsia="仿宋" w:cs="Times New Roman"/>
          <w:sz w:val="32"/>
          <w:szCs w:val="32"/>
        </w:rPr>
        <w:t>该处置项目产生的污泥饼交由长安益阳发电有限公司焚烧处置。</w:t>
      </w:r>
    </w:p>
    <w:p>
      <w:pPr>
        <w:pStyle w:val="2"/>
        <w:spacing w:after="0" w:line="520" w:lineRule="exact"/>
        <w:ind w:firstLine="640" w:firstLineChars="200"/>
        <w:jc w:val="both"/>
        <w:rPr>
          <w:rFonts w:ascii="仿宋" w:hAnsi="仿宋" w:eastAsia="仿宋" w:cs="Times New Roman"/>
          <w:sz w:val="32"/>
          <w:szCs w:val="32"/>
        </w:rPr>
      </w:pPr>
      <w:r>
        <w:rPr>
          <w:rFonts w:hint="eastAsia" w:ascii="仿宋" w:hAnsi="仿宋" w:eastAsia="仿宋" w:cs="Times New Roman"/>
          <w:sz w:val="32"/>
          <w:szCs w:val="32"/>
        </w:rPr>
        <w:t>项目符合国家产业政策和相关选址要求</w:t>
      </w:r>
      <w:bookmarkStart w:id="0" w:name="_Toc69206208"/>
      <w:bookmarkStart w:id="1" w:name="_Toc71541072"/>
      <w:bookmarkStart w:id="2" w:name="_Toc86232970"/>
      <w:bookmarkStart w:id="3" w:name="_Toc88297159"/>
      <w:bookmarkStart w:id="4" w:name="_Toc99353467"/>
      <w:bookmarkStart w:id="5" w:name="_Toc70240803"/>
      <w:bookmarkStart w:id="6" w:name="_Toc102567170"/>
      <w:bookmarkStart w:id="7" w:name="_Toc104606881"/>
      <w:bookmarkStart w:id="8" w:name="_Toc100490461"/>
      <w:bookmarkStart w:id="9" w:name="_Toc70560160"/>
      <w:bookmarkStart w:id="10" w:name="_Toc98860704"/>
      <w:bookmarkStart w:id="11" w:name="_Toc86750072"/>
      <w:bookmarkStart w:id="12" w:name="_Toc104204771"/>
      <w:bookmarkStart w:id="13" w:name="_Toc104281596"/>
      <w:r>
        <w:rPr>
          <w:rFonts w:hint="eastAsia" w:ascii="仿宋" w:hAnsi="仿宋" w:eastAsia="仿宋" w:cs="Times New Roman"/>
          <w:sz w:val="32"/>
          <w:szCs w:val="32"/>
        </w:rPr>
        <w:t>，</w:t>
      </w:r>
      <w:bookmarkEnd w:id="0"/>
      <w:bookmarkEnd w:id="1"/>
      <w:bookmarkEnd w:id="2"/>
      <w:bookmarkEnd w:id="3"/>
      <w:bookmarkEnd w:id="4"/>
      <w:bookmarkEnd w:id="5"/>
      <w:bookmarkEnd w:id="6"/>
      <w:bookmarkEnd w:id="7"/>
      <w:bookmarkEnd w:id="8"/>
      <w:bookmarkEnd w:id="9"/>
      <w:bookmarkEnd w:id="10"/>
      <w:bookmarkEnd w:id="11"/>
      <w:bookmarkEnd w:id="12"/>
      <w:bookmarkEnd w:id="13"/>
      <w:r>
        <w:rPr>
          <w:rFonts w:hint="eastAsia" w:ascii="仿宋" w:hAnsi="仿宋" w:eastAsia="仿宋" w:cs="Times New Roman"/>
          <w:sz w:val="32"/>
          <w:szCs w:val="32"/>
        </w:rPr>
        <w:t>根据湖南知诚环保服务有限公司编制的环评报告表的分析结论和益阳市生态环境局南县分局的预审意见，在建设单位认真落实报告表和本批复提出的各项生态环境保护措施后，工程建设对环境的不利影响能够得到缓解和控制。我局原则同意你公司建设南县污泥集中处理中心工程。</w:t>
      </w:r>
    </w:p>
    <w:p>
      <w:pPr>
        <w:pStyle w:val="3"/>
        <w:spacing w:after="0" w:line="520" w:lineRule="exact"/>
        <w:ind w:left="0" w:leftChars="0" w:firstLine="672" w:firstLineChars="200"/>
        <w:jc w:val="both"/>
        <w:rPr>
          <w:rFonts w:ascii="仿宋" w:hAnsi="仿宋" w:eastAsia="仿宋" w:cs="Times New Roman"/>
          <w:spacing w:val="8"/>
          <w:sz w:val="32"/>
          <w:szCs w:val="32"/>
        </w:rPr>
      </w:pPr>
      <w:r>
        <w:rPr>
          <w:rFonts w:hint="eastAsia" w:ascii="仿宋" w:hAnsi="仿宋" w:eastAsia="仿宋" w:cs="Times New Roman"/>
          <w:spacing w:val="8"/>
          <w:sz w:val="32"/>
          <w:szCs w:val="32"/>
        </w:rPr>
        <w:t>二、</w:t>
      </w:r>
      <w:r>
        <w:rPr>
          <w:rFonts w:hint="eastAsia" w:ascii="仿宋" w:hAnsi="仿宋" w:eastAsia="仿宋" w:cs="Times New Roman"/>
          <w:kern w:val="2"/>
          <w:sz w:val="32"/>
          <w:szCs w:val="32"/>
        </w:rPr>
        <w:t>建设单位在工程设计、建设和运营管理中，必须切实落实环评提出的各项污染防治和风险防范措施要求，着重做好以下工作：</w:t>
      </w:r>
    </w:p>
    <w:p>
      <w:pPr>
        <w:spacing w:after="0" w:line="520" w:lineRule="exact"/>
        <w:ind w:firstLine="629"/>
        <w:jc w:val="both"/>
        <w:rPr>
          <w:rFonts w:ascii="仿宋" w:hAnsi="仿宋" w:eastAsia="仿宋" w:cs="Times New Roman"/>
          <w:kern w:val="2"/>
          <w:sz w:val="32"/>
          <w:szCs w:val="32"/>
        </w:rPr>
      </w:pPr>
      <w:r>
        <w:rPr>
          <w:rFonts w:hint="eastAsia" w:ascii="仿宋" w:hAnsi="仿宋" w:eastAsia="仿宋" w:cs="Times New Roman"/>
          <w:kern w:val="2"/>
          <w:sz w:val="32"/>
          <w:szCs w:val="32"/>
        </w:rPr>
        <w:t>（一）严格履行建设单位的环保主体责任，加强环境管理。建立环保规章制度和岗位责任制，配备专职环保管理人员，确保环保设施稳定正常运行和污染物的稳定达标排放，严格落实环境监测计划，制定环境风险事故应急预案，落实事故应急防范措施。</w:t>
      </w:r>
    </w:p>
    <w:p>
      <w:pPr>
        <w:spacing w:after="0" w:line="520" w:lineRule="exact"/>
        <w:ind w:firstLine="480"/>
        <w:jc w:val="both"/>
        <w:rPr>
          <w:rFonts w:ascii="仿宋" w:hAnsi="仿宋" w:eastAsia="仿宋"/>
          <w:sz w:val="32"/>
          <w:szCs w:val="32"/>
        </w:rPr>
      </w:pPr>
      <w:r>
        <w:rPr>
          <w:rFonts w:hint="eastAsia" w:ascii="仿宋" w:hAnsi="仿宋" w:eastAsia="仿宋" w:cs="Times New Roman"/>
          <w:kern w:val="2"/>
          <w:sz w:val="32"/>
          <w:szCs w:val="32"/>
        </w:rPr>
        <w:t>（二）</w:t>
      </w:r>
      <w:r>
        <w:rPr>
          <w:rFonts w:hint="eastAsia" w:ascii="仿宋" w:hAnsi="仿宋" w:eastAsia="仿宋"/>
          <w:sz w:val="32"/>
          <w:szCs w:val="32"/>
        </w:rPr>
        <w:t>落实废气污染防治措施。</w:t>
      </w:r>
      <w:r>
        <w:rPr>
          <w:rFonts w:ascii="仿宋" w:hAnsi="仿宋" w:eastAsia="仿宋"/>
          <w:sz w:val="32"/>
          <w:szCs w:val="32"/>
        </w:rPr>
        <w:t>污泥</w:t>
      </w:r>
      <w:r>
        <w:rPr>
          <w:rFonts w:hint="eastAsia" w:ascii="仿宋" w:hAnsi="仿宋" w:eastAsia="仿宋"/>
          <w:sz w:val="32"/>
          <w:szCs w:val="32"/>
        </w:rPr>
        <w:t>脱水</w:t>
      </w:r>
      <w:r>
        <w:rPr>
          <w:rFonts w:ascii="仿宋" w:hAnsi="仿宋" w:eastAsia="仿宋"/>
          <w:sz w:val="32"/>
          <w:szCs w:val="32"/>
        </w:rPr>
        <w:t>车间</w:t>
      </w:r>
      <w:r>
        <w:rPr>
          <w:rFonts w:hint="eastAsia" w:ascii="仿宋" w:hAnsi="仿宋" w:eastAsia="仿宋"/>
          <w:sz w:val="32"/>
          <w:szCs w:val="32"/>
        </w:rPr>
        <w:t>须</w:t>
      </w:r>
      <w:r>
        <w:rPr>
          <w:rFonts w:ascii="仿宋" w:hAnsi="仿宋" w:eastAsia="仿宋"/>
          <w:sz w:val="32"/>
          <w:szCs w:val="32"/>
        </w:rPr>
        <w:t>采取密闭</w:t>
      </w:r>
      <w:r>
        <w:rPr>
          <w:rFonts w:hint="eastAsia" w:ascii="仿宋" w:hAnsi="仿宋" w:eastAsia="仿宋"/>
          <w:sz w:val="32"/>
          <w:szCs w:val="32"/>
        </w:rPr>
        <w:t>、</w:t>
      </w:r>
      <w:r>
        <w:rPr>
          <w:rFonts w:ascii="仿宋" w:hAnsi="仿宋" w:eastAsia="仿宋"/>
          <w:sz w:val="32"/>
          <w:szCs w:val="32"/>
        </w:rPr>
        <w:t>抽风保持污泥仓微负压减少无组织恶臭污染物排放</w:t>
      </w:r>
      <w:r>
        <w:rPr>
          <w:rFonts w:hint="eastAsia" w:ascii="仿宋" w:hAnsi="仿宋" w:eastAsia="仿宋"/>
          <w:sz w:val="32"/>
          <w:szCs w:val="32"/>
        </w:rPr>
        <w:t>，收集的废气采取</w:t>
      </w:r>
      <w:r>
        <w:rPr>
          <w:rFonts w:ascii="仿宋" w:hAnsi="仿宋" w:eastAsia="仿宋"/>
          <w:sz w:val="32"/>
          <w:szCs w:val="32"/>
        </w:rPr>
        <w:t>“</w:t>
      </w:r>
      <w:r>
        <w:rPr>
          <w:rFonts w:hint="eastAsia" w:ascii="仿宋" w:hAnsi="仿宋" w:eastAsia="仿宋"/>
          <w:sz w:val="32"/>
          <w:szCs w:val="32"/>
        </w:rPr>
        <w:t>一体化生物除臭装置</w:t>
      </w:r>
      <w:r>
        <w:rPr>
          <w:rFonts w:ascii="仿宋" w:hAnsi="仿宋" w:eastAsia="仿宋"/>
          <w:sz w:val="32"/>
          <w:szCs w:val="32"/>
        </w:rPr>
        <w:t>”处理</w:t>
      </w:r>
      <w:r>
        <w:rPr>
          <w:rFonts w:hint="eastAsia" w:ascii="仿宋" w:hAnsi="仿宋" w:eastAsia="仿宋"/>
          <w:sz w:val="32"/>
          <w:szCs w:val="32"/>
        </w:rPr>
        <w:t>达到《</w:t>
      </w:r>
      <w:r>
        <w:rPr>
          <w:rFonts w:ascii="仿宋" w:hAnsi="仿宋" w:eastAsia="仿宋"/>
          <w:sz w:val="32"/>
          <w:szCs w:val="32"/>
        </w:rPr>
        <w:t>恶臭污染物排放标准》（GB14554-93）</w:t>
      </w:r>
      <w:r>
        <w:rPr>
          <w:rFonts w:hint="eastAsia" w:ascii="仿宋" w:hAnsi="仿宋" w:eastAsia="仿宋"/>
          <w:sz w:val="32"/>
          <w:szCs w:val="32"/>
        </w:rPr>
        <w:t>中</w:t>
      </w:r>
      <w:r>
        <w:rPr>
          <w:rFonts w:ascii="仿宋" w:hAnsi="仿宋" w:eastAsia="仿宋"/>
          <w:sz w:val="32"/>
          <w:szCs w:val="32"/>
        </w:rPr>
        <w:t>二级标准后</w:t>
      </w:r>
      <w:r>
        <w:rPr>
          <w:rFonts w:hint="eastAsia" w:ascii="仿宋" w:hAnsi="仿宋" w:eastAsia="仿宋"/>
          <w:sz w:val="32"/>
          <w:szCs w:val="32"/>
        </w:rPr>
        <w:t>，通过15米高排气筒排放；污泥稀释池、滤液池和污泥调理池须加盖封闭、定时喷洒生物除臭剂，加强场区绿化，</w:t>
      </w:r>
      <w:r>
        <w:rPr>
          <w:rFonts w:ascii="仿宋" w:hAnsi="仿宋" w:eastAsia="仿宋"/>
          <w:sz w:val="32"/>
          <w:szCs w:val="32"/>
        </w:rPr>
        <w:t>废气无组织排放</w:t>
      </w:r>
      <w:r>
        <w:rPr>
          <w:rFonts w:hint="eastAsia" w:ascii="仿宋" w:hAnsi="仿宋" w:eastAsia="仿宋"/>
          <w:sz w:val="32"/>
          <w:szCs w:val="32"/>
        </w:rPr>
        <w:t>须</w:t>
      </w:r>
      <w:r>
        <w:rPr>
          <w:rFonts w:ascii="仿宋" w:hAnsi="仿宋" w:eastAsia="仿宋"/>
          <w:sz w:val="32"/>
          <w:szCs w:val="32"/>
        </w:rPr>
        <w:t>满足</w:t>
      </w:r>
      <w:r>
        <w:rPr>
          <w:rFonts w:hint="eastAsia" w:ascii="仿宋" w:hAnsi="仿宋" w:eastAsia="仿宋"/>
          <w:sz w:val="32"/>
          <w:szCs w:val="32"/>
        </w:rPr>
        <w:t>《城镇污水处理厂</w:t>
      </w:r>
      <w:r>
        <w:rPr>
          <w:rFonts w:ascii="仿宋" w:hAnsi="仿宋" w:eastAsia="仿宋"/>
          <w:sz w:val="32"/>
          <w:szCs w:val="32"/>
        </w:rPr>
        <w:t>污染物排放标准》（GB</w:t>
      </w:r>
      <w:r>
        <w:rPr>
          <w:rFonts w:hint="eastAsia" w:ascii="仿宋" w:hAnsi="仿宋" w:eastAsia="仿宋"/>
          <w:sz w:val="32"/>
          <w:szCs w:val="32"/>
        </w:rPr>
        <w:t>18918-2002</w:t>
      </w:r>
      <w:r>
        <w:rPr>
          <w:rFonts w:ascii="仿宋" w:hAnsi="仿宋" w:eastAsia="仿宋"/>
          <w:sz w:val="32"/>
          <w:szCs w:val="32"/>
        </w:rPr>
        <w:t>）表</w:t>
      </w:r>
      <w:r>
        <w:rPr>
          <w:rFonts w:hint="eastAsia" w:ascii="仿宋" w:hAnsi="仿宋" w:eastAsia="仿宋"/>
          <w:sz w:val="32"/>
          <w:szCs w:val="32"/>
        </w:rPr>
        <w:t>4中（防护带边缘）废气排放最高允许浓度</w:t>
      </w:r>
      <w:r>
        <w:rPr>
          <w:rFonts w:ascii="仿宋" w:hAnsi="仿宋" w:eastAsia="仿宋"/>
          <w:sz w:val="32"/>
          <w:szCs w:val="32"/>
        </w:rPr>
        <w:t>二级标准要求</w:t>
      </w:r>
      <w:r>
        <w:rPr>
          <w:rFonts w:hint="eastAsia" w:ascii="仿宋" w:hAnsi="仿宋" w:eastAsia="仿宋"/>
          <w:sz w:val="32"/>
          <w:szCs w:val="32"/>
        </w:rPr>
        <w:t>。</w:t>
      </w:r>
    </w:p>
    <w:p>
      <w:pPr>
        <w:widowControl w:val="0"/>
        <w:spacing w:after="0" w:line="520" w:lineRule="exact"/>
        <w:ind w:firstLine="480" w:firstLineChars="150"/>
        <w:jc w:val="both"/>
        <w:rPr>
          <w:rFonts w:ascii="仿宋" w:hAnsi="仿宋" w:eastAsia="仿宋"/>
          <w:sz w:val="32"/>
          <w:szCs w:val="32"/>
        </w:rPr>
      </w:pPr>
      <w:r>
        <w:rPr>
          <w:rFonts w:hint="eastAsia" w:ascii="仿宋" w:hAnsi="仿宋" w:eastAsia="仿宋"/>
          <w:sz w:val="32"/>
          <w:szCs w:val="32"/>
        </w:rPr>
        <w:t>（三）落实废水污染防治措施。项目产生的压滤废水经有效收集后，依托南县第二污水处理厂处理后达标排放；加强地下水污染防治措施，切实做好污泥稀释池、滤液池、污泥调理池</w:t>
      </w:r>
      <w:r>
        <w:rPr>
          <w:rFonts w:ascii="仿宋" w:hAnsi="仿宋" w:eastAsia="仿宋"/>
          <w:sz w:val="32"/>
          <w:szCs w:val="32"/>
        </w:rPr>
        <w:t>和埋地管道的防渗工作</w:t>
      </w:r>
      <w:r>
        <w:rPr>
          <w:rFonts w:hint="eastAsia" w:ascii="仿宋" w:hAnsi="仿宋" w:eastAsia="仿宋"/>
          <w:sz w:val="32"/>
          <w:szCs w:val="32"/>
        </w:rPr>
        <w:t>。</w:t>
      </w:r>
    </w:p>
    <w:p>
      <w:pPr>
        <w:widowControl w:val="0"/>
        <w:spacing w:after="0" w:line="520" w:lineRule="exact"/>
        <w:ind w:firstLine="480" w:firstLineChars="150"/>
        <w:jc w:val="both"/>
        <w:rPr>
          <w:rFonts w:ascii="仿宋" w:hAnsi="仿宋" w:eastAsia="仿宋"/>
          <w:sz w:val="32"/>
          <w:szCs w:val="32"/>
        </w:rPr>
      </w:pPr>
      <w:r>
        <w:rPr>
          <w:rFonts w:hint="eastAsia" w:ascii="仿宋" w:hAnsi="仿宋" w:eastAsia="仿宋"/>
          <w:sz w:val="32"/>
          <w:szCs w:val="32"/>
        </w:rPr>
        <w:t>（四）落实噪声污染防治措施。优化设备的选型、减震、消声、隔声和合理安排处置时间等方面做好噪声的污染控制工作，确保厂界</w:t>
      </w:r>
      <w:r>
        <w:rPr>
          <w:rFonts w:ascii="仿宋" w:hAnsi="仿宋" w:eastAsia="仿宋"/>
          <w:sz w:val="32"/>
          <w:szCs w:val="32"/>
        </w:rPr>
        <w:t>四周噪声</w:t>
      </w:r>
      <w:r>
        <w:rPr>
          <w:rFonts w:hint="eastAsia" w:ascii="仿宋" w:hAnsi="仿宋" w:eastAsia="仿宋"/>
          <w:sz w:val="32"/>
          <w:szCs w:val="32"/>
        </w:rPr>
        <w:t>满足</w:t>
      </w:r>
      <w:r>
        <w:rPr>
          <w:rFonts w:ascii="仿宋" w:hAnsi="仿宋" w:eastAsia="仿宋"/>
          <w:sz w:val="32"/>
          <w:szCs w:val="32"/>
        </w:rPr>
        <w:t>《工业企业厂界环境噪声排放标准》（GB12348-2008）</w:t>
      </w:r>
      <w:r>
        <w:rPr>
          <w:rFonts w:hint="eastAsia" w:ascii="仿宋" w:hAnsi="仿宋" w:eastAsia="仿宋"/>
          <w:sz w:val="32"/>
          <w:szCs w:val="32"/>
        </w:rPr>
        <w:t>2</w:t>
      </w:r>
      <w:r>
        <w:rPr>
          <w:rFonts w:ascii="仿宋" w:hAnsi="仿宋" w:eastAsia="仿宋"/>
          <w:sz w:val="32"/>
          <w:szCs w:val="32"/>
        </w:rPr>
        <w:t>类标准限值的要求。</w:t>
      </w:r>
    </w:p>
    <w:p>
      <w:pPr>
        <w:widowControl w:val="0"/>
        <w:spacing w:after="0" w:line="520" w:lineRule="exact"/>
        <w:ind w:firstLine="480" w:firstLineChars="150"/>
        <w:jc w:val="both"/>
        <w:rPr>
          <w:rFonts w:ascii="仿宋" w:hAnsi="仿宋" w:eastAsia="仿宋"/>
          <w:sz w:val="32"/>
          <w:szCs w:val="32"/>
        </w:rPr>
      </w:pPr>
      <w:r>
        <w:rPr>
          <w:rFonts w:hint="eastAsia" w:ascii="仿宋" w:hAnsi="仿宋" w:eastAsia="仿宋"/>
          <w:sz w:val="32"/>
          <w:szCs w:val="32"/>
        </w:rPr>
        <w:t>（五）落实固体废物污染防治措施。项目运营产生的废机油等危险废物依托南县第二污水处理厂危险废物暂存间暂存后，按要求暂存后</w:t>
      </w:r>
      <w:r>
        <w:rPr>
          <w:rFonts w:ascii="仿宋" w:hAnsi="仿宋" w:eastAsia="仿宋"/>
          <w:sz w:val="32"/>
          <w:szCs w:val="32"/>
        </w:rPr>
        <w:t>交由有资质单位</w:t>
      </w:r>
      <w:r>
        <w:rPr>
          <w:rFonts w:hint="eastAsia" w:ascii="仿宋" w:hAnsi="仿宋" w:eastAsia="仿宋"/>
          <w:sz w:val="32"/>
          <w:szCs w:val="32"/>
        </w:rPr>
        <w:t>安全</w:t>
      </w:r>
      <w:r>
        <w:rPr>
          <w:rFonts w:ascii="仿宋" w:hAnsi="仿宋" w:eastAsia="仿宋"/>
          <w:sz w:val="32"/>
          <w:szCs w:val="32"/>
        </w:rPr>
        <w:t>处置</w:t>
      </w:r>
      <w:r>
        <w:rPr>
          <w:rFonts w:hint="eastAsia" w:ascii="仿宋" w:hAnsi="仿宋" w:eastAsia="仿宋"/>
          <w:sz w:val="32"/>
          <w:szCs w:val="32"/>
        </w:rPr>
        <w:t>；</w:t>
      </w:r>
      <w:r>
        <w:rPr>
          <w:rFonts w:hint="eastAsia" w:ascii="仿宋" w:hAnsi="仿宋" w:eastAsia="仿宋" w:cs="Times New Roman"/>
          <w:sz w:val="32"/>
          <w:szCs w:val="32"/>
        </w:rPr>
        <w:t>污泥饼须交由长安益阳发电有限公司进行焚烧处置；</w:t>
      </w:r>
      <w:r>
        <w:rPr>
          <w:rFonts w:ascii="仿宋" w:hAnsi="仿宋" w:eastAsia="仿宋"/>
          <w:sz w:val="32"/>
          <w:szCs w:val="32"/>
        </w:rPr>
        <w:t>一般固废</w:t>
      </w:r>
      <w:r>
        <w:rPr>
          <w:rFonts w:hint="eastAsia" w:ascii="仿宋" w:hAnsi="仿宋" w:eastAsia="仿宋"/>
          <w:sz w:val="32"/>
          <w:szCs w:val="32"/>
        </w:rPr>
        <w:t>和生活垃圾纳入南县第二污水处理厂处置体系。</w:t>
      </w:r>
    </w:p>
    <w:p>
      <w:pPr>
        <w:spacing w:after="0" w:line="520" w:lineRule="exact"/>
        <w:ind w:firstLine="480"/>
        <w:jc w:val="both"/>
        <w:rPr>
          <w:rFonts w:ascii="仿宋" w:hAnsi="仿宋" w:eastAsia="仿宋"/>
          <w:sz w:val="32"/>
          <w:szCs w:val="32"/>
        </w:rPr>
      </w:pPr>
      <w:r>
        <w:rPr>
          <w:rFonts w:hint="eastAsia" w:ascii="仿宋" w:hAnsi="仿宋" w:eastAsia="仿宋"/>
          <w:sz w:val="32"/>
          <w:szCs w:val="32"/>
        </w:rPr>
        <w:t>（六）建立健全污泥管理制度，建立污泥转移联单制度，加强污泥的运输管理，确保各污水处理厂产生的污泥进入处理中心得到有效处置，防止环境污染事故的发生。</w:t>
      </w:r>
      <w:bookmarkStart w:id="14" w:name="_GoBack"/>
      <w:bookmarkEnd w:id="14"/>
    </w:p>
    <w:p>
      <w:pPr>
        <w:spacing w:after="0" w:line="520" w:lineRule="exact"/>
        <w:ind w:firstLine="640" w:firstLineChars="200"/>
        <w:jc w:val="both"/>
        <w:rPr>
          <w:rFonts w:ascii="仿宋" w:hAnsi="仿宋" w:eastAsia="仿宋"/>
          <w:sz w:val="32"/>
          <w:szCs w:val="32"/>
        </w:rPr>
      </w:pPr>
      <w:r>
        <w:rPr>
          <w:rFonts w:hint="eastAsia" w:ascii="仿宋" w:hAnsi="仿宋" w:eastAsia="仿宋"/>
          <w:sz w:val="32"/>
          <w:szCs w:val="32"/>
          <w:lang w:val="en-GB"/>
        </w:rPr>
        <w:t>三、</w:t>
      </w:r>
      <w:r>
        <w:rPr>
          <w:rFonts w:hint="eastAsia" w:ascii="仿宋" w:hAnsi="仿宋" w:eastAsia="仿宋"/>
          <w:spacing w:val="8"/>
          <w:sz w:val="32"/>
          <w:szCs w:val="32"/>
          <w:lang w:val="en-GB"/>
        </w:rPr>
        <w:t>项目批复后，</w:t>
      </w:r>
      <w:r>
        <w:rPr>
          <w:rFonts w:hint="eastAsia" w:ascii="仿宋" w:hAnsi="仿宋" w:eastAsia="仿宋"/>
          <w:sz w:val="32"/>
          <w:szCs w:val="32"/>
        </w:rPr>
        <w:t>须按照《固定污染源排污许可分类管理名录》(2019年版) 和《排污许可管理办法（试行）》（环保部令第48号）的要求及时办理排污许可证变更相关手续。同时，</w:t>
      </w:r>
      <w:r>
        <w:rPr>
          <w:rFonts w:hint="eastAsia" w:ascii="仿宋" w:hAnsi="仿宋" w:eastAsia="仿宋"/>
          <w:sz w:val="32"/>
          <w:szCs w:val="32"/>
          <w:lang w:val="en-GB"/>
        </w:rPr>
        <w:t>按</w:t>
      </w:r>
      <w:r>
        <w:rPr>
          <w:rFonts w:hint="eastAsia" w:ascii="仿宋" w:hAnsi="仿宋" w:eastAsia="仿宋"/>
          <w:sz w:val="32"/>
          <w:szCs w:val="32"/>
        </w:rPr>
        <w:t>《建设项目环境保护管理条例》</w:t>
      </w:r>
      <w:r>
        <w:rPr>
          <w:rFonts w:hint="eastAsia" w:ascii="仿宋" w:hAnsi="仿宋" w:eastAsia="仿宋"/>
          <w:sz w:val="32"/>
          <w:szCs w:val="32"/>
          <w:lang w:val="en-GB"/>
        </w:rPr>
        <w:t>的有关规定，及时办理</w:t>
      </w:r>
      <w:r>
        <w:rPr>
          <w:rFonts w:hint="eastAsia" w:ascii="仿宋" w:hAnsi="仿宋" w:eastAsia="仿宋"/>
          <w:sz w:val="32"/>
          <w:szCs w:val="32"/>
        </w:rPr>
        <w:t>项目</w:t>
      </w:r>
      <w:r>
        <w:rPr>
          <w:rFonts w:hint="eastAsia" w:ascii="仿宋" w:hAnsi="仿宋" w:eastAsia="仿宋"/>
          <w:sz w:val="32"/>
          <w:szCs w:val="32"/>
          <w:lang w:val="en-GB"/>
        </w:rPr>
        <w:t>竣工环保验收手续</w:t>
      </w:r>
      <w:r>
        <w:rPr>
          <w:rFonts w:hint="eastAsia" w:ascii="仿宋" w:hAnsi="仿宋" w:eastAsia="仿宋"/>
          <w:sz w:val="32"/>
          <w:szCs w:val="32"/>
        </w:rPr>
        <w:t>。</w:t>
      </w:r>
      <w:r>
        <w:rPr>
          <w:rFonts w:hint="eastAsia" w:ascii="仿宋" w:hAnsi="仿宋" w:eastAsia="仿宋"/>
          <w:bCs/>
          <w:sz w:val="32"/>
          <w:szCs w:val="32"/>
        </w:rPr>
        <w:t>益阳市生态环境局南县分局</w:t>
      </w:r>
      <w:r>
        <w:rPr>
          <w:rFonts w:hint="eastAsia" w:ascii="仿宋" w:hAnsi="仿宋" w:eastAsia="仿宋"/>
          <w:sz w:val="32"/>
          <w:szCs w:val="32"/>
        </w:rPr>
        <w:t>负责项目建设期间的“三同时”现场监督检查和日常环境管理。</w:t>
      </w:r>
    </w:p>
    <w:p>
      <w:pPr>
        <w:spacing w:after="0" w:line="520" w:lineRule="exact"/>
        <w:ind w:firstLine="640" w:firstLineChars="200"/>
        <w:jc w:val="both"/>
        <w:rPr>
          <w:rFonts w:ascii="仿宋" w:hAnsi="仿宋" w:eastAsia="仿宋"/>
          <w:sz w:val="32"/>
          <w:szCs w:val="32"/>
        </w:rPr>
      </w:pPr>
      <w:r>
        <w:rPr>
          <w:rFonts w:hint="eastAsia" w:ascii="仿宋" w:hAnsi="仿宋" w:eastAsia="仿宋"/>
          <w:sz w:val="32"/>
          <w:szCs w:val="32"/>
        </w:rPr>
        <w:t>四、</w:t>
      </w:r>
      <w:r>
        <w:rPr>
          <w:rFonts w:hint="eastAsia" w:ascii="仿宋" w:hAnsi="仿宋" w:eastAsia="仿宋"/>
          <w:sz w:val="32"/>
          <w:szCs w:val="32"/>
          <w:lang w:val="en-GB"/>
        </w:rPr>
        <w:t>建设单位应在收到本批复后 15 个工作日内，将本批复及项目环评报告书送</w:t>
      </w:r>
      <w:r>
        <w:rPr>
          <w:rFonts w:hint="eastAsia" w:ascii="仿宋" w:hAnsi="仿宋" w:eastAsia="仿宋"/>
          <w:bCs/>
          <w:sz w:val="32"/>
          <w:szCs w:val="32"/>
        </w:rPr>
        <w:t>益阳市生态环境局南县分局</w:t>
      </w:r>
      <w:r>
        <w:rPr>
          <w:rFonts w:hint="eastAsia" w:ascii="仿宋" w:hAnsi="仿宋" w:eastAsia="仿宋"/>
          <w:sz w:val="32"/>
          <w:szCs w:val="32"/>
          <w:lang w:val="en-GB"/>
        </w:rPr>
        <w:t>。</w:t>
      </w:r>
    </w:p>
    <w:p>
      <w:pPr>
        <w:spacing w:after="0" w:line="520" w:lineRule="exact"/>
        <w:ind w:left="5493" w:leftChars="2497"/>
        <w:jc w:val="both"/>
        <w:rPr>
          <w:rFonts w:ascii="仿宋" w:hAnsi="仿宋" w:eastAsia="仿宋"/>
          <w:sz w:val="32"/>
          <w:szCs w:val="32"/>
        </w:rPr>
      </w:pPr>
    </w:p>
    <w:p>
      <w:pPr>
        <w:spacing w:line="520" w:lineRule="exact"/>
        <w:ind w:left="5493" w:leftChars="2497"/>
        <w:jc w:val="both"/>
        <w:rPr>
          <w:rFonts w:ascii="仿宋" w:hAnsi="仿宋" w:eastAsia="仿宋"/>
          <w:sz w:val="32"/>
          <w:szCs w:val="32"/>
        </w:rPr>
      </w:pPr>
    </w:p>
    <w:p>
      <w:pPr>
        <w:spacing w:line="520" w:lineRule="exact"/>
        <w:ind w:left="5493" w:leftChars="2497"/>
        <w:jc w:val="both"/>
        <w:rPr>
          <w:rFonts w:ascii="仿宋" w:hAnsi="仿宋" w:eastAsia="仿宋"/>
          <w:sz w:val="32"/>
          <w:szCs w:val="32"/>
        </w:rPr>
      </w:pPr>
      <w:r>
        <w:rPr>
          <w:rFonts w:hint="eastAsia" w:ascii="仿宋" w:hAnsi="仿宋" w:eastAsia="仿宋"/>
          <w:sz w:val="32"/>
          <w:szCs w:val="32"/>
        </w:rPr>
        <w:t>益阳市生态环境局</w:t>
      </w:r>
    </w:p>
    <w:p>
      <w:pPr>
        <w:spacing w:line="520" w:lineRule="exact"/>
        <w:ind w:left="5493" w:leftChars="2497"/>
        <w:jc w:val="both"/>
        <w:rPr>
          <w:rFonts w:ascii="仿宋" w:hAnsi="仿宋" w:eastAsia="仿宋"/>
          <w:sz w:val="32"/>
          <w:szCs w:val="32"/>
        </w:rPr>
      </w:pPr>
      <w:r>
        <w:rPr>
          <w:rFonts w:hint="eastAsia" w:ascii="仿宋" w:hAnsi="仿宋" w:eastAsia="仿宋"/>
          <w:sz w:val="32"/>
          <w:szCs w:val="32"/>
        </w:rPr>
        <w:t>2020年9月17日</w:t>
      </w:r>
    </w:p>
    <w:sectPr>
      <w:pgSz w:w="11906" w:h="16838"/>
      <w:pgMar w:top="1440" w:right="1800" w:bottom="1440" w:left="1800" w:header="708" w:footer="708"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D31D50"/>
    <w:rsid w:val="00003FFC"/>
    <w:rsid w:val="000560FB"/>
    <w:rsid w:val="00063B06"/>
    <w:rsid w:val="000D6E88"/>
    <w:rsid w:val="00100D96"/>
    <w:rsid w:val="00112D45"/>
    <w:rsid w:val="001C30B0"/>
    <w:rsid w:val="001D3DCA"/>
    <w:rsid w:val="0027541B"/>
    <w:rsid w:val="002C0E29"/>
    <w:rsid w:val="00311D52"/>
    <w:rsid w:val="003146AA"/>
    <w:rsid w:val="0031650D"/>
    <w:rsid w:val="00323B43"/>
    <w:rsid w:val="00346952"/>
    <w:rsid w:val="003D37D8"/>
    <w:rsid w:val="00426133"/>
    <w:rsid w:val="004358AB"/>
    <w:rsid w:val="004D6C26"/>
    <w:rsid w:val="004E0913"/>
    <w:rsid w:val="005535EE"/>
    <w:rsid w:val="00635D7B"/>
    <w:rsid w:val="006D3930"/>
    <w:rsid w:val="00756E1F"/>
    <w:rsid w:val="007902DB"/>
    <w:rsid w:val="007A472B"/>
    <w:rsid w:val="008153E0"/>
    <w:rsid w:val="0082508D"/>
    <w:rsid w:val="008468B1"/>
    <w:rsid w:val="008B7726"/>
    <w:rsid w:val="008C71F5"/>
    <w:rsid w:val="00906F40"/>
    <w:rsid w:val="009462F6"/>
    <w:rsid w:val="009540B5"/>
    <w:rsid w:val="0097001E"/>
    <w:rsid w:val="0098001C"/>
    <w:rsid w:val="00A60E10"/>
    <w:rsid w:val="00AA59D0"/>
    <w:rsid w:val="00AF36CB"/>
    <w:rsid w:val="00AF476E"/>
    <w:rsid w:val="00B1066D"/>
    <w:rsid w:val="00B3335F"/>
    <w:rsid w:val="00B47250"/>
    <w:rsid w:val="00B80A68"/>
    <w:rsid w:val="00BB498B"/>
    <w:rsid w:val="00BD1D1A"/>
    <w:rsid w:val="00BF0725"/>
    <w:rsid w:val="00BF07C5"/>
    <w:rsid w:val="00C1777F"/>
    <w:rsid w:val="00C21704"/>
    <w:rsid w:val="00C2284D"/>
    <w:rsid w:val="00C30F7A"/>
    <w:rsid w:val="00C6407B"/>
    <w:rsid w:val="00CA55D4"/>
    <w:rsid w:val="00CF7FD3"/>
    <w:rsid w:val="00D17A5B"/>
    <w:rsid w:val="00D30715"/>
    <w:rsid w:val="00D31D50"/>
    <w:rsid w:val="00E055E6"/>
    <w:rsid w:val="00E77FDA"/>
    <w:rsid w:val="00EF2FAF"/>
    <w:rsid w:val="00F723A4"/>
    <w:rsid w:val="00F9621C"/>
    <w:rsid w:val="09990982"/>
    <w:rsid w:val="0B1F0837"/>
    <w:rsid w:val="195634ED"/>
    <w:rsid w:val="245E31FE"/>
    <w:rsid w:val="2C6A36CE"/>
    <w:rsid w:val="3B9868CD"/>
    <w:rsid w:val="5470655C"/>
    <w:rsid w:val="759D4B23"/>
    <w:rsid w:val="7F4A59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1"/>
    <w:unhideWhenUsed/>
    <w:qFormat/>
    <w:uiPriority w:val="99"/>
    <w:pPr>
      <w:spacing w:after="120"/>
    </w:pPr>
  </w:style>
  <w:style w:type="paragraph" w:styleId="3">
    <w:name w:val="Body Text Indent"/>
    <w:basedOn w:val="1"/>
    <w:link w:val="12"/>
    <w:semiHidden/>
    <w:unhideWhenUsed/>
    <w:qFormat/>
    <w:uiPriority w:val="99"/>
    <w:pPr>
      <w:spacing w:after="120"/>
      <w:ind w:left="420" w:leftChars="200"/>
    </w:pPr>
  </w:style>
  <w:style w:type="paragraph" w:styleId="4">
    <w:name w:val="footer"/>
    <w:basedOn w:val="1"/>
    <w:link w:val="10"/>
    <w:semiHidden/>
    <w:unhideWhenUsed/>
    <w:qFormat/>
    <w:uiPriority w:val="99"/>
    <w:pPr>
      <w:tabs>
        <w:tab w:val="center" w:pos="4153"/>
        <w:tab w:val="right" w:pos="8306"/>
      </w:tabs>
    </w:pPr>
    <w:rPr>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jc w:val="center"/>
    </w:pPr>
    <w:rPr>
      <w:sz w:val="18"/>
      <w:szCs w:val="18"/>
    </w:rPr>
  </w:style>
  <w:style w:type="paragraph" w:styleId="6">
    <w:name w:val="toc 2"/>
    <w:basedOn w:val="1"/>
    <w:next w:val="1"/>
    <w:unhideWhenUsed/>
    <w:qFormat/>
    <w:uiPriority w:val="0"/>
    <w:pPr>
      <w:ind w:left="420" w:leftChars="200"/>
    </w:pPr>
  </w:style>
  <w:style w:type="character" w:customStyle="1" w:styleId="9">
    <w:name w:val="页眉 Char"/>
    <w:basedOn w:val="8"/>
    <w:link w:val="5"/>
    <w:semiHidden/>
    <w:qFormat/>
    <w:uiPriority w:val="99"/>
    <w:rPr>
      <w:rFonts w:ascii="Tahoma" w:hAnsi="Tahoma"/>
      <w:sz w:val="18"/>
      <w:szCs w:val="18"/>
    </w:rPr>
  </w:style>
  <w:style w:type="character" w:customStyle="1" w:styleId="10">
    <w:name w:val="页脚 Char"/>
    <w:basedOn w:val="8"/>
    <w:link w:val="4"/>
    <w:semiHidden/>
    <w:uiPriority w:val="99"/>
    <w:rPr>
      <w:rFonts w:ascii="Tahoma" w:hAnsi="Tahoma"/>
      <w:sz w:val="18"/>
      <w:szCs w:val="18"/>
    </w:rPr>
  </w:style>
  <w:style w:type="character" w:customStyle="1" w:styleId="11">
    <w:name w:val="正文文本 Char"/>
    <w:basedOn w:val="8"/>
    <w:link w:val="2"/>
    <w:qFormat/>
    <w:uiPriority w:val="99"/>
    <w:rPr>
      <w:rFonts w:ascii="Tahoma" w:hAnsi="Tahoma"/>
    </w:rPr>
  </w:style>
  <w:style w:type="character" w:customStyle="1" w:styleId="12">
    <w:name w:val="正文文本缩进 Char"/>
    <w:basedOn w:val="8"/>
    <w:link w:val="3"/>
    <w:qFormat/>
    <w:uiPriority w:val="0"/>
    <w:rPr>
      <w:rFonts w:ascii="Tahoma" w:hAnsi="Tahoma"/>
    </w:rPr>
  </w:style>
  <w:style w:type="character" w:customStyle="1" w:styleId="13">
    <w:name w:val="表文字 Char"/>
    <w:link w:val="14"/>
    <w:uiPriority w:val="0"/>
    <w:rPr>
      <w:rFonts w:ascii="Times New Roman" w:hAnsi="Times New Roman" w:eastAsia="宋体" w:cs="Times New Roman"/>
      <w:sz w:val="21"/>
      <w:szCs w:val="20"/>
    </w:rPr>
  </w:style>
  <w:style w:type="paragraph" w:customStyle="1" w:styleId="14">
    <w:name w:val="表文字"/>
    <w:basedOn w:val="1"/>
    <w:link w:val="13"/>
    <w:qFormat/>
    <w:uiPriority w:val="0"/>
    <w:pPr>
      <w:widowControl w:val="0"/>
      <w:overflowPunct w:val="0"/>
      <w:topLinePunct/>
      <w:spacing w:after="0"/>
      <w:jc w:val="center"/>
      <w:textAlignment w:val="baseline"/>
    </w:pPr>
    <w:rPr>
      <w:rFonts w:ascii="Times New Roman" w:hAnsi="Times New Roman" w:eastAsia="宋体" w:cs="Times New Roman"/>
      <w:sz w:val="21"/>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2D3041-5851-4B15-9D09-85421B7ABFD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233</Words>
  <Characters>1332</Characters>
  <Lines>11</Lines>
  <Paragraphs>3</Paragraphs>
  <TotalTime>14</TotalTime>
  <ScaleCrop>false</ScaleCrop>
  <LinksUpToDate>false</LinksUpToDate>
  <CharactersWithSpaces>1562</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哎哟</cp:lastModifiedBy>
  <cp:lastPrinted>2020-09-17T00:59:35Z</cp:lastPrinted>
  <dcterms:modified xsi:type="dcterms:W3CDTF">2020-09-17T01:02:29Z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