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20" w:lineRule="exact"/>
        <w:ind w:firstLine="0"/>
        <w:jc w:val="center"/>
        <w:textAlignment w:val="auto"/>
        <w:rPr>
          <w:rFonts w:hint="eastAsia" w:ascii="方正小标宋简体" w:eastAsia="方正小标宋简体"/>
          <w:sz w:val="24"/>
          <w:szCs w:val="24"/>
        </w:rPr>
      </w:pPr>
    </w:p>
    <w:p>
      <w:pPr>
        <w:keepNext w:val="0"/>
        <w:keepLines w:val="0"/>
        <w:pageBreakBefore w:val="0"/>
        <w:widowControl/>
        <w:kinsoku/>
        <w:wordWrap/>
        <w:overflowPunct/>
        <w:topLinePunct w:val="0"/>
        <w:autoSpaceDE/>
        <w:autoSpaceDN/>
        <w:bidi w:val="0"/>
        <w:adjustRightInd w:val="0"/>
        <w:snapToGrid w:val="0"/>
        <w:spacing w:line="520" w:lineRule="exact"/>
        <w:ind w:firstLine="0"/>
        <w:jc w:val="center"/>
        <w:textAlignment w:val="auto"/>
        <w:rPr>
          <w:rFonts w:hint="eastAsia" w:ascii="方正小标宋简体" w:eastAsia="方正小标宋简体"/>
          <w:sz w:val="24"/>
          <w:szCs w:val="24"/>
        </w:rPr>
      </w:pPr>
    </w:p>
    <w:p>
      <w:pPr>
        <w:keepNext w:val="0"/>
        <w:keepLines w:val="0"/>
        <w:pageBreakBefore w:val="0"/>
        <w:widowControl/>
        <w:kinsoku/>
        <w:wordWrap/>
        <w:overflowPunct/>
        <w:topLinePunct w:val="0"/>
        <w:autoSpaceDE/>
        <w:autoSpaceDN/>
        <w:bidi w:val="0"/>
        <w:adjustRightInd w:val="0"/>
        <w:snapToGrid w:val="0"/>
        <w:spacing w:line="520" w:lineRule="exact"/>
        <w:ind w:firstLine="0"/>
        <w:jc w:val="center"/>
        <w:textAlignment w:val="auto"/>
        <w:rPr>
          <w:rFonts w:hint="eastAsia" w:ascii="方正小标宋简体" w:eastAsia="方正小标宋简体"/>
          <w:sz w:val="24"/>
          <w:szCs w:val="24"/>
        </w:rPr>
      </w:pPr>
    </w:p>
    <w:p>
      <w:pPr>
        <w:jc w:val="right"/>
        <w:rPr>
          <w:rFonts w:ascii="仿宋_GB2312" w:hAnsi="仿宋" w:eastAsia="仿宋_GB2312"/>
          <w:color w:val="auto"/>
          <w:spacing w:val="-20"/>
          <w:sz w:val="30"/>
          <w:szCs w:val="30"/>
        </w:rPr>
      </w:pPr>
      <w:r>
        <w:rPr>
          <w:rFonts w:hint="eastAsia" w:ascii="宋体" w:hAnsi="宋体" w:eastAsia="宋体"/>
          <w:color w:val="auto"/>
          <w:sz w:val="28"/>
          <w:szCs w:val="28"/>
        </w:rPr>
        <w:t>益环</w:t>
      </w:r>
      <w:r>
        <w:rPr>
          <w:rFonts w:hint="eastAsia" w:ascii="宋体" w:hAnsi="宋体" w:eastAsia="宋体"/>
          <w:color w:val="auto"/>
          <w:sz w:val="28"/>
          <w:szCs w:val="28"/>
          <w:lang w:val="en-US" w:eastAsia="zh-CN"/>
        </w:rPr>
        <w:t>赫</w:t>
      </w:r>
      <w:r>
        <w:rPr>
          <w:rFonts w:hint="eastAsia" w:ascii="宋体" w:hAnsi="宋体" w:eastAsia="宋体"/>
          <w:color w:val="auto"/>
          <w:sz w:val="28"/>
          <w:szCs w:val="28"/>
        </w:rPr>
        <w:t>审</w:t>
      </w:r>
      <w:r>
        <w:rPr>
          <w:rFonts w:hint="eastAsia" w:ascii="宋体" w:hAnsi="宋体" w:eastAsia="宋体"/>
          <w:color w:val="auto"/>
          <w:sz w:val="28"/>
          <w:szCs w:val="28"/>
          <w:lang w:val="en-US" w:eastAsia="zh-CN"/>
        </w:rPr>
        <w:t>表</w:t>
      </w:r>
      <w:r>
        <w:rPr>
          <w:rFonts w:hint="eastAsia" w:ascii="宋体" w:hAnsi="宋体" w:eastAsia="宋体"/>
          <w:color w:val="auto"/>
          <w:sz w:val="28"/>
          <w:szCs w:val="28"/>
        </w:rPr>
        <w:t>〔20</w:t>
      </w:r>
      <w:r>
        <w:rPr>
          <w:rFonts w:hint="eastAsia" w:ascii="宋体" w:hAnsi="宋体" w:eastAsia="宋体"/>
          <w:color w:val="auto"/>
          <w:sz w:val="28"/>
          <w:szCs w:val="28"/>
          <w:lang w:val="en-US" w:eastAsia="zh-CN"/>
        </w:rPr>
        <w:t>20</w:t>
      </w:r>
      <w:r>
        <w:rPr>
          <w:rFonts w:hint="eastAsia" w:ascii="宋体" w:hAnsi="宋体" w:eastAsia="宋体"/>
          <w:color w:val="auto"/>
          <w:sz w:val="28"/>
          <w:szCs w:val="28"/>
        </w:rPr>
        <w:t>〕</w:t>
      </w:r>
      <w:r>
        <w:rPr>
          <w:rFonts w:hint="eastAsia" w:ascii="宋体" w:hAnsi="宋体" w:eastAsia="宋体"/>
          <w:color w:val="auto"/>
          <w:sz w:val="28"/>
          <w:szCs w:val="28"/>
          <w:lang w:val="en-US" w:eastAsia="zh-CN"/>
        </w:rPr>
        <w:t>55</w:t>
      </w:r>
      <w:r>
        <w:rPr>
          <w:rFonts w:hint="eastAsia" w:ascii="宋体" w:hAnsi="宋体" w:eastAsia="宋体"/>
          <w:color w:val="auto"/>
          <w:sz w:val="28"/>
          <w:szCs w:val="28"/>
        </w:rPr>
        <w:t>号</w:t>
      </w:r>
    </w:p>
    <w:p>
      <w:pPr>
        <w:keepNext w:val="0"/>
        <w:keepLines w:val="0"/>
        <w:pageBreakBefore w:val="0"/>
        <w:widowControl/>
        <w:tabs>
          <w:tab w:val="left" w:pos="1021"/>
        </w:tabs>
        <w:kinsoku/>
        <w:wordWrap/>
        <w:overflowPunct/>
        <w:topLinePunct w:val="0"/>
        <w:autoSpaceDE/>
        <w:autoSpaceDN/>
        <w:bidi w:val="0"/>
        <w:adjustRightInd w:val="0"/>
        <w:snapToGrid w:val="0"/>
        <w:spacing w:after="0" w:line="500" w:lineRule="exact"/>
        <w:jc w:val="center"/>
        <w:textAlignment w:val="auto"/>
        <w:rPr>
          <w:rFonts w:ascii="黑体" w:eastAsia="黑体" w:hAnsiTheme="minorEastAsia"/>
          <w:b/>
          <w:sz w:val="36"/>
          <w:szCs w:val="36"/>
        </w:rPr>
      </w:pPr>
      <w:r>
        <w:rPr>
          <w:rFonts w:hint="eastAsia" w:asciiTheme="majorEastAsia" w:hAnsiTheme="majorEastAsia" w:eastAsiaTheme="majorEastAsia" w:cstheme="majorEastAsia"/>
          <w:b/>
          <w:sz w:val="36"/>
          <w:szCs w:val="36"/>
        </w:rPr>
        <w:t>关于</w:t>
      </w:r>
      <w:r>
        <w:rPr>
          <w:rFonts w:hint="eastAsia" w:asciiTheme="majorEastAsia" w:hAnsiTheme="majorEastAsia" w:eastAsiaTheme="majorEastAsia" w:cstheme="majorEastAsia"/>
          <w:b/>
          <w:sz w:val="36"/>
          <w:szCs w:val="36"/>
          <w:lang w:eastAsia="zh-CN"/>
        </w:rPr>
        <w:t>《</w:t>
      </w:r>
      <w:r>
        <w:rPr>
          <w:rFonts w:hint="eastAsia" w:asciiTheme="majorEastAsia" w:hAnsiTheme="majorEastAsia" w:eastAsiaTheme="majorEastAsia" w:cstheme="majorEastAsia"/>
          <w:b/>
          <w:sz w:val="36"/>
          <w:szCs w:val="36"/>
        </w:rPr>
        <w:t>益阳市沧水铺镇人民政府</w:t>
      </w:r>
      <w:r>
        <w:rPr>
          <w:rFonts w:hint="eastAsia" w:asciiTheme="majorEastAsia" w:hAnsiTheme="majorEastAsia" w:eastAsiaTheme="majorEastAsia" w:cstheme="majorEastAsia"/>
          <w:b/>
          <w:sz w:val="36"/>
          <w:szCs w:val="36"/>
          <w:lang w:eastAsia="zh-CN"/>
        </w:rPr>
        <w:t>益阳市两型实验区沧水铺片区污水管网建设工程项目</w:t>
      </w:r>
      <w:r>
        <w:rPr>
          <w:rFonts w:hint="eastAsia" w:asciiTheme="majorEastAsia" w:hAnsiTheme="majorEastAsia" w:eastAsiaTheme="majorEastAsia" w:cstheme="majorEastAsia"/>
          <w:b/>
          <w:sz w:val="36"/>
          <w:szCs w:val="36"/>
        </w:rPr>
        <w:t>环境影响报告表</w:t>
      </w:r>
      <w:r>
        <w:rPr>
          <w:rFonts w:hint="eastAsia" w:asciiTheme="majorEastAsia" w:hAnsiTheme="majorEastAsia" w:eastAsiaTheme="majorEastAsia" w:cstheme="majorEastAsia"/>
          <w:b/>
          <w:sz w:val="36"/>
          <w:szCs w:val="36"/>
          <w:lang w:eastAsia="zh-CN"/>
        </w:rPr>
        <w:t>》</w:t>
      </w:r>
      <w:r>
        <w:rPr>
          <w:rFonts w:hint="eastAsia" w:asciiTheme="majorEastAsia" w:hAnsiTheme="majorEastAsia" w:eastAsiaTheme="majorEastAsia" w:cstheme="majorEastAsia"/>
          <w:b/>
          <w:sz w:val="36"/>
          <w:szCs w:val="36"/>
        </w:rPr>
        <w:t>的批复</w:t>
      </w:r>
    </w:p>
    <w:p>
      <w:pPr>
        <w:spacing w:line="520" w:lineRule="exact"/>
        <w:jc w:val="both"/>
        <w:rPr>
          <w:rFonts w:ascii="仿宋_GB2312" w:hAnsi="仿宋" w:eastAsia="仿宋_GB2312" w:cs="Times New Roman"/>
          <w:sz w:val="32"/>
          <w:szCs w:val="32"/>
        </w:rPr>
      </w:pPr>
      <w:bookmarkStart w:id="0" w:name="_GoBack"/>
      <w:bookmarkEnd w:id="0"/>
    </w:p>
    <w:p>
      <w:pPr>
        <w:keepNext w:val="0"/>
        <w:keepLines w:val="0"/>
        <w:pageBreakBefore w:val="0"/>
        <w:widowControl/>
        <w:kinsoku/>
        <w:wordWrap/>
        <w:overflowPunct/>
        <w:topLinePunct w:val="0"/>
        <w:autoSpaceDE/>
        <w:autoSpaceDN/>
        <w:bidi w:val="0"/>
        <w:adjustRightInd w:val="0"/>
        <w:snapToGrid w:val="0"/>
        <w:spacing w:after="0" w:line="4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益阳市沧水铺镇人民政府：</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你单位呈报的《益阳市两型实验区沧水铺片区污水管网建设工程项目环境影响报告表》</w:t>
      </w:r>
      <w:r>
        <w:rPr>
          <w:rFonts w:hint="eastAsia" w:ascii="仿宋_GB2312" w:hAnsi="仿宋_GB2312" w:eastAsia="仿宋_GB2312" w:cs="仿宋_GB2312"/>
          <w:sz w:val="28"/>
          <w:szCs w:val="28"/>
        </w:rPr>
        <w:t>（以下简称《报告表》）及相关资料收悉。经研究，批复如下：</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48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益阳市沧水铺镇人民政府拟对益阳市两型实验区沧水铺片区污水管网进行改建及新建，污水管网总长度为15793m，其中新建污水管网7773m，改建污水管网8020m。项目总投资5000万元，此项目为污水管网工程，总投资即为环保投资。项目建成后，将基本实现雨污分流，污水全部经管网排入益阳市东部新区污水处理厂进行处理，减少镇区污水对周边地表水体的污染。</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48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项目建设符合国家相关产业政策，根据</w:t>
      </w:r>
      <w:r>
        <w:rPr>
          <w:rFonts w:hint="eastAsia" w:ascii="仿宋_GB2312" w:hAnsi="仿宋_GB2312" w:eastAsia="仿宋_GB2312" w:cs="仿宋_GB2312"/>
          <w:sz w:val="28"/>
          <w:szCs w:val="28"/>
          <w:lang w:eastAsia="zh-CN"/>
        </w:rPr>
        <w:t>湖南知成环保服务有限公司</w:t>
      </w:r>
      <w:r>
        <w:rPr>
          <w:rFonts w:hint="eastAsia" w:ascii="仿宋_GB2312" w:hAnsi="仿宋_GB2312" w:eastAsia="仿宋_GB2312" w:cs="仿宋_GB2312"/>
          <w:sz w:val="28"/>
          <w:szCs w:val="28"/>
        </w:rPr>
        <w:t>编制的环评报告表的分析结论，在建设单位严格落实各项污染治理和风险防范措施，确保各项污染物稳定达标、环境风险可控的前提下，从环境保护的角度，我局同意建设单位按照报告表所列工程方案实施项目建设。</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建设单位在项目设计、建设和运营管理中，</w:t>
      </w:r>
      <w:r>
        <w:rPr>
          <w:rFonts w:hint="eastAsia" w:ascii="仿宋_GB2312" w:hAnsi="仿宋_GB2312" w:eastAsia="仿宋_GB2312" w:cs="仿宋_GB2312"/>
          <w:sz w:val="28"/>
          <w:szCs w:val="28"/>
          <w:lang w:eastAsia="zh-CN"/>
        </w:rPr>
        <w:t>必须严格按照</w:t>
      </w:r>
      <w:r>
        <w:rPr>
          <w:rFonts w:hint="eastAsia" w:ascii="仿宋_GB2312" w:hAnsi="仿宋_GB2312" w:eastAsia="仿宋_GB2312" w:cs="仿宋_GB2312"/>
          <w:sz w:val="28"/>
          <w:szCs w:val="28"/>
        </w:rPr>
        <w:t>《报告表》提出的各项污染防治和风险防范措施以及建议内容，确保各污染物达标排放，并着重做好如下工作：</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工程应按国家的相关法律法规，做好土地调整、基础设施拆迁补偿等工作；妥善解决好工程路面拆除中的社会环境问题。</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（二）加强施工管理，对运输的道路及时清扫和浇水，配置工地细目抑尘防护网，采用封闭车辆运输等措施减少施工扬尘对周围环境空气的影响。 </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（三）施工场地设置截水沟和临时简易防渗隔油池、沉淀池等措施，确保施工废水经隔油池、沉淀池预处理后全部回用于施工现场洒水降尘，不在施工现场积聚，不外排。</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合理布置施工场地和安排施工时间，学校等敏感区域采区错时施工；临居民区较近的区域晚22:00-06:00时禁止施工，以减轻施工对周边环境的影响；施工场地应严格遵守《建筑施工场界环境噪声排放标准》（GB12523-2011）的要求，采用低噪声施工设备，施工边界四周设置临时围挡等措施，避免施工噪声对居民正常生活、学校正常上课产生影响。</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（五）施工期产生的建筑垃圾及废弃土方尽量综合利用，不能综合利用的应集中堆放，设置专人管理，并及时运至城市管理部门指定的地点处置。</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（六）采取有效的水保和水生态恢复措施，严格按照有关施工规范合理安排施工程序；减少堆土、裸土的暴露时间；并及时做好平整、防护、绿化及生态恢复工作。</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（七）加强营运期日常巡查，防止因堵塞而使管道破裂，泄漏污水对地表水、地下水、土壤环境造成污染。</w:t>
      </w:r>
    </w:p>
    <w:p>
      <w:pPr>
        <w:keepNext w:val="0"/>
        <w:keepLines w:val="0"/>
        <w:pageBreakBefore w:val="0"/>
        <w:widowControl/>
        <w:kinsoku/>
        <w:wordWrap/>
        <w:overflowPunct/>
        <w:topLinePunct w:val="0"/>
        <w:autoSpaceDE/>
        <w:autoSpaceDN/>
        <w:bidi w:val="0"/>
        <w:adjustRightInd w:val="0"/>
        <w:snapToGrid w:val="0"/>
        <w:spacing w:after="0" w:line="48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四、益阳市沧水铺镇人民政府在本次环评审批手续后，严格按照《报告表》的内容和批复落实各项污染防治措施，项目建成后，应按规定程序及时进行竣工验收。</w:t>
      </w:r>
      <w:r>
        <w:rPr>
          <w:rFonts w:hint="eastAsia" w:ascii="仿宋_GB2312" w:hAnsi="仿宋_GB2312" w:eastAsia="仿宋_GB2312" w:cs="仿宋_GB2312"/>
          <w:sz w:val="28"/>
          <w:szCs w:val="28"/>
        </w:rPr>
        <w:t xml:space="preserve"> </w:t>
      </w:r>
    </w:p>
    <w:p>
      <w:pPr>
        <w:rPr>
          <w:sz w:val="28"/>
          <w:szCs w:val="28"/>
        </w:rPr>
      </w:pPr>
      <w:r>
        <w:rPr>
          <w:rFonts w:hint="eastAsia"/>
          <w:sz w:val="28"/>
          <w:szCs w:val="28"/>
        </w:rPr>
        <w:t xml:space="preserve">                </w:t>
      </w:r>
    </w:p>
    <w:p>
      <w:pPr>
        <w:keepNext w:val="0"/>
        <w:keepLines w:val="0"/>
        <w:pageBreakBefore w:val="0"/>
        <w:widowControl/>
        <w:kinsoku/>
        <w:wordWrap/>
        <w:overflowPunct/>
        <w:topLinePunct w:val="0"/>
        <w:autoSpaceDE/>
        <w:autoSpaceDN/>
        <w:bidi w:val="0"/>
        <w:adjustRightInd w:val="0"/>
        <w:snapToGrid w:val="0"/>
        <w:spacing w:after="0" w:line="500" w:lineRule="exact"/>
        <w:ind w:left="6070" w:leftChars="1550" w:hanging="2660" w:hangingChars="950"/>
        <w:textAlignment w:val="auto"/>
        <w:rPr>
          <w:rFonts w:hint="eastAsia" w:ascii="仿宋_GB2312" w:eastAsia="仿宋_GB2312"/>
          <w:sz w:val="28"/>
          <w:szCs w:val="28"/>
        </w:rPr>
      </w:pP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hint="eastAsia" w:ascii="仿宋_GB2312" w:hAnsi="仿宋_GB2312" w:eastAsia="仿宋_GB2312" w:cs="仿宋_GB2312"/>
          <w:sz w:val="28"/>
          <w:szCs w:val="28"/>
        </w:rPr>
        <w:t>益阳市</w:t>
      </w:r>
      <w:r>
        <w:rPr>
          <w:rFonts w:hint="eastAsia" w:ascii="仿宋_GB2312" w:hAnsi="仿宋_GB2312" w:eastAsia="仿宋_GB2312" w:cs="仿宋_GB2312"/>
          <w:sz w:val="28"/>
          <w:szCs w:val="28"/>
          <w:lang w:val="en-US" w:eastAsia="zh-CN"/>
        </w:rPr>
        <w:t>生态环境</w:t>
      </w:r>
      <w:r>
        <w:rPr>
          <w:rFonts w:hint="eastAsia" w:ascii="仿宋_GB2312" w:eastAsia="仿宋_GB2312"/>
          <w:sz w:val="28"/>
          <w:szCs w:val="28"/>
        </w:rPr>
        <w:t xml:space="preserve">局                              </w:t>
      </w:r>
    </w:p>
    <w:p>
      <w:pPr>
        <w:keepNext w:val="0"/>
        <w:keepLines w:val="0"/>
        <w:pageBreakBefore w:val="0"/>
        <w:widowControl/>
        <w:kinsoku/>
        <w:wordWrap/>
        <w:overflowPunct/>
        <w:topLinePunct w:val="0"/>
        <w:autoSpaceDE/>
        <w:autoSpaceDN/>
        <w:bidi w:val="0"/>
        <w:adjustRightInd w:val="0"/>
        <w:snapToGrid w:val="0"/>
        <w:spacing w:after="0" w:line="500" w:lineRule="exact"/>
        <w:ind w:left="180" w:firstLine="280" w:firstLineChars="100"/>
        <w:jc w:val="both"/>
        <w:textAlignment w:val="auto"/>
        <w:rPr>
          <w:rFonts w:ascii="仿宋_GB2312" w:eastAsia="仿宋_GB2312"/>
        </w:rPr>
      </w:pP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20</w:t>
      </w:r>
      <w:r>
        <w:rPr>
          <w:rFonts w:hint="eastAsia" w:ascii="仿宋_GB2312" w:hAnsi="仿宋" w:eastAsia="仿宋_GB2312"/>
          <w:sz w:val="28"/>
          <w:szCs w:val="28"/>
          <w:lang w:val="en-US" w:eastAsia="zh-CN"/>
        </w:rPr>
        <w:t>20</w:t>
      </w:r>
      <w:r>
        <w:rPr>
          <w:rFonts w:hint="eastAsia" w:ascii="仿宋_GB2312" w:hAnsi="仿宋" w:eastAsia="仿宋_GB2312"/>
          <w:sz w:val="28"/>
          <w:szCs w:val="28"/>
        </w:rPr>
        <w:t>年</w:t>
      </w:r>
      <w:r>
        <w:rPr>
          <w:rFonts w:hint="eastAsia" w:ascii="仿宋_GB2312" w:hAnsi="仿宋" w:eastAsia="仿宋_GB2312"/>
          <w:sz w:val="28"/>
          <w:szCs w:val="28"/>
          <w:lang w:val="en-US" w:eastAsia="zh-CN"/>
        </w:rPr>
        <w:t>12</w:t>
      </w:r>
      <w:r>
        <w:rPr>
          <w:rFonts w:hint="eastAsia" w:ascii="仿宋_GB2312" w:hAnsi="仿宋" w:eastAsia="仿宋_GB2312"/>
          <w:sz w:val="28"/>
          <w:szCs w:val="28"/>
        </w:rPr>
        <w:t>月</w:t>
      </w:r>
      <w:r>
        <w:rPr>
          <w:rFonts w:hint="eastAsia" w:ascii="仿宋_GB2312" w:hAnsi="仿宋" w:eastAsia="仿宋_GB2312"/>
          <w:sz w:val="28"/>
          <w:szCs w:val="28"/>
          <w:lang w:val="en-US" w:eastAsia="zh-CN"/>
        </w:rPr>
        <w:t>4</w:t>
      </w:r>
      <w:r>
        <w:rPr>
          <w:rFonts w:hint="eastAsia" w:ascii="仿宋_GB2312" w:hAnsi="仿宋" w:eastAsia="仿宋_GB2312"/>
          <w:sz w:val="28"/>
          <w:szCs w:val="28"/>
        </w:rPr>
        <w:t>日</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039F0"/>
    <w:multiLevelType w:val="singleLevel"/>
    <w:tmpl w:val="40B039F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33979"/>
    <w:rsid w:val="000B095D"/>
    <w:rsid w:val="000D217B"/>
    <w:rsid w:val="000F6CC1"/>
    <w:rsid w:val="001311FD"/>
    <w:rsid w:val="00187BDD"/>
    <w:rsid w:val="00251259"/>
    <w:rsid w:val="002A27B7"/>
    <w:rsid w:val="002A462E"/>
    <w:rsid w:val="00300444"/>
    <w:rsid w:val="00321A9D"/>
    <w:rsid w:val="00323B43"/>
    <w:rsid w:val="00381621"/>
    <w:rsid w:val="003D37D8"/>
    <w:rsid w:val="003E4ECD"/>
    <w:rsid w:val="003F0CF8"/>
    <w:rsid w:val="003F27DF"/>
    <w:rsid w:val="00426133"/>
    <w:rsid w:val="004358AB"/>
    <w:rsid w:val="004A4ECD"/>
    <w:rsid w:val="005517E9"/>
    <w:rsid w:val="006F5CD3"/>
    <w:rsid w:val="0071057F"/>
    <w:rsid w:val="007463E4"/>
    <w:rsid w:val="007808C7"/>
    <w:rsid w:val="00802E17"/>
    <w:rsid w:val="00875529"/>
    <w:rsid w:val="008B7726"/>
    <w:rsid w:val="008D4E75"/>
    <w:rsid w:val="00902D9C"/>
    <w:rsid w:val="00A7148C"/>
    <w:rsid w:val="00B9464E"/>
    <w:rsid w:val="00C01E3D"/>
    <w:rsid w:val="00D31D50"/>
    <w:rsid w:val="00D707E1"/>
    <w:rsid w:val="00E919A4"/>
    <w:rsid w:val="00EE63F2"/>
    <w:rsid w:val="00FC10F1"/>
    <w:rsid w:val="093C3569"/>
    <w:rsid w:val="0BA5409D"/>
    <w:rsid w:val="0C490EBE"/>
    <w:rsid w:val="0EC745CF"/>
    <w:rsid w:val="10775F29"/>
    <w:rsid w:val="10E10A22"/>
    <w:rsid w:val="15750F08"/>
    <w:rsid w:val="174F02C0"/>
    <w:rsid w:val="195E4E33"/>
    <w:rsid w:val="1CC0358D"/>
    <w:rsid w:val="1D9C6CE4"/>
    <w:rsid w:val="1DEA5727"/>
    <w:rsid w:val="249A2C63"/>
    <w:rsid w:val="278D3AEE"/>
    <w:rsid w:val="2FD0258D"/>
    <w:rsid w:val="2FE96708"/>
    <w:rsid w:val="30530494"/>
    <w:rsid w:val="35494905"/>
    <w:rsid w:val="3B434F44"/>
    <w:rsid w:val="401203BE"/>
    <w:rsid w:val="460B04B8"/>
    <w:rsid w:val="46170F6C"/>
    <w:rsid w:val="49E2650D"/>
    <w:rsid w:val="4B090FCF"/>
    <w:rsid w:val="4C9A080B"/>
    <w:rsid w:val="4D7F3226"/>
    <w:rsid w:val="4E3E388D"/>
    <w:rsid w:val="4EE23D27"/>
    <w:rsid w:val="54E87232"/>
    <w:rsid w:val="556C2743"/>
    <w:rsid w:val="55866DD3"/>
    <w:rsid w:val="599F0EFD"/>
    <w:rsid w:val="5B181FEA"/>
    <w:rsid w:val="6A0F1B33"/>
    <w:rsid w:val="6A782EA5"/>
    <w:rsid w:val="6AA164A0"/>
    <w:rsid w:val="6D1216B2"/>
    <w:rsid w:val="713A5AAA"/>
    <w:rsid w:val="7B1F15A1"/>
    <w:rsid w:val="7EF44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line="360" w:lineRule="exact"/>
      <w:ind w:left="0" w:right="0"/>
      <w:jc w:val="center"/>
    </w:pPr>
    <w:rPr>
      <w:rFonts w:ascii="Calibri" w:hAnsi="Calibri" w:cs="Calibri"/>
      <w:kern w:val="2"/>
      <w:sz w:val="21"/>
      <w:szCs w:val="22"/>
    </w:rPr>
    <w:tblPr>
      <w:tblCellMar>
        <w:top w:w="0" w:type="dxa"/>
        <w:left w:w="108" w:type="dxa"/>
        <w:bottom w:w="0" w:type="dxa"/>
        <w:right w:w="108" w:type="dxa"/>
      </w:tblCellMar>
    </w:tblPr>
  </w:style>
  <w:style w:type="paragraph" w:styleId="2">
    <w:name w:val="toc 2"/>
    <w:basedOn w:val="1"/>
    <w:next w:val="1"/>
    <w:qFormat/>
    <w:uiPriority w:val="0"/>
    <w:pPr>
      <w:ind w:left="420" w:leftChars="200"/>
    </w:pPr>
    <w:rPr>
      <w:szCs w:val="24"/>
    </w:rPr>
  </w:style>
  <w:style w:type="paragraph" w:styleId="4">
    <w:name w:val="Body Text"/>
    <w:basedOn w:val="1"/>
    <w:link w:val="15"/>
    <w:semiHidden/>
    <w:unhideWhenUsed/>
    <w:qFormat/>
    <w:uiPriority w:val="99"/>
    <w:pPr>
      <w:spacing w:after="120"/>
    </w:pPr>
  </w:style>
  <w:style w:type="paragraph" w:styleId="5">
    <w:name w:val="Body Text Indent"/>
    <w:basedOn w:val="1"/>
    <w:link w:val="17"/>
    <w:qFormat/>
    <w:uiPriority w:val="0"/>
    <w:pPr>
      <w:widowControl w:val="0"/>
      <w:tabs>
        <w:tab w:val="left" w:pos="5985"/>
      </w:tabs>
      <w:adjustRightInd/>
      <w:snapToGrid/>
      <w:spacing w:after="0"/>
      <w:ind w:firstLine="560" w:firstLineChars="200"/>
      <w:jc w:val="both"/>
    </w:pPr>
    <w:rPr>
      <w:rFonts w:ascii="Times New Roman" w:hAnsi="Times New Roman" w:eastAsia="宋体" w:cs="Times New Roman"/>
      <w:kern w:val="2"/>
      <w:sz w:val="28"/>
      <w:szCs w:val="24"/>
    </w:rPr>
  </w:style>
  <w:style w:type="paragraph" w:styleId="6">
    <w:name w:val="Balloon Text"/>
    <w:basedOn w:val="1"/>
    <w:link w:val="20"/>
    <w:semiHidden/>
    <w:unhideWhenUsed/>
    <w:qFormat/>
    <w:uiPriority w:val="99"/>
    <w:pPr>
      <w:spacing w:after="0"/>
    </w:pPr>
    <w:rPr>
      <w:sz w:val="18"/>
      <w:szCs w:val="18"/>
    </w:rPr>
  </w:style>
  <w:style w:type="paragraph" w:styleId="7">
    <w:name w:val="footer"/>
    <w:basedOn w:val="1"/>
    <w:link w:val="19"/>
    <w:unhideWhenUsed/>
    <w:qFormat/>
    <w:uiPriority w:val="99"/>
    <w:pPr>
      <w:tabs>
        <w:tab w:val="center" w:pos="4153"/>
        <w:tab w:val="right" w:pos="8306"/>
      </w:tabs>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Body Text First Indent 2"/>
    <w:basedOn w:val="5"/>
    <w:qFormat/>
    <w:uiPriority w:val="0"/>
    <w:pPr>
      <w:spacing w:after="120" w:afterLines="0"/>
      <w:ind w:left="420" w:leftChars="200" w:firstLine="420" w:firstLineChars="200"/>
    </w:pPr>
    <w:rPr>
      <w:sz w:val="21"/>
    </w:rPr>
  </w:style>
  <w:style w:type="character" w:styleId="13">
    <w:name w:val="FollowedHyperlink"/>
    <w:basedOn w:val="12"/>
    <w:semiHidden/>
    <w:unhideWhenUsed/>
    <w:qFormat/>
    <w:uiPriority w:val="99"/>
    <w:rPr>
      <w:color w:val="666666"/>
      <w:u w:val="none"/>
    </w:rPr>
  </w:style>
  <w:style w:type="character" w:styleId="14">
    <w:name w:val="Hyperlink"/>
    <w:basedOn w:val="12"/>
    <w:semiHidden/>
    <w:unhideWhenUsed/>
    <w:qFormat/>
    <w:uiPriority w:val="99"/>
    <w:rPr>
      <w:color w:val="666666"/>
      <w:u w:val="none"/>
    </w:rPr>
  </w:style>
  <w:style w:type="character" w:customStyle="1" w:styleId="15">
    <w:name w:val="正文文本 Char"/>
    <w:basedOn w:val="12"/>
    <w:link w:val="4"/>
    <w:semiHidden/>
    <w:qFormat/>
    <w:uiPriority w:val="99"/>
    <w:rPr>
      <w:rFonts w:ascii="Tahoma" w:hAnsi="Tahoma"/>
    </w:rPr>
  </w:style>
  <w:style w:type="paragraph" w:customStyle="1" w:styleId="16">
    <w:name w:val="li_正文"/>
    <w:basedOn w:val="1"/>
    <w:qFormat/>
    <w:uiPriority w:val="0"/>
    <w:pPr>
      <w:ind w:firstLine="200" w:firstLineChars="200"/>
      <w:jc w:val="left"/>
    </w:pPr>
    <w:rPr>
      <w:rFonts w:ascii="Calibri" w:hAnsi="Calibri" w:eastAsia="宋体" w:cs="Times New Roman"/>
      <w:sz w:val="28"/>
      <w:szCs w:val="28"/>
    </w:rPr>
  </w:style>
  <w:style w:type="character" w:customStyle="1" w:styleId="17">
    <w:name w:val="正文文本缩进 Char"/>
    <w:basedOn w:val="12"/>
    <w:link w:val="5"/>
    <w:qFormat/>
    <w:uiPriority w:val="0"/>
    <w:rPr>
      <w:rFonts w:ascii="Times New Roman" w:hAnsi="Times New Roman" w:eastAsia="宋体" w:cs="Times New Roman"/>
      <w:kern w:val="2"/>
      <w:sz w:val="28"/>
      <w:szCs w:val="24"/>
    </w:rPr>
  </w:style>
  <w:style w:type="character" w:customStyle="1" w:styleId="18">
    <w:name w:val="页眉 Char"/>
    <w:basedOn w:val="12"/>
    <w:link w:val="8"/>
    <w:qFormat/>
    <w:uiPriority w:val="99"/>
    <w:rPr>
      <w:rFonts w:ascii="Tahoma" w:hAnsi="Tahoma"/>
      <w:sz w:val="18"/>
      <w:szCs w:val="18"/>
    </w:rPr>
  </w:style>
  <w:style w:type="character" w:customStyle="1" w:styleId="19">
    <w:name w:val="页脚 Char"/>
    <w:basedOn w:val="12"/>
    <w:link w:val="7"/>
    <w:qFormat/>
    <w:uiPriority w:val="99"/>
    <w:rPr>
      <w:rFonts w:ascii="Tahoma" w:hAnsi="Tahoma"/>
      <w:sz w:val="18"/>
      <w:szCs w:val="18"/>
    </w:rPr>
  </w:style>
  <w:style w:type="character" w:customStyle="1" w:styleId="20">
    <w:name w:val="批注框文本 Char"/>
    <w:basedOn w:val="12"/>
    <w:link w:val="6"/>
    <w:semiHidden/>
    <w:qFormat/>
    <w:uiPriority w:val="99"/>
    <w:rPr>
      <w:rFonts w:ascii="Tahoma" w:hAnsi="Tahoma" w:eastAsia="微软雅黑" w:cstheme="minorBidi"/>
      <w:sz w:val="18"/>
      <w:szCs w:val="18"/>
    </w:rPr>
  </w:style>
  <w:style w:type="paragraph" w:customStyle="1" w:styleId="21">
    <w:name w:val="报告书正文"/>
    <w:basedOn w:val="1"/>
    <w:qFormat/>
    <w:uiPriority w:val="0"/>
    <w:pPr>
      <w:adjustRightInd w:val="0"/>
      <w:spacing w:line="360" w:lineRule="auto"/>
      <w:ind w:firstLine="200" w:firstLineChars="200"/>
      <w:textAlignment w:val="baseline"/>
    </w:pPr>
    <w:rPr>
      <w:kern w:val="0"/>
      <w:sz w:val="24"/>
      <w:szCs w:val="20"/>
    </w:rPr>
  </w:style>
  <w:style w:type="character" w:customStyle="1" w:styleId="22">
    <w:name w:val=" Char Char Char Char1"/>
    <w:basedOn w:val="12"/>
    <w:link w:val="23"/>
    <w:qFormat/>
    <w:uiPriority w:val="0"/>
    <w:rPr>
      <w:rFonts w:ascii="宋体" w:hAnsi="宋体" w:eastAsia="宋体" w:cs="宋体"/>
      <w:kern w:val="2"/>
      <w:sz w:val="24"/>
      <w:szCs w:val="24"/>
      <w:lang w:val="en-US" w:eastAsia="zh-CN" w:bidi="ar-SA"/>
    </w:rPr>
  </w:style>
  <w:style w:type="paragraph" w:customStyle="1" w:styleId="23">
    <w:name w:val=" Char Char Char"/>
    <w:basedOn w:val="1"/>
    <w:link w:val="22"/>
    <w:qFormat/>
    <w:uiPriority w:val="0"/>
    <w:pPr>
      <w:spacing w:line="360" w:lineRule="auto"/>
      <w:ind w:firstLine="200" w:firstLineChars="200"/>
    </w:pPr>
    <w:rPr>
      <w:rFonts w:ascii="宋体" w:hAnsi="宋体" w:eastAsia="宋体" w:cs="宋体"/>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hxdnkj</Company>
  <Pages>3</Pages>
  <Words>225</Words>
  <Characters>1286</Characters>
  <Lines>10</Lines>
  <Paragraphs>3</Paragraphs>
  <TotalTime>6</TotalTime>
  <ScaleCrop>false</ScaleCrop>
  <LinksUpToDate>false</LinksUpToDate>
  <CharactersWithSpaces>1508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2018-02-05T03:34:00Z</dcterms:created>
  <dc:creator>Administrator</dc:creator>
  <cp:lastModifiedBy>^v^D.mei</cp:lastModifiedBy>
  <cp:lastPrinted>2018-12-25T08:33:00Z</cp:lastPrinted>
  <dcterms:modified xsi:type="dcterms:W3CDTF">2020-12-10T07:14:50Z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