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hint="eastAsia" w:ascii="仿宋_GB2312" w:eastAsia="仿宋_GB2312"/>
          <w:color w:val="auto"/>
          <w:sz w:val="32"/>
          <w:szCs w:val="32"/>
        </w:rPr>
      </w:pPr>
      <w:r>
        <w:rPr>
          <w:rFonts w:hint="eastAsia" w:ascii="仿宋_GB2312" w:eastAsia="仿宋_GB2312"/>
          <w:color w:val="000000"/>
          <w:sz w:val="24"/>
        </w:rPr>
        <w:t xml:space="preserve">                                        </w:t>
      </w:r>
      <w:r>
        <w:rPr>
          <w:rFonts w:hint="eastAsia" w:ascii="仿宋_GB2312" w:eastAsia="仿宋_GB2312"/>
          <w:color w:val="auto"/>
          <w:sz w:val="28"/>
          <w:szCs w:val="28"/>
        </w:rPr>
        <w:t>益环</w:t>
      </w:r>
      <w:r>
        <w:rPr>
          <w:rFonts w:hint="eastAsia" w:ascii="仿宋_GB2312"/>
          <w:color w:val="auto"/>
          <w:sz w:val="28"/>
          <w:szCs w:val="28"/>
          <w:lang w:eastAsia="zh-CN"/>
        </w:rPr>
        <w:t>赫</w:t>
      </w:r>
      <w:r>
        <w:rPr>
          <w:rFonts w:hint="eastAsia" w:ascii="仿宋_GB2312" w:eastAsia="仿宋_GB2312"/>
          <w:color w:val="auto"/>
          <w:sz w:val="28"/>
          <w:szCs w:val="28"/>
        </w:rPr>
        <w:t>审</w:t>
      </w:r>
      <w:r>
        <w:rPr>
          <w:rFonts w:hint="eastAsia" w:ascii="仿宋_GB2312"/>
          <w:color w:val="auto"/>
          <w:sz w:val="28"/>
          <w:szCs w:val="28"/>
          <w:lang w:eastAsia="zh-CN"/>
        </w:rPr>
        <w:t>（表）</w:t>
      </w:r>
      <w:r>
        <w:rPr>
          <w:rFonts w:hint="eastAsia" w:ascii="仿宋_GB2312"/>
          <w:color w:val="auto"/>
          <w:sz w:val="28"/>
          <w:szCs w:val="28"/>
          <w:lang w:val="en-US" w:eastAsia="zh-CN"/>
        </w:rPr>
        <w:t>[2020</w:t>
      </w:r>
      <w:r>
        <w:rPr>
          <w:rFonts w:hint="eastAsia" w:ascii="仿宋_GB2312" w:eastAsia="仿宋_GB2312"/>
          <w:color w:val="auto"/>
          <w:sz w:val="28"/>
          <w:szCs w:val="28"/>
        </w:rPr>
        <w:t>]</w:t>
      </w:r>
      <w:r>
        <w:rPr>
          <w:rFonts w:hint="eastAsia" w:ascii="仿宋_GB2312"/>
          <w:color w:val="auto"/>
          <w:sz w:val="28"/>
          <w:szCs w:val="28"/>
          <w:lang w:val="en-US" w:eastAsia="zh-CN"/>
        </w:rPr>
        <w:t>40</w:t>
      </w:r>
      <w:r>
        <w:rPr>
          <w:rFonts w:hint="eastAsia" w:ascii="仿宋_GB2312" w:eastAsia="仿宋_GB2312"/>
          <w:color w:val="auto"/>
          <w:sz w:val="28"/>
          <w:szCs w:val="28"/>
        </w:rPr>
        <w:t>号</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eastAsia="zh-CN"/>
        </w:rPr>
        <w:t>《益阳市赫山区智涵机械有限公司年产200万件汽车配件建设项目</w:t>
      </w:r>
      <w:r>
        <w:rPr>
          <w:rFonts w:hint="eastAsia" w:ascii="方正小标宋简体" w:hAnsi="方正小标宋简体" w:eastAsia="方正小标宋简体" w:cs="方正小标宋简体"/>
          <w:b w:val="0"/>
          <w:bCs w:val="0"/>
          <w:sz w:val="44"/>
          <w:szCs w:val="44"/>
        </w:rPr>
        <w:t>环境影响报告表</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的批复</w:t>
      </w:r>
    </w:p>
    <w:p>
      <w:pPr>
        <w:spacing w:line="560" w:lineRule="exact"/>
        <w:rPr>
          <w:rFonts w:ascii="仿宋_GB2312" w:hAnsi="黑体" w:eastAsia="仿宋_GB2312"/>
          <w:color w:val="000000"/>
          <w:sz w:val="36"/>
          <w:szCs w:val="36"/>
        </w:rPr>
      </w:pPr>
    </w:p>
    <w:p>
      <w:pPr>
        <w:spacing w:line="560" w:lineRule="exact"/>
        <w:rPr>
          <w:rFonts w:ascii="仿宋_GB2312"/>
          <w:szCs w:val="32"/>
        </w:rPr>
      </w:pPr>
      <w:r>
        <w:rPr>
          <w:rFonts w:hint="eastAsia" w:ascii="仿宋_GB2312"/>
          <w:szCs w:val="32"/>
          <w:lang w:eastAsia="zh-CN"/>
        </w:rPr>
        <w:t>益阳市赫山区智涵机械有限公司</w:t>
      </w:r>
      <w:r>
        <w:rPr>
          <w:rFonts w:hint="eastAsia" w:ascii="仿宋_GB2312"/>
          <w:szCs w:val="32"/>
        </w:rPr>
        <w:t>：</w:t>
      </w:r>
    </w:p>
    <w:p>
      <w:pPr>
        <w:spacing w:line="560" w:lineRule="exact"/>
        <w:ind w:firstLine="656" w:firstLineChars="200"/>
        <w:rPr>
          <w:rFonts w:ascii="仿宋_GB2312"/>
          <w:szCs w:val="32"/>
        </w:rPr>
      </w:pPr>
      <w:r>
        <w:rPr>
          <w:rFonts w:hint="eastAsia" w:ascii="仿宋_GB2312" w:hAnsi="仿宋_GB2312" w:eastAsia="仿宋_GB2312" w:cs="仿宋_GB2312"/>
          <w:color w:val="000000"/>
          <w:spacing w:val="4"/>
          <w:szCs w:val="32"/>
        </w:rPr>
        <w:t>你</w:t>
      </w:r>
      <w:r>
        <w:rPr>
          <w:rFonts w:hint="eastAsia" w:ascii="仿宋_GB2312" w:hAnsi="仿宋_GB2312" w:cs="仿宋_GB2312"/>
          <w:bCs/>
          <w:szCs w:val="32"/>
          <w:lang w:eastAsia="zh-CN"/>
        </w:rPr>
        <w:t>单位</w:t>
      </w:r>
      <w:r>
        <w:rPr>
          <w:rFonts w:hint="eastAsia" w:ascii="仿宋_GB2312" w:hAnsi="仿宋_GB2312" w:eastAsia="仿宋_GB2312" w:cs="仿宋_GB2312"/>
          <w:bCs/>
          <w:szCs w:val="32"/>
        </w:rPr>
        <w:t>呈报的《</w:t>
      </w:r>
      <w:r>
        <w:rPr>
          <w:rFonts w:hint="eastAsia" w:ascii="仿宋_GB2312" w:hAnsi="仿宋_GB2312" w:cs="仿宋_GB2312"/>
          <w:bCs/>
          <w:szCs w:val="32"/>
          <w:lang w:eastAsia="zh-CN"/>
        </w:rPr>
        <w:t>益阳市赫山区智涵机械有限公司年产200万件汽车配件建设项目</w:t>
      </w:r>
      <w:r>
        <w:rPr>
          <w:rFonts w:hint="eastAsia" w:ascii="仿宋_GB2312" w:hAnsi="仿宋_GB2312" w:eastAsia="仿宋_GB2312" w:cs="仿宋_GB2312"/>
          <w:bCs/>
          <w:szCs w:val="32"/>
        </w:rPr>
        <w:t>环境影响报告表》</w:t>
      </w:r>
      <w:r>
        <w:rPr>
          <w:rFonts w:hint="eastAsia" w:ascii="仿宋_GB2312" w:hAnsi="仿宋_GB2312" w:cs="仿宋_GB2312"/>
          <w:bCs/>
          <w:szCs w:val="32"/>
          <w:lang w:eastAsia="zh-CN"/>
        </w:rPr>
        <w:t>（以下简称《报告表》）</w:t>
      </w:r>
      <w:r>
        <w:rPr>
          <w:rFonts w:hint="eastAsia" w:ascii="仿宋_GB2312" w:hAnsi="仿宋_GB2312" w:eastAsia="仿宋_GB2312" w:cs="仿宋_GB2312"/>
          <w:color w:val="000000"/>
          <w:spacing w:val="0"/>
          <w:sz w:val="32"/>
          <w:szCs w:val="32"/>
          <w:lang w:val="en-US" w:eastAsia="zh-CN"/>
        </w:rPr>
        <w:t>及相关附件收悉</w:t>
      </w:r>
      <w:r>
        <w:rPr>
          <w:rFonts w:hint="eastAsia" w:ascii="仿宋_GB2312" w:hAnsi="仿宋_GB2312" w:eastAsia="仿宋_GB2312" w:cs="仿宋_GB2312"/>
          <w:color w:val="000000"/>
          <w:spacing w:val="0"/>
          <w:sz w:val="32"/>
          <w:szCs w:val="32"/>
        </w:rPr>
        <w:t>。经</w:t>
      </w:r>
      <w:r>
        <w:rPr>
          <w:rFonts w:hint="eastAsia" w:ascii="仿宋_GB2312" w:hAnsi="仿宋_GB2312" w:eastAsia="仿宋_GB2312" w:cs="仿宋_GB2312"/>
          <w:color w:val="000000"/>
          <w:spacing w:val="0"/>
          <w:sz w:val="32"/>
          <w:szCs w:val="32"/>
          <w:lang w:eastAsia="zh-CN"/>
        </w:rPr>
        <w:t>研究</w:t>
      </w:r>
      <w:r>
        <w:rPr>
          <w:rFonts w:hint="eastAsia" w:ascii="仿宋_GB2312" w:hAnsi="仿宋_GB2312" w:eastAsia="仿宋_GB2312" w:cs="仿宋_GB2312"/>
          <w:color w:val="000000"/>
          <w:spacing w:val="0"/>
          <w:sz w:val="32"/>
          <w:szCs w:val="32"/>
        </w:rPr>
        <w:t>，批复如下：</w:t>
      </w:r>
    </w:p>
    <w:p>
      <w:pPr>
        <w:spacing w:line="560" w:lineRule="exact"/>
        <w:ind w:firstLine="640" w:firstLineChars="200"/>
        <w:rPr>
          <w:rFonts w:ascii="仿宋_GB2312"/>
          <w:szCs w:val="32"/>
        </w:rPr>
      </w:pPr>
      <w:r>
        <w:rPr>
          <w:rFonts w:hint="eastAsia" w:ascii="仿宋_GB2312"/>
          <w:color w:val="000000"/>
          <w:szCs w:val="32"/>
        </w:rPr>
        <w:t>一、</w:t>
      </w:r>
      <w:r>
        <w:rPr>
          <w:rFonts w:hint="eastAsia" w:ascii="仿宋_GB2312"/>
          <w:color w:val="000000"/>
          <w:szCs w:val="32"/>
          <w:lang w:eastAsia="zh-CN"/>
        </w:rPr>
        <w:t>原则上</w:t>
      </w:r>
      <w:r>
        <w:rPr>
          <w:rFonts w:hint="eastAsia" w:ascii="仿宋_GB2312"/>
          <w:szCs w:val="32"/>
        </w:rPr>
        <w:t>同意</w:t>
      </w:r>
      <w:r>
        <w:rPr>
          <w:rFonts w:hint="eastAsia" w:ascii="仿宋_GB2312"/>
          <w:szCs w:val="32"/>
          <w:lang w:eastAsia="zh-CN"/>
        </w:rPr>
        <w:t>《报告表》的基本内容、所作结论和建议以及专家组评审意见。从环境保护角度分析，同意该项目在益阳市赫山区龙光桥街道全丰社区的选址</w:t>
      </w:r>
      <w:r>
        <w:rPr>
          <w:rFonts w:hint="eastAsia" w:ascii="仿宋_GB2312"/>
          <w:szCs w:val="32"/>
        </w:rPr>
        <w:t>。</w:t>
      </w:r>
    </w:p>
    <w:p>
      <w:pPr>
        <w:spacing w:line="560" w:lineRule="exact"/>
        <w:ind w:firstLine="656" w:firstLineChars="200"/>
        <w:rPr>
          <w:rFonts w:ascii="仿宋_GB2312"/>
          <w:color w:val="000000"/>
          <w:spacing w:val="4"/>
          <w:szCs w:val="32"/>
        </w:rPr>
      </w:pPr>
      <w:r>
        <w:rPr>
          <w:rFonts w:hint="eastAsia" w:ascii="仿宋_GB2312"/>
          <w:spacing w:val="4"/>
          <w:szCs w:val="32"/>
        </w:rPr>
        <w:t>二、建设单位在工程设计、建设和运营过程中，必须</w:t>
      </w:r>
      <w:r>
        <w:rPr>
          <w:rFonts w:hint="eastAsia" w:ascii="仿宋_GB2312"/>
          <w:spacing w:val="4"/>
          <w:szCs w:val="32"/>
          <w:lang w:eastAsia="zh-CN"/>
        </w:rPr>
        <w:t>全面落实《</w:t>
      </w:r>
      <w:r>
        <w:rPr>
          <w:rFonts w:hint="eastAsia" w:ascii="仿宋_GB2312"/>
          <w:spacing w:val="4"/>
          <w:szCs w:val="32"/>
        </w:rPr>
        <w:t>报告表</w:t>
      </w:r>
      <w:r>
        <w:rPr>
          <w:rFonts w:hint="eastAsia" w:ascii="仿宋_GB2312"/>
          <w:spacing w:val="4"/>
          <w:szCs w:val="32"/>
          <w:lang w:eastAsia="zh-CN"/>
        </w:rPr>
        <w:t>》提出的各项污染防治和风险防范措施，</w:t>
      </w:r>
      <w:r>
        <w:rPr>
          <w:rFonts w:hint="eastAsia" w:ascii="仿宋_GB2312"/>
          <w:spacing w:val="4"/>
          <w:szCs w:val="32"/>
        </w:rPr>
        <w:t>并着重做好如下工</w:t>
      </w:r>
      <w:r>
        <w:rPr>
          <w:rFonts w:hint="eastAsia" w:ascii="仿宋_GB2312"/>
          <w:color w:val="000000"/>
          <w:spacing w:val="4"/>
          <w:szCs w:val="32"/>
        </w:rPr>
        <w:t>作：</w:t>
      </w:r>
    </w:p>
    <w:p>
      <w:pPr>
        <w:spacing w:line="560" w:lineRule="exact"/>
        <w:ind w:left="160" w:leftChars="50" w:firstLine="492" w:firstLineChars="150"/>
        <w:rPr>
          <w:rFonts w:hint="eastAsia" w:ascii="仿宋_GB2312"/>
          <w:color w:val="000000"/>
          <w:spacing w:val="4"/>
          <w:szCs w:val="32"/>
          <w:lang w:eastAsia="zh-CN"/>
        </w:rPr>
      </w:pPr>
      <w:r>
        <w:rPr>
          <w:rFonts w:hint="eastAsia" w:ascii="仿宋_GB2312"/>
          <w:color w:val="000000"/>
          <w:spacing w:val="4"/>
          <w:szCs w:val="32"/>
          <w:lang w:eastAsia="zh-CN"/>
        </w:rPr>
        <w:t>（一）、加强环境管理，建立环境管理机构，配备专职或兼职环保管理人员，完善环境管理的各项规章制度及应急事故处理措施，定期对“三废”治理设施、应急处理设施进行维护和检查，确保各项污染物达标排放和环境安全。</w:t>
      </w:r>
    </w:p>
    <w:p>
      <w:pPr>
        <w:keepNext w:val="0"/>
        <w:keepLines w:val="0"/>
        <w:pageBreakBefore w:val="0"/>
        <w:widowControl w:val="0"/>
        <w:kinsoku/>
        <w:wordWrap/>
        <w:overflowPunct/>
        <w:topLinePunct w:val="0"/>
        <w:autoSpaceDE/>
        <w:autoSpaceDN/>
        <w:bidi w:val="0"/>
        <w:adjustRightInd/>
        <w:snapToGrid/>
        <w:spacing w:line="360" w:lineRule="auto"/>
        <w:ind w:firstLine="656" w:firstLineChars="200"/>
        <w:textAlignment w:val="auto"/>
        <w:rPr>
          <w:rFonts w:hint="eastAsia" w:eastAsia="仿宋_GB2312"/>
          <w:color w:val="000000"/>
          <w:szCs w:val="32"/>
          <w:lang w:val="en-US" w:eastAsia="zh-CN"/>
        </w:rPr>
      </w:pPr>
      <w:r>
        <w:rPr>
          <w:rFonts w:hint="eastAsia" w:ascii="仿宋_GB2312"/>
          <w:color w:val="000000"/>
          <w:spacing w:val="4"/>
          <w:szCs w:val="32"/>
          <w:lang w:eastAsia="zh-CN"/>
        </w:rPr>
        <w:t>（二）、</w:t>
      </w:r>
      <w:r>
        <w:rPr>
          <w:rFonts w:hint="eastAsia" w:ascii="仿宋_GB2312"/>
          <w:color w:val="000000"/>
          <w:spacing w:val="4"/>
          <w:szCs w:val="32"/>
        </w:rPr>
        <w:t>做好项目大气污染防治工作。项目</w:t>
      </w:r>
      <w:r>
        <w:rPr>
          <w:rFonts w:hint="eastAsia" w:ascii="仿宋_GB2312"/>
          <w:color w:val="000000"/>
          <w:spacing w:val="4"/>
          <w:szCs w:val="32"/>
          <w:lang w:eastAsia="zh-CN"/>
        </w:rPr>
        <w:t>切割打磨工序产生的金属粉尘应进行定期清理和收集，焊接过程产生的烟尘应由移动式焊接烟尘净化器进行处理，确保污染物达到</w:t>
      </w:r>
      <w:r>
        <w:rPr>
          <w:rFonts w:hint="eastAsia" w:ascii="宋体" w:hAnsi="宋体"/>
          <w:color w:val="000000"/>
          <w:szCs w:val="21"/>
        </w:rPr>
        <w:t>《大气污染物综合排放标准》（GB16297-1996）中的无组织排放监控浓度限值</w:t>
      </w:r>
      <w:r>
        <w:rPr>
          <w:rFonts w:hint="eastAsia" w:ascii="宋体" w:hAnsi="宋体"/>
          <w:color w:val="000000"/>
          <w:szCs w:val="21"/>
          <w:lang w:eastAsia="zh-CN"/>
        </w:rPr>
        <w:t>。</w:t>
      </w:r>
    </w:p>
    <w:p>
      <w:pPr>
        <w:spacing w:line="560" w:lineRule="exact"/>
        <w:ind w:firstLine="640" w:firstLineChars="200"/>
        <w:rPr>
          <w:rFonts w:ascii="宋体" w:hAnsi="宋体"/>
          <w:szCs w:val="21"/>
        </w:rPr>
      </w:pPr>
      <w:r>
        <w:rPr>
          <w:rFonts w:hint="eastAsia" w:ascii="宋体" w:hAnsi="宋体"/>
          <w:color w:val="000000"/>
          <w:szCs w:val="21"/>
          <w:lang w:eastAsia="zh-CN"/>
        </w:rPr>
        <w:t>（三）、</w:t>
      </w:r>
      <w:r>
        <w:rPr>
          <w:rFonts w:hint="eastAsia" w:ascii="宋体" w:hAnsi="宋体"/>
          <w:color w:val="000000"/>
          <w:szCs w:val="21"/>
        </w:rPr>
        <w:t>做好项目水污染防治工作。</w:t>
      </w:r>
      <w:r>
        <w:rPr>
          <w:rFonts w:hint="eastAsia" w:ascii="宋体" w:hAnsi="宋体"/>
          <w:szCs w:val="21"/>
        </w:rPr>
        <w:t>生活污水通过</w:t>
      </w:r>
      <w:r>
        <w:rPr>
          <w:rFonts w:hint="eastAsia" w:ascii="宋体" w:hAnsi="宋体"/>
          <w:szCs w:val="21"/>
          <w:lang w:eastAsia="zh-CN"/>
        </w:rPr>
        <w:t>隔油池和</w:t>
      </w:r>
      <w:r>
        <w:rPr>
          <w:rFonts w:hint="eastAsia" w:ascii="宋体" w:hAnsi="宋体"/>
          <w:szCs w:val="21"/>
        </w:rPr>
        <w:t>化粪池处理</w:t>
      </w:r>
      <w:r>
        <w:rPr>
          <w:rFonts w:hint="eastAsia" w:ascii="宋体" w:hAnsi="宋体"/>
          <w:szCs w:val="21"/>
          <w:lang w:eastAsia="zh-CN"/>
        </w:rPr>
        <w:t>后用做周边农肥，不外排；冷却用水循环使用，不外排</w:t>
      </w:r>
      <w:r>
        <w:rPr>
          <w:rFonts w:ascii="宋体" w:hAnsi="宋体"/>
          <w:szCs w:val="21"/>
        </w:rPr>
        <w:t>。</w:t>
      </w:r>
    </w:p>
    <w:p>
      <w:pPr>
        <w:spacing w:line="560" w:lineRule="exact"/>
        <w:ind w:firstLine="656" w:firstLineChars="200"/>
        <w:rPr>
          <w:rFonts w:ascii="仿宋_GB2312"/>
          <w:szCs w:val="32"/>
        </w:rPr>
      </w:pPr>
      <w:r>
        <w:rPr>
          <w:rFonts w:hint="eastAsia" w:ascii="仿宋_GB2312"/>
          <w:color w:val="000000"/>
          <w:spacing w:val="4"/>
          <w:szCs w:val="32"/>
          <w:lang w:eastAsia="zh-CN"/>
        </w:rPr>
        <w:t>（四）、</w:t>
      </w:r>
      <w:r>
        <w:rPr>
          <w:rFonts w:hint="eastAsia" w:ascii="仿宋_GB2312"/>
          <w:color w:val="000000"/>
          <w:spacing w:val="4"/>
          <w:szCs w:val="32"/>
        </w:rPr>
        <w:t>做好项目噪声污染防治工作。通过优化平面布局，</w:t>
      </w:r>
      <w:r>
        <w:rPr>
          <w:rFonts w:hint="eastAsia" w:ascii="仿宋_GB2312"/>
          <w:szCs w:val="32"/>
        </w:rPr>
        <w:t>采取减振、隔声，加强设备维护等</w:t>
      </w:r>
      <w:r>
        <w:rPr>
          <w:rFonts w:hint="eastAsia" w:ascii="仿宋_GB2312"/>
          <w:bCs/>
          <w:szCs w:val="32"/>
        </w:rPr>
        <w:t>措施</w:t>
      </w:r>
      <w:r>
        <w:rPr>
          <w:rFonts w:hint="eastAsia" w:ascii="仿宋_GB2312"/>
          <w:szCs w:val="32"/>
        </w:rPr>
        <w:t>，确保项目营运期间厂界噪声达到《工业企业厂界环境噪声排放标准》（GB12348-2008）中</w:t>
      </w:r>
      <w:r>
        <w:rPr>
          <w:rFonts w:hint="eastAsia" w:ascii="仿宋_GB2312"/>
          <w:szCs w:val="32"/>
          <w:lang w:val="en-US" w:eastAsia="zh-CN"/>
        </w:rPr>
        <w:t>2</w:t>
      </w:r>
      <w:r>
        <w:rPr>
          <w:rFonts w:hint="eastAsia" w:ascii="仿宋_GB2312"/>
          <w:szCs w:val="32"/>
        </w:rPr>
        <w:t>类标准要求。</w:t>
      </w:r>
    </w:p>
    <w:p>
      <w:pPr>
        <w:spacing w:line="560" w:lineRule="exact"/>
        <w:ind w:firstLine="656" w:firstLineChars="200"/>
        <w:rPr>
          <w:rFonts w:hint="eastAsia" w:ascii="仿宋_GB2312" w:hAnsi="仿宋_GB2312" w:eastAsia="仿宋_GB2312" w:cs="仿宋_GB2312"/>
          <w:color w:val="000000"/>
          <w:spacing w:val="0"/>
          <w:kern w:val="0"/>
          <w:sz w:val="32"/>
          <w:szCs w:val="32"/>
          <w:lang w:val="en-US" w:eastAsia="zh-CN" w:bidi="ar"/>
        </w:rPr>
      </w:pPr>
      <w:r>
        <w:rPr>
          <w:rFonts w:hint="eastAsia" w:ascii="仿宋_GB2312"/>
          <w:color w:val="000000"/>
          <w:spacing w:val="4"/>
          <w:szCs w:val="32"/>
          <w:lang w:eastAsia="zh-CN"/>
        </w:rPr>
        <w:t>（五）、</w:t>
      </w:r>
      <w:r>
        <w:rPr>
          <w:rFonts w:hint="eastAsia" w:ascii="仿宋_GB2312" w:hAnsi="仿宋_GB2312" w:eastAsia="仿宋_GB2312" w:cs="仿宋_GB2312"/>
          <w:color w:val="000000"/>
          <w:spacing w:val="0"/>
          <w:sz w:val="32"/>
          <w:szCs w:val="32"/>
        </w:rPr>
        <w:t>加强对固体废物的分类管理控制。</w:t>
      </w:r>
      <w:r>
        <w:rPr>
          <w:rFonts w:hint="eastAsia" w:ascii="仿宋_GB2312" w:hAnsi="仿宋_GB2312" w:cs="仿宋_GB2312"/>
          <w:color w:val="000000"/>
          <w:spacing w:val="0"/>
          <w:sz w:val="32"/>
          <w:szCs w:val="32"/>
          <w:lang w:eastAsia="zh-CN"/>
        </w:rPr>
        <w:t>按照“减量化、资源化、无害化”的原则，做好固废的分类收集、暂存、安全处置和综合利用工作。</w:t>
      </w:r>
      <w:r>
        <w:rPr>
          <w:rFonts w:hint="eastAsia" w:ascii="仿宋_GB2312" w:hAnsi="仿宋_GB2312" w:eastAsia="仿宋_GB2312" w:cs="仿宋_GB2312"/>
          <w:color w:val="000000"/>
          <w:spacing w:val="0"/>
          <w:sz w:val="32"/>
          <w:szCs w:val="32"/>
        </w:rPr>
        <w:t>项目产生的危废和一般固废应严格分类贮存，厂区内按规范和环评提出的容量要求分别设置危废暂存库和一般固废暂存场所，其建设、运行和管理应相应分别满足《危险废物贮存污染控制标准》(GB18597</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spacing w:val="0"/>
          <w:sz w:val="32"/>
          <w:szCs w:val="32"/>
        </w:rPr>
        <w:t>2001)及其修改单要求、《一般工业固体废物贮存、处置场污染控制标准》（GB18599-2001）及其修改单要求。</w:t>
      </w:r>
      <w:r>
        <w:rPr>
          <w:rFonts w:hint="eastAsia" w:ascii="仿宋_GB2312" w:hAnsi="仿宋_GB2312" w:eastAsia="仿宋_GB2312" w:cs="仿宋_GB2312"/>
          <w:color w:val="000000"/>
          <w:spacing w:val="0"/>
          <w:kern w:val="0"/>
          <w:sz w:val="32"/>
          <w:szCs w:val="32"/>
          <w:lang w:val="en-US" w:eastAsia="zh-CN" w:bidi="ar"/>
        </w:rPr>
        <w:t>生活垃圾收集后交给地方环卫部门处理；</w:t>
      </w:r>
      <w:r>
        <w:rPr>
          <w:rFonts w:hint="eastAsia" w:ascii="仿宋_GB2312" w:hAnsi="仿宋_GB2312" w:cs="仿宋_GB2312"/>
          <w:color w:val="000000"/>
          <w:spacing w:val="0"/>
          <w:kern w:val="0"/>
          <w:sz w:val="32"/>
          <w:szCs w:val="32"/>
          <w:lang w:val="en-US" w:eastAsia="zh-CN" w:bidi="ar"/>
        </w:rPr>
        <w:t>金属边角料、废焊渣、废钢珠</w:t>
      </w:r>
      <w:r>
        <w:rPr>
          <w:rFonts w:hint="eastAsia" w:ascii="仿宋_GB2312" w:hAnsi="仿宋_GB2312" w:eastAsia="仿宋_GB2312" w:cs="仿宋_GB2312"/>
          <w:color w:val="000000"/>
          <w:spacing w:val="0"/>
          <w:sz w:val="32"/>
          <w:szCs w:val="32"/>
          <w:lang w:val="en-US" w:eastAsia="zh-CN"/>
        </w:rPr>
        <w:t>为一般工业固废，经分类收集贮存后外售综合利用；</w:t>
      </w:r>
      <w:r>
        <w:rPr>
          <w:rFonts w:hint="eastAsia" w:ascii="仿宋_GB2312" w:hAnsi="仿宋_GB2312" w:cs="仿宋_GB2312"/>
          <w:spacing w:val="0"/>
          <w:szCs w:val="32"/>
          <w:lang w:eastAsia="zh-CN"/>
        </w:rPr>
        <w:t>废</w:t>
      </w:r>
      <w:r>
        <w:rPr>
          <w:rFonts w:hint="eastAsia" w:ascii="仿宋_GB2312" w:hAnsi="仿宋_GB2312" w:eastAsia="仿宋_GB2312" w:cs="仿宋_GB2312"/>
          <w:color w:val="000000"/>
          <w:spacing w:val="4"/>
          <w:szCs w:val="32"/>
        </w:rPr>
        <w:t>润滑油</w:t>
      </w:r>
      <w:r>
        <w:rPr>
          <w:rFonts w:hint="eastAsia" w:ascii="仿宋_GB2312" w:hAnsi="仿宋_GB2312" w:cs="仿宋_GB2312"/>
          <w:color w:val="000000"/>
          <w:spacing w:val="4"/>
          <w:szCs w:val="32"/>
          <w:lang w:eastAsia="zh-CN"/>
        </w:rPr>
        <w:t>属于</w:t>
      </w:r>
      <w:r>
        <w:rPr>
          <w:rFonts w:hint="eastAsia" w:ascii="仿宋_GB2312" w:hAnsi="仿宋_GB2312" w:eastAsia="仿宋_GB2312" w:cs="仿宋_GB2312"/>
          <w:spacing w:val="0"/>
          <w:sz w:val="32"/>
          <w:szCs w:val="32"/>
        </w:rPr>
        <w:t>危险废物</w:t>
      </w:r>
      <w:r>
        <w:rPr>
          <w:rFonts w:hint="eastAsia" w:ascii="仿宋_GB2312" w:hAnsi="仿宋_GB2312" w:cs="仿宋_GB2312"/>
          <w:spacing w:val="0"/>
          <w:sz w:val="32"/>
          <w:szCs w:val="32"/>
          <w:lang w:eastAsia="zh-CN"/>
        </w:rPr>
        <w:t>，</w:t>
      </w:r>
      <w:r>
        <w:rPr>
          <w:rFonts w:hint="eastAsia" w:ascii="仿宋_GB2312" w:hAnsi="仿宋_GB2312" w:eastAsia="仿宋_GB2312" w:cs="仿宋_GB2312"/>
          <w:color w:val="000000"/>
          <w:spacing w:val="0"/>
          <w:kern w:val="0"/>
          <w:sz w:val="32"/>
          <w:szCs w:val="32"/>
          <w:lang w:val="en-US" w:eastAsia="zh-CN" w:bidi="ar"/>
        </w:rPr>
        <w:t>应</w:t>
      </w:r>
      <w:r>
        <w:rPr>
          <w:rFonts w:hint="eastAsia" w:ascii="仿宋_GB2312" w:hAnsi="仿宋_GB2312" w:cs="仿宋_GB2312"/>
          <w:color w:val="000000"/>
          <w:spacing w:val="0"/>
          <w:kern w:val="0"/>
          <w:sz w:val="32"/>
          <w:szCs w:val="32"/>
          <w:lang w:val="en-US" w:eastAsia="zh-CN" w:bidi="ar"/>
        </w:rPr>
        <w:t>置于</w:t>
      </w:r>
      <w:r>
        <w:rPr>
          <w:rFonts w:hint="eastAsia" w:ascii="仿宋_GB2312" w:hAnsi="仿宋_GB2312" w:eastAsia="仿宋_GB2312" w:cs="仿宋_GB2312"/>
          <w:color w:val="000000"/>
          <w:spacing w:val="0"/>
          <w:kern w:val="0"/>
          <w:sz w:val="32"/>
          <w:szCs w:val="32"/>
          <w:lang w:val="en-US" w:eastAsia="zh-CN" w:bidi="ar"/>
        </w:rPr>
        <w:t>危废暂存间分类贮存，定期外委有危废处置资质单位</w:t>
      </w:r>
      <w:r>
        <w:rPr>
          <w:rFonts w:hint="eastAsia" w:ascii="仿宋_GB2312" w:hAnsi="仿宋_GB2312" w:cs="仿宋_GB2312"/>
          <w:color w:val="000000"/>
          <w:spacing w:val="0"/>
          <w:kern w:val="0"/>
          <w:sz w:val="32"/>
          <w:szCs w:val="32"/>
          <w:lang w:val="en-US" w:eastAsia="zh-CN" w:bidi="ar"/>
        </w:rPr>
        <w:t>处置</w:t>
      </w:r>
      <w:r>
        <w:rPr>
          <w:rFonts w:hint="eastAsia" w:ascii="仿宋_GB2312" w:hAnsi="仿宋_GB2312" w:eastAsia="仿宋_GB2312" w:cs="仿宋_GB2312"/>
          <w:color w:val="000000"/>
          <w:spacing w:val="0"/>
          <w:kern w:val="0"/>
          <w:sz w:val="32"/>
          <w:szCs w:val="32"/>
          <w:lang w:val="en-US" w:eastAsia="zh-CN" w:bidi="ar"/>
        </w:rPr>
        <w:t>。</w:t>
      </w:r>
    </w:p>
    <w:p>
      <w:pPr>
        <w:spacing w:line="560" w:lineRule="exact"/>
        <w:ind w:firstLine="656" w:firstLineChars="200"/>
        <w:rPr>
          <w:rFonts w:ascii="仿宋_GB2312"/>
          <w:color w:val="000000"/>
          <w:spacing w:val="4"/>
          <w:szCs w:val="32"/>
        </w:rPr>
      </w:pPr>
      <w:r>
        <w:rPr>
          <w:rFonts w:hint="eastAsia" w:ascii="仿宋_GB2312" w:hAnsi="仿宋_GB2312" w:cs="仿宋_GB2312"/>
          <w:color w:val="000000"/>
          <w:spacing w:val="4"/>
          <w:szCs w:val="32"/>
          <w:lang w:eastAsia="zh-CN"/>
        </w:rPr>
        <w:t>三、本项目的性质、规模、地点或者污染防治措施等发生重大变化时，应当重新向环保部门进行环评报批。</w:t>
      </w:r>
    </w:p>
    <w:p>
      <w:pPr>
        <w:spacing w:line="560" w:lineRule="exact"/>
        <w:ind w:firstLine="656" w:firstLineChars="200"/>
        <w:rPr>
          <w:rFonts w:hint="eastAsia" w:ascii="仿宋_GB2312" w:hAnsi="仿宋_GB2312" w:cs="仿宋_GB2312"/>
          <w:color w:val="000000"/>
          <w:spacing w:val="0"/>
          <w:szCs w:val="32"/>
          <w:lang w:eastAsia="zh-CN"/>
        </w:rPr>
      </w:pPr>
      <w:r>
        <w:rPr>
          <w:rFonts w:hint="eastAsia" w:ascii="仿宋_GB2312" w:hAnsi="仿宋_GB2312" w:cs="仿宋_GB2312"/>
          <w:color w:val="000000"/>
          <w:spacing w:val="4"/>
          <w:szCs w:val="32"/>
          <w:lang w:eastAsia="zh-CN"/>
        </w:rPr>
        <w:t>四</w:t>
      </w:r>
      <w:r>
        <w:rPr>
          <w:rFonts w:hint="eastAsia" w:ascii="仿宋_GB2312" w:hAnsi="仿宋_GB2312" w:eastAsia="仿宋_GB2312" w:cs="仿宋_GB2312"/>
          <w:color w:val="000000"/>
          <w:spacing w:val="4"/>
          <w:szCs w:val="32"/>
        </w:rPr>
        <w:t>、</w:t>
      </w:r>
      <w:r>
        <w:rPr>
          <w:rFonts w:hint="eastAsia" w:ascii="仿宋_GB2312" w:hAnsi="仿宋_GB2312" w:eastAsia="仿宋_GB2312" w:cs="仿宋_GB2312"/>
          <w:color w:val="000000"/>
          <w:spacing w:val="0"/>
          <w:szCs w:val="32"/>
        </w:rPr>
        <w:t>建设</w:t>
      </w:r>
      <w:r>
        <w:rPr>
          <w:rFonts w:hint="eastAsia" w:ascii="仿宋_GB2312" w:hAnsi="仿宋_GB2312" w:eastAsia="仿宋_GB2312" w:cs="仿宋_GB2312"/>
          <w:color w:val="000000"/>
          <w:spacing w:val="0"/>
          <w:szCs w:val="32"/>
          <w:lang w:eastAsia="zh-CN"/>
        </w:rPr>
        <w:t>单位</w:t>
      </w:r>
      <w:r>
        <w:rPr>
          <w:rFonts w:hint="eastAsia" w:ascii="仿宋_GB2312" w:hAnsi="仿宋_GB2312" w:cs="仿宋_GB2312"/>
          <w:color w:val="000000"/>
          <w:spacing w:val="0"/>
          <w:szCs w:val="32"/>
          <w:lang w:eastAsia="zh-CN"/>
        </w:rPr>
        <w:t>在本次环评审批手续后，应严格按照《报告表》的内容和批复落实各项污染防治措施，项目建成后，应按规定程序及时进行竣工环境保护验收。</w:t>
      </w:r>
    </w:p>
    <w:p>
      <w:pPr>
        <w:spacing w:line="560" w:lineRule="exact"/>
        <w:ind w:firstLine="640" w:firstLineChars="200"/>
        <w:rPr>
          <w:rFonts w:hint="eastAsia" w:ascii="仿宋_GB2312" w:hAnsi="仿宋_GB2312" w:cs="仿宋_GB2312"/>
          <w:color w:val="000000"/>
          <w:spacing w:val="0"/>
          <w:szCs w:val="32"/>
          <w:lang w:eastAsia="zh-CN"/>
        </w:rPr>
      </w:pPr>
      <w:r>
        <w:rPr>
          <w:rFonts w:hint="eastAsia" w:ascii="仿宋_GB2312" w:hAnsi="仿宋_GB2312" w:cs="仿宋_GB2312"/>
          <w:color w:val="000000"/>
          <w:spacing w:val="0"/>
          <w:szCs w:val="32"/>
          <w:lang w:eastAsia="zh-CN"/>
        </w:rPr>
        <w:t>五、建设单位应严格执行环境保护制度规定，项目日常环境管理工作由益阳市生态环境局赫山分局负责，环保“三同时”执行情况的监督由益阳市生态环境保</w:t>
      </w:r>
      <w:bookmarkStart w:id="0" w:name="_GoBack"/>
      <w:bookmarkEnd w:id="0"/>
      <w:r>
        <w:rPr>
          <w:rFonts w:hint="eastAsia" w:ascii="仿宋_GB2312" w:hAnsi="仿宋_GB2312" w:cs="仿宋_GB2312"/>
          <w:color w:val="000000"/>
          <w:spacing w:val="0"/>
          <w:szCs w:val="32"/>
          <w:lang w:eastAsia="zh-CN"/>
        </w:rPr>
        <w:t>护综合行政执法支队赫山大队具体负责。</w:t>
      </w:r>
    </w:p>
    <w:p>
      <w:pPr>
        <w:tabs>
          <w:tab w:val="left" w:pos="7875"/>
        </w:tabs>
        <w:spacing w:line="560" w:lineRule="exact"/>
        <w:ind w:right="320"/>
        <w:outlineLvl w:val="0"/>
        <w:rPr>
          <w:rFonts w:ascii="仿宋_GB2312"/>
          <w:sz w:val="30"/>
          <w:szCs w:val="30"/>
        </w:rPr>
      </w:pPr>
    </w:p>
    <w:p>
      <w:pPr>
        <w:adjustRightInd w:val="0"/>
        <w:snapToGrid w:val="0"/>
        <w:spacing w:line="560" w:lineRule="exact"/>
        <w:jc w:val="center"/>
        <w:rPr>
          <w:rFonts w:hint="eastAsia" w:ascii="仿宋_GB2312" w:eastAsia="仿宋_GB2312"/>
          <w:color w:val="000000"/>
          <w:szCs w:val="32"/>
          <w:lang w:eastAsia="zh-CN"/>
        </w:rPr>
      </w:pPr>
      <w:r>
        <w:rPr>
          <w:rFonts w:hint="eastAsia" w:ascii="仿宋_GB2312"/>
          <w:color w:val="000000"/>
          <w:szCs w:val="32"/>
        </w:rPr>
        <w:t xml:space="preserve">                        </w:t>
      </w:r>
      <w:r>
        <w:rPr>
          <w:rFonts w:hint="eastAsia" w:ascii="仿宋_GB2312"/>
          <w:color w:val="000000"/>
          <w:szCs w:val="32"/>
          <w:lang w:val="en-US" w:eastAsia="zh-CN"/>
        </w:rPr>
        <w:t xml:space="preserve">   </w:t>
      </w:r>
      <w:r>
        <w:rPr>
          <w:rFonts w:hint="eastAsia" w:ascii="仿宋_GB2312"/>
          <w:color w:val="000000"/>
          <w:szCs w:val="32"/>
        </w:rPr>
        <w:t xml:space="preserve">  益阳市生态环境局</w:t>
      </w:r>
      <w:r>
        <w:rPr>
          <w:rFonts w:hint="eastAsia" w:ascii="仿宋_GB2312"/>
          <w:color w:val="000000"/>
          <w:szCs w:val="32"/>
          <w:lang w:eastAsia="zh-CN"/>
        </w:rPr>
        <w:t>赫山分局</w:t>
      </w:r>
    </w:p>
    <w:p>
      <w:pPr>
        <w:adjustRightInd w:val="0"/>
        <w:snapToGrid w:val="0"/>
        <w:spacing w:line="560" w:lineRule="exact"/>
        <w:ind w:right="480" w:firstLine="4960" w:firstLineChars="1550"/>
        <w:jc w:val="right"/>
      </w:pPr>
      <w:r>
        <w:rPr>
          <w:rFonts w:hint="eastAsia" w:ascii="仿宋_GB2312"/>
          <w:color w:val="000000"/>
          <w:szCs w:val="32"/>
        </w:rPr>
        <w:t>20</w:t>
      </w:r>
      <w:r>
        <w:rPr>
          <w:rFonts w:hint="eastAsia" w:ascii="仿宋_GB2312"/>
          <w:color w:val="000000"/>
          <w:szCs w:val="32"/>
          <w:lang w:val="en-US" w:eastAsia="zh-CN"/>
        </w:rPr>
        <w:t>20</w:t>
      </w:r>
      <w:r>
        <w:rPr>
          <w:rFonts w:hint="eastAsia" w:ascii="仿宋_GB2312"/>
          <w:color w:val="000000"/>
          <w:szCs w:val="32"/>
        </w:rPr>
        <w:t>年</w:t>
      </w:r>
      <w:r>
        <w:rPr>
          <w:rFonts w:hint="eastAsia" w:ascii="仿宋_GB2312"/>
          <w:color w:val="000000"/>
          <w:szCs w:val="32"/>
          <w:lang w:val="en-US" w:eastAsia="zh-CN"/>
        </w:rPr>
        <w:t>9</w:t>
      </w:r>
      <w:r>
        <w:rPr>
          <w:rFonts w:hint="eastAsia" w:ascii="仿宋_GB2312"/>
          <w:color w:val="000000"/>
          <w:szCs w:val="32"/>
        </w:rPr>
        <w:t>月</w:t>
      </w:r>
      <w:r>
        <w:rPr>
          <w:rFonts w:hint="eastAsia" w:ascii="仿宋_GB2312"/>
          <w:color w:val="000000"/>
          <w:szCs w:val="32"/>
          <w:lang w:val="en-US" w:eastAsia="zh-CN"/>
        </w:rPr>
        <w:t>10</w:t>
      </w:r>
      <w:r>
        <w:rPr>
          <w:rFonts w:hint="eastAsia" w:ascii="仿宋_GB2312"/>
          <w:color w:val="000000"/>
          <w:szCs w:val="32"/>
        </w:rPr>
        <w:t>日</w:t>
      </w:r>
    </w:p>
    <w:p/>
    <w:p/>
    <w:p/>
    <w:sectPr>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D5F5D"/>
    <w:rsid w:val="0E977D04"/>
    <w:rsid w:val="393D4EEC"/>
    <w:rsid w:val="46677136"/>
    <w:rsid w:val="4B0D5F5D"/>
    <w:rsid w:val="55B72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2020-08-24T04:42:00Z</dcterms:created>
  <dc:creator>巧</dc:creator>
  <cp:lastModifiedBy>巧</cp:lastModifiedBy>
  <dcterms:modified xsi:type="dcterms:W3CDTF">2020-12-08T04:24:18Z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