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auto"/>
          <w:szCs w:val="32"/>
        </w:rPr>
      </w:pP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40</w:t>
      </w:r>
      <w:r>
        <w:rPr>
          <w:rFonts w:hint="eastAsia" w:ascii="仿宋_GB2312" w:eastAsia="仿宋_GB2312"/>
          <w:color w:val="auto"/>
          <w:sz w:val="28"/>
          <w:szCs w:val="28"/>
        </w:rPr>
        <w:t>号</w:t>
      </w:r>
    </w:p>
    <w:p>
      <w:pPr>
        <w:tabs>
          <w:tab w:val="left" w:pos="6240"/>
        </w:tabs>
        <w:spacing w:line="560" w:lineRule="exact"/>
        <w:jc w:val="right"/>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eastAsia="黑体"/>
          <w:w w:val="100"/>
          <w:sz w:val="44"/>
          <w:szCs w:val="44"/>
        </w:rPr>
      </w:pPr>
      <w:r>
        <w:rPr>
          <w:rFonts w:hint="eastAsia" w:ascii="方正小标宋简体" w:hAnsi="方正小标宋简体" w:eastAsia="方正小标宋简体" w:cs="方正小标宋简体"/>
          <w:b w:val="0"/>
          <w:bCs w:val="0"/>
          <w:w w:val="100"/>
          <w:sz w:val="44"/>
          <w:szCs w:val="44"/>
        </w:rPr>
        <w:t>关于</w:t>
      </w:r>
      <w:bookmarkStart w:id="0" w:name="_Hlk41641100"/>
      <w:r>
        <w:rPr>
          <w:rFonts w:hint="eastAsia" w:ascii="方正小标宋简体" w:hAnsi="方正小标宋简体" w:eastAsia="方正小标宋简体" w:cs="方正小标宋简体"/>
          <w:b w:val="0"/>
          <w:bCs w:val="0"/>
          <w:w w:val="100"/>
          <w:sz w:val="44"/>
          <w:szCs w:val="44"/>
        </w:rPr>
        <w:t>湖南</w:t>
      </w:r>
      <w:r>
        <w:rPr>
          <w:rFonts w:hint="eastAsia" w:ascii="方正小标宋简体" w:hAnsi="方正小标宋简体" w:eastAsia="方正小标宋简体" w:cs="方正小标宋简体"/>
          <w:b w:val="0"/>
          <w:bCs w:val="0"/>
          <w:w w:val="100"/>
          <w:sz w:val="44"/>
          <w:szCs w:val="44"/>
          <w:lang w:eastAsia="zh-CN"/>
        </w:rPr>
        <w:t>明塑塑业科技有限公司年产</w:t>
      </w:r>
      <w:r>
        <w:rPr>
          <w:rFonts w:hint="eastAsia" w:ascii="方正小标宋简体" w:hAnsi="方正小标宋简体" w:eastAsia="方正小标宋简体" w:cs="方正小标宋简体"/>
          <w:b w:val="0"/>
          <w:bCs w:val="0"/>
          <w:w w:val="100"/>
          <w:sz w:val="44"/>
          <w:szCs w:val="44"/>
          <w:lang w:val="en-US" w:eastAsia="zh-CN"/>
        </w:rPr>
        <w:t>8000吨塑料管项目</w:t>
      </w:r>
      <w:r>
        <w:rPr>
          <w:rFonts w:hint="eastAsia" w:ascii="方正小标宋简体" w:hAnsi="方正小标宋简体" w:eastAsia="方正小标宋简体" w:cs="方正小标宋简体"/>
          <w:b w:val="0"/>
          <w:bCs w:val="0"/>
          <w:w w:val="100"/>
          <w:sz w:val="44"/>
          <w:szCs w:val="44"/>
        </w:rPr>
        <w:t>环境影响报告书</w:t>
      </w:r>
      <w:bookmarkEnd w:id="0"/>
      <w:r>
        <w:rPr>
          <w:rFonts w:hint="eastAsia" w:ascii="方正小标宋简体" w:hAnsi="方正小标宋简体" w:eastAsia="方正小标宋简体" w:cs="方正小标宋简体"/>
          <w:b w:val="0"/>
          <w:bCs w:val="0"/>
          <w:w w:val="100"/>
          <w:sz w:val="44"/>
          <w:szCs w:val="44"/>
        </w:rPr>
        <w:t>的批复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auto"/>
          <w:spacing w:val="4"/>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pacing w:val="4"/>
          <w:szCs w:val="32"/>
        </w:rPr>
        <w:t>湖南明塑塑业科技有限公司</w:t>
      </w:r>
      <w:r>
        <w:rPr>
          <w:rFonts w:hint="eastAsia" w:ascii="仿宋_GB2312" w:hAnsi="仿宋_GB2312" w:eastAsia="仿宋_GB2312" w:cs="仿宋_GB2312"/>
          <w:color w:val="auto"/>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bCs/>
          <w:color w:val="auto"/>
          <w:szCs w:val="32"/>
        </w:rPr>
      </w:pPr>
      <w:r>
        <w:rPr>
          <w:rFonts w:hint="eastAsia" w:ascii="仿宋_GB2312" w:hAnsi="仿宋_GB2312" w:eastAsia="仿宋_GB2312" w:cs="仿宋_GB2312"/>
          <w:color w:val="auto"/>
          <w:spacing w:val="4"/>
          <w:szCs w:val="32"/>
        </w:rPr>
        <w:t>你</w:t>
      </w:r>
      <w:r>
        <w:rPr>
          <w:rFonts w:hint="eastAsia" w:ascii="仿宋_GB2312" w:hAnsi="仿宋_GB2312" w:eastAsia="仿宋_GB2312" w:cs="仿宋_GB2312"/>
          <w:bCs/>
          <w:color w:val="auto"/>
          <w:szCs w:val="32"/>
        </w:rPr>
        <w:t>公司呈报的《湖南明塑塑业科技有限公司年产8000吨塑料管项目环境影响报告书》</w:t>
      </w:r>
      <w:r>
        <w:rPr>
          <w:rFonts w:hint="eastAsia" w:ascii="仿宋_GB2312" w:hAnsi="仿宋_GB2312" w:eastAsia="仿宋_GB2312" w:cs="仿宋_GB2312"/>
          <w:color w:val="auto"/>
          <w:szCs w:val="32"/>
        </w:rPr>
        <w:t>及相关附件收悉。经研究，批复如下：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bCs/>
          <w:color w:val="auto"/>
          <w:szCs w:val="32"/>
        </w:rPr>
        <w:t>你公司</w:t>
      </w:r>
      <w:r>
        <w:rPr>
          <w:rFonts w:hint="eastAsia" w:ascii="仿宋_GB2312" w:hAnsi="仿宋_GB2312" w:eastAsia="仿宋_GB2312" w:cs="仿宋_GB2312"/>
          <w:bCs/>
          <w:color w:val="auto"/>
          <w:spacing w:val="4"/>
          <w:szCs w:val="32"/>
        </w:rPr>
        <w:t>拟</w:t>
      </w:r>
      <w:r>
        <w:rPr>
          <w:rFonts w:hint="eastAsia" w:ascii="仿宋_GB2312" w:hAnsi="仿宋_GB2312" w:eastAsia="仿宋_GB2312" w:cs="仿宋_GB2312"/>
          <w:color w:val="auto"/>
          <w:spacing w:val="4"/>
          <w:szCs w:val="32"/>
        </w:rPr>
        <w:t>投资</w:t>
      </w:r>
      <w:r>
        <w:rPr>
          <w:rFonts w:hint="eastAsia" w:ascii="仿宋_GB2312" w:hAnsi="仿宋_GB2312" w:eastAsia="仿宋_GB2312" w:cs="仿宋_GB2312"/>
          <w:color w:val="auto"/>
          <w:spacing w:val="4"/>
          <w:szCs w:val="32"/>
          <w:lang w:val="en-US" w:eastAsia="zh-CN"/>
        </w:rPr>
        <w:t>3600</w:t>
      </w:r>
      <w:r>
        <w:rPr>
          <w:rFonts w:hint="eastAsia" w:ascii="仿宋_GB2312" w:hAnsi="仿宋_GB2312" w:eastAsia="仿宋_GB2312" w:cs="仿宋_GB2312"/>
          <w:color w:val="auto"/>
          <w:spacing w:val="4"/>
          <w:szCs w:val="32"/>
        </w:rPr>
        <w:t>万元在益阳高新区东部产业园</w:t>
      </w:r>
      <w:r>
        <w:rPr>
          <w:rFonts w:hint="eastAsia" w:ascii="仿宋_GB2312" w:hAnsi="仿宋_GB2312" w:eastAsia="仿宋_GB2312" w:cs="仿宋_GB2312"/>
          <w:color w:val="auto"/>
          <w:spacing w:val="4"/>
          <w:szCs w:val="32"/>
          <w:lang w:eastAsia="zh-CN"/>
        </w:rPr>
        <w:t>租</w:t>
      </w:r>
      <w:r>
        <w:rPr>
          <w:rFonts w:hint="eastAsia" w:ascii="仿宋_GB2312" w:hAnsi="仿宋_GB2312" w:eastAsia="仿宋_GB2312" w:cs="仿宋_GB2312"/>
          <w:bCs/>
          <w:color w:val="auto"/>
          <w:spacing w:val="4"/>
          <w:szCs w:val="32"/>
          <w:lang w:eastAsia="zh-CN"/>
        </w:rPr>
        <w:t>赁益阳农力机械制造有限公司现有厂房</w:t>
      </w:r>
      <w:r>
        <w:rPr>
          <w:rFonts w:hint="eastAsia" w:ascii="仿宋_GB2312" w:hAnsi="仿宋_GB2312" w:eastAsia="仿宋_GB2312" w:cs="仿宋_GB2312"/>
          <w:color w:val="auto"/>
          <w:spacing w:val="4"/>
          <w:szCs w:val="32"/>
          <w:lang w:eastAsia="zh-CN"/>
        </w:rPr>
        <w:t>，建设</w:t>
      </w:r>
      <w:r>
        <w:rPr>
          <w:rFonts w:hint="eastAsia" w:ascii="仿宋_GB2312" w:hAnsi="仿宋_GB2312" w:eastAsia="仿宋_GB2312" w:cs="仿宋_GB2312"/>
          <w:color w:val="auto"/>
          <w:spacing w:val="4"/>
          <w:szCs w:val="32"/>
          <w:lang w:val="en-US" w:eastAsia="zh-CN"/>
        </w:rPr>
        <w:t>2</w:t>
      </w:r>
      <w:r>
        <w:rPr>
          <w:rFonts w:hint="eastAsia" w:ascii="仿宋_GB2312" w:hAnsi="仿宋_GB2312" w:eastAsia="仿宋_GB2312" w:cs="仿宋_GB2312"/>
          <w:color w:val="auto"/>
          <w:spacing w:val="4"/>
          <w:szCs w:val="32"/>
        </w:rPr>
        <w:t>条</w:t>
      </w:r>
      <w:r>
        <w:rPr>
          <w:rFonts w:hint="eastAsia" w:ascii="仿宋_GB2312" w:hAnsi="仿宋_GB2312" w:eastAsia="仿宋_GB2312" w:cs="仿宋_GB2312"/>
          <w:color w:val="auto"/>
          <w:spacing w:val="4"/>
          <w:szCs w:val="32"/>
          <w:lang w:eastAsia="zh-CN"/>
        </w:rPr>
        <w:t>双壁波纹管生产线、</w:t>
      </w:r>
      <w:r>
        <w:rPr>
          <w:rFonts w:hint="eastAsia" w:ascii="仿宋_GB2312" w:hAnsi="仿宋_GB2312" w:eastAsia="仿宋_GB2312" w:cs="仿宋_GB2312"/>
          <w:color w:val="auto"/>
          <w:spacing w:val="4"/>
          <w:szCs w:val="32"/>
          <w:lang w:val="en-US" w:eastAsia="zh-CN"/>
        </w:rPr>
        <w:t>3</w:t>
      </w:r>
      <w:r>
        <w:rPr>
          <w:rFonts w:hint="eastAsia" w:ascii="仿宋_GB2312" w:hAnsi="仿宋_GB2312" w:eastAsia="仿宋_GB2312" w:cs="仿宋_GB2312"/>
          <w:color w:val="auto"/>
          <w:spacing w:val="4"/>
          <w:szCs w:val="32"/>
        </w:rPr>
        <w:t>条</w:t>
      </w:r>
      <w:r>
        <w:rPr>
          <w:rFonts w:hint="eastAsia" w:ascii="仿宋_GB2312" w:hAnsi="仿宋_GB2312" w:eastAsia="仿宋_GB2312" w:cs="仿宋_GB2312"/>
          <w:color w:val="auto"/>
          <w:spacing w:val="4"/>
          <w:szCs w:val="32"/>
          <w:lang w:val="en-US" w:eastAsia="zh-CN"/>
        </w:rPr>
        <w:t>塑料波纹管生产线、3</w:t>
      </w:r>
      <w:r>
        <w:rPr>
          <w:rFonts w:hint="eastAsia" w:ascii="仿宋_GB2312" w:hAnsi="仿宋_GB2312" w:eastAsia="仿宋_GB2312" w:cs="仿宋_GB2312"/>
          <w:color w:val="auto"/>
          <w:spacing w:val="4"/>
          <w:szCs w:val="32"/>
        </w:rPr>
        <w:t>条</w:t>
      </w:r>
      <w:r>
        <w:rPr>
          <w:rFonts w:hint="eastAsia" w:ascii="仿宋_GB2312" w:hAnsi="仿宋_GB2312" w:eastAsia="仿宋_GB2312" w:cs="仿宋_GB2312"/>
          <w:color w:val="auto"/>
          <w:spacing w:val="4"/>
          <w:szCs w:val="32"/>
          <w:lang w:val="en-US" w:eastAsia="zh-CN"/>
        </w:rPr>
        <w:t>PE给水管生产线、3</w:t>
      </w:r>
      <w:r>
        <w:rPr>
          <w:rFonts w:hint="eastAsia" w:ascii="仿宋_GB2312" w:hAnsi="仿宋_GB2312" w:eastAsia="仿宋_GB2312" w:cs="仿宋_GB2312"/>
          <w:color w:val="auto"/>
          <w:spacing w:val="4"/>
          <w:szCs w:val="32"/>
        </w:rPr>
        <w:t>条</w:t>
      </w:r>
      <w:r>
        <w:rPr>
          <w:rFonts w:hint="eastAsia" w:ascii="仿宋_GB2312" w:hAnsi="仿宋_GB2312" w:eastAsia="仿宋_GB2312" w:cs="仿宋_GB2312"/>
          <w:color w:val="auto"/>
          <w:spacing w:val="4"/>
          <w:szCs w:val="32"/>
          <w:lang w:val="en-US" w:eastAsia="zh-CN"/>
        </w:rPr>
        <w:t>PE硅芯管生产线、2</w:t>
      </w:r>
      <w:r>
        <w:rPr>
          <w:rFonts w:hint="eastAsia" w:ascii="仿宋_GB2312" w:hAnsi="仿宋_GB2312" w:eastAsia="仿宋_GB2312" w:cs="仿宋_GB2312"/>
          <w:color w:val="auto"/>
          <w:spacing w:val="4"/>
          <w:szCs w:val="32"/>
        </w:rPr>
        <w:t>条</w:t>
      </w:r>
      <w:r>
        <w:rPr>
          <w:rFonts w:hint="eastAsia" w:ascii="仿宋_GB2312" w:hAnsi="仿宋_GB2312" w:eastAsia="仿宋_GB2312" w:cs="仿宋_GB2312"/>
          <w:color w:val="auto"/>
          <w:spacing w:val="4"/>
          <w:szCs w:val="32"/>
          <w:lang w:val="en-US" w:eastAsia="zh-CN"/>
        </w:rPr>
        <w:t>PP管生产线和3</w:t>
      </w:r>
      <w:r>
        <w:rPr>
          <w:rFonts w:hint="eastAsia" w:ascii="仿宋_GB2312" w:hAnsi="仿宋_GB2312" w:eastAsia="仿宋_GB2312" w:cs="仿宋_GB2312"/>
          <w:color w:val="auto"/>
          <w:spacing w:val="4"/>
          <w:szCs w:val="32"/>
        </w:rPr>
        <w:t>条</w:t>
      </w:r>
      <w:r>
        <w:rPr>
          <w:rFonts w:hint="eastAsia" w:ascii="仿宋_GB2312" w:hAnsi="仿宋_GB2312" w:eastAsia="仿宋_GB2312" w:cs="仿宋_GB2312"/>
          <w:color w:val="auto"/>
          <w:spacing w:val="4"/>
          <w:szCs w:val="32"/>
          <w:lang w:val="en-US" w:eastAsia="zh-CN"/>
        </w:rPr>
        <w:t>PVC管生产线，年产</w:t>
      </w:r>
      <w:r>
        <w:rPr>
          <w:rFonts w:hint="eastAsia" w:ascii="仿宋_GB2312" w:hAnsi="仿宋_GB2312" w:eastAsia="仿宋_GB2312" w:cs="仿宋_GB2312"/>
          <w:color w:val="auto"/>
          <w:spacing w:val="4"/>
          <w:szCs w:val="32"/>
          <w:lang w:eastAsia="zh-CN"/>
        </w:rPr>
        <w:t>双壁波纹管</w:t>
      </w:r>
      <w:r>
        <w:rPr>
          <w:rFonts w:hint="eastAsia" w:ascii="仿宋_GB2312" w:hAnsi="仿宋_GB2312" w:eastAsia="仿宋_GB2312" w:cs="仿宋_GB2312"/>
          <w:color w:val="auto"/>
          <w:spacing w:val="4"/>
          <w:szCs w:val="32"/>
          <w:lang w:val="en-US" w:eastAsia="zh-CN"/>
        </w:rPr>
        <w:t>1000吨、塑料波纹管1000吨、PE给水管2000吨、PE硅芯管2000吨、PP管1000吨和PVC管1000吨</w:t>
      </w:r>
      <w:r>
        <w:rPr>
          <w:rFonts w:hint="eastAsia" w:ascii="仿宋_GB2312" w:hAnsi="仿宋_GB2312" w:eastAsia="仿宋_GB2312" w:cs="仿宋_GB2312"/>
          <w:color w:val="auto"/>
          <w:spacing w:val="4"/>
          <w:szCs w:val="32"/>
        </w:rPr>
        <w:t>。项目占地面积</w:t>
      </w:r>
      <w:r>
        <w:rPr>
          <w:rFonts w:hint="eastAsia" w:ascii="仿宋_GB2312" w:hAnsi="仿宋_GB2312" w:eastAsia="仿宋_GB2312" w:cs="仿宋_GB2312"/>
          <w:color w:val="auto"/>
          <w:spacing w:val="4"/>
          <w:szCs w:val="32"/>
          <w:lang w:val="en-US" w:eastAsia="zh-CN"/>
        </w:rPr>
        <w:t>4800</w:t>
      </w:r>
      <w:r>
        <w:rPr>
          <w:rFonts w:hint="eastAsia" w:ascii="仿宋_GB2312" w:hAnsi="仿宋_GB2312" w:eastAsia="仿宋_GB2312" w:cs="仿宋_GB2312"/>
          <w:color w:val="auto"/>
          <w:spacing w:val="4"/>
          <w:szCs w:val="32"/>
        </w:rPr>
        <w:t>平方米，厂房内分区设置</w:t>
      </w:r>
      <w:r>
        <w:rPr>
          <w:rFonts w:hint="eastAsia" w:ascii="仿宋_GB2312" w:hAnsi="仿宋_GB2312" w:eastAsia="仿宋_GB2312" w:cs="仿宋_GB2312"/>
          <w:color w:val="auto"/>
          <w:spacing w:val="4"/>
          <w:szCs w:val="32"/>
          <w:lang w:eastAsia="zh-CN"/>
        </w:rPr>
        <w:t>管材生产区、仓储区、办公区</w:t>
      </w:r>
      <w:r>
        <w:rPr>
          <w:rFonts w:hint="eastAsia" w:ascii="仿宋_GB2312" w:hAnsi="仿宋_GB2312" w:eastAsia="仿宋_GB2312" w:cs="仿宋_GB2312"/>
          <w:color w:val="auto"/>
          <w:spacing w:val="4"/>
          <w:szCs w:val="32"/>
        </w:rPr>
        <w:t>及给排水、供配电、环保等相</w:t>
      </w:r>
      <w:r>
        <w:rPr>
          <w:rFonts w:hint="eastAsia" w:ascii="仿宋_GB2312" w:hAnsi="仿宋_GB2312" w:eastAsia="仿宋_GB2312" w:cs="仿宋_GB2312"/>
          <w:color w:val="auto"/>
          <w:szCs w:val="32"/>
        </w:rPr>
        <w:t>关公用辅助工程。项目建设符合国家产业政策和益阳高新区东部产业园选址用地规划要求。根据</w:t>
      </w:r>
      <w:bookmarkStart w:id="1" w:name="_GoBack"/>
      <w:bookmarkEnd w:id="1"/>
      <w:r>
        <w:rPr>
          <w:rFonts w:hint="eastAsia" w:ascii="仿宋_GB2312" w:hAnsi="仿宋_GB2312" w:eastAsia="仿宋_GB2312" w:cs="仿宋_GB2312"/>
          <w:color w:val="auto"/>
          <w:szCs w:val="32"/>
          <w:lang w:val="en-US" w:eastAsia="zh-CN"/>
        </w:rPr>
        <w:t>湖南欣森宏景环境评估有限公司</w:t>
      </w:r>
      <w:r>
        <w:rPr>
          <w:rFonts w:hint="eastAsia" w:ascii="仿宋_GB2312" w:hAnsi="仿宋_GB2312" w:eastAsia="仿宋_GB2312" w:cs="仿宋_GB2312"/>
          <w:color w:val="auto"/>
          <w:szCs w:val="32"/>
        </w:rPr>
        <w:t>编制的环评报告</w:t>
      </w:r>
      <w:r>
        <w:rPr>
          <w:rFonts w:hint="eastAsia" w:ascii="仿宋_GB2312" w:hAnsi="仿宋_GB2312" w:eastAsia="仿宋_GB2312" w:cs="仿宋_GB2312"/>
          <w:color w:val="auto"/>
          <w:szCs w:val="32"/>
          <w:lang w:eastAsia="zh-CN"/>
        </w:rPr>
        <w:t>书</w:t>
      </w:r>
      <w:r>
        <w:rPr>
          <w:rFonts w:hint="eastAsia" w:ascii="仿宋_GB2312" w:hAnsi="仿宋_GB2312" w:eastAsia="仿宋_GB2312" w:cs="仿宋_GB2312"/>
          <w:color w:val="auto"/>
          <w:szCs w:val="32"/>
        </w:rPr>
        <w:t>的分析结论，在建设单位认真落实报告</w:t>
      </w:r>
      <w:r>
        <w:rPr>
          <w:rFonts w:hint="eastAsia" w:ascii="仿宋_GB2312" w:hAnsi="仿宋_GB2312" w:eastAsia="仿宋_GB2312" w:cs="仿宋_GB2312"/>
          <w:color w:val="auto"/>
          <w:szCs w:val="32"/>
          <w:lang w:eastAsia="zh-CN"/>
        </w:rPr>
        <w:t>书</w:t>
      </w:r>
      <w:r>
        <w:rPr>
          <w:rFonts w:hint="eastAsia" w:ascii="仿宋_GB2312" w:hAnsi="仿宋_GB2312" w:eastAsia="仿宋_GB2312" w:cs="仿宋_GB2312"/>
          <w:color w:val="auto"/>
          <w:szCs w:val="32"/>
        </w:rPr>
        <w:t>提出的各项污染防治措施、确保外排污染物稳定达标的前提下，从环保的角度分析，我局同意项目按报告</w:t>
      </w:r>
      <w:r>
        <w:rPr>
          <w:rFonts w:hint="eastAsia" w:ascii="仿宋_GB2312" w:hAnsi="仿宋_GB2312" w:eastAsia="仿宋_GB2312" w:cs="仿宋_GB2312"/>
          <w:color w:val="auto"/>
          <w:szCs w:val="32"/>
          <w:lang w:eastAsia="zh-CN"/>
        </w:rPr>
        <w:t>书</w:t>
      </w:r>
      <w:r>
        <w:rPr>
          <w:rFonts w:hint="eastAsia" w:ascii="仿宋_GB2312" w:hAnsi="仿宋_GB2312" w:eastAsia="仿宋_GB2312" w:cs="仿宋_GB2312"/>
          <w:color w:val="auto"/>
          <w:szCs w:val="32"/>
        </w:rPr>
        <w:t>所列的建设方案、规模、工艺、环保措施等在拟选地址建设。</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二、</w:t>
      </w:r>
      <w:r>
        <w:rPr>
          <w:rFonts w:hint="eastAsia" w:ascii="仿宋_GB2312" w:hAnsi="仿宋_GB2312" w:eastAsia="仿宋_GB2312" w:cs="仿宋_GB2312"/>
          <w:color w:val="auto"/>
          <w:szCs w:val="32"/>
        </w:rPr>
        <w:t>建设单位在项目设计、建设和营运期间，必须严格执行环保“三同时”制度，按照环评报告</w:t>
      </w:r>
      <w:r>
        <w:rPr>
          <w:rFonts w:hint="eastAsia" w:ascii="仿宋_GB2312" w:hAnsi="仿宋_GB2312" w:eastAsia="仿宋_GB2312" w:cs="仿宋_GB2312"/>
          <w:color w:val="auto"/>
          <w:szCs w:val="32"/>
          <w:lang w:eastAsia="zh-CN"/>
        </w:rPr>
        <w:t>书</w:t>
      </w:r>
      <w:r>
        <w:rPr>
          <w:rFonts w:hint="eastAsia" w:ascii="仿宋_GB2312" w:hAnsi="仿宋_GB2312" w:eastAsia="仿宋_GB2312" w:cs="仿宋_GB2312"/>
          <w:color w:val="auto"/>
          <w:szCs w:val="32"/>
        </w:rPr>
        <w:t>要求落实各项污染防治措施，并着重做好如下工作</w:t>
      </w:r>
      <w:r>
        <w:rPr>
          <w:rFonts w:hint="eastAsia" w:ascii="仿宋_GB2312" w:hAnsi="仿宋_GB2312" w:eastAsia="仿宋_GB2312" w:cs="仿宋_GB2312"/>
          <w:color w:val="auto"/>
          <w:spacing w:val="4"/>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color w:val="auto"/>
          <w:spacing w:val="4"/>
          <w:szCs w:val="32"/>
        </w:rPr>
        <w:t>（一）做好项目大气污染防治工作。</w:t>
      </w:r>
      <w:r>
        <w:rPr>
          <w:rFonts w:hint="eastAsia" w:ascii="仿宋_GB2312" w:hAnsi="仿宋_GB2312" w:eastAsia="仿宋_GB2312" w:cs="仿宋_GB2312"/>
          <w:color w:val="000000"/>
          <w:spacing w:val="0"/>
          <w:sz w:val="32"/>
          <w:szCs w:val="32"/>
          <w:lang w:val="en-US" w:eastAsia="zh-CN"/>
        </w:rPr>
        <w:t>加强车间通风换气，</w:t>
      </w:r>
      <w:r>
        <w:rPr>
          <w:rFonts w:hint="eastAsia" w:ascii="仿宋_GB2312" w:hAnsi="仿宋_GB2312" w:eastAsia="仿宋_GB2312" w:cs="仿宋_GB2312"/>
          <w:color w:val="000000"/>
          <w:spacing w:val="4"/>
          <w:sz w:val="32"/>
          <w:szCs w:val="32"/>
          <w:lang w:eastAsia="zh-CN"/>
        </w:rPr>
        <w:t>投料、破碎过程产生的粉尘经设备自带的布袋除尘装置进行收集处理后通过15米高排气筒排放，确保外排污染物满足《大气污染物综合排放标准》（GB16297-1996）表2中二级标准及无组织排放监控浓度限值要求</w:t>
      </w:r>
      <w:r>
        <w:rPr>
          <w:rFonts w:hint="eastAsia" w:ascii="仿宋_GB2312" w:hAnsi="仿宋_GB2312" w:eastAsia="仿宋_GB2312" w:cs="仿宋_GB2312"/>
          <w:color w:val="000000"/>
          <w:spacing w:val="4"/>
          <w:szCs w:val="32"/>
        </w:rPr>
        <w:t>；熔融挤出</w:t>
      </w:r>
      <w:r>
        <w:rPr>
          <w:rFonts w:hint="eastAsia" w:ascii="仿宋_GB2312" w:hAnsi="仿宋_GB2312" w:eastAsia="仿宋_GB2312" w:cs="仿宋_GB2312"/>
          <w:color w:val="000000"/>
          <w:spacing w:val="4"/>
          <w:sz w:val="32"/>
          <w:szCs w:val="32"/>
          <w:lang w:eastAsia="zh-CN"/>
        </w:rPr>
        <w:t>过程产生的</w:t>
      </w:r>
      <w:r>
        <w:rPr>
          <w:rFonts w:hint="eastAsia" w:ascii="仿宋_GB2312" w:hAnsi="仿宋_GB2312" w:eastAsia="仿宋_GB2312" w:cs="仿宋_GB2312"/>
          <w:color w:val="000000"/>
          <w:spacing w:val="4"/>
          <w:szCs w:val="32"/>
        </w:rPr>
        <w:t>挥发性有机物</w:t>
      </w:r>
      <w:r>
        <w:rPr>
          <w:rFonts w:hint="eastAsia" w:ascii="仿宋_GB2312" w:hAnsi="仿宋_GB2312" w:eastAsia="仿宋_GB2312" w:cs="仿宋_GB2312"/>
          <w:color w:val="000000"/>
          <w:spacing w:val="4"/>
          <w:sz w:val="32"/>
          <w:szCs w:val="32"/>
          <w:lang w:eastAsia="zh-CN"/>
        </w:rPr>
        <w:t>由集气罩收集</w:t>
      </w:r>
      <w:r>
        <w:rPr>
          <w:rFonts w:hint="eastAsia" w:ascii="仿宋_GB2312" w:hAnsi="仿宋_GB2312" w:eastAsia="仿宋_GB2312" w:cs="仿宋_GB2312"/>
          <w:color w:val="auto"/>
          <w:spacing w:val="4"/>
          <w:szCs w:val="32"/>
          <w:lang w:eastAsia="zh-CN"/>
        </w:rPr>
        <w:t>引入“碱液喷淋+等离子净化+活性炭吸附装置”处理后通过15米高排气筒排放，</w:t>
      </w:r>
      <w:r>
        <w:rPr>
          <w:rFonts w:hint="eastAsia" w:ascii="仿宋_GB2312" w:hAnsi="仿宋_GB2312" w:eastAsia="仿宋_GB2312" w:cs="仿宋_GB2312"/>
          <w:color w:val="000000"/>
          <w:spacing w:val="4"/>
          <w:sz w:val="32"/>
          <w:szCs w:val="32"/>
          <w:lang w:eastAsia="zh-CN"/>
        </w:rPr>
        <w:t>确保外排污染物达到《合成树脂工业污染物排放标准》（GB31572-2015）中表5大气污染物特别排放限值及</w:t>
      </w:r>
      <w:r>
        <w:rPr>
          <w:rFonts w:hint="eastAsia" w:ascii="仿宋_GB2312" w:hAnsi="仿宋_GB2312" w:eastAsia="仿宋_GB2312" w:cs="仿宋_GB2312"/>
          <w:b w:val="0"/>
          <w:color w:val="auto"/>
          <w:spacing w:val="0"/>
          <w:kern w:val="2"/>
          <w:sz w:val="32"/>
          <w:szCs w:val="32"/>
          <w:lang w:val="en-US" w:eastAsia="zh-CN" w:bidi="ar-SA"/>
        </w:rPr>
        <w:t>表9企业边界大气污染物浓度限值要求；</w:t>
      </w:r>
      <w:r>
        <w:rPr>
          <w:rFonts w:hint="eastAsia" w:ascii="仿宋_GB2312" w:hAnsi="仿宋_GB2312" w:eastAsia="仿宋_GB2312" w:cs="仿宋_GB2312"/>
          <w:color w:val="000000"/>
          <w:spacing w:val="4"/>
          <w:szCs w:val="32"/>
        </w:rPr>
        <w:t>食堂油烟经油烟净化装置处理达到《饮食业油烟排放标准（试行）》(GB18483-2001)要求后外排，油烟排气筒的高度、位置等具体要求按照《饮食业环境保护技术规范》（HJ554-2010）的规定执行。</w:t>
      </w:r>
    </w:p>
    <w:p>
      <w:pPr>
        <w:keepNext w:val="0"/>
        <w:keepLines w:val="0"/>
        <w:pageBreakBefore w:val="0"/>
        <w:numPr>
          <w:numId w:val="0"/>
        </w:numPr>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（二）做好项目水污染防治工作。</w:t>
      </w:r>
      <w:r>
        <w:rPr>
          <w:rFonts w:hint="eastAsia" w:ascii="仿宋_GB2312" w:hAnsi="仿宋_GB2312" w:eastAsia="仿宋_GB2312" w:cs="仿宋_GB2312"/>
          <w:color w:val="000000"/>
          <w:spacing w:val="4"/>
          <w:szCs w:val="32"/>
        </w:rPr>
        <w:t>厂区排水必须实行雨污分流，认真落实</w:t>
      </w:r>
      <w:r>
        <w:rPr>
          <w:rFonts w:hint="eastAsia" w:ascii="仿宋_GB2312" w:hAnsi="仿宋_GB2312" w:eastAsia="仿宋_GB2312" w:cs="仿宋_GB2312"/>
          <w:szCs w:val="32"/>
        </w:rPr>
        <w:t>报告</w:t>
      </w:r>
      <w:r>
        <w:rPr>
          <w:rFonts w:hint="eastAsia" w:ascii="仿宋_GB2312" w:hAnsi="仿宋_GB2312" w:eastAsia="仿宋_GB2312" w:cs="仿宋_GB2312"/>
          <w:szCs w:val="32"/>
          <w:lang w:eastAsia="zh-CN"/>
        </w:rPr>
        <w:t>书</w:t>
      </w:r>
      <w:r>
        <w:rPr>
          <w:rFonts w:hint="eastAsia" w:ascii="仿宋_GB2312" w:hAnsi="仿宋_GB2312" w:eastAsia="仿宋_GB2312" w:cs="仿宋_GB2312"/>
          <w:color w:val="000000"/>
          <w:spacing w:val="4"/>
          <w:szCs w:val="32"/>
        </w:rPr>
        <w:t>提出的废水处理方案。食堂废水经隔油池处理后和生活污水一起进入化粪池处理，</w:t>
      </w:r>
      <w:r>
        <w:rPr>
          <w:rFonts w:hint="eastAsia" w:ascii="仿宋_GB2312" w:hAnsi="仿宋_GB2312" w:eastAsia="仿宋_GB2312" w:cs="仿宋_GB2312"/>
          <w:color w:val="000000"/>
          <w:spacing w:val="4"/>
          <w:szCs w:val="32"/>
          <w:lang w:eastAsia="zh-CN"/>
        </w:rPr>
        <w:t>确保预处理后的废水</w:t>
      </w:r>
      <w:r>
        <w:rPr>
          <w:rFonts w:hint="eastAsia" w:ascii="仿宋_GB2312" w:hAnsi="仿宋_GB2312" w:eastAsia="仿宋_GB2312" w:cs="仿宋_GB2312"/>
          <w:color w:val="000000"/>
          <w:spacing w:val="4"/>
          <w:szCs w:val="32"/>
        </w:rPr>
        <w:t>达到《污水综合排放标准》（GB8978-1996）表4中三级标准后经园区污水管网排入益阳</w:t>
      </w:r>
      <w:r>
        <w:rPr>
          <w:rFonts w:hint="eastAsia" w:ascii="仿宋_GB2312" w:hAnsi="仿宋_GB2312" w:eastAsia="仿宋_GB2312" w:cs="仿宋_GB2312"/>
          <w:color w:val="000000"/>
          <w:spacing w:val="4"/>
          <w:szCs w:val="32"/>
          <w:lang w:eastAsia="zh-CN"/>
        </w:rPr>
        <w:t>市</w:t>
      </w:r>
      <w:r>
        <w:rPr>
          <w:rFonts w:hint="eastAsia" w:ascii="仿宋_GB2312" w:hAnsi="仿宋_GB2312" w:eastAsia="仿宋_GB2312" w:cs="仿宋_GB2312"/>
          <w:color w:val="000000"/>
          <w:spacing w:val="4"/>
          <w:szCs w:val="32"/>
        </w:rPr>
        <w:t>东部新</w:t>
      </w:r>
      <w:r>
        <w:rPr>
          <w:rFonts w:hint="eastAsia" w:ascii="仿宋_GB2312" w:hAnsi="仿宋_GB2312" w:eastAsia="仿宋_GB2312" w:cs="仿宋_GB2312"/>
          <w:color w:val="auto"/>
          <w:spacing w:val="4"/>
          <w:szCs w:val="32"/>
        </w:rPr>
        <w:t>区污水处理厂进行深度处理</w:t>
      </w:r>
      <w:r>
        <w:rPr>
          <w:rFonts w:hint="eastAsia" w:ascii="仿宋_GB2312" w:hAnsi="仿宋_GB2312" w:eastAsia="仿宋_GB2312" w:cs="仿宋_GB2312"/>
          <w:color w:val="auto"/>
          <w:spacing w:val="4"/>
          <w:szCs w:val="32"/>
          <w:lang w:eastAsia="zh-CN"/>
        </w:rPr>
        <w:t>；碱液喷淋废水定期</w:t>
      </w:r>
      <w:r>
        <w:rPr>
          <w:rFonts w:hint="eastAsia" w:ascii="仿宋_GB2312" w:hAnsi="仿宋_GB2312" w:eastAsia="仿宋_GB2312" w:cs="仿宋_GB2312"/>
          <w:color w:val="auto"/>
          <w:spacing w:val="4"/>
          <w:szCs w:val="32"/>
        </w:rPr>
        <w:t>委托具有相关危废处置资质的单位外运处置，严禁直接外排</w:t>
      </w:r>
      <w:r>
        <w:rPr>
          <w:rFonts w:hint="eastAsia" w:ascii="仿宋_GB2312" w:hAnsi="仿宋_GB2312" w:eastAsia="仿宋_GB2312" w:cs="仿宋_GB2312"/>
          <w:color w:val="auto"/>
          <w:spacing w:val="4"/>
          <w:szCs w:val="32"/>
          <w:lang w:val="en-US" w:eastAsia="zh-CN"/>
        </w:rPr>
        <w:t>；</w:t>
      </w:r>
      <w:r>
        <w:rPr>
          <w:rFonts w:hint="eastAsia" w:ascii="仿宋_GB2312" w:hAnsi="仿宋_GB2312" w:eastAsia="仿宋_GB2312" w:cs="仿宋_GB2312"/>
          <w:color w:val="auto"/>
          <w:spacing w:val="4"/>
          <w:szCs w:val="32"/>
        </w:rPr>
        <w:t>设备冷却</w:t>
      </w:r>
      <w:r>
        <w:rPr>
          <w:rFonts w:hint="eastAsia" w:ascii="仿宋_GB2312" w:hAnsi="仿宋_GB2312" w:eastAsia="仿宋_GB2312" w:cs="仿宋_GB2312"/>
          <w:color w:val="auto"/>
          <w:spacing w:val="4"/>
          <w:szCs w:val="32"/>
          <w:lang w:eastAsia="zh-CN"/>
        </w:rPr>
        <w:t>用</w:t>
      </w:r>
      <w:r>
        <w:rPr>
          <w:rFonts w:hint="eastAsia" w:ascii="仿宋_GB2312" w:hAnsi="仿宋_GB2312" w:eastAsia="仿宋_GB2312" w:cs="仿宋_GB2312"/>
          <w:color w:val="auto"/>
          <w:spacing w:val="4"/>
          <w:szCs w:val="32"/>
        </w:rPr>
        <w:t>水经收集后循环使用，不外排。</w:t>
      </w:r>
    </w:p>
    <w:p>
      <w:pPr>
        <w:pStyle w:val="4"/>
        <w:keepNext w:val="0"/>
        <w:keepLines w:val="0"/>
        <w:pageBreakBefore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（三）做好项目噪声污染防治工作。</w:t>
      </w:r>
      <w:r>
        <w:rPr>
          <w:rFonts w:hint="eastAsia" w:ascii="仿宋_GB2312" w:hAnsi="仿宋_GB2312" w:eastAsia="仿宋_GB2312" w:cs="仿宋_GB2312"/>
          <w:color w:val="auto"/>
          <w:szCs w:val="32"/>
        </w:rPr>
        <w:t>落实环评报告</w:t>
      </w:r>
      <w:r>
        <w:rPr>
          <w:rFonts w:hint="eastAsia" w:ascii="仿宋_GB2312" w:hAnsi="仿宋_GB2312" w:eastAsia="仿宋_GB2312" w:cs="仿宋_GB2312"/>
          <w:color w:val="auto"/>
          <w:szCs w:val="32"/>
          <w:lang w:eastAsia="zh-CN"/>
        </w:rPr>
        <w:t>书</w:t>
      </w:r>
      <w:r>
        <w:rPr>
          <w:rFonts w:hint="eastAsia" w:ascii="仿宋_GB2312" w:hAnsi="仿宋_GB2312" w:eastAsia="仿宋_GB2312" w:cs="仿宋_GB2312"/>
          <w:color w:val="auto"/>
          <w:szCs w:val="32"/>
        </w:rPr>
        <w:t>提出的噪声防治措施，合理优化总平面布局，并从优化设备的选型、减震、消声、隔声和合理安排设备作业时间等方面做好噪声污染控制工作，确保厂界噪声达到《工业企业厂界环境噪声排放标准》（GB12348-2008）中3类区标准要求</w:t>
      </w:r>
      <w:r>
        <w:rPr>
          <w:rFonts w:hint="eastAsia" w:ascii="仿宋_GB2312" w:hAnsi="仿宋_GB2312" w:eastAsia="仿宋_GB2312" w:cs="仿宋_GB2312"/>
          <w:color w:val="auto"/>
          <w:spacing w:val="4"/>
          <w:szCs w:val="32"/>
        </w:rPr>
        <w:t>。</w:t>
      </w:r>
    </w:p>
    <w:p>
      <w:pPr>
        <w:pStyle w:val="4"/>
        <w:keepNext w:val="0"/>
        <w:keepLines w:val="0"/>
        <w:pageBreakBefore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pacing w:val="4"/>
          <w:szCs w:val="32"/>
        </w:rPr>
        <w:t>（四）</w:t>
      </w:r>
      <w:r>
        <w:rPr>
          <w:rFonts w:hint="eastAsia" w:ascii="仿宋_GB2312" w:hAnsi="仿宋_GB2312" w:eastAsia="仿宋_GB2312" w:cs="仿宋_GB2312"/>
          <w:color w:val="auto"/>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_GB2312" w:hAnsi="仿宋_GB2312" w:eastAsia="仿宋_GB2312" w:cs="仿宋_GB2312"/>
          <w:color w:val="auto"/>
          <w:kern w:val="0"/>
          <w:szCs w:val="32"/>
        </w:rPr>
        <w:t>生活垃圾收集后交给地方环卫部门处理；边角废料</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不合格产品</w:t>
      </w:r>
      <w:r>
        <w:rPr>
          <w:rFonts w:hint="eastAsia" w:ascii="仿宋_GB2312" w:hAnsi="仿宋_GB2312" w:eastAsia="仿宋_GB2312" w:cs="仿宋_GB2312"/>
          <w:color w:val="000000"/>
          <w:spacing w:val="4"/>
          <w:szCs w:val="32"/>
          <w:lang w:eastAsia="zh-CN"/>
        </w:rPr>
        <w:t>、</w:t>
      </w:r>
      <w:r>
        <w:rPr>
          <w:rFonts w:hint="eastAsia" w:ascii="仿宋_GB2312" w:hAnsi="仿宋_GB2312" w:eastAsia="仿宋_GB2312" w:cs="仿宋_GB2312"/>
          <w:color w:val="000000"/>
          <w:spacing w:val="4"/>
          <w:szCs w:val="32"/>
        </w:rPr>
        <w:t>废包装材料</w:t>
      </w:r>
      <w:r>
        <w:rPr>
          <w:rFonts w:hint="eastAsia" w:ascii="仿宋_GB2312" w:hAnsi="仿宋_GB2312" w:eastAsia="仿宋_GB2312" w:cs="仿宋_GB2312"/>
          <w:color w:val="000000"/>
          <w:spacing w:val="4"/>
          <w:szCs w:val="32"/>
          <w:lang w:eastAsia="zh-CN"/>
        </w:rPr>
        <w:t>、布袋除尘器收集粉尘等</w:t>
      </w:r>
      <w:r>
        <w:rPr>
          <w:rFonts w:hint="eastAsia" w:ascii="仿宋_GB2312" w:hAnsi="仿宋_GB2312" w:eastAsia="仿宋_GB2312" w:cs="仿宋_GB2312"/>
          <w:color w:val="auto"/>
          <w:szCs w:val="32"/>
        </w:rPr>
        <w:t>为一般工业固废，经分类收集贮存后外售综合利用；</w:t>
      </w:r>
    </w:p>
    <w:p>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000000"/>
          <w:spacing w:val="4"/>
          <w:szCs w:val="32"/>
          <w:lang w:eastAsia="zh-CN"/>
        </w:rPr>
        <w:t>废机油及机</w:t>
      </w:r>
      <w:r>
        <w:rPr>
          <w:rFonts w:hint="eastAsia" w:ascii="仿宋_GB2312" w:hAnsi="仿宋_GB2312" w:eastAsia="仿宋_GB2312" w:cs="仿宋_GB2312"/>
          <w:color w:val="auto"/>
          <w:spacing w:val="4"/>
          <w:szCs w:val="32"/>
          <w:lang w:eastAsia="zh-CN"/>
        </w:rPr>
        <w:t>油桶、</w:t>
      </w:r>
      <w:r>
        <w:rPr>
          <w:rFonts w:hint="eastAsia" w:ascii="仿宋_GB2312" w:hAnsi="仿宋_GB2312" w:eastAsia="仿宋_GB2312" w:cs="仿宋_GB2312"/>
          <w:color w:val="auto"/>
          <w:spacing w:val="0"/>
          <w:sz w:val="32"/>
          <w:szCs w:val="32"/>
          <w:lang w:val="en-US" w:eastAsia="zh-CN"/>
        </w:rPr>
        <w:t>废活性炭</w:t>
      </w:r>
      <w:r>
        <w:rPr>
          <w:rFonts w:hint="eastAsia" w:ascii="仿宋_GB2312" w:hAnsi="仿宋_GB2312" w:eastAsia="仿宋_GB2312" w:cs="仿宋_GB2312"/>
          <w:color w:val="auto"/>
          <w:spacing w:val="4"/>
          <w:sz w:val="32"/>
          <w:szCs w:val="32"/>
        </w:rPr>
        <w:t>及</w:t>
      </w:r>
      <w:r>
        <w:rPr>
          <w:rFonts w:hint="eastAsia" w:ascii="仿宋_GB2312" w:hAnsi="仿宋_GB2312" w:eastAsia="仿宋_GB2312" w:cs="仿宋_GB2312"/>
          <w:color w:val="auto"/>
          <w:spacing w:val="0"/>
          <w:sz w:val="32"/>
          <w:szCs w:val="32"/>
        </w:rPr>
        <w:t>含油废抹布</w:t>
      </w:r>
      <w:r>
        <w:rPr>
          <w:rFonts w:hint="eastAsia" w:ascii="仿宋_GB2312" w:hAnsi="仿宋_GB2312" w:eastAsia="仿宋_GB2312" w:cs="仿宋_GB2312"/>
          <w:color w:val="auto"/>
          <w:spacing w:val="0"/>
          <w:sz w:val="32"/>
          <w:szCs w:val="32"/>
          <w:lang w:eastAsia="zh-CN"/>
        </w:rPr>
        <w:t>和废手套</w:t>
      </w:r>
      <w:r>
        <w:rPr>
          <w:rFonts w:hint="eastAsia" w:ascii="仿宋_GB2312" w:hAnsi="仿宋_GB2312" w:eastAsia="仿宋_GB2312" w:cs="仿宋_GB2312"/>
          <w:color w:val="auto"/>
          <w:spacing w:val="0"/>
          <w:sz w:val="32"/>
          <w:szCs w:val="32"/>
        </w:rPr>
        <w:t>等危险废物</w:t>
      </w:r>
      <w:r>
        <w:rPr>
          <w:rFonts w:hint="eastAsia" w:ascii="仿宋_GB2312" w:hAnsi="仿宋_GB2312" w:eastAsia="仿宋_GB2312" w:cs="仿宋_GB2312"/>
          <w:color w:val="auto"/>
          <w:kern w:val="0"/>
          <w:szCs w:val="32"/>
        </w:rPr>
        <w:t>应送危废暂存间分类贮存，定期外委有危废处置资质单位处理。</w:t>
      </w:r>
    </w:p>
    <w:p>
      <w:pPr>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pacing w:val="4"/>
          <w:szCs w:val="32"/>
        </w:rPr>
        <w:t>（五）</w:t>
      </w:r>
      <w:r>
        <w:rPr>
          <w:rFonts w:hint="eastAsia" w:ascii="仿宋_GB2312" w:hAnsi="仿宋_GB2312" w:eastAsia="仿宋_GB2312" w:cs="仿宋_GB2312"/>
          <w:color w:val="auto"/>
          <w:szCs w:val="32"/>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w:t>
      </w:r>
      <w:r>
        <w:rPr>
          <w:rFonts w:hint="eastAsia" w:ascii="仿宋_GB2312" w:hAnsi="仿宋_GB2312" w:eastAsia="仿宋_GB2312" w:cs="仿宋_GB2312"/>
          <w:color w:val="auto"/>
          <w:spacing w:val="4"/>
          <w:szCs w:val="32"/>
        </w:rPr>
        <w:t>污染物总量控制：</w:t>
      </w:r>
      <w:r>
        <w:rPr>
          <w:rFonts w:hint="eastAsia" w:ascii="仿宋_GB2312" w:hAnsi="仿宋_GB2312" w:eastAsia="仿宋_GB2312" w:cs="仿宋_GB2312"/>
          <w:color w:val="auto"/>
          <w:spacing w:val="8"/>
          <w:szCs w:val="32"/>
        </w:rPr>
        <w:t>VOC</w:t>
      </w:r>
      <w:r>
        <w:rPr>
          <w:rFonts w:hint="eastAsia" w:ascii="仿宋_GB2312" w:hAnsi="仿宋_GB2312" w:eastAsia="仿宋_GB2312" w:cs="仿宋_GB2312"/>
          <w:color w:val="auto"/>
          <w:spacing w:val="8"/>
          <w:szCs w:val="32"/>
          <w:vertAlign w:val="subscript"/>
        </w:rPr>
        <w:t>S</w:t>
      </w:r>
      <w:r>
        <w:rPr>
          <w:rFonts w:hint="eastAsia" w:ascii="仿宋_GB2312" w:hAnsi="仿宋_GB2312" w:eastAsia="仿宋_GB2312" w:cs="仿宋_GB2312"/>
          <w:color w:val="auto"/>
          <w:spacing w:val="8"/>
          <w:szCs w:val="32"/>
        </w:rPr>
        <w:t>≦0.</w:t>
      </w:r>
      <w:r>
        <w:rPr>
          <w:rFonts w:hint="eastAsia" w:ascii="仿宋_GB2312" w:hAnsi="仿宋_GB2312" w:eastAsia="仿宋_GB2312" w:cs="仿宋_GB2312"/>
          <w:color w:val="auto"/>
          <w:spacing w:val="8"/>
          <w:szCs w:val="32"/>
          <w:lang w:val="en-US" w:eastAsia="zh-CN"/>
        </w:rPr>
        <w:t>28</w:t>
      </w:r>
      <w:r>
        <w:rPr>
          <w:rFonts w:hint="eastAsia" w:ascii="仿宋_GB2312" w:hAnsi="仿宋_GB2312" w:eastAsia="仿宋_GB2312" w:cs="仿宋_GB2312"/>
          <w:color w:val="auto"/>
          <w:spacing w:val="8"/>
          <w:szCs w:val="32"/>
        </w:rPr>
        <w:t>t/a，总量指标纳入当地环保部门总量控制管理。</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三、</w:t>
      </w:r>
      <w:r>
        <w:rPr>
          <w:rFonts w:hint="eastAsia" w:ascii="仿宋_GB2312" w:hAnsi="仿宋_GB2312" w:eastAsia="仿宋_GB2312" w:cs="仿宋_GB2312"/>
          <w:color w:val="auto"/>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auto"/>
          <w:spacing w:val="4"/>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益阳市生态环境局</w:t>
      </w:r>
    </w:p>
    <w:p>
      <w:pPr>
        <w:keepNext w:val="0"/>
        <w:keepLines w:val="0"/>
        <w:pageBreakBefore w:val="0"/>
        <w:kinsoku/>
        <w:wordWrap/>
        <w:overflowPunct/>
        <w:topLinePunct w:val="0"/>
        <w:autoSpaceDE/>
        <w:autoSpaceDN/>
        <w:bidi w:val="0"/>
        <w:adjustRightInd/>
        <w:snapToGrid/>
        <w:spacing w:line="560" w:lineRule="exact"/>
        <w:ind w:firstLine="6080" w:firstLineChars="19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2020年</w:t>
      </w:r>
      <w:r>
        <w:rPr>
          <w:rFonts w:hint="eastAsia" w:ascii="仿宋_GB2312" w:hAnsi="仿宋_GB2312" w:eastAsia="仿宋_GB2312" w:cs="仿宋_GB2312"/>
          <w:color w:val="auto"/>
          <w:lang w:val="en-US" w:eastAsia="zh-CN"/>
        </w:rPr>
        <w:t>11</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3175"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6"/>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15pt;mso-position-horizontal:outside;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BjslxZ+wEAAAQEAAAOAAAAAAAAAAEAIAAAAB8BAABkcnMvZTJvRG9jLnhtbFBL&#10;BQYAAAAABgAGAFkBAACMBQAAAAA=&#10;">
              <v:fill on="f" focussize="0,0"/>
              <v:stroke on="f"/>
              <v:imagedata o:title=""/>
              <o:lock v:ext="edit" aspectratio="f"/>
              <v:textbox inset="0mm,0mm,0mm,0mm" style="mso-fit-shape-to-text:t;">
                <w:txbxContent>
                  <w:p>
                    <w:pPr>
                      <w:pStyle w:val="6"/>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282C6C8"/>
    <w:multiLevelType w:val="singleLevel"/>
    <w:tmpl w:val="7282C6C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0F69FA"/>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55D34"/>
    <w:rsid w:val="00261EB2"/>
    <w:rsid w:val="00263B19"/>
    <w:rsid w:val="00290FDA"/>
    <w:rsid w:val="002C17C9"/>
    <w:rsid w:val="002C7DBB"/>
    <w:rsid w:val="002D32A8"/>
    <w:rsid w:val="002E1D0E"/>
    <w:rsid w:val="002F037B"/>
    <w:rsid w:val="002F3855"/>
    <w:rsid w:val="002F701B"/>
    <w:rsid w:val="0030248F"/>
    <w:rsid w:val="00306B0D"/>
    <w:rsid w:val="00310CA4"/>
    <w:rsid w:val="003113CF"/>
    <w:rsid w:val="00323E39"/>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7199"/>
    <w:rsid w:val="004031CF"/>
    <w:rsid w:val="004126F5"/>
    <w:rsid w:val="00425753"/>
    <w:rsid w:val="004263B3"/>
    <w:rsid w:val="004263F7"/>
    <w:rsid w:val="0042759C"/>
    <w:rsid w:val="00430BBE"/>
    <w:rsid w:val="004453C2"/>
    <w:rsid w:val="00453453"/>
    <w:rsid w:val="0045359D"/>
    <w:rsid w:val="0045451A"/>
    <w:rsid w:val="00455A6D"/>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00B2"/>
    <w:rsid w:val="005655C9"/>
    <w:rsid w:val="005724A2"/>
    <w:rsid w:val="00574CE8"/>
    <w:rsid w:val="00592C7E"/>
    <w:rsid w:val="00594977"/>
    <w:rsid w:val="005A3F9F"/>
    <w:rsid w:val="005C1025"/>
    <w:rsid w:val="005C6754"/>
    <w:rsid w:val="005D39A4"/>
    <w:rsid w:val="005D5D29"/>
    <w:rsid w:val="005E3244"/>
    <w:rsid w:val="005E4435"/>
    <w:rsid w:val="005F17E9"/>
    <w:rsid w:val="00605C54"/>
    <w:rsid w:val="00607224"/>
    <w:rsid w:val="006132DE"/>
    <w:rsid w:val="006277FB"/>
    <w:rsid w:val="00652255"/>
    <w:rsid w:val="006654F1"/>
    <w:rsid w:val="006751E4"/>
    <w:rsid w:val="00676317"/>
    <w:rsid w:val="00682E08"/>
    <w:rsid w:val="0068731F"/>
    <w:rsid w:val="00693AB7"/>
    <w:rsid w:val="006971BB"/>
    <w:rsid w:val="006D61A3"/>
    <w:rsid w:val="006E2BE8"/>
    <w:rsid w:val="006E75E6"/>
    <w:rsid w:val="006F04FD"/>
    <w:rsid w:val="006F6BDD"/>
    <w:rsid w:val="00733AC7"/>
    <w:rsid w:val="00736DFB"/>
    <w:rsid w:val="007462E3"/>
    <w:rsid w:val="00750B05"/>
    <w:rsid w:val="007526EF"/>
    <w:rsid w:val="00761219"/>
    <w:rsid w:val="00774D02"/>
    <w:rsid w:val="00785B41"/>
    <w:rsid w:val="007A72EA"/>
    <w:rsid w:val="007B43D1"/>
    <w:rsid w:val="007C14F1"/>
    <w:rsid w:val="007C681B"/>
    <w:rsid w:val="007C72A6"/>
    <w:rsid w:val="007E59C8"/>
    <w:rsid w:val="007F14CB"/>
    <w:rsid w:val="00815E14"/>
    <w:rsid w:val="008224E0"/>
    <w:rsid w:val="0086218D"/>
    <w:rsid w:val="00865299"/>
    <w:rsid w:val="008746D2"/>
    <w:rsid w:val="0089082A"/>
    <w:rsid w:val="008A0B01"/>
    <w:rsid w:val="008A1C29"/>
    <w:rsid w:val="008C36BC"/>
    <w:rsid w:val="008C5CA9"/>
    <w:rsid w:val="008D583C"/>
    <w:rsid w:val="008E181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231BB"/>
    <w:rsid w:val="00A40D17"/>
    <w:rsid w:val="00A50CF1"/>
    <w:rsid w:val="00A61D09"/>
    <w:rsid w:val="00A71067"/>
    <w:rsid w:val="00A73101"/>
    <w:rsid w:val="00A75DD9"/>
    <w:rsid w:val="00A77751"/>
    <w:rsid w:val="00A8604D"/>
    <w:rsid w:val="00AC03A6"/>
    <w:rsid w:val="00AC64EA"/>
    <w:rsid w:val="00AD68E9"/>
    <w:rsid w:val="00AD782A"/>
    <w:rsid w:val="00AE6C55"/>
    <w:rsid w:val="00AF46EC"/>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66AC8"/>
    <w:rsid w:val="00C75CEA"/>
    <w:rsid w:val="00C8365B"/>
    <w:rsid w:val="00CA1923"/>
    <w:rsid w:val="00CB4707"/>
    <w:rsid w:val="00CC3DD4"/>
    <w:rsid w:val="00CE1397"/>
    <w:rsid w:val="00CF0C36"/>
    <w:rsid w:val="00CF5456"/>
    <w:rsid w:val="00CF5985"/>
    <w:rsid w:val="00CF742E"/>
    <w:rsid w:val="00D060BC"/>
    <w:rsid w:val="00D14609"/>
    <w:rsid w:val="00D15CFC"/>
    <w:rsid w:val="00D36352"/>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3B70"/>
    <w:rsid w:val="00E26450"/>
    <w:rsid w:val="00E30169"/>
    <w:rsid w:val="00E31040"/>
    <w:rsid w:val="00E408F7"/>
    <w:rsid w:val="00E44DF8"/>
    <w:rsid w:val="00E6023E"/>
    <w:rsid w:val="00E66AAB"/>
    <w:rsid w:val="00E6739F"/>
    <w:rsid w:val="00E71CA9"/>
    <w:rsid w:val="00E7377D"/>
    <w:rsid w:val="00E73A50"/>
    <w:rsid w:val="00E90832"/>
    <w:rsid w:val="00EA0E84"/>
    <w:rsid w:val="00EB1F0E"/>
    <w:rsid w:val="00EB259B"/>
    <w:rsid w:val="00EC157C"/>
    <w:rsid w:val="00EC436B"/>
    <w:rsid w:val="00EC4CB3"/>
    <w:rsid w:val="00EC7A75"/>
    <w:rsid w:val="00ED1286"/>
    <w:rsid w:val="00ED7B7C"/>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ED35F8"/>
    <w:rsid w:val="02186671"/>
    <w:rsid w:val="02F843F9"/>
    <w:rsid w:val="033476DA"/>
    <w:rsid w:val="037538F9"/>
    <w:rsid w:val="04ED6839"/>
    <w:rsid w:val="064210FE"/>
    <w:rsid w:val="064444CA"/>
    <w:rsid w:val="070865B3"/>
    <w:rsid w:val="07A84842"/>
    <w:rsid w:val="0832755E"/>
    <w:rsid w:val="09E070C5"/>
    <w:rsid w:val="09FA59E7"/>
    <w:rsid w:val="0B8F1BC6"/>
    <w:rsid w:val="0BF719CD"/>
    <w:rsid w:val="0C065E87"/>
    <w:rsid w:val="0C562ECC"/>
    <w:rsid w:val="0F86206E"/>
    <w:rsid w:val="109A3ADF"/>
    <w:rsid w:val="113E2F5B"/>
    <w:rsid w:val="13DA1C5D"/>
    <w:rsid w:val="13E31472"/>
    <w:rsid w:val="140D6837"/>
    <w:rsid w:val="14360E9D"/>
    <w:rsid w:val="14B47D96"/>
    <w:rsid w:val="150F2302"/>
    <w:rsid w:val="167429F4"/>
    <w:rsid w:val="16E81710"/>
    <w:rsid w:val="17226248"/>
    <w:rsid w:val="181E5164"/>
    <w:rsid w:val="1A1F4F6D"/>
    <w:rsid w:val="1A7A1D0E"/>
    <w:rsid w:val="1BE96FC3"/>
    <w:rsid w:val="1CE020E0"/>
    <w:rsid w:val="1DDE1448"/>
    <w:rsid w:val="1E98550B"/>
    <w:rsid w:val="20095B14"/>
    <w:rsid w:val="20854F1F"/>
    <w:rsid w:val="20862E06"/>
    <w:rsid w:val="21546965"/>
    <w:rsid w:val="21AB1938"/>
    <w:rsid w:val="22365D4B"/>
    <w:rsid w:val="231E1A29"/>
    <w:rsid w:val="26423EFF"/>
    <w:rsid w:val="26C7259C"/>
    <w:rsid w:val="27BA1B7C"/>
    <w:rsid w:val="27C50C52"/>
    <w:rsid w:val="282727F0"/>
    <w:rsid w:val="28901F03"/>
    <w:rsid w:val="28EB3839"/>
    <w:rsid w:val="292C5AD7"/>
    <w:rsid w:val="2ACB1B44"/>
    <w:rsid w:val="2B61039C"/>
    <w:rsid w:val="2BE4768A"/>
    <w:rsid w:val="2C014183"/>
    <w:rsid w:val="2C36248E"/>
    <w:rsid w:val="2C9F6C26"/>
    <w:rsid w:val="2D395EE2"/>
    <w:rsid w:val="2F852E4A"/>
    <w:rsid w:val="2FB51875"/>
    <w:rsid w:val="2FBE547D"/>
    <w:rsid w:val="302837E4"/>
    <w:rsid w:val="308E76BD"/>
    <w:rsid w:val="32782469"/>
    <w:rsid w:val="3470545F"/>
    <w:rsid w:val="34711A93"/>
    <w:rsid w:val="359C2591"/>
    <w:rsid w:val="36E44291"/>
    <w:rsid w:val="38A869F5"/>
    <w:rsid w:val="38F66195"/>
    <w:rsid w:val="3A582307"/>
    <w:rsid w:val="3A94225F"/>
    <w:rsid w:val="3AC117E9"/>
    <w:rsid w:val="3AD0092F"/>
    <w:rsid w:val="3CCF2431"/>
    <w:rsid w:val="3D147B7B"/>
    <w:rsid w:val="3DD36518"/>
    <w:rsid w:val="3E237685"/>
    <w:rsid w:val="3F4E171F"/>
    <w:rsid w:val="3FE2629D"/>
    <w:rsid w:val="403D1582"/>
    <w:rsid w:val="419C4485"/>
    <w:rsid w:val="45134199"/>
    <w:rsid w:val="453D45D5"/>
    <w:rsid w:val="45E80663"/>
    <w:rsid w:val="484F7B35"/>
    <w:rsid w:val="49386227"/>
    <w:rsid w:val="493E2AE8"/>
    <w:rsid w:val="49862A6E"/>
    <w:rsid w:val="4993613B"/>
    <w:rsid w:val="49B07B17"/>
    <w:rsid w:val="4A0D7F14"/>
    <w:rsid w:val="4A9B4753"/>
    <w:rsid w:val="4BE51D09"/>
    <w:rsid w:val="4CDE1A57"/>
    <w:rsid w:val="4DC51DCF"/>
    <w:rsid w:val="4FDF580A"/>
    <w:rsid w:val="51871285"/>
    <w:rsid w:val="51DB6FAB"/>
    <w:rsid w:val="54952865"/>
    <w:rsid w:val="56410B56"/>
    <w:rsid w:val="58813B3F"/>
    <w:rsid w:val="5B2C0540"/>
    <w:rsid w:val="5CDC4F8C"/>
    <w:rsid w:val="5D3E1692"/>
    <w:rsid w:val="5F010883"/>
    <w:rsid w:val="5FBA4E4C"/>
    <w:rsid w:val="60536B06"/>
    <w:rsid w:val="608E305C"/>
    <w:rsid w:val="60EB4166"/>
    <w:rsid w:val="61040EA5"/>
    <w:rsid w:val="616854FA"/>
    <w:rsid w:val="64A676C3"/>
    <w:rsid w:val="64FB7500"/>
    <w:rsid w:val="650C0974"/>
    <w:rsid w:val="67A55805"/>
    <w:rsid w:val="697E3B08"/>
    <w:rsid w:val="6A476406"/>
    <w:rsid w:val="6A737633"/>
    <w:rsid w:val="6BB40992"/>
    <w:rsid w:val="6BB53802"/>
    <w:rsid w:val="6C5D37DD"/>
    <w:rsid w:val="6C6A0E51"/>
    <w:rsid w:val="6DE200EF"/>
    <w:rsid w:val="6DF731D4"/>
    <w:rsid w:val="6F536A2B"/>
    <w:rsid w:val="6FAB56DD"/>
    <w:rsid w:val="702654E8"/>
    <w:rsid w:val="711235A4"/>
    <w:rsid w:val="71332ADA"/>
    <w:rsid w:val="72491435"/>
    <w:rsid w:val="72D17DDC"/>
    <w:rsid w:val="74AB558E"/>
    <w:rsid w:val="76184CB6"/>
    <w:rsid w:val="770B4656"/>
    <w:rsid w:val="77447370"/>
    <w:rsid w:val="78714F38"/>
    <w:rsid w:val="79CF2D8A"/>
    <w:rsid w:val="7BFE6B6B"/>
    <w:rsid w:val="7C3B11E5"/>
    <w:rsid w:val="7C535D72"/>
    <w:rsid w:val="7D5B54A4"/>
    <w:rsid w:val="7D955459"/>
    <w:rsid w:val="7DB00C74"/>
    <w:rsid w:val="7F0D5C16"/>
    <w:rsid w:val="7F3C48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annotation text"/>
    <w:basedOn w:val="1"/>
    <w:link w:val="16"/>
    <w:unhideWhenUsed/>
    <w:qFormat/>
    <w:uiPriority w:val="0"/>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semiHidden/>
    <w:qFormat/>
    <w:uiPriority w:val="99"/>
    <w:rPr>
      <w:rFonts w:ascii="Times New Roman" w:hAnsi="Times New Roman" w:eastAsia="华文仿宋" w:cs="Times New Roman"/>
      <w:sz w:val="18"/>
      <w:szCs w:val="18"/>
    </w:rPr>
  </w:style>
  <w:style w:type="character" w:customStyle="1" w:styleId="13">
    <w:name w:val="页脚 字符"/>
    <w:basedOn w:val="10"/>
    <w:link w:val="6"/>
    <w:semiHidden/>
    <w:qFormat/>
    <w:uiPriority w:val="99"/>
    <w:rPr>
      <w:rFonts w:ascii="Times New Roman" w:hAnsi="Times New Roman" w:eastAsia="华文仿宋" w:cs="Times New Roman"/>
      <w:sz w:val="18"/>
      <w:szCs w:val="18"/>
    </w:rPr>
  </w:style>
  <w:style w:type="character" w:customStyle="1" w:styleId="14">
    <w:name w:val="文档结构图 字符"/>
    <w:basedOn w:val="10"/>
    <w:link w:val="3"/>
    <w:semiHidden/>
    <w:qFormat/>
    <w:uiPriority w:val="99"/>
    <w:rPr>
      <w:rFonts w:ascii="宋体" w:hAnsi="Times New Roman" w:eastAsia="宋体" w:cs="Times New Roman"/>
      <w:sz w:val="18"/>
      <w:szCs w:val="18"/>
    </w:rPr>
  </w:style>
  <w:style w:type="character" w:customStyle="1" w:styleId="15">
    <w:name w:val="批注框文本 字符"/>
    <w:basedOn w:val="10"/>
    <w:link w:val="5"/>
    <w:semiHidden/>
    <w:qFormat/>
    <w:uiPriority w:val="99"/>
    <w:rPr>
      <w:rFonts w:ascii="Times New Roman" w:hAnsi="Times New Roman" w:eastAsia="华文仿宋" w:cs="Times New Roman"/>
      <w:sz w:val="18"/>
      <w:szCs w:val="18"/>
    </w:rPr>
  </w:style>
  <w:style w:type="character" w:customStyle="1" w:styleId="16">
    <w:name w:val="批注文字 字符"/>
    <w:basedOn w:val="10"/>
    <w:link w:val="4"/>
    <w:qFormat/>
    <w:uiPriority w:val="0"/>
    <w:rPr>
      <w:rFonts w:ascii="Times New Roman" w:hAnsi="Times New Roman" w:eastAsia="华文仿宋" w:cs="Times New Roman"/>
      <w:sz w:val="32"/>
      <w:szCs w:val="24"/>
    </w:rPr>
  </w:style>
  <w:style w:type="character" w:customStyle="1" w:styleId="17">
    <w:name w:val="批注主题 字符"/>
    <w:basedOn w:val="16"/>
    <w:link w:val="8"/>
    <w:semiHidden/>
    <w:qFormat/>
    <w:uiPriority w:val="99"/>
    <w:rPr>
      <w:rFonts w:ascii="Times New Roman" w:hAnsi="Times New Roman" w:eastAsia="华文仿宋" w:cs="Times New Roman"/>
      <w:b/>
      <w:bCs/>
      <w:sz w:val="32"/>
      <w:szCs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1197</Characters>
  <Lines>9</Lines>
  <Paragraphs>2</Paragraphs>
  <TotalTime>7</TotalTime>
  <ScaleCrop>false</ScaleCrop>
  <LinksUpToDate>false</LinksUpToDate>
  <CharactersWithSpaces>1404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2020-08-03T02:27:00Z</dcterms:created>
  <dc:creator>AutoBVT</dc:creator>
  <cp:lastModifiedBy>七夜</cp:lastModifiedBy>
  <cp:lastPrinted>2020-11-03T02:56:00Z</cp:lastPrinted>
  <dcterms:modified xsi:type="dcterms:W3CDTF">2020-11-30T09:56:19Z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