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5985"/>
        </w:tabs>
        <w:spacing w:line="520" w:lineRule="exact"/>
        <w:jc w:val="center"/>
        <w:rPr>
          <w:rFonts w:ascii="宋体" w:hAnsi="宋体"/>
          <w:bCs/>
          <w:sz w:val="32"/>
          <w:szCs w:val="32"/>
        </w:rPr>
      </w:pPr>
    </w:p>
    <w:p>
      <w:pPr>
        <w:tabs>
          <w:tab w:val="left" w:pos="5985"/>
        </w:tabs>
        <w:spacing w:line="520" w:lineRule="exact"/>
        <w:jc w:val="center"/>
        <w:rPr>
          <w:rFonts w:ascii="宋体" w:hAnsi="宋体"/>
          <w:bCs/>
          <w:sz w:val="32"/>
          <w:szCs w:val="32"/>
        </w:rPr>
      </w:pPr>
    </w:p>
    <w:p>
      <w:pPr>
        <w:pStyle w:val="2"/>
        <w:spacing w:line="520" w:lineRule="exact"/>
        <w:jc w:val="center"/>
        <w:rPr>
          <w:rFonts w:ascii="仿宋_GB2312" w:eastAsia="仿宋_GB2312"/>
          <w:spacing w:val="-20"/>
        </w:rPr>
      </w:pPr>
    </w:p>
    <w:p>
      <w:pPr>
        <w:pStyle w:val="2"/>
        <w:spacing w:line="520" w:lineRule="exact"/>
        <w:jc w:val="right"/>
        <w:rPr>
          <w:rFonts w:asciiTheme="minorEastAsia" w:hAnsiTheme="minorEastAsia" w:eastAsiaTheme="minorEastAsia"/>
          <w:spacing w:val="-20"/>
          <w:sz w:val="32"/>
          <w:szCs w:val="32"/>
        </w:rPr>
      </w:pPr>
      <w:r>
        <w:rPr>
          <w:rFonts w:hint="eastAsia" w:ascii="仿宋_GB2312" w:eastAsia="仿宋_GB2312"/>
          <w:spacing w:val="-20"/>
        </w:rPr>
        <w:t xml:space="preserve">                            </w:t>
      </w:r>
      <w:r>
        <w:rPr>
          <w:rFonts w:hint="eastAsia" w:ascii="宋体" w:hAnsi="宋体"/>
          <w:spacing w:val="-20"/>
        </w:rPr>
        <w:t xml:space="preserve">                      </w:t>
      </w:r>
      <w:r>
        <w:rPr>
          <w:rFonts w:hint="eastAsia" w:asciiTheme="minorEastAsia" w:hAnsiTheme="minorEastAsia" w:eastAsiaTheme="minorEastAsia"/>
          <w:spacing w:val="-20"/>
          <w:sz w:val="32"/>
          <w:szCs w:val="32"/>
        </w:rPr>
        <w:t xml:space="preserve">   </w:t>
      </w:r>
      <w:bookmarkStart w:id="0" w:name="_GoBack"/>
      <w:r>
        <w:rPr>
          <w:rFonts w:hint="eastAsia" w:asciiTheme="minorEastAsia" w:hAnsiTheme="minorEastAsia" w:eastAsiaTheme="minorEastAsia"/>
          <w:spacing w:val="-20"/>
          <w:sz w:val="32"/>
          <w:szCs w:val="32"/>
        </w:rPr>
        <w:t>益环审(表)</w:t>
      </w:r>
      <w:r>
        <w:rPr>
          <w:rFonts w:hint="eastAsia" w:ascii="宋体" w:hAnsi="宋体"/>
          <w:kern w:val="0"/>
          <w:sz w:val="32"/>
          <w:szCs w:val="32"/>
        </w:rPr>
        <w:t>〔2020〕136</w:t>
      </w:r>
      <w:r>
        <w:rPr>
          <w:rFonts w:hint="eastAsia" w:asciiTheme="minorEastAsia" w:hAnsiTheme="minorEastAsia" w:eastAsiaTheme="minorEastAsia"/>
          <w:spacing w:val="-20"/>
          <w:sz w:val="32"/>
          <w:szCs w:val="32"/>
        </w:rPr>
        <w:t>号</w:t>
      </w:r>
      <w:bookmarkEnd w:id="0"/>
    </w:p>
    <w:p>
      <w:pPr>
        <w:tabs>
          <w:tab w:val="left" w:pos="5985"/>
        </w:tabs>
        <w:spacing w:after="0" w:line="640" w:lineRule="exact"/>
        <w:jc w:val="center"/>
        <w:rPr>
          <w:rFonts w:ascii="方正小标宋简体" w:hAnsi="宋体" w:eastAsia="方正小标宋简体" w:cs="Times New Roman"/>
          <w:sz w:val="44"/>
          <w:szCs w:val="44"/>
        </w:rPr>
      </w:pPr>
      <w:r>
        <w:rPr>
          <w:rFonts w:hint="eastAsia" w:ascii="方正小标宋简体" w:hAnsi="宋体" w:eastAsia="方正小标宋简体" w:cs="Times New Roman"/>
          <w:sz w:val="44"/>
          <w:szCs w:val="44"/>
        </w:rPr>
        <w:t>益阳市生态环境局</w:t>
      </w:r>
    </w:p>
    <w:p>
      <w:pPr>
        <w:spacing w:after="0" w:line="640" w:lineRule="exact"/>
        <w:jc w:val="center"/>
        <w:rPr>
          <w:rFonts w:ascii="方正小标宋简体" w:eastAsia="方正小标宋简体" w:hAnsiTheme="majorEastAsia"/>
          <w:sz w:val="44"/>
          <w:szCs w:val="44"/>
        </w:rPr>
      </w:pPr>
      <w:r>
        <w:rPr>
          <w:rFonts w:hint="eastAsia" w:ascii="方正小标宋简体" w:hAnsi="宋体" w:eastAsia="方正小标宋简体" w:cs="Times New Roman"/>
          <w:sz w:val="44"/>
          <w:szCs w:val="44"/>
        </w:rPr>
        <w:t>关于</w:t>
      </w:r>
      <w:r>
        <w:rPr>
          <w:rFonts w:hint="eastAsia" w:ascii="方正小标宋简体" w:eastAsia="方正小标宋简体" w:hAnsiTheme="majorEastAsia"/>
          <w:sz w:val="44"/>
          <w:szCs w:val="44"/>
        </w:rPr>
        <w:t>益阳市翰达新型建材有限公司</w:t>
      </w:r>
    </w:p>
    <w:p>
      <w:pPr>
        <w:spacing w:after="0" w:line="640" w:lineRule="exact"/>
        <w:jc w:val="center"/>
        <w:rPr>
          <w:rFonts w:ascii="方正小标宋简体" w:eastAsia="方正小标宋简体" w:hAnsiTheme="majorEastAsia"/>
          <w:sz w:val="44"/>
          <w:szCs w:val="44"/>
        </w:rPr>
      </w:pPr>
      <w:r>
        <w:rPr>
          <w:rFonts w:hint="eastAsia" w:ascii="方正小标宋简体" w:eastAsia="方正小标宋简体" w:hAnsiTheme="majorEastAsia"/>
          <w:sz w:val="44"/>
          <w:szCs w:val="44"/>
        </w:rPr>
        <w:t>年产40万立方米预拌混凝土搅拌站</w:t>
      </w:r>
    </w:p>
    <w:p>
      <w:pPr>
        <w:spacing w:after="0" w:line="640" w:lineRule="exact"/>
        <w:jc w:val="center"/>
        <w:rPr>
          <w:rFonts w:asciiTheme="majorEastAsia" w:hAnsiTheme="majorEastAsia" w:eastAsiaTheme="majorEastAsia"/>
          <w:b/>
          <w:sz w:val="44"/>
          <w:szCs w:val="44"/>
        </w:rPr>
      </w:pPr>
      <w:r>
        <w:rPr>
          <w:rFonts w:hint="eastAsia" w:ascii="方正小标宋简体" w:eastAsia="方正小标宋简体" w:hAnsiTheme="majorEastAsia"/>
          <w:sz w:val="44"/>
          <w:szCs w:val="44"/>
        </w:rPr>
        <w:t>建设</w:t>
      </w:r>
      <w:r>
        <w:rPr>
          <w:rFonts w:hint="eastAsia" w:ascii="方正小标宋简体" w:hAnsi="宋体" w:eastAsia="方正小标宋简体" w:cs="Times New Roman"/>
          <w:sz w:val="44"/>
          <w:szCs w:val="44"/>
        </w:rPr>
        <w:t>项目环境影响报告表的批复</w:t>
      </w:r>
    </w:p>
    <w:p>
      <w:pPr>
        <w:spacing w:after="0" w:line="540" w:lineRule="exact"/>
        <w:jc w:val="both"/>
        <w:rPr>
          <w:rFonts w:ascii="仿宋" w:hAnsi="仿宋" w:eastAsia="仿宋"/>
          <w:sz w:val="32"/>
          <w:szCs w:val="32"/>
        </w:rPr>
      </w:pPr>
    </w:p>
    <w:p>
      <w:pPr>
        <w:spacing w:after="0" w:line="540" w:lineRule="exact"/>
        <w:jc w:val="both"/>
        <w:rPr>
          <w:rFonts w:ascii="仿宋" w:hAnsi="仿宋" w:eastAsia="仿宋"/>
          <w:sz w:val="32"/>
          <w:szCs w:val="32"/>
        </w:rPr>
      </w:pPr>
      <w:r>
        <w:rPr>
          <w:rFonts w:hint="eastAsia" w:ascii="仿宋" w:hAnsi="仿宋" w:eastAsia="仿宋"/>
          <w:sz w:val="32"/>
          <w:szCs w:val="32"/>
        </w:rPr>
        <w:t>益阳市翰达新型建材有限公司：</w:t>
      </w:r>
    </w:p>
    <w:p>
      <w:pPr>
        <w:pStyle w:val="2"/>
        <w:spacing w:after="0" w:line="540" w:lineRule="exact"/>
        <w:ind w:firstLine="640" w:firstLineChars="200"/>
        <w:rPr>
          <w:rFonts w:ascii="仿宋" w:hAnsi="仿宋" w:eastAsia="仿宋"/>
          <w:sz w:val="32"/>
          <w:szCs w:val="32"/>
        </w:rPr>
      </w:pPr>
      <w:r>
        <w:rPr>
          <w:rFonts w:hint="eastAsia" w:ascii="仿宋" w:hAnsi="仿宋" w:eastAsia="仿宋"/>
          <w:sz w:val="32"/>
          <w:szCs w:val="32"/>
        </w:rPr>
        <w:t>你公司呈报的《关于请求对&lt;益阳市翰达新型建材有限公司年产40万立方米预拌混凝土搅拌站建设项目环境影响报告表&gt;进行审批的报告</w:t>
      </w:r>
      <w:r>
        <w:rPr>
          <w:rFonts w:hint="eastAsia" w:ascii="仿宋" w:hAnsi="仿宋" w:eastAsia="仿宋"/>
          <w:bCs/>
          <w:sz w:val="32"/>
          <w:szCs w:val="32"/>
        </w:rPr>
        <w:t>》、益阳市生态环境局赫山分局的预审意见及相关材料</w:t>
      </w:r>
      <w:r>
        <w:rPr>
          <w:rFonts w:hint="eastAsia" w:ascii="仿宋" w:hAnsi="仿宋" w:eastAsia="仿宋"/>
          <w:sz w:val="32"/>
          <w:szCs w:val="32"/>
        </w:rPr>
        <w:t>收悉。经审查、研究，批复如下：</w:t>
      </w:r>
    </w:p>
    <w:p>
      <w:pPr>
        <w:spacing w:after="0" w:line="540" w:lineRule="exact"/>
        <w:ind w:firstLine="640" w:firstLineChars="200"/>
        <w:jc w:val="both"/>
        <w:rPr>
          <w:rFonts w:ascii="仿宋" w:hAnsi="仿宋" w:eastAsia="仿宋" w:cs="Times New Roman"/>
          <w:kern w:val="2"/>
          <w:sz w:val="32"/>
          <w:szCs w:val="32"/>
        </w:rPr>
      </w:pPr>
      <w:r>
        <w:rPr>
          <w:rFonts w:hint="eastAsia" w:ascii="仿宋" w:hAnsi="仿宋" w:eastAsia="仿宋"/>
          <w:sz w:val="32"/>
          <w:szCs w:val="32"/>
        </w:rPr>
        <w:t>一、益</w:t>
      </w:r>
      <w:r>
        <w:rPr>
          <w:rFonts w:hint="eastAsia" w:ascii="仿宋" w:hAnsi="仿宋" w:eastAsia="仿宋" w:cs="Times New Roman"/>
          <w:kern w:val="2"/>
          <w:sz w:val="32"/>
          <w:szCs w:val="32"/>
        </w:rPr>
        <w:t>阳市翰达新型建材有限公司所处位置益阳市赫山区沧水铺镇碧云峰村、牛头岭村，于2018年经我局批复同意建设《益阳碧云峰众乾建材有限公司年产10万立方米预拌混凝土建设项目》（益环审（表）〔2018〕95号），预拌混凝土项目一直未建成。该项目于2020年5月经沧水铺镇、碧云峰村同意变更法人主体，同年7月经赫山区住房和城乡建设局、赫山区自然资源局同意你公司混凝土搅拌站重新规划布点建设。公司拟投资2600万元建设年产40万立方米预拌混凝土搅拌站项目，项目</w:t>
      </w:r>
      <w:r>
        <w:rPr>
          <w:rFonts w:ascii="仿宋" w:hAnsi="仿宋" w:eastAsia="仿宋" w:cs="Times New Roman"/>
          <w:kern w:val="2"/>
          <w:sz w:val="32"/>
          <w:szCs w:val="32"/>
        </w:rPr>
        <w:t>占地</w:t>
      </w:r>
      <w:r>
        <w:rPr>
          <w:rFonts w:hint="eastAsia" w:ascii="仿宋" w:hAnsi="仿宋" w:eastAsia="仿宋" w:cs="Times New Roman"/>
          <w:kern w:val="2"/>
          <w:sz w:val="32"/>
          <w:szCs w:val="32"/>
        </w:rPr>
        <w:t>12567.9m</w:t>
      </w:r>
      <w:r>
        <w:rPr>
          <w:rFonts w:hint="eastAsia" w:ascii="仿宋" w:hAnsi="仿宋" w:eastAsia="仿宋" w:cs="Times New Roman"/>
          <w:kern w:val="2"/>
          <w:sz w:val="32"/>
          <w:szCs w:val="32"/>
          <w:vertAlign w:val="superscript"/>
        </w:rPr>
        <w:t>2</w:t>
      </w:r>
      <w:r>
        <w:rPr>
          <w:rFonts w:ascii="仿宋" w:hAnsi="仿宋" w:eastAsia="仿宋" w:cs="Times New Roman"/>
          <w:kern w:val="2"/>
          <w:sz w:val="32"/>
          <w:szCs w:val="32"/>
        </w:rPr>
        <w:t>，主要建设内容包括全封闭搅拌楼一座</w:t>
      </w:r>
      <w:r>
        <w:rPr>
          <w:rFonts w:hint="eastAsia" w:ascii="仿宋" w:hAnsi="仿宋" w:eastAsia="仿宋" w:cs="Times New Roman"/>
          <w:kern w:val="2"/>
          <w:sz w:val="32"/>
          <w:szCs w:val="32"/>
        </w:rPr>
        <w:t>，布置2</w:t>
      </w:r>
      <w:r>
        <w:rPr>
          <w:rFonts w:ascii="仿宋" w:hAnsi="仿宋" w:eastAsia="仿宋" w:cs="Times New Roman"/>
          <w:kern w:val="2"/>
          <w:sz w:val="32"/>
          <w:szCs w:val="32"/>
        </w:rPr>
        <w:t>条</w:t>
      </w:r>
      <w:r>
        <w:rPr>
          <w:rFonts w:hint="eastAsia" w:ascii="仿宋" w:hAnsi="仿宋" w:eastAsia="仿宋" w:cs="Times New Roman"/>
          <w:kern w:val="2"/>
          <w:sz w:val="32"/>
          <w:szCs w:val="32"/>
        </w:rPr>
        <w:t>HZS18</w:t>
      </w:r>
      <w:r>
        <w:rPr>
          <w:rFonts w:ascii="仿宋" w:hAnsi="仿宋" w:eastAsia="仿宋" w:cs="Times New Roman"/>
          <w:kern w:val="2"/>
          <w:sz w:val="32"/>
          <w:szCs w:val="32"/>
        </w:rPr>
        <w:t>0型混凝土</w:t>
      </w: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生产线</w:t>
      </w:r>
      <w:r>
        <w:rPr>
          <w:rFonts w:hint="eastAsia" w:ascii="仿宋" w:hAnsi="仿宋" w:eastAsia="仿宋" w:cs="Times New Roman"/>
          <w:kern w:val="2"/>
          <w:sz w:val="32"/>
          <w:szCs w:val="32"/>
        </w:rPr>
        <w:t>，并配套10个粉料筒仓、全封闭原料库房和输送廊道、办公综合楼、实验室、给排水、供配电和环保工程等相关公用辅助工程。</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项目符合国家产业政策，选址基本可行。根据山东睿福环境科技有限责任公司编制的环评报告表的分析结论和益阳市生态环境局赫山分局的预审意见，在建设单位切实落实报告表提出的各项污染防治和风险防范措施，确保污染物达标排放的前提下，我局原则同意益阳市翰达新型建材有限公司年产40万立方米预拌混凝土搅拌站建设项目的选址并建设。</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二、你公司在工程设计、建设和运营管理中，必须切实落实环评提出的各项污染防治和风险防范措施要求，着重做好以下工作：</w:t>
      </w:r>
    </w:p>
    <w:p>
      <w:pPr>
        <w:spacing w:after="0" w:line="540" w:lineRule="exact"/>
        <w:ind w:firstLine="640" w:firstLineChars="200"/>
        <w:jc w:val="both"/>
        <w:rPr>
          <w:rFonts w:ascii="仿宋" w:hAnsi="仿宋" w:eastAsia="仿宋"/>
          <w:sz w:val="32"/>
          <w:szCs w:val="32"/>
        </w:rPr>
      </w:pPr>
      <w:r>
        <w:rPr>
          <w:rFonts w:hint="eastAsia" w:ascii="仿宋" w:hAnsi="仿宋" w:eastAsia="仿宋"/>
          <w:sz w:val="32"/>
          <w:szCs w:val="32"/>
        </w:rPr>
        <w:t>（一）</w:t>
      </w:r>
      <w:r>
        <w:rPr>
          <w:rFonts w:hint="eastAsia" w:ascii="仿宋" w:hAnsi="仿宋" w:eastAsia="仿宋" w:cstheme="minorEastAsia"/>
          <w:sz w:val="32"/>
          <w:szCs w:val="32"/>
        </w:rPr>
        <w:t>严格履行建设单位的环保主体责任，</w:t>
      </w:r>
      <w:r>
        <w:rPr>
          <w:rFonts w:hint="eastAsia" w:ascii="仿宋" w:hAnsi="仿宋" w:eastAsia="仿宋"/>
          <w:sz w:val="32"/>
          <w:szCs w:val="32"/>
        </w:rPr>
        <w:t>加强环境管理，建立环境管理机构，配备专职或兼职环保人员，完善环境管理制度，定期对污染防治设施进行检查和维护，确保各项污染物稳定达标排放。建立健全环境管理制度，落实各项环境风险防范措施，制定行之有效的环境风险事故应急预案和切实可行的应急措施。</w:t>
      </w:r>
    </w:p>
    <w:p>
      <w:pPr>
        <w:spacing w:after="0" w:line="540" w:lineRule="exact"/>
        <w:ind w:firstLine="640" w:firstLineChars="200"/>
        <w:jc w:val="both"/>
        <w:rPr>
          <w:rFonts w:ascii="仿宋" w:hAnsi="仿宋" w:eastAsia="仿宋" w:cs="Times New Roman"/>
          <w:kern w:val="2"/>
          <w:sz w:val="32"/>
          <w:szCs w:val="32"/>
        </w:rPr>
      </w:pPr>
      <w:r>
        <w:rPr>
          <w:rFonts w:hint="eastAsia" w:ascii="仿宋" w:hAnsi="仿宋" w:eastAsia="仿宋"/>
          <w:sz w:val="32"/>
          <w:szCs w:val="32"/>
        </w:rPr>
        <w:t>（二）落实废气污染防治措施。</w:t>
      </w:r>
      <w:r>
        <w:rPr>
          <w:rFonts w:hint="eastAsia" w:ascii="仿宋" w:hAnsi="仿宋" w:eastAsia="仿宋"/>
          <w:bCs/>
          <w:sz w:val="32"/>
          <w:szCs w:val="32"/>
        </w:rPr>
        <w:t>混凝土</w:t>
      </w:r>
      <w:r>
        <w:rPr>
          <w:rFonts w:hint="eastAsia" w:ascii="仿宋" w:hAnsi="仿宋" w:eastAsia="仿宋"/>
          <w:sz w:val="32"/>
          <w:szCs w:val="32"/>
        </w:rPr>
        <w:t>生产线须采取全封闭生产。原料堆场和输送廊道须全封闭，通过采取在投料口、输送皮带进出口处安装自动雾化喷头洒水抑尘、运输车辆保持清洁、低速行驶、厂区定期洒水降尘等措施，减少无组织粉尘对周边环境的影响。外排废气须满足《水泥</w:t>
      </w:r>
      <w:r>
        <w:rPr>
          <w:rFonts w:hint="eastAsia" w:ascii="仿宋" w:hAnsi="仿宋" w:eastAsia="仿宋" w:cs="Times New Roman"/>
          <w:kern w:val="2"/>
          <w:sz w:val="32"/>
          <w:szCs w:val="32"/>
        </w:rPr>
        <w:t>工业大气污染物排放标准》(GB4915—2013)表2的特别排放限值要求，无组织排放废气须满足表3排放限值要求。食堂油烟气须采取油烟净化器处理达到《饮食业油烟排放标准》（GB18483-2001）要求后排放。</w:t>
      </w:r>
    </w:p>
    <w:p>
      <w:pPr>
        <w:spacing w:after="0" w:line="54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三）落实废水污染防治措施。厂区内初期雨水、地面、搅拌设备及运输车辆冲洗废水必须集中收集经三级沉淀处理后用于生产，不得外排；生活污水经一体化设施处理后综合利用于周围农田施肥，项目不设排污口。</w:t>
      </w:r>
    </w:p>
    <w:p>
      <w:pPr>
        <w:spacing w:after="0" w:line="54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四）落实噪声污染防治措施。合理布局并对高噪声设备采取减振降噪措施，以减少噪声对周围环境的影响。场界四周要多植树木，形成绿化隔离带，使场界噪声达到《工业企业厂界环境噪声排放标准》（GB12348—2008）中的2类标准要求。</w:t>
      </w:r>
    </w:p>
    <w:p>
      <w:pPr>
        <w:spacing w:after="0" w:line="54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（五）落实固体废物污染防治措施。按照《危险废物贮存污染控制标准》(GB18597－2001)及其修改单要求和《一般工业固体废物贮存、处置场污染控制标准》（GB 18599-2001）及其修改单要求做好固体废物分类收集、暂存、安全处置和综合利用工作，</w:t>
      </w:r>
      <w:r>
        <w:rPr>
          <w:rFonts w:ascii="仿宋" w:hAnsi="仿宋" w:eastAsia="仿宋" w:cs="Times New Roman"/>
          <w:kern w:val="2"/>
          <w:sz w:val="32"/>
          <w:szCs w:val="32"/>
        </w:rPr>
        <w:t>废</w:t>
      </w:r>
      <w:r>
        <w:rPr>
          <w:rFonts w:hint="eastAsia" w:ascii="仿宋" w:hAnsi="仿宋" w:eastAsia="仿宋" w:cs="Times New Roman"/>
          <w:kern w:val="2"/>
          <w:sz w:val="32"/>
          <w:szCs w:val="32"/>
        </w:rPr>
        <w:t>矿物油等危险废物按要求暂存后</w:t>
      </w:r>
      <w:r>
        <w:rPr>
          <w:rFonts w:ascii="仿宋" w:hAnsi="仿宋" w:eastAsia="仿宋" w:cs="Times New Roman"/>
          <w:kern w:val="2"/>
          <w:sz w:val="32"/>
          <w:szCs w:val="32"/>
        </w:rPr>
        <w:t>交由有资质单位</w:t>
      </w:r>
      <w:r>
        <w:rPr>
          <w:rFonts w:hint="eastAsia" w:ascii="仿宋" w:hAnsi="仿宋" w:eastAsia="仿宋" w:cs="Times New Roman"/>
          <w:kern w:val="2"/>
          <w:sz w:val="32"/>
          <w:szCs w:val="32"/>
        </w:rPr>
        <w:t>安全</w:t>
      </w:r>
      <w:r>
        <w:rPr>
          <w:rFonts w:ascii="仿宋" w:hAnsi="仿宋" w:eastAsia="仿宋" w:cs="Times New Roman"/>
          <w:kern w:val="2"/>
          <w:sz w:val="32"/>
          <w:szCs w:val="32"/>
        </w:rPr>
        <w:t>处置</w:t>
      </w:r>
      <w:r>
        <w:rPr>
          <w:rFonts w:hint="eastAsia" w:ascii="仿宋" w:hAnsi="仿宋" w:eastAsia="仿宋" w:cs="Times New Roman"/>
          <w:kern w:val="2"/>
          <w:sz w:val="32"/>
          <w:szCs w:val="32"/>
        </w:rPr>
        <w:t>；</w:t>
      </w:r>
      <w:r>
        <w:rPr>
          <w:rFonts w:ascii="仿宋" w:hAnsi="仿宋" w:eastAsia="仿宋" w:cs="Times New Roman"/>
          <w:kern w:val="2"/>
          <w:sz w:val="32"/>
          <w:szCs w:val="32"/>
        </w:rPr>
        <w:t>沉淀池沉渣</w:t>
      </w:r>
      <w:r>
        <w:rPr>
          <w:rFonts w:hint="eastAsia" w:ascii="仿宋" w:hAnsi="仿宋" w:eastAsia="仿宋" w:cs="Times New Roman"/>
          <w:kern w:val="2"/>
          <w:sz w:val="32"/>
          <w:szCs w:val="32"/>
        </w:rPr>
        <w:t>、布袋除尘</w:t>
      </w:r>
      <w:r>
        <w:rPr>
          <w:rFonts w:ascii="仿宋" w:hAnsi="仿宋" w:eastAsia="仿宋" w:cs="Times New Roman"/>
          <w:kern w:val="2"/>
          <w:sz w:val="32"/>
          <w:szCs w:val="32"/>
        </w:rPr>
        <w:t>器</w:t>
      </w:r>
      <w:r>
        <w:rPr>
          <w:rFonts w:hint="eastAsia" w:ascii="仿宋" w:hAnsi="仿宋" w:eastAsia="仿宋" w:cs="Times New Roman"/>
          <w:kern w:val="2"/>
          <w:sz w:val="32"/>
          <w:szCs w:val="32"/>
        </w:rPr>
        <w:t>粉料、</w:t>
      </w:r>
      <w:r>
        <w:rPr>
          <w:rFonts w:ascii="仿宋" w:hAnsi="仿宋" w:eastAsia="仿宋" w:cs="Times New Roman"/>
          <w:kern w:val="2"/>
          <w:sz w:val="32"/>
          <w:szCs w:val="32"/>
        </w:rPr>
        <w:t>不合格砂石料和废弃混凝土</w:t>
      </w:r>
      <w:r>
        <w:rPr>
          <w:rFonts w:hint="eastAsia" w:ascii="仿宋" w:hAnsi="仿宋" w:eastAsia="仿宋" w:cs="Times New Roman"/>
          <w:kern w:val="2"/>
          <w:sz w:val="32"/>
          <w:szCs w:val="32"/>
        </w:rPr>
        <w:t>、洗砂压滤泥饼等一般固废自行综合利用或外售综合利用；</w:t>
      </w:r>
      <w:r>
        <w:rPr>
          <w:rFonts w:ascii="仿宋" w:hAnsi="仿宋" w:eastAsia="仿宋" w:cs="Times New Roman"/>
          <w:kern w:val="2"/>
          <w:sz w:val="32"/>
          <w:szCs w:val="32"/>
        </w:rPr>
        <w:t>生活垃圾由当地环卫部门统一及时清运</w:t>
      </w:r>
      <w:r>
        <w:rPr>
          <w:rFonts w:hint="eastAsia" w:ascii="仿宋" w:hAnsi="仿宋" w:eastAsia="仿宋" w:cs="Times New Roman"/>
          <w:kern w:val="2"/>
          <w:sz w:val="32"/>
          <w:szCs w:val="32"/>
        </w:rPr>
        <w:t>，禁止乱堆乱弃</w:t>
      </w:r>
      <w:r>
        <w:rPr>
          <w:rFonts w:ascii="仿宋" w:hAnsi="仿宋" w:eastAsia="仿宋" w:cs="Times New Roman"/>
          <w:kern w:val="2"/>
          <w:sz w:val="32"/>
          <w:szCs w:val="32"/>
        </w:rPr>
        <w:t>。</w:t>
      </w:r>
    </w:p>
    <w:p>
      <w:pPr>
        <w:spacing w:after="0" w:line="54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三、项目建成后，在启动生产之前须按照《固定污染源排污许可分类管理名录》(2019年版)的要求办理相关手续。同时，按《建设项目竣工环境保护验收暂行办法》的有关规定，及时办理项目竣工环保验收手续，益阳市生态环境局赫山分局负责项目建设期间的“三同时”现场监督检查和日常环境管理。</w:t>
      </w:r>
    </w:p>
    <w:p>
      <w:pPr>
        <w:spacing w:after="0" w:line="540" w:lineRule="exact"/>
        <w:ind w:firstLine="640" w:firstLineChars="200"/>
        <w:jc w:val="both"/>
        <w:rPr>
          <w:rFonts w:ascii="仿宋" w:hAnsi="仿宋" w:eastAsia="仿宋" w:cs="Times New Roman"/>
          <w:sz w:val="32"/>
          <w:szCs w:val="32"/>
        </w:rPr>
      </w:pPr>
      <w:r>
        <w:rPr>
          <w:rFonts w:hint="eastAsia" w:ascii="仿宋" w:hAnsi="仿宋" w:eastAsia="仿宋" w:cs="Times New Roman"/>
          <w:kern w:val="2"/>
          <w:sz w:val="32"/>
          <w:szCs w:val="32"/>
        </w:rPr>
        <w:t>四、你公</w:t>
      </w:r>
      <w:r>
        <w:rPr>
          <w:rFonts w:hint="eastAsia" w:ascii="仿宋" w:hAnsi="仿宋" w:eastAsia="仿宋"/>
          <w:sz w:val="32"/>
          <w:szCs w:val="32"/>
          <w:lang w:val="en-GB"/>
        </w:rPr>
        <w:t>司须在收到本批复后 15 个工作日内，将本批复及项目环评报告表送</w:t>
      </w:r>
      <w:r>
        <w:rPr>
          <w:rFonts w:hint="eastAsia" w:ascii="仿宋" w:hAnsi="仿宋" w:eastAsia="仿宋"/>
          <w:bCs/>
          <w:sz w:val="32"/>
          <w:szCs w:val="32"/>
        </w:rPr>
        <w:t>益阳市生态环境局赫山分局</w:t>
      </w:r>
      <w:r>
        <w:rPr>
          <w:rFonts w:hint="eastAsia" w:ascii="仿宋" w:hAnsi="仿宋" w:eastAsia="仿宋"/>
          <w:sz w:val="32"/>
          <w:szCs w:val="32"/>
          <w:lang w:val="en-GB"/>
        </w:rPr>
        <w:t>。</w:t>
      </w:r>
    </w:p>
    <w:p>
      <w:pPr>
        <w:spacing w:after="0" w:line="540" w:lineRule="exact"/>
        <w:ind w:firstLine="640" w:firstLineChars="200"/>
        <w:jc w:val="both"/>
        <w:rPr>
          <w:rFonts w:ascii="仿宋" w:hAnsi="仿宋" w:eastAsia="仿宋" w:cs="Times New Roman"/>
          <w:sz w:val="32"/>
          <w:szCs w:val="32"/>
        </w:rPr>
      </w:pPr>
    </w:p>
    <w:p>
      <w:pPr>
        <w:spacing w:after="0" w:line="540" w:lineRule="exact"/>
        <w:ind w:left="180" w:firstLine="320" w:firstLineChars="100"/>
        <w:jc w:val="both"/>
        <w:rPr>
          <w:rFonts w:ascii="仿宋" w:hAnsi="仿宋" w:eastAsia="仿宋"/>
          <w:sz w:val="32"/>
          <w:szCs w:val="32"/>
        </w:rPr>
      </w:pPr>
      <w:r>
        <w:rPr>
          <w:rFonts w:hint="eastAsia" w:ascii="仿宋" w:hAnsi="仿宋" w:eastAsia="仿宋"/>
          <w:sz w:val="32"/>
          <w:szCs w:val="32"/>
        </w:rPr>
        <w:t xml:space="preserve">                               </w:t>
      </w:r>
    </w:p>
    <w:p>
      <w:pPr>
        <w:spacing w:after="0" w:line="540" w:lineRule="exact"/>
        <w:ind w:left="180" w:leftChars="82" w:firstLine="5120" w:firstLineChars="1600"/>
        <w:jc w:val="both"/>
        <w:rPr>
          <w:rFonts w:hint="eastAsia" w:ascii="仿宋" w:hAnsi="仿宋" w:eastAsia="仿宋"/>
          <w:sz w:val="32"/>
          <w:szCs w:val="32"/>
        </w:rPr>
      </w:pPr>
      <w:r>
        <w:rPr>
          <w:rFonts w:hint="eastAsia" w:ascii="仿宋" w:hAnsi="仿宋" w:eastAsia="仿宋"/>
          <w:sz w:val="32"/>
          <w:szCs w:val="32"/>
        </w:rPr>
        <w:t xml:space="preserve">  </w:t>
      </w:r>
    </w:p>
    <w:p>
      <w:pPr>
        <w:spacing w:after="0" w:line="540" w:lineRule="exact"/>
        <w:ind w:left="180" w:leftChars="82" w:firstLine="5440" w:firstLineChars="1700"/>
        <w:jc w:val="both"/>
        <w:rPr>
          <w:rFonts w:ascii="仿宋" w:hAnsi="仿宋" w:eastAsia="仿宋"/>
          <w:sz w:val="32"/>
          <w:szCs w:val="32"/>
        </w:rPr>
      </w:pPr>
      <w:r>
        <w:rPr>
          <w:rFonts w:hint="eastAsia" w:ascii="仿宋" w:hAnsi="仿宋" w:eastAsia="仿宋"/>
          <w:sz w:val="32"/>
          <w:szCs w:val="32"/>
        </w:rPr>
        <w:t>益阳市生态环境局</w:t>
      </w:r>
    </w:p>
    <w:p>
      <w:pPr>
        <w:spacing w:after="0" w:line="540" w:lineRule="exact"/>
        <w:ind w:left="180" w:leftChars="82" w:firstLine="5280" w:firstLineChars="1650"/>
        <w:jc w:val="both"/>
        <w:rPr>
          <w:rFonts w:ascii="仿宋" w:hAnsi="仿宋" w:eastAsia="仿宋"/>
          <w:sz w:val="32"/>
          <w:szCs w:val="32"/>
        </w:rPr>
      </w:pPr>
      <w:r>
        <w:rPr>
          <w:rFonts w:hint="eastAsia" w:ascii="仿宋" w:hAnsi="仿宋" w:eastAsia="仿宋"/>
          <w:sz w:val="32"/>
          <w:szCs w:val="32"/>
        </w:rPr>
        <w:t xml:space="preserve"> 2020年11月9日</w:t>
      </w:r>
    </w:p>
    <w:sectPr>
      <w:pgSz w:w="11906" w:h="16838"/>
      <w:pgMar w:top="1440" w:right="1800" w:bottom="1440" w:left="180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720"/>
  <w:characterSpacingControl w:val="doNotCompress"/>
  <w:compat>
    <w:useFELayout/>
    <w:compatSetting w:name="compatibilityMode" w:uri="http://schemas.microsoft.com/office/word" w:val="12"/>
  </w:compat>
  <w:rsids>
    <w:rsidRoot w:val="00D31D50"/>
    <w:rsid w:val="00057E23"/>
    <w:rsid w:val="00077676"/>
    <w:rsid w:val="000B0EB5"/>
    <w:rsid w:val="000F4B00"/>
    <w:rsid w:val="000F51AC"/>
    <w:rsid w:val="00115FDE"/>
    <w:rsid w:val="00120C49"/>
    <w:rsid w:val="00146C64"/>
    <w:rsid w:val="00192658"/>
    <w:rsid w:val="001A140F"/>
    <w:rsid w:val="001C4421"/>
    <w:rsid w:val="002306D5"/>
    <w:rsid w:val="00264247"/>
    <w:rsid w:val="00265099"/>
    <w:rsid w:val="00282DD9"/>
    <w:rsid w:val="002F111F"/>
    <w:rsid w:val="00323B43"/>
    <w:rsid w:val="00347FBD"/>
    <w:rsid w:val="003B5916"/>
    <w:rsid w:val="003D37D8"/>
    <w:rsid w:val="00415DAF"/>
    <w:rsid w:val="00426133"/>
    <w:rsid w:val="004358AB"/>
    <w:rsid w:val="00484358"/>
    <w:rsid w:val="004E4B72"/>
    <w:rsid w:val="00502B31"/>
    <w:rsid w:val="005345FC"/>
    <w:rsid w:val="005E04A1"/>
    <w:rsid w:val="00616308"/>
    <w:rsid w:val="006461C2"/>
    <w:rsid w:val="006B0997"/>
    <w:rsid w:val="006B7827"/>
    <w:rsid w:val="006E25B7"/>
    <w:rsid w:val="00711F0F"/>
    <w:rsid w:val="007732ED"/>
    <w:rsid w:val="00787011"/>
    <w:rsid w:val="007900FF"/>
    <w:rsid w:val="00792F55"/>
    <w:rsid w:val="007C2A64"/>
    <w:rsid w:val="008301E8"/>
    <w:rsid w:val="00882099"/>
    <w:rsid w:val="00883DDD"/>
    <w:rsid w:val="00893BEB"/>
    <w:rsid w:val="00897387"/>
    <w:rsid w:val="008A21F6"/>
    <w:rsid w:val="008A49D0"/>
    <w:rsid w:val="008B247F"/>
    <w:rsid w:val="008B7726"/>
    <w:rsid w:val="008D31FE"/>
    <w:rsid w:val="008F089A"/>
    <w:rsid w:val="00912216"/>
    <w:rsid w:val="00947AA0"/>
    <w:rsid w:val="00954372"/>
    <w:rsid w:val="009B0C6F"/>
    <w:rsid w:val="009F4BF4"/>
    <w:rsid w:val="00A133DD"/>
    <w:rsid w:val="00A62870"/>
    <w:rsid w:val="00A77D55"/>
    <w:rsid w:val="00A8249E"/>
    <w:rsid w:val="00AA5867"/>
    <w:rsid w:val="00AB5C6A"/>
    <w:rsid w:val="00BA04A5"/>
    <w:rsid w:val="00BC1D98"/>
    <w:rsid w:val="00BE2745"/>
    <w:rsid w:val="00C71ED6"/>
    <w:rsid w:val="00D2292F"/>
    <w:rsid w:val="00D30429"/>
    <w:rsid w:val="00D31D50"/>
    <w:rsid w:val="00D406C9"/>
    <w:rsid w:val="00D40CB2"/>
    <w:rsid w:val="00D517EB"/>
    <w:rsid w:val="00DB311F"/>
    <w:rsid w:val="00DD7D2C"/>
    <w:rsid w:val="00DE575D"/>
    <w:rsid w:val="00F04E84"/>
    <w:rsid w:val="00F97504"/>
    <w:rsid w:val="00FA7328"/>
    <w:rsid w:val="6E784D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微软雅黑"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9"/>
    <w:qFormat/>
    <w:uiPriority w:val="0"/>
    <w:pPr>
      <w:widowControl w:val="0"/>
      <w:adjustRightInd/>
      <w:snapToGrid/>
      <w:spacing w:after="120"/>
      <w:jc w:val="both"/>
    </w:pPr>
    <w:rPr>
      <w:rFonts w:ascii="Times New Roman" w:hAnsi="Times New Roman" w:eastAsia="宋体" w:cs="Times New Roman"/>
      <w:kern w:val="2"/>
      <w:sz w:val="21"/>
      <w:szCs w:val="24"/>
    </w:rPr>
  </w:style>
  <w:style w:type="paragraph" w:styleId="3">
    <w:name w:val="footer"/>
    <w:basedOn w:val="1"/>
    <w:link w:val="8"/>
    <w:semiHidden/>
    <w:unhideWhenUsed/>
    <w:uiPriority w:val="99"/>
    <w:pPr>
      <w:tabs>
        <w:tab w:val="center" w:pos="4153"/>
        <w:tab w:val="right" w:pos="8306"/>
      </w:tabs>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jc w:val="center"/>
    </w:pPr>
    <w:rPr>
      <w:sz w:val="18"/>
      <w:szCs w:val="18"/>
    </w:rPr>
  </w:style>
  <w:style w:type="character" w:customStyle="1" w:styleId="7">
    <w:name w:val="页眉 Char"/>
    <w:basedOn w:val="6"/>
    <w:link w:val="4"/>
    <w:semiHidden/>
    <w:qFormat/>
    <w:uiPriority w:val="99"/>
    <w:rPr>
      <w:rFonts w:ascii="Tahoma" w:hAnsi="Tahoma"/>
      <w:sz w:val="18"/>
      <w:szCs w:val="18"/>
    </w:rPr>
  </w:style>
  <w:style w:type="character" w:customStyle="1" w:styleId="8">
    <w:name w:val="页脚 Char"/>
    <w:basedOn w:val="6"/>
    <w:link w:val="3"/>
    <w:semiHidden/>
    <w:uiPriority w:val="99"/>
    <w:rPr>
      <w:rFonts w:ascii="Tahoma" w:hAnsi="Tahoma"/>
      <w:sz w:val="18"/>
      <w:szCs w:val="18"/>
    </w:rPr>
  </w:style>
  <w:style w:type="character" w:customStyle="1" w:styleId="9">
    <w:name w:val="正文文本 Char"/>
    <w:basedOn w:val="6"/>
    <w:link w:val="2"/>
    <w:qFormat/>
    <w:uiPriority w:val="0"/>
    <w:rPr>
      <w:rFonts w:ascii="Times New Roman" w:hAnsi="Times New Roman" w:eastAsia="宋体" w:cs="Times New Roman"/>
      <w:kern w:val="2"/>
      <w:sz w:val="21"/>
      <w:szCs w:val="24"/>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275</Words>
  <Characters>1570</Characters>
  <Lines>13</Lines>
  <Paragraphs>3</Paragraphs>
  <TotalTime>190</TotalTime>
  <ScaleCrop>false</ScaleCrop>
  <LinksUpToDate>false</LinksUpToDate>
  <CharactersWithSpaces>1842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Administrator</dc:creator>
  <cp:lastModifiedBy>哎哟</cp:lastModifiedBy>
  <cp:lastPrinted>2020-11-09T07:46:00Z</cp:lastPrinted>
  <dcterms:modified xsi:type="dcterms:W3CDTF">2020-11-09T08:23:46Z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