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sz w:val="36"/>
          <w:szCs w:val="36"/>
        </w:rPr>
      </w:pPr>
      <w:r>
        <w:rPr>
          <w:rFonts w:hint="eastAsia" w:eastAsia="黑体"/>
          <w:sz w:val="36"/>
          <w:szCs w:val="36"/>
        </w:rPr>
        <w:t>关于</w:t>
      </w:r>
      <w:r>
        <w:rPr>
          <w:rFonts w:hint="eastAsia" w:eastAsia="黑体"/>
          <w:sz w:val="36"/>
          <w:szCs w:val="36"/>
          <w:lang w:eastAsia="zh-CN"/>
        </w:rPr>
        <w:t>湖南金能达机电科技有限公司工程机械配件生产车间改建项目环境影响报告表</w:t>
      </w:r>
      <w:r>
        <w:rPr>
          <w:rFonts w:hint="eastAsia" w:eastAsia="黑体"/>
          <w:sz w:val="36"/>
          <w:szCs w:val="36"/>
        </w:rPr>
        <w:t>的批复</w:t>
      </w:r>
    </w:p>
    <w:p>
      <w:pPr>
        <w:spacing w:line="560" w:lineRule="exact"/>
        <w:rPr>
          <w:rFonts w:ascii="仿宋_GB2312" w:hAnsi="黑体" w:eastAsia="仿宋_GB2312"/>
          <w:color w:val="000000"/>
          <w:sz w:val="36"/>
          <w:szCs w:val="36"/>
        </w:rPr>
      </w:pPr>
    </w:p>
    <w:p>
      <w:pPr>
        <w:spacing w:line="560" w:lineRule="exact"/>
        <w:rPr>
          <w:rFonts w:hint="eastAsia" w:ascii="楷体" w:hAnsi="楷体" w:eastAsia="楷体" w:cs="楷体"/>
          <w:b/>
          <w:bCs/>
          <w:color w:val="000000"/>
          <w:spacing w:val="4"/>
          <w:szCs w:val="32"/>
          <w:lang w:eastAsia="zh-CN"/>
        </w:rPr>
      </w:pPr>
      <w:r>
        <w:rPr>
          <w:rFonts w:hint="eastAsia" w:ascii="楷体" w:hAnsi="楷体" w:eastAsia="楷体" w:cs="楷体"/>
          <w:b/>
          <w:bCs/>
          <w:color w:val="000000"/>
          <w:spacing w:val="4"/>
          <w:szCs w:val="32"/>
          <w:lang w:eastAsia="zh-CN"/>
        </w:rPr>
        <w:t>湖南金能达机电科技有限公司:</w:t>
      </w:r>
    </w:p>
    <w:p>
      <w:pPr>
        <w:spacing w:line="560" w:lineRule="exact"/>
        <w:ind w:firstLine="656" w:firstLineChars="200"/>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你公司呈报的《湖南金能达机电科技有限公司工程机械配件生产车间改建项目环境影响报告表》及相关附件收悉。经研究，批复如下:</w:t>
      </w:r>
    </w:p>
    <w:p>
      <w:pPr>
        <w:spacing w:line="560" w:lineRule="exact"/>
        <w:ind w:firstLine="656" w:firstLineChars="200"/>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你公司拟投资1000 万元在益阳高新区东部产业园现有厂房内进行改建，拆除原有的汽车零配件生产线，新建一条汽车吊副臂生产线、一条磨齿机生产线和一条齿轮精磨件生产线，年产35T汽车吊副臂2000套、80T 汽车吊副臂1000套、磨齿机30台、齿轮精磨件30000件。项目占地面积20000平方米，厂房内分区设置机械加工区、抛丸除锈区、喷涂区、办公区、原材料库、成品库及给排水、供配电、环保等相关公用辅助工程。项目建设符合国家产业政策和益阳高新区东部产业园选址用地规划要求。根据湖南润美环保科技有限公司编制的环评报告表的分析结论，在建设单位认真落实报告</w:t>
      </w:r>
    </w:p>
    <w:p>
      <w:pPr>
        <w:spacing w:line="560" w:lineRule="exact"/>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表提出的各项污染防治措施、确保外排污染物稳定达标的前提下，从环保的角度分析，我局同意项目按报告表所列的建设方案、规模、工艺、环保措施等在拟选地址建设。</w:t>
      </w:r>
    </w:p>
    <w:p>
      <w:pPr>
        <w:spacing w:line="560" w:lineRule="exact"/>
        <w:ind w:firstLine="656" w:firstLineChars="200"/>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二、建设单位在项目设计、建设和营运期间，必须严格执行环保“三同时”制度，按照环评报告表要求落实各项污染防治措施，并着重做好如下工作:</w:t>
      </w:r>
    </w:p>
    <w:p>
      <w:pPr>
        <w:spacing w:line="560" w:lineRule="exact"/>
        <w:ind w:firstLine="656" w:firstLineChars="200"/>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一)做好项目大气污染防治工作，加强车间通风换气，机加工产生粉尘的工位应设置挡板、同时配备工业用集尘器进行处理，打磨工序产生的粉尘经设备自带的集气除尘系统处理，焊接烟气经移动式焊接烟尘净化器处理，抛丸工序产生的粉尘经集气装置收集后采用滤筒式除尘器处理后经15m高排气筒排放，喷涂工序采用静电喷涂工艺、产生的粉尘经集气装置收集后采用二级滤芯过滤处理后经15m高排气筒排放，确保外排污染物满足《大气污染物综合排放标准》(GB16297-1996)表2中二级标准及无组织排放监控浓度限值要求;固化炉燃烧液化石油气并配套低氮燃烧器，确保外排污染物满足《锅炉大气污染物排放标准》(GB13271-2014)表3中燃气锅炉大气污染物特别排放限值后经15m高排气筒排放;固化工序产生的有机废气经负压集气后采取“UV光氧催化+活性炭吸附”的工艺处理，确保外排污染物达到《表面涂装(汽车制造及维修)挥发性有机物、镍排放标准》(DB43/1356-2017)表1中排气简挥发性有机物排放浓度限值后经15m高排气简排放;食堂油烟应安装使用高效油烟净化处理设备，处理后达到《饮食业油烟排放标准(试行)》(GB18483- 2001)中的限值标准要求后高空排放。</w:t>
      </w:r>
    </w:p>
    <w:p>
      <w:pPr>
        <w:spacing w:line="560" w:lineRule="exact"/>
        <w:ind w:firstLine="656" w:firstLineChars="200"/>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(二)做好项目水污染防治工作，本项目无生产废水产生，生活污水经隔油池、化粪池处理达到《污水综合排放标准》(GB8978-1996) 表4中三级标准后经园区污水管网排入益阳市东部新区污水处理厂进行深度处理。</w:t>
      </w:r>
    </w:p>
    <w:p>
      <w:pPr>
        <w:spacing w:line="560" w:lineRule="exact"/>
        <w:ind w:firstLine="656" w:firstLineChars="200"/>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(三)做好项目噪声污染防治工作，落实环评报告表提出的噪声防治措施，合理优化总平面布局，并从优化设备的选</w:t>
      </w:r>
    </w:p>
    <w:p>
      <w:pPr>
        <w:spacing w:line="560" w:lineRule="exact"/>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型、减震、消声、隔声和合理安排设备作业时间等方面做好噪声的污染控制工作，确保厂界噪声达到《工业企业厂界环境噪声排放标准》(GB12348-2008) 中3类区标准要求。</w:t>
      </w:r>
    </w:p>
    <w:p>
      <w:pPr>
        <w:spacing w:line="560" w:lineRule="exact"/>
        <w:ind w:firstLine="656" w:firstLineChars="200"/>
        <w:rPr>
          <w:rFonts w:hint="default" w:ascii="仿宋_GB2312" w:eastAsia="仿宋_GB2312"/>
          <w:color w:val="000000"/>
          <w:spacing w:val="4"/>
          <w:szCs w:val="32"/>
          <w:lang w:val="en-US" w:eastAsia="zh-CN"/>
        </w:rPr>
      </w:pPr>
      <w:r>
        <w:rPr>
          <w:rFonts w:hint="eastAsia" w:ascii="仿宋_GB2312" w:eastAsia="仿宋_GB2312"/>
          <w:color w:val="000000"/>
          <w:spacing w:val="4"/>
          <w:szCs w:val="32"/>
          <w:lang w:eastAsia="zh-CN"/>
        </w:rPr>
        <w:t>(四) 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CB18599-2001) 及其修改单要求。做好固体废物分类收集处置，生活垃圾收集后交给地方环卫部门处理;废焊丝、焊渣、边角废料、金属屑以及工业集尘器收集的粉尘等为一般工业固废，经分类收集贮存后外售综合利用;喷粉工序滤芯过滤收集的粉尘回用于生产;机油、切削液、乳化液及粉末涂料的废弃包装物、废活性炭、废UV灯管、落地涂料粉末，机油、废切削液，废乳化液，含油废抹布和废手套等危险废物应送危废暂存间分类贮存，定期外委有危废处置资质单位处理。</w:t>
      </w:r>
    </w:p>
    <w:p>
      <w:pPr>
        <w:spacing w:line="560" w:lineRule="exact"/>
        <w:ind w:firstLine="656" w:firstLineChars="200"/>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 五)加强环境风险防范，加强环保和风险防范设施的运行管理，明确责任人，确保环保设施稳定正常运行和污染物的稳定达标排放，制定环境风险事故应急预案，落实事故应急防范措施。</w:t>
      </w:r>
    </w:p>
    <w:p>
      <w:pPr>
        <w:spacing w:line="560" w:lineRule="exact"/>
        <w:ind w:firstLine="656" w:firstLineChars="200"/>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(六)污染物总量控制: S0,s0. 01t/a. NO, S0. 02t/a，</w:t>
      </w:r>
    </w:p>
    <w:p>
      <w:pPr>
        <w:spacing w:line="560" w:lineRule="exact"/>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VOC;正0. 10t/a，总量指标纳入当地环保部门总量控制管理。</w:t>
      </w:r>
    </w:p>
    <w:p>
      <w:pPr>
        <w:spacing w:line="560" w:lineRule="exact"/>
        <w:ind w:firstLine="656" w:firstLineChars="200"/>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建设单位应严格执行环境保护“三同时”规定，项目环保“三同时”执行情况的监督检查和日常环境管理工作由益阳市生态环境局高新区分局和益阳市生态环境保护综合行政执法支队高新区大队具体负责。</w:t>
      </w:r>
    </w:p>
    <w:p>
      <w:pPr>
        <w:spacing w:line="560" w:lineRule="exact"/>
        <w:ind w:firstLine="656" w:firstLineChars="200"/>
        <w:rPr>
          <w:rFonts w:hint="eastAsia" w:ascii="仿宋_GB2312" w:eastAsia="仿宋_GB2312"/>
          <w:color w:val="000000"/>
          <w:spacing w:val="4"/>
          <w:szCs w:val="32"/>
          <w:lang w:eastAsia="zh-CN"/>
        </w:rPr>
      </w:pPr>
    </w:p>
    <w:p>
      <w:pPr>
        <w:spacing w:line="560" w:lineRule="exact"/>
        <w:ind w:firstLine="656" w:firstLineChars="200"/>
        <w:rPr>
          <w:rFonts w:hint="eastAsia" w:ascii="仿宋_GB2312" w:eastAsia="仿宋_GB2312"/>
          <w:color w:val="000000"/>
          <w:spacing w:val="4"/>
          <w:szCs w:val="32"/>
          <w:lang w:eastAsia="zh-CN"/>
        </w:rPr>
      </w:pPr>
    </w:p>
    <w:p>
      <w:pPr>
        <w:spacing w:line="560" w:lineRule="exact"/>
        <w:ind w:firstLine="656" w:firstLineChars="200"/>
        <w:rPr>
          <w:rFonts w:hint="eastAsia" w:ascii="仿宋_GB2312" w:eastAsia="仿宋_GB2312"/>
          <w:color w:val="000000"/>
          <w:spacing w:val="4"/>
          <w:szCs w:val="32"/>
          <w:lang w:eastAsia="zh-CN"/>
        </w:rPr>
      </w:pPr>
    </w:p>
    <w:p>
      <w:pPr>
        <w:spacing w:line="560" w:lineRule="exact"/>
        <w:ind w:firstLine="656" w:firstLineChars="200"/>
        <w:rPr>
          <w:rFonts w:hint="eastAsia" w:ascii="仿宋_GB2312" w:eastAsia="仿宋_GB2312"/>
          <w:color w:val="000000"/>
          <w:spacing w:val="4"/>
          <w:szCs w:val="32"/>
          <w:lang w:eastAsia="zh-CN"/>
        </w:rPr>
      </w:pPr>
    </w:p>
    <w:p>
      <w:pPr>
        <w:spacing w:line="560" w:lineRule="exact"/>
        <w:ind w:firstLine="656" w:firstLineChars="200"/>
        <w:rPr>
          <w:rFonts w:hint="eastAsia" w:ascii="仿宋_GB2312" w:eastAsia="仿宋_GB2312"/>
          <w:color w:val="000000"/>
          <w:spacing w:val="4"/>
          <w:szCs w:val="32"/>
          <w:lang w:eastAsia="zh-CN"/>
        </w:rPr>
      </w:pPr>
    </w:p>
    <w:p>
      <w:pPr>
        <w:spacing w:line="560" w:lineRule="exact"/>
        <w:ind w:firstLine="640" w:firstLineChars="200"/>
        <w:rPr>
          <w:rFonts w:ascii="仿宋_GB2312" w:eastAsia="仿宋_GB2312"/>
        </w:rPr>
      </w:pPr>
    </w:p>
    <w:p>
      <w:pPr>
        <w:spacing w:line="560" w:lineRule="exact"/>
        <w:ind w:firstLine="640" w:firstLineChars="200"/>
        <w:rPr>
          <w:rFonts w:hint="eastAsia" w:ascii="仿宋_GB2312" w:eastAsia="仿宋_GB2312"/>
          <w:lang w:val="en-US" w:eastAsia="zh-CN"/>
        </w:rPr>
      </w:pPr>
      <w:r>
        <w:rPr>
          <w:rFonts w:hint="eastAsia" w:ascii="仿宋_GB2312" w:eastAsia="仿宋_GB2312"/>
        </w:rPr>
        <w:t xml:space="preserve">                         益阳市生态环境局</w:t>
      </w:r>
      <w:r>
        <w:rPr>
          <w:rFonts w:hint="eastAsia" w:ascii="仿宋_GB2312" w:eastAsia="仿宋_GB2312"/>
          <w:lang w:eastAsia="zh-CN"/>
        </w:rPr>
        <w:t>赫山分局</w:t>
      </w:r>
    </w:p>
    <w:p>
      <w:pPr>
        <w:spacing w:line="560" w:lineRule="exact"/>
        <w:ind w:firstLine="640" w:firstLineChars="200"/>
        <w:rPr>
          <w:rFonts w:ascii="仿宋_GB2312" w:eastAsia="仿宋_GB2312"/>
          <w:color w:val="FF0000"/>
        </w:rPr>
      </w:pPr>
      <w:r>
        <w:rPr>
          <w:rFonts w:hint="eastAsia" w:ascii="仿宋_GB2312" w:eastAsia="仿宋_GB2312"/>
          <w:color w:val="FF0000"/>
        </w:rPr>
        <w:t xml:space="preserve">                                 </w:t>
      </w:r>
      <w:r>
        <w:rPr>
          <w:rFonts w:hint="eastAsia" w:ascii="仿宋_GB2312" w:eastAsia="仿宋_GB2312"/>
          <w:lang w:val="en-US" w:eastAsia="zh-CN"/>
        </w:rPr>
        <w:t>2020</w:t>
      </w:r>
      <w:r>
        <w:rPr>
          <w:rFonts w:hint="eastAsia" w:ascii="仿宋_GB2312" w:eastAsia="仿宋_GB2312"/>
        </w:rPr>
        <w:t>年</w:t>
      </w:r>
      <w:r>
        <w:rPr>
          <w:rFonts w:hint="eastAsia" w:ascii="仿宋_GB2312" w:eastAsia="仿宋_GB2312"/>
          <w:lang w:val="en-US" w:eastAsia="zh-CN"/>
        </w:rPr>
        <w:t xml:space="preserve">  </w:t>
      </w:r>
      <w:r>
        <w:rPr>
          <w:rFonts w:hint="eastAsia" w:ascii="仿宋_GB2312" w:eastAsia="仿宋_GB2312"/>
        </w:rPr>
        <w:t>月</w:t>
      </w:r>
      <w:r>
        <w:rPr>
          <w:rFonts w:hint="eastAsia" w:ascii="仿宋_GB2312" w:eastAsia="仿宋_GB2312"/>
          <w:lang w:val="en-US" w:eastAsia="zh-CN"/>
        </w:rPr>
        <w:t xml:space="preserve">  </w:t>
      </w:r>
      <w:r>
        <w:rPr>
          <w:rFonts w:hint="eastAsia" w:ascii="仿宋_GB2312" w:eastAsia="仿宋_GB2312"/>
        </w:rPr>
        <w:t>日</w:t>
      </w:r>
    </w:p>
    <w:p>
      <w:bookmarkStart w:id="0" w:name="_GoBack"/>
      <w:bookmarkEnd w:id="0"/>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84D96"/>
    <w:rsid w:val="32684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2020-09-04T05:10:00Z</dcterms:created>
  <dc:creator>周国宏（周文）</dc:creator>
  <cp:lastModifiedBy>周国宏（周文）</cp:lastModifiedBy>
  <dcterms:modified xsi:type="dcterms:W3CDTF">2020-09-04T05:11:14Z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