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4C" w:rsidRDefault="00262F4C">
      <w:pPr>
        <w:snapToGrid w:val="0"/>
        <w:jc w:val="center"/>
        <w:rPr>
          <w:b/>
          <w:sz w:val="24"/>
        </w:rPr>
      </w:pPr>
    </w:p>
    <w:p w:rsidR="00262F4C" w:rsidRDefault="00262F4C">
      <w:pPr>
        <w:snapToGrid w:val="0"/>
        <w:jc w:val="center"/>
        <w:rPr>
          <w:b/>
          <w:sz w:val="24"/>
        </w:rPr>
      </w:pPr>
    </w:p>
    <w:p w:rsidR="00262F4C" w:rsidRDefault="00262F4C">
      <w:pPr>
        <w:snapToGrid w:val="0"/>
        <w:jc w:val="center"/>
        <w:rPr>
          <w:b/>
          <w:sz w:val="24"/>
        </w:rPr>
      </w:pPr>
    </w:p>
    <w:p w:rsidR="00262F4C" w:rsidRDefault="00262F4C">
      <w:pPr>
        <w:snapToGrid w:val="0"/>
        <w:jc w:val="center"/>
        <w:rPr>
          <w:b/>
          <w:sz w:val="24"/>
        </w:rPr>
      </w:pPr>
    </w:p>
    <w:p w:rsidR="00262F4C" w:rsidRDefault="00262F4C">
      <w:pPr>
        <w:snapToGrid w:val="0"/>
        <w:jc w:val="center"/>
        <w:rPr>
          <w:b/>
          <w:sz w:val="24"/>
        </w:rPr>
      </w:pPr>
    </w:p>
    <w:p w:rsidR="00262F4C" w:rsidRDefault="00262F4C">
      <w:pPr>
        <w:snapToGrid w:val="0"/>
        <w:jc w:val="center"/>
        <w:rPr>
          <w:b/>
          <w:sz w:val="24"/>
        </w:rPr>
      </w:pPr>
    </w:p>
    <w:p w:rsidR="00262F4C" w:rsidRDefault="00262F4C">
      <w:pPr>
        <w:snapToGrid w:val="0"/>
        <w:jc w:val="center"/>
        <w:rPr>
          <w:b/>
          <w:sz w:val="24"/>
        </w:rPr>
      </w:pPr>
    </w:p>
    <w:p w:rsidR="00262F4C" w:rsidRDefault="00325BF6">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29</w:t>
      </w:r>
      <w:r>
        <w:rPr>
          <w:rFonts w:ascii="仿宋_GB2312" w:eastAsia="仿宋_GB2312" w:hint="eastAsia"/>
          <w:sz w:val="28"/>
          <w:szCs w:val="28"/>
        </w:rPr>
        <w:t>号</w:t>
      </w:r>
    </w:p>
    <w:p w:rsidR="00262F4C" w:rsidRDefault="00262F4C">
      <w:pPr>
        <w:tabs>
          <w:tab w:val="left" w:pos="6240"/>
        </w:tabs>
        <w:spacing w:line="560" w:lineRule="exact"/>
        <w:jc w:val="right"/>
        <w:rPr>
          <w:rFonts w:ascii="仿宋_GB2312" w:eastAsia="仿宋_GB2312"/>
          <w:szCs w:val="32"/>
        </w:rPr>
      </w:pPr>
    </w:p>
    <w:p w:rsidR="00262F4C" w:rsidRDefault="00325BF6">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262F4C" w:rsidRDefault="00325BF6">
      <w:pPr>
        <w:spacing w:line="760" w:lineRule="exact"/>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w w:val="95"/>
          <w:sz w:val="44"/>
          <w:szCs w:val="44"/>
        </w:rPr>
        <w:t>关于益阳高新建筑材料有限公司年产</w:t>
      </w:r>
      <w:r>
        <w:rPr>
          <w:rFonts w:ascii="方正小标宋简体" w:eastAsia="方正小标宋简体" w:hAnsi="方正小标宋简体" w:cs="方正小标宋简体" w:hint="eastAsia"/>
          <w:w w:val="95"/>
          <w:sz w:val="44"/>
          <w:szCs w:val="44"/>
        </w:rPr>
        <w:t>20</w:t>
      </w:r>
      <w:r>
        <w:rPr>
          <w:rFonts w:ascii="方正小标宋简体" w:eastAsia="方正小标宋简体" w:hAnsi="方正小标宋简体" w:cs="方正小标宋简体" w:hint="eastAsia"/>
          <w:w w:val="95"/>
          <w:sz w:val="44"/>
          <w:szCs w:val="44"/>
        </w:rPr>
        <w:t>万立方混凝土搅拌站建设项目环境影响报告表的批复</w:t>
      </w:r>
    </w:p>
    <w:p w:rsidR="00262F4C" w:rsidRDefault="00262F4C">
      <w:pPr>
        <w:spacing w:line="760" w:lineRule="exact"/>
        <w:rPr>
          <w:rFonts w:ascii="仿宋_GB2312" w:eastAsia="仿宋_GB2312" w:hAnsi="黑体"/>
          <w:color w:val="000000"/>
          <w:sz w:val="36"/>
          <w:szCs w:val="36"/>
        </w:rPr>
      </w:pPr>
    </w:p>
    <w:p w:rsidR="00262F4C" w:rsidRDefault="00325BF6">
      <w:pPr>
        <w:spacing w:line="560" w:lineRule="exact"/>
        <w:rPr>
          <w:rFonts w:ascii="仿宋_GB2312" w:eastAsia="仿宋_GB2312" w:hAnsi="仿宋_GB2312" w:cs="仿宋_GB2312"/>
          <w:szCs w:val="32"/>
        </w:rPr>
      </w:pPr>
      <w:r>
        <w:rPr>
          <w:rFonts w:ascii="仿宋_GB2312" w:eastAsia="仿宋_GB2312" w:hAnsi="仿宋_GB2312" w:cs="仿宋_GB2312" w:hint="eastAsia"/>
          <w:bCs/>
          <w:szCs w:val="32"/>
        </w:rPr>
        <w:t>益阳高新建筑材料有限公司</w:t>
      </w:r>
      <w:r>
        <w:rPr>
          <w:rFonts w:ascii="仿宋_GB2312" w:eastAsia="仿宋_GB2312" w:hAnsi="仿宋_GB2312" w:cs="仿宋_GB2312" w:hint="eastAsia"/>
          <w:szCs w:val="32"/>
        </w:rPr>
        <w:t>：</w:t>
      </w:r>
    </w:p>
    <w:p w:rsidR="00262F4C" w:rsidRDefault="00325BF6">
      <w:pPr>
        <w:spacing w:line="560" w:lineRule="exact"/>
        <w:ind w:firstLineChars="200" w:firstLine="656"/>
        <w:rPr>
          <w:rFonts w:ascii="仿宋_GB2312" w:eastAsia="仿宋_GB2312" w:hAnsi="仿宋_GB2312" w:cs="仿宋_GB2312"/>
          <w:bCs/>
          <w:szCs w:val="32"/>
        </w:rPr>
      </w:pPr>
      <w:r>
        <w:rPr>
          <w:rFonts w:ascii="仿宋_GB2312" w:eastAsia="仿宋_GB2312" w:hAnsi="仿宋_GB2312" w:cs="仿宋_GB2312" w:hint="eastAsia"/>
          <w:color w:val="000000"/>
          <w:spacing w:val="4"/>
          <w:szCs w:val="32"/>
        </w:rPr>
        <w:t>你</w:t>
      </w:r>
      <w:r>
        <w:rPr>
          <w:rFonts w:ascii="仿宋_GB2312" w:eastAsia="仿宋_GB2312" w:hAnsi="仿宋_GB2312" w:cs="仿宋_GB2312" w:hint="eastAsia"/>
          <w:bCs/>
          <w:szCs w:val="32"/>
        </w:rPr>
        <w:t>公司呈报的《益阳高新建筑材料有限公司年产</w:t>
      </w:r>
      <w:r>
        <w:rPr>
          <w:rFonts w:ascii="仿宋_GB2312" w:eastAsia="仿宋_GB2312" w:hAnsi="仿宋_GB2312" w:cs="仿宋_GB2312" w:hint="eastAsia"/>
          <w:bCs/>
          <w:szCs w:val="32"/>
        </w:rPr>
        <w:t>20</w:t>
      </w:r>
      <w:r>
        <w:rPr>
          <w:rFonts w:ascii="仿宋_GB2312" w:eastAsia="仿宋_GB2312" w:hAnsi="仿宋_GB2312" w:cs="仿宋_GB2312" w:hint="eastAsia"/>
          <w:bCs/>
          <w:szCs w:val="32"/>
        </w:rPr>
        <w:t>万立方混凝土搅拌站建设项目环境影响报告表》</w:t>
      </w:r>
      <w:r>
        <w:rPr>
          <w:rFonts w:ascii="仿宋_GB2312" w:eastAsia="仿宋_GB2312" w:hAnsi="仿宋_GB2312" w:cs="仿宋_GB2312" w:hint="eastAsia"/>
          <w:color w:val="000000"/>
          <w:szCs w:val="32"/>
        </w:rPr>
        <w:t>及相关附件收悉。经研究，批复如下：</w:t>
      </w:r>
    </w:p>
    <w:p w:rsidR="00262F4C" w:rsidRDefault="00325BF6">
      <w:pPr>
        <w:numPr>
          <w:ilvl w:val="0"/>
          <w:numId w:val="1"/>
        </w:numPr>
        <w:spacing w:line="56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你公司</w:t>
      </w:r>
      <w:r>
        <w:rPr>
          <w:rFonts w:ascii="仿宋_GB2312" w:eastAsia="仿宋_GB2312" w:hint="eastAsia"/>
          <w:bCs/>
          <w:color w:val="000000"/>
          <w:spacing w:val="4"/>
          <w:szCs w:val="32"/>
        </w:rPr>
        <w:t>拟</w:t>
      </w:r>
      <w:r>
        <w:rPr>
          <w:rFonts w:ascii="仿宋_GB2312" w:eastAsia="仿宋_GB2312" w:hint="eastAsia"/>
          <w:color w:val="000000"/>
          <w:spacing w:val="4"/>
          <w:szCs w:val="32"/>
        </w:rPr>
        <w:t>投资</w:t>
      </w:r>
      <w:r>
        <w:rPr>
          <w:rFonts w:ascii="仿宋_GB2312" w:eastAsia="仿宋_GB2312" w:hint="eastAsia"/>
          <w:color w:val="000000"/>
          <w:spacing w:val="4"/>
          <w:szCs w:val="32"/>
        </w:rPr>
        <w:t>3126.92</w:t>
      </w:r>
      <w:r>
        <w:rPr>
          <w:rFonts w:ascii="仿宋_GB2312" w:eastAsia="仿宋_GB2312" w:hint="eastAsia"/>
          <w:color w:val="000000"/>
          <w:spacing w:val="4"/>
          <w:szCs w:val="32"/>
        </w:rPr>
        <w:t>万元在益阳高新区云雾山路以南、高新路以</w:t>
      </w:r>
      <w:r>
        <w:rPr>
          <w:rFonts w:ascii="仿宋_GB2312" w:eastAsia="仿宋_GB2312" w:hint="eastAsia"/>
          <w:color w:val="000000"/>
          <w:spacing w:val="4"/>
          <w:szCs w:val="32"/>
        </w:rPr>
        <w:t>东</w:t>
      </w:r>
      <w:r>
        <w:rPr>
          <w:rFonts w:ascii="仿宋_GB2312" w:eastAsia="仿宋_GB2312" w:hint="eastAsia"/>
          <w:color w:val="000000"/>
          <w:spacing w:val="4"/>
          <w:szCs w:val="32"/>
        </w:rPr>
        <w:t>建设</w:t>
      </w:r>
      <w:r>
        <w:rPr>
          <w:rFonts w:ascii="仿宋_GB2312" w:eastAsia="仿宋_GB2312" w:hint="eastAsia"/>
          <w:color w:val="000000"/>
          <w:spacing w:val="4"/>
          <w:szCs w:val="32"/>
        </w:rPr>
        <w:t>1</w:t>
      </w:r>
      <w:r>
        <w:rPr>
          <w:rFonts w:ascii="仿宋_GB2312" w:eastAsia="仿宋_GB2312" w:hint="eastAsia"/>
          <w:color w:val="000000"/>
          <w:spacing w:val="4"/>
          <w:szCs w:val="32"/>
        </w:rPr>
        <w:t>条混凝土全自动生产线，年产商品混凝土</w:t>
      </w:r>
      <w:r>
        <w:rPr>
          <w:rFonts w:ascii="仿宋_GB2312" w:eastAsia="仿宋_GB2312" w:hint="eastAsia"/>
          <w:color w:val="000000"/>
          <w:spacing w:val="4"/>
          <w:szCs w:val="32"/>
        </w:rPr>
        <w:t>20</w:t>
      </w:r>
      <w:r>
        <w:rPr>
          <w:rFonts w:ascii="仿宋_GB2312" w:eastAsia="仿宋_GB2312" w:hint="eastAsia"/>
          <w:color w:val="000000"/>
          <w:spacing w:val="4"/>
          <w:szCs w:val="32"/>
        </w:rPr>
        <w:t>万</w:t>
      </w:r>
      <w:r>
        <w:rPr>
          <w:rFonts w:ascii="仿宋_GB2312" w:eastAsia="仿宋_GB2312" w:hint="eastAsia"/>
          <w:color w:val="000000"/>
          <w:spacing w:val="4"/>
          <w:szCs w:val="32"/>
        </w:rPr>
        <w:t>立方。项目总占地面积</w:t>
      </w:r>
      <w:r>
        <w:rPr>
          <w:rFonts w:ascii="仿宋_GB2312" w:eastAsia="仿宋_GB2312" w:hint="eastAsia"/>
          <w:color w:val="000000"/>
          <w:spacing w:val="4"/>
          <w:szCs w:val="32"/>
        </w:rPr>
        <w:t>15300</w:t>
      </w:r>
      <w:r>
        <w:rPr>
          <w:rFonts w:ascii="仿宋_GB2312" w:eastAsia="仿宋_GB2312" w:hint="eastAsia"/>
          <w:color w:val="000000"/>
          <w:spacing w:val="4"/>
          <w:szCs w:val="32"/>
        </w:rPr>
        <w:t>平方米，</w:t>
      </w:r>
      <w:r>
        <w:rPr>
          <w:rFonts w:ascii="仿宋_GB2312" w:eastAsia="仿宋_GB2312" w:hAnsi="仿宋_GB2312" w:cs="仿宋_GB2312" w:hint="eastAsia"/>
          <w:bCs/>
          <w:szCs w:val="32"/>
        </w:rPr>
        <w:t>厂区内</w:t>
      </w:r>
      <w:r>
        <w:rPr>
          <w:rFonts w:ascii="仿宋_GB2312" w:eastAsia="仿宋_GB2312" w:hAnsi="仿宋_GB2312" w:cs="仿宋_GB2312" w:hint="eastAsia"/>
        </w:rPr>
        <w:t>分区设置</w:t>
      </w:r>
      <w:r>
        <w:rPr>
          <w:rFonts w:ascii="仿宋_GB2312" w:eastAsia="仿宋_GB2312" w:hAnsi="仿宋_GB2312" w:cs="仿宋_GB2312" w:hint="eastAsia"/>
          <w:color w:val="000000"/>
          <w:spacing w:val="4"/>
          <w:szCs w:val="32"/>
        </w:rPr>
        <w:t>混凝土搅拌</w:t>
      </w:r>
      <w:r>
        <w:rPr>
          <w:rFonts w:ascii="仿宋_GB2312" w:eastAsia="仿宋_GB2312" w:hAnsi="仿宋_GB2312" w:cs="仿宋_GB2312" w:hint="eastAsia"/>
          <w:color w:val="000000"/>
          <w:spacing w:val="4"/>
          <w:szCs w:val="32"/>
        </w:rPr>
        <w:t>区</w:t>
      </w:r>
      <w:r>
        <w:rPr>
          <w:rFonts w:ascii="仿宋_GB2312" w:eastAsia="仿宋_GB2312" w:hint="eastAsia"/>
          <w:color w:val="000000"/>
          <w:spacing w:val="4"/>
          <w:szCs w:val="32"/>
        </w:rPr>
        <w:t>、</w:t>
      </w:r>
      <w:r>
        <w:rPr>
          <w:rFonts w:ascii="仿宋_GB2312" w:eastAsia="仿宋_GB2312" w:hAnsi="仿宋_GB2312" w:cs="仿宋_GB2312" w:hint="eastAsia"/>
          <w:color w:val="000000"/>
          <w:spacing w:val="4"/>
          <w:szCs w:val="32"/>
        </w:rPr>
        <w:t>搅拌区筒仓</w:t>
      </w:r>
      <w:r>
        <w:rPr>
          <w:rFonts w:ascii="仿宋_GB2312" w:eastAsia="仿宋_GB2312" w:hint="eastAsia"/>
          <w:color w:val="000000"/>
          <w:spacing w:val="4"/>
          <w:szCs w:val="32"/>
        </w:rPr>
        <w:t>、办公生活区、实验室</w:t>
      </w:r>
      <w:r>
        <w:rPr>
          <w:rFonts w:ascii="仿宋_GB2312" w:eastAsia="仿宋_GB2312" w:hAnsi="仿宋_GB2312" w:cs="仿宋_GB2312" w:hint="eastAsia"/>
          <w:color w:val="000000"/>
          <w:szCs w:val="32"/>
        </w:rPr>
        <w:t>及</w:t>
      </w:r>
      <w:r>
        <w:rPr>
          <w:rFonts w:ascii="仿宋_GB2312" w:eastAsia="仿宋_GB2312" w:hAnsi="仿宋_GB2312" w:cs="仿宋_GB2312" w:hint="eastAsia"/>
          <w:color w:val="000000"/>
          <w:szCs w:val="32"/>
        </w:rPr>
        <w:t>给排水、供配电、环保等相关公用辅助工程。</w:t>
      </w:r>
      <w:r>
        <w:rPr>
          <w:rFonts w:ascii="仿宋_GB2312" w:eastAsia="仿宋_GB2312" w:hAnsi="仿宋_GB2312" w:cs="仿宋_GB2312" w:hint="eastAsia"/>
          <w:color w:val="000000"/>
          <w:szCs w:val="32"/>
        </w:rPr>
        <w:t>项目建设符合国家产业政策</w:t>
      </w:r>
      <w:r>
        <w:rPr>
          <w:rFonts w:ascii="仿宋_GB2312" w:eastAsia="仿宋_GB2312" w:hAnsi="仿宋_GB2312" w:cs="仿宋_GB2312" w:hint="eastAsia"/>
          <w:color w:val="000000"/>
          <w:szCs w:val="32"/>
        </w:rPr>
        <w:t>和</w:t>
      </w:r>
      <w:r>
        <w:rPr>
          <w:rFonts w:ascii="仿宋_GB2312" w:eastAsia="仿宋_GB2312" w:hAnsi="仿宋_GB2312" w:cs="仿宋_GB2312" w:hint="eastAsia"/>
          <w:color w:val="000000"/>
          <w:szCs w:val="32"/>
        </w:rPr>
        <w:t>益阳</w:t>
      </w:r>
      <w:r>
        <w:rPr>
          <w:rFonts w:ascii="仿宋_GB2312" w:eastAsia="仿宋_GB2312" w:hAnsi="仿宋_GB2312" w:cs="仿宋_GB2312" w:hint="eastAsia"/>
          <w:color w:val="000000"/>
          <w:szCs w:val="32"/>
        </w:rPr>
        <w:t>市谢林港镇</w:t>
      </w:r>
      <w:r>
        <w:rPr>
          <w:rFonts w:ascii="仿宋_GB2312" w:eastAsia="仿宋_GB2312" w:hAnsi="仿宋_GB2312" w:cs="仿宋_GB2312" w:hint="eastAsia"/>
          <w:color w:val="000000"/>
          <w:szCs w:val="32"/>
        </w:rPr>
        <w:t>选址用地规划要求</w:t>
      </w:r>
      <w:r>
        <w:rPr>
          <w:rFonts w:ascii="仿宋_GB2312" w:eastAsia="仿宋_GB2312" w:hAnsi="仿宋_GB2312" w:cs="仿宋_GB2312" w:hint="eastAsia"/>
          <w:color w:val="000000"/>
          <w:szCs w:val="32"/>
        </w:rPr>
        <w:t>。根据湖南景玺环保科技有限公司编制的环评报告表的分析结论，在建设单位认真落实报告表提出的各项污染防治措施、确保外排污染物稳定达标的前提下，从环保的角度分析，我局同意项目按报告</w:t>
      </w:r>
      <w:r>
        <w:rPr>
          <w:rFonts w:ascii="仿宋_GB2312" w:eastAsia="仿宋_GB2312" w:hAnsi="仿宋_GB2312" w:cs="仿宋_GB2312" w:hint="eastAsia"/>
          <w:color w:val="000000"/>
          <w:szCs w:val="32"/>
        </w:rPr>
        <w:lastRenderedPageBreak/>
        <w:t>表所列的建设方案、规模、工艺、环保措施等在拟选地址建设。</w:t>
      </w:r>
    </w:p>
    <w:p w:rsidR="00262F4C" w:rsidRDefault="00325BF6">
      <w:pPr>
        <w:spacing w:line="56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建设单位在项目设计、建设和营运期间，必须严格执行环保“三同时”制度，按照环评报告表要求落实各项污染防治措施，并着重做好如下工作</w:t>
      </w:r>
      <w:r>
        <w:rPr>
          <w:rFonts w:ascii="仿宋_GB2312" w:eastAsia="仿宋_GB2312" w:hAnsi="仿宋_GB2312" w:cs="仿宋_GB2312" w:hint="eastAsia"/>
          <w:color w:val="000000"/>
          <w:spacing w:val="4"/>
          <w:szCs w:val="32"/>
        </w:rPr>
        <w:t>：</w:t>
      </w:r>
    </w:p>
    <w:p w:rsidR="00262F4C" w:rsidRDefault="00325BF6">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（一）</w:t>
      </w:r>
      <w:r>
        <w:rPr>
          <w:rFonts w:ascii="仿宋_GB2312" w:eastAsia="仿宋_GB2312" w:hAnsi="仿宋_GB2312" w:cs="仿宋_GB2312" w:hint="eastAsia"/>
          <w:color w:val="000000"/>
          <w:szCs w:val="32"/>
        </w:rPr>
        <w:t>加强施工期环境管理，采取有效的降尘、降噪措施减少施工期对周边环境的影响。</w:t>
      </w:r>
    </w:p>
    <w:p w:rsidR="00262F4C" w:rsidRDefault="00325BF6">
      <w:pPr>
        <w:spacing w:line="56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二</w:t>
      </w:r>
      <w:r>
        <w:rPr>
          <w:rFonts w:ascii="仿宋_GB2312" w:eastAsia="仿宋_GB2312" w:hAnsi="仿宋_GB2312" w:cs="仿宋_GB2312" w:hint="eastAsia"/>
          <w:color w:val="000000"/>
          <w:szCs w:val="32"/>
        </w:rPr>
        <w:t>）做好项目大气污染防治工作。定期进行洒水降尘及地面清扫，设置洗车平台，对进出车辆车胎进行冲洗</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混凝土搅拌区</w:t>
      </w:r>
      <w:r>
        <w:rPr>
          <w:rFonts w:ascii="仿宋_GB2312" w:eastAsia="仿宋_GB2312" w:hAnsi="仿宋_GB2312" w:cs="仿宋_GB2312" w:hint="eastAsia"/>
          <w:color w:val="000000"/>
          <w:spacing w:val="4"/>
          <w:szCs w:val="32"/>
        </w:rPr>
        <w:t>需全部设置于封闭式厂房内</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zCs w:val="32"/>
        </w:rPr>
        <w:t>进出料口设置喷淋系统，封闭搅拌楼传输带进料口，定期清扫搅拌楼</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砂石骨料堆场应设置喷雾装置，各个筒仓顶部采用脉冲布袋除尘器处理并定期检查使用状况，及时维护更换降尘效率低的设施</w:t>
      </w:r>
      <w:r>
        <w:rPr>
          <w:rFonts w:ascii="仿宋_GB2312" w:eastAsia="仿宋_GB2312" w:hAnsi="仿宋_GB2312" w:cs="仿宋_GB2312" w:hint="eastAsia"/>
          <w:color w:val="000000"/>
          <w:szCs w:val="32"/>
        </w:rPr>
        <w:t>，确保外排污染物满足《水泥工业大气污染物排放标准》（</w:t>
      </w:r>
      <w:r>
        <w:rPr>
          <w:rFonts w:ascii="仿宋_GB2312" w:eastAsia="仿宋_GB2312" w:hAnsi="仿宋_GB2312" w:cs="仿宋_GB2312" w:hint="eastAsia"/>
          <w:color w:val="000000"/>
          <w:szCs w:val="32"/>
        </w:rPr>
        <w:t>GB4915-2013</w:t>
      </w:r>
      <w:r>
        <w:rPr>
          <w:rFonts w:ascii="仿宋_GB2312" w:eastAsia="仿宋_GB2312" w:hAnsi="仿宋_GB2312" w:cs="仿宋_GB2312" w:hint="eastAsia"/>
          <w:color w:val="000000"/>
          <w:szCs w:val="32"/>
        </w:rPr>
        <w:t>）表</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中无组织排放限值要求</w:t>
      </w:r>
      <w:r>
        <w:rPr>
          <w:rFonts w:ascii="仿宋_GB2312" w:eastAsia="仿宋_GB2312" w:hAnsi="仿宋_GB2312" w:cs="仿宋_GB2312" w:hint="eastAsia"/>
          <w:color w:val="000000"/>
          <w:szCs w:val="32"/>
        </w:rPr>
        <w:t>；食堂油烟应安装使用高效油烟净化处理设备，处理后达到《饮食业油烟排放标准（试行）》（</w:t>
      </w:r>
      <w:r>
        <w:rPr>
          <w:rFonts w:ascii="仿宋_GB2312" w:eastAsia="仿宋_GB2312" w:hAnsi="仿宋_GB2312" w:cs="仿宋_GB2312" w:hint="eastAsia"/>
          <w:color w:val="000000"/>
          <w:szCs w:val="32"/>
        </w:rPr>
        <w:t>GB18483-2001</w:t>
      </w:r>
      <w:r>
        <w:rPr>
          <w:rFonts w:ascii="仿宋_GB2312" w:eastAsia="仿宋_GB2312" w:hAnsi="仿宋_GB2312" w:cs="仿宋_GB2312" w:hint="eastAsia"/>
          <w:color w:val="000000"/>
          <w:szCs w:val="32"/>
        </w:rPr>
        <w:t>）中的限值标准</w:t>
      </w:r>
      <w:r>
        <w:rPr>
          <w:rFonts w:ascii="仿宋_GB2312" w:eastAsia="仿宋_GB2312" w:hAnsi="仿宋_GB2312" w:cs="仿宋_GB2312" w:hint="eastAsia"/>
          <w:color w:val="000000"/>
          <w:spacing w:val="4"/>
          <w:szCs w:val="32"/>
        </w:rPr>
        <w:t>。</w:t>
      </w:r>
    </w:p>
    <w:p w:rsidR="00262F4C" w:rsidRDefault="00325BF6">
      <w:pPr>
        <w:numPr>
          <w:ilvl w:val="0"/>
          <w:numId w:val="2"/>
        </w:numPr>
        <w:spacing w:line="56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做好项目水污染防治工作。</w:t>
      </w:r>
      <w:bookmarkStart w:id="0" w:name="_GoBack"/>
      <w:r>
        <w:rPr>
          <w:rFonts w:ascii="仿宋_GB2312" w:eastAsia="仿宋_GB2312" w:hAnsi="仿宋_GB2312" w:cs="仿宋_GB2312" w:hint="eastAsia"/>
          <w:color w:val="000000"/>
          <w:spacing w:val="4"/>
          <w:szCs w:val="32"/>
        </w:rPr>
        <w:t>厂区实行雨污分流、污污分流制，按要求完善厂区雨水收集管网，设置排水沟、沉淀池，营运期间产生的</w:t>
      </w:r>
      <w:r>
        <w:rPr>
          <w:rFonts w:ascii="仿宋_GB2312" w:eastAsia="仿宋_GB2312" w:hAnsi="仿宋_GB2312" w:cs="仿宋_GB2312" w:hint="eastAsia"/>
          <w:color w:val="000000"/>
          <w:spacing w:val="4"/>
          <w:szCs w:val="32"/>
        </w:rPr>
        <w:t>生产</w:t>
      </w:r>
      <w:r>
        <w:rPr>
          <w:rFonts w:ascii="仿宋_GB2312" w:eastAsia="仿宋_GB2312" w:hAnsi="仿宋_GB2312" w:cs="仿宋_GB2312" w:hint="eastAsia"/>
          <w:color w:val="000000"/>
          <w:spacing w:val="4"/>
          <w:szCs w:val="32"/>
        </w:rPr>
        <w:t>废水和初期雨水分别经沉淀处理后回用于生产，不外排</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生活污</w:t>
      </w:r>
      <w:r>
        <w:rPr>
          <w:rFonts w:ascii="仿宋_GB2312" w:eastAsia="仿宋_GB2312" w:hAnsi="仿宋_GB2312" w:cs="仿宋_GB2312" w:hint="eastAsia"/>
          <w:color w:val="000000"/>
          <w:spacing w:val="4"/>
          <w:szCs w:val="32"/>
        </w:rPr>
        <w:t>水经隔油池、化粪池处理，达到《污水综合排放标准》（</w:t>
      </w:r>
      <w:r>
        <w:rPr>
          <w:rFonts w:ascii="仿宋_GB2312" w:eastAsia="仿宋_GB2312" w:hAnsi="仿宋_GB2312" w:cs="仿宋_GB2312" w:hint="eastAsia"/>
          <w:color w:val="000000"/>
          <w:spacing w:val="4"/>
          <w:szCs w:val="32"/>
        </w:rPr>
        <w:t>GB8978-1996</w:t>
      </w:r>
      <w:r>
        <w:rPr>
          <w:rFonts w:ascii="仿宋_GB2312" w:eastAsia="仿宋_GB2312" w:hAnsi="仿宋_GB2312" w:cs="仿宋_GB2312" w:hint="eastAsia"/>
          <w:color w:val="000000"/>
          <w:spacing w:val="4"/>
          <w:szCs w:val="32"/>
        </w:rPr>
        <w:t>）表</w:t>
      </w:r>
      <w:r>
        <w:rPr>
          <w:rFonts w:ascii="仿宋_GB2312" w:eastAsia="仿宋_GB2312" w:hAnsi="仿宋_GB2312" w:cs="仿宋_GB2312" w:hint="eastAsia"/>
          <w:color w:val="000000"/>
          <w:spacing w:val="4"/>
          <w:szCs w:val="32"/>
        </w:rPr>
        <w:t>4</w:t>
      </w:r>
      <w:r>
        <w:rPr>
          <w:rFonts w:ascii="仿宋_GB2312" w:eastAsia="仿宋_GB2312" w:hAnsi="仿宋_GB2312" w:cs="仿宋_GB2312" w:hint="eastAsia"/>
          <w:color w:val="000000"/>
          <w:spacing w:val="4"/>
          <w:szCs w:val="32"/>
        </w:rPr>
        <w:t>中三级标准后经市政污水管网排入益阳市团洲污水处理厂进行深度处理。</w:t>
      </w:r>
    </w:p>
    <w:p w:rsidR="00262F4C" w:rsidRDefault="00325BF6">
      <w:pPr>
        <w:pStyle w:val="a5"/>
        <w:spacing w:line="560" w:lineRule="exact"/>
        <w:ind w:firstLineChars="200" w:firstLine="656"/>
        <w:jc w:val="both"/>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lastRenderedPageBreak/>
        <w:t>（</w:t>
      </w:r>
      <w:r>
        <w:rPr>
          <w:rFonts w:ascii="仿宋_GB2312" w:eastAsia="仿宋_GB2312" w:hAnsi="仿宋_GB2312" w:cs="仿宋_GB2312" w:hint="eastAsia"/>
          <w:color w:val="000000"/>
          <w:spacing w:val="4"/>
          <w:szCs w:val="32"/>
        </w:rPr>
        <w:t>四</w:t>
      </w:r>
      <w:r>
        <w:rPr>
          <w:rFonts w:ascii="仿宋_GB2312" w:eastAsia="仿宋_GB2312" w:hAnsi="仿宋_GB2312" w:cs="仿宋_GB2312" w:hint="eastAsia"/>
          <w:color w:val="000000"/>
          <w:spacing w:val="4"/>
          <w:szCs w:val="32"/>
        </w:rPr>
        <w:t>）做好项目噪声污染防治工作。</w:t>
      </w:r>
      <w:r>
        <w:rPr>
          <w:rFonts w:ascii="仿宋_GB2312" w:eastAsia="仿宋_GB2312" w:hAnsi="仿宋_GB2312" w:cs="仿宋_GB2312" w:hint="eastAsia"/>
          <w:color w:val="000000"/>
          <w:szCs w:val="32"/>
        </w:rPr>
        <w:t>落实环评报告表提出的噪声防治措施，合理优化总平面布局，并从优化设备的选型、减震、消声、隔声和合理安排设备作业时间等方面做好噪声的污染控制工作，确保厂界噪声达到《工业企业厂界环境噪声排放标准》（</w:t>
      </w:r>
      <w:r>
        <w:rPr>
          <w:rFonts w:ascii="仿宋_GB2312" w:eastAsia="仿宋_GB2312" w:hAnsi="仿宋_GB2312" w:cs="仿宋_GB2312" w:hint="eastAsia"/>
          <w:color w:val="000000"/>
          <w:szCs w:val="32"/>
        </w:rPr>
        <w:t>GB12348-2008</w:t>
      </w:r>
      <w:r>
        <w:rPr>
          <w:rFonts w:ascii="仿宋_GB2312" w:eastAsia="仿宋_GB2312" w:hAnsi="仿宋_GB2312" w:cs="仿宋_GB2312" w:hint="eastAsia"/>
          <w:color w:val="000000"/>
          <w:szCs w:val="32"/>
        </w:rPr>
        <w:t>）中</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类区标准要求</w:t>
      </w:r>
      <w:r>
        <w:rPr>
          <w:rFonts w:ascii="仿宋_GB2312" w:eastAsia="仿宋_GB2312" w:hAnsi="仿宋_GB2312" w:cs="仿宋_GB2312" w:hint="eastAsia"/>
          <w:color w:val="000000"/>
          <w:spacing w:val="4"/>
          <w:szCs w:val="32"/>
        </w:rPr>
        <w:t>。</w:t>
      </w:r>
    </w:p>
    <w:p w:rsidR="00262F4C" w:rsidRDefault="00325BF6">
      <w:pPr>
        <w:pStyle w:val="a5"/>
        <w:spacing w:line="560" w:lineRule="exact"/>
        <w:ind w:firstLineChars="200" w:firstLine="656"/>
        <w:jc w:val="both"/>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五</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zCs w:val="32"/>
        </w:rPr>
        <w:t>加强对固体废物的分类管理控制。项目产生的危废和一般固废应严格分类贮存，厂区内按规范和环评提出</w:t>
      </w:r>
      <w:r>
        <w:rPr>
          <w:rFonts w:ascii="仿宋_GB2312" w:eastAsia="仿宋_GB2312" w:hAnsi="仿宋_GB2312" w:cs="仿宋_GB2312" w:hint="eastAsia"/>
          <w:color w:val="000000"/>
          <w:szCs w:val="32"/>
        </w:rPr>
        <w:t>的容量要求分别设置危废暂存间和一般固废暂存场所，其建设、运行和管理应相应分别满足《危险废物贮存污染控制标准》</w:t>
      </w:r>
      <w:r>
        <w:rPr>
          <w:rFonts w:ascii="仿宋_GB2312" w:eastAsia="仿宋_GB2312" w:hAnsi="仿宋_GB2312" w:cs="仿宋_GB2312" w:hint="eastAsia"/>
          <w:color w:val="000000"/>
          <w:szCs w:val="32"/>
        </w:rPr>
        <w:t>(GB18597-2001)</w:t>
      </w:r>
      <w:r>
        <w:rPr>
          <w:rFonts w:ascii="仿宋_GB2312" w:eastAsia="仿宋_GB2312" w:hAnsi="仿宋_GB2312" w:cs="仿宋_GB2312" w:hint="eastAsia"/>
          <w:color w:val="000000"/>
          <w:szCs w:val="32"/>
        </w:rPr>
        <w:t>及其修改单要求、《一般工业固体废物贮存、处置场污染控制标准》（</w:t>
      </w:r>
      <w:r>
        <w:rPr>
          <w:rFonts w:ascii="仿宋_GB2312" w:eastAsia="仿宋_GB2312" w:hAnsi="仿宋_GB2312" w:cs="仿宋_GB2312" w:hint="eastAsia"/>
          <w:color w:val="000000"/>
          <w:szCs w:val="32"/>
        </w:rPr>
        <w:t>GB18599-2001</w:t>
      </w:r>
      <w:r>
        <w:rPr>
          <w:rFonts w:ascii="仿宋_GB2312" w:eastAsia="仿宋_GB2312" w:hAnsi="仿宋_GB2312" w:cs="仿宋_GB2312" w:hint="eastAsia"/>
          <w:color w:val="000000"/>
          <w:szCs w:val="32"/>
        </w:rPr>
        <w:t>）及其修改单要求。做好固体废物分类收集处置，</w:t>
      </w:r>
      <w:r>
        <w:rPr>
          <w:rFonts w:ascii="仿宋_GB2312" w:eastAsia="仿宋_GB2312" w:hAnsi="仿宋_GB2312" w:cs="仿宋_GB2312" w:hint="eastAsia"/>
          <w:color w:val="000000"/>
          <w:kern w:val="0"/>
          <w:szCs w:val="32"/>
        </w:rPr>
        <w:t>生活垃圾收集后交给地方环卫部门处理；</w:t>
      </w:r>
      <w:r>
        <w:rPr>
          <w:rFonts w:ascii="仿宋_GB2312" w:eastAsia="仿宋_GB2312" w:hAnsi="仿宋_GB2312" w:cs="仿宋_GB2312" w:hint="eastAsia"/>
          <w:color w:val="000000"/>
          <w:spacing w:val="4"/>
          <w:szCs w:val="32"/>
        </w:rPr>
        <w:t>生产过程中产生的废弃包装物、</w:t>
      </w:r>
      <w:r>
        <w:rPr>
          <w:rFonts w:ascii="仿宋_GB2312" w:eastAsia="仿宋_GB2312" w:hAnsi="仿宋_GB2312" w:cs="仿宋_GB2312" w:hint="eastAsia"/>
          <w:color w:val="000000"/>
          <w:spacing w:val="4"/>
          <w:szCs w:val="32"/>
        </w:rPr>
        <w:t>实验室废渣以及</w:t>
      </w:r>
      <w:r>
        <w:rPr>
          <w:rFonts w:ascii="仿宋_GB2312" w:eastAsia="仿宋_GB2312" w:hAnsi="仿宋_GB2312" w:cs="仿宋_GB2312" w:hint="eastAsia"/>
          <w:color w:val="000000"/>
          <w:szCs w:val="32"/>
        </w:rPr>
        <w:t>经压滤机脱水后的泥渣和沉淀池沉渣</w:t>
      </w:r>
      <w:r>
        <w:rPr>
          <w:rFonts w:ascii="仿宋_GB2312" w:eastAsia="仿宋_GB2312" w:hAnsi="仿宋_GB2312" w:cs="仿宋_GB2312" w:hint="eastAsia"/>
          <w:color w:val="000000"/>
          <w:spacing w:val="4"/>
          <w:szCs w:val="32"/>
        </w:rPr>
        <w:t>等</w:t>
      </w:r>
      <w:r>
        <w:rPr>
          <w:rFonts w:ascii="仿宋_GB2312" w:eastAsia="仿宋_GB2312" w:hAnsi="仿宋_GB2312" w:cs="仿宋_GB2312" w:hint="eastAsia"/>
          <w:color w:val="000000"/>
          <w:szCs w:val="32"/>
        </w:rPr>
        <w:t>经分类收集贮存后外售综合利用</w:t>
      </w:r>
      <w:r>
        <w:rPr>
          <w:rFonts w:ascii="仿宋_GB2312" w:eastAsia="仿宋_GB2312" w:hAnsi="仿宋_GB2312" w:cs="仿宋_GB2312" w:hint="eastAsia"/>
          <w:color w:val="000000"/>
          <w:szCs w:val="32"/>
        </w:rPr>
        <w:t>；除尘器收集的粉尘均为产品原料，回用于生产过程，不外排</w:t>
      </w:r>
      <w:r>
        <w:rPr>
          <w:rFonts w:ascii="仿宋_GB2312" w:eastAsia="仿宋_GB2312" w:hAnsi="仿宋_GB2312" w:cs="仿宋_GB2312" w:hint="eastAsia"/>
          <w:szCs w:val="32"/>
        </w:rPr>
        <w:t>；</w:t>
      </w:r>
      <w:r>
        <w:rPr>
          <w:rFonts w:ascii="仿宋_GB2312" w:eastAsia="仿宋_GB2312" w:hAnsi="仿宋_GB2312" w:cs="仿宋_GB2312" w:hint="eastAsia"/>
          <w:color w:val="000000"/>
          <w:spacing w:val="4"/>
          <w:szCs w:val="32"/>
        </w:rPr>
        <w:t>废机油</w:t>
      </w:r>
      <w:r>
        <w:rPr>
          <w:rFonts w:ascii="仿宋_GB2312" w:eastAsia="仿宋_GB2312" w:hAnsi="仿宋_GB2312" w:cs="仿宋_GB2312" w:hint="eastAsia"/>
          <w:spacing w:val="4"/>
          <w:szCs w:val="32"/>
        </w:rPr>
        <w:t>及</w:t>
      </w:r>
      <w:r>
        <w:rPr>
          <w:rFonts w:ascii="仿宋_GB2312" w:eastAsia="仿宋_GB2312" w:hAnsi="仿宋_GB2312" w:cs="仿宋_GB2312" w:hint="eastAsia"/>
          <w:szCs w:val="32"/>
        </w:rPr>
        <w:t>含油废抹布</w:t>
      </w:r>
      <w:r>
        <w:rPr>
          <w:rFonts w:ascii="仿宋_GB2312" w:eastAsia="仿宋_GB2312" w:hAnsi="仿宋_GB2312" w:cs="仿宋_GB2312" w:hint="eastAsia"/>
          <w:szCs w:val="32"/>
        </w:rPr>
        <w:t>和废手套</w:t>
      </w:r>
      <w:r>
        <w:rPr>
          <w:rFonts w:ascii="仿宋_GB2312" w:eastAsia="仿宋_GB2312" w:hAnsi="仿宋_GB2312" w:cs="仿宋_GB2312" w:hint="eastAsia"/>
          <w:szCs w:val="32"/>
        </w:rPr>
        <w:t>等危险废物</w:t>
      </w:r>
      <w:r>
        <w:rPr>
          <w:rFonts w:ascii="仿宋_GB2312" w:eastAsia="仿宋_GB2312" w:hAnsi="仿宋_GB2312" w:cs="仿宋_GB2312" w:hint="eastAsia"/>
          <w:color w:val="000000"/>
          <w:kern w:val="0"/>
          <w:szCs w:val="32"/>
        </w:rPr>
        <w:t>应送危废暂存间分类贮存，定期外委有危废处置资质单位处置。</w:t>
      </w:r>
    </w:p>
    <w:p w:rsidR="00262F4C" w:rsidRDefault="00325BF6">
      <w:pPr>
        <w:widowControl/>
        <w:spacing w:line="560" w:lineRule="exact"/>
        <w:ind w:firstLineChars="200" w:firstLine="656"/>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六</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262F4C" w:rsidRDefault="00325BF6">
      <w:pPr>
        <w:spacing w:line="560" w:lineRule="exact"/>
        <w:ind w:firstLineChars="200" w:firstLine="656"/>
        <w:rPr>
          <w:rFonts w:ascii="仿宋_GB2312" w:eastAsia="仿宋_GB2312" w:hAnsi="仿宋_GB2312" w:cs="仿宋_GB2312"/>
        </w:rPr>
      </w:pPr>
      <w:r>
        <w:rPr>
          <w:rFonts w:ascii="仿宋_GB2312" w:eastAsia="仿宋_GB2312" w:hAnsi="仿宋_GB2312" w:cs="仿宋_GB2312" w:hint="eastAsia"/>
          <w:color w:val="000000"/>
          <w:spacing w:val="4"/>
          <w:szCs w:val="32"/>
        </w:rPr>
        <w:t>三、</w:t>
      </w:r>
      <w:r>
        <w:rPr>
          <w:rFonts w:ascii="仿宋_GB2312" w:eastAsia="仿宋_GB2312" w:hAnsi="仿宋_GB2312" w:cs="仿宋_GB2312" w:hint="eastAsia"/>
          <w:color w:val="000000"/>
          <w:szCs w:val="32"/>
        </w:rPr>
        <w:t>建设单位应严格执行环境保护“三同时”规定，项目环保“三同时”执行情况的监督检查和日常环境管理工作由</w:t>
      </w:r>
      <w:bookmarkEnd w:id="0"/>
      <w:r>
        <w:rPr>
          <w:rFonts w:ascii="仿宋_GB2312" w:eastAsia="仿宋_GB2312" w:hAnsi="仿宋_GB2312" w:cs="仿宋_GB2312" w:hint="eastAsia"/>
          <w:color w:val="000000"/>
          <w:szCs w:val="32"/>
        </w:rPr>
        <w:lastRenderedPageBreak/>
        <w:t>益阳市生态环境局高新区分局和益阳市生态环境保护综合行政执法支队高新区大队具体负责。</w:t>
      </w:r>
    </w:p>
    <w:p w:rsidR="00262F4C" w:rsidRDefault="00325BF6">
      <w:pPr>
        <w:spacing w:line="560"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 xml:space="preserve">                             </w:t>
      </w:r>
    </w:p>
    <w:p w:rsidR="00262F4C" w:rsidRDefault="00325BF6">
      <w:pPr>
        <w:spacing w:line="560"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益阳市生态环境局</w:t>
      </w:r>
    </w:p>
    <w:p w:rsidR="00262F4C" w:rsidRDefault="00325BF6">
      <w:pPr>
        <w:spacing w:line="560" w:lineRule="exact"/>
        <w:ind w:firstLineChars="1900" w:firstLine="6080"/>
        <w:rPr>
          <w:rFonts w:ascii="仿宋_GB2312" w:eastAsia="仿宋_GB2312" w:hAnsi="仿宋_GB2312" w:cs="仿宋_GB2312"/>
          <w:color w:val="FF0000"/>
        </w:rPr>
      </w:pPr>
      <w:r>
        <w:rPr>
          <w:rFonts w:ascii="仿宋_GB2312" w:eastAsia="仿宋_GB2312" w:hAnsi="仿宋_GB2312" w:cs="仿宋_GB2312" w:hint="eastAsia"/>
        </w:rPr>
        <w:t>2020</w:t>
      </w:r>
      <w:r>
        <w:rPr>
          <w:rFonts w:ascii="仿宋_GB2312" w:eastAsia="仿宋_GB2312" w:hAnsi="仿宋_GB2312" w:cs="仿宋_GB2312" w:hint="eastAsia"/>
        </w:rPr>
        <w:t>年</w:t>
      </w:r>
      <w:r>
        <w:rPr>
          <w:rFonts w:ascii="仿宋_GB2312" w:eastAsia="仿宋_GB2312" w:hAnsi="仿宋_GB2312" w:cs="仿宋_GB2312" w:hint="eastAsia"/>
        </w:rPr>
        <w:t>8</w:t>
      </w:r>
      <w:r>
        <w:rPr>
          <w:rFonts w:ascii="仿宋_GB2312" w:eastAsia="仿宋_GB2312" w:hAnsi="仿宋_GB2312" w:cs="仿宋_GB2312" w:hint="eastAsia"/>
        </w:rPr>
        <w:t>月</w:t>
      </w:r>
      <w:r>
        <w:rPr>
          <w:rFonts w:ascii="仿宋_GB2312" w:eastAsia="仿宋_GB2312" w:hAnsi="仿宋_GB2312" w:cs="仿宋_GB2312" w:hint="eastAsia"/>
        </w:rPr>
        <w:t>25</w:t>
      </w:r>
      <w:r>
        <w:rPr>
          <w:rFonts w:ascii="仿宋_GB2312" w:eastAsia="仿宋_GB2312" w:hAnsi="仿宋_GB2312" w:cs="仿宋_GB2312" w:hint="eastAsia"/>
        </w:rPr>
        <w:t>日</w:t>
      </w:r>
    </w:p>
    <w:sectPr w:rsidR="00262F4C" w:rsidSect="00262F4C">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BF6" w:rsidRDefault="00325BF6" w:rsidP="00262F4C">
      <w:r>
        <w:separator/>
      </w:r>
    </w:p>
  </w:endnote>
  <w:endnote w:type="continuationSeparator" w:id="0">
    <w:p w:rsidR="00325BF6" w:rsidRDefault="00325BF6" w:rsidP="00262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4C" w:rsidRDefault="00262F4C">
    <w:pPr>
      <w:pStyle w:val="a7"/>
    </w:pPr>
    <w:r>
      <w:pict>
        <v:shapetype id="_x0000_t202" coordsize="21600,21600" o:spt="202" path="m,l,21600r21600,l21600,xe">
          <v:stroke joinstyle="miter"/>
          <v:path gradientshapeok="t" o:connecttype="rect"/>
        </v:shapetype>
        <v:shape id="文本框 1026" o:sp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rEw8&#10;B7UBAABcAwAADgAAAAAAAAABACAAAAAeAQAAZHJzL2Uyb0RvYy54bWxQSwUGAAAAAAYABgBZAQAA&#10;RQUAAAAA&#10;" filled="f" stroked="f">
          <v:textbox style="mso-fit-shape-to-text:t" inset="0,0,0,0">
            <w:txbxContent>
              <w:p w:rsidR="00262F4C" w:rsidRDefault="00262F4C">
                <w:pPr>
                  <w:pStyle w:val="a7"/>
                  <w:jc w:val="right"/>
                </w:pPr>
                <w:r>
                  <w:rPr>
                    <w:rFonts w:hint="eastAsia"/>
                  </w:rPr>
                  <w:fldChar w:fldCharType="begin"/>
                </w:r>
                <w:r w:rsidR="00325BF6">
                  <w:rPr>
                    <w:rFonts w:hint="eastAsia"/>
                  </w:rPr>
                  <w:instrText xml:space="preserve"> PAGE  \* MERGEFORMAT </w:instrText>
                </w:r>
                <w:r>
                  <w:rPr>
                    <w:rFonts w:hint="eastAsia"/>
                  </w:rPr>
                  <w:fldChar w:fldCharType="separate"/>
                </w:r>
                <w:r w:rsidR="004D4072">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BF6" w:rsidRDefault="00325BF6" w:rsidP="00262F4C">
      <w:r>
        <w:separator/>
      </w:r>
    </w:p>
  </w:footnote>
  <w:footnote w:type="continuationSeparator" w:id="0">
    <w:p w:rsidR="00325BF6" w:rsidRDefault="00325BF6" w:rsidP="00262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4C" w:rsidRDefault="00262F4C">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4A426D"/>
    <w:multiLevelType w:val="singleLevel"/>
    <w:tmpl w:val="CC4A426D"/>
    <w:lvl w:ilvl="0">
      <w:start w:val="1"/>
      <w:numFmt w:val="chineseCounting"/>
      <w:suff w:val="nothing"/>
      <w:lvlText w:val="%1、"/>
      <w:lvlJc w:val="left"/>
      <w:rPr>
        <w:rFonts w:hint="eastAsia"/>
      </w:rPr>
    </w:lvl>
  </w:abstractNum>
  <w:abstractNum w:abstractNumId="1">
    <w:nsid w:val="4466D103"/>
    <w:multiLevelType w:val="singleLevel"/>
    <w:tmpl w:val="4466D103"/>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22966"/>
    <w:rsid w:val="00234A27"/>
    <w:rsid w:val="002371E9"/>
    <w:rsid w:val="0025284C"/>
    <w:rsid w:val="002549FF"/>
    <w:rsid w:val="00261EB2"/>
    <w:rsid w:val="00262F4C"/>
    <w:rsid w:val="00263B19"/>
    <w:rsid w:val="00290FDA"/>
    <w:rsid w:val="002C17C9"/>
    <w:rsid w:val="002C7DBB"/>
    <w:rsid w:val="002D32A8"/>
    <w:rsid w:val="002E1D0E"/>
    <w:rsid w:val="002F037B"/>
    <w:rsid w:val="002F3855"/>
    <w:rsid w:val="0030248F"/>
    <w:rsid w:val="00306B0D"/>
    <w:rsid w:val="00310CA4"/>
    <w:rsid w:val="003113CF"/>
    <w:rsid w:val="00325BF6"/>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2FAA"/>
    <w:rsid w:val="004031CF"/>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D4072"/>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51E4"/>
    <w:rsid w:val="00676317"/>
    <w:rsid w:val="00682E08"/>
    <w:rsid w:val="00685F4A"/>
    <w:rsid w:val="0068731F"/>
    <w:rsid w:val="00693AB7"/>
    <w:rsid w:val="006971BB"/>
    <w:rsid w:val="006D61A3"/>
    <w:rsid w:val="006D686A"/>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8F6C02"/>
    <w:rsid w:val="00901A2D"/>
    <w:rsid w:val="00914280"/>
    <w:rsid w:val="0091432D"/>
    <w:rsid w:val="009278DE"/>
    <w:rsid w:val="00936875"/>
    <w:rsid w:val="009549B7"/>
    <w:rsid w:val="00955595"/>
    <w:rsid w:val="0095578A"/>
    <w:rsid w:val="0096441F"/>
    <w:rsid w:val="0096585E"/>
    <w:rsid w:val="009822B2"/>
    <w:rsid w:val="009A6627"/>
    <w:rsid w:val="009A7161"/>
    <w:rsid w:val="009C2585"/>
    <w:rsid w:val="009D5A3E"/>
    <w:rsid w:val="009E0D18"/>
    <w:rsid w:val="009F3762"/>
    <w:rsid w:val="00A040C7"/>
    <w:rsid w:val="00A0535A"/>
    <w:rsid w:val="00A10F34"/>
    <w:rsid w:val="00A203A0"/>
    <w:rsid w:val="00A40D17"/>
    <w:rsid w:val="00A50CF1"/>
    <w:rsid w:val="00A61D09"/>
    <w:rsid w:val="00A71067"/>
    <w:rsid w:val="00A75DD9"/>
    <w:rsid w:val="00A77751"/>
    <w:rsid w:val="00A8604D"/>
    <w:rsid w:val="00AC03A6"/>
    <w:rsid w:val="00AD68E9"/>
    <w:rsid w:val="00AD782A"/>
    <w:rsid w:val="00AE6C55"/>
    <w:rsid w:val="00AF46EC"/>
    <w:rsid w:val="00B0574A"/>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16B7"/>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2425F"/>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0169"/>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55D19"/>
    <w:rsid w:val="00F74152"/>
    <w:rsid w:val="00F75B59"/>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ED35F8"/>
    <w:rsid w:val="02702A43"/>
    <w:rsid w:val="02BD7679"/>
    <w:rsid w:val="033476DA"/>
    <w:rsid w:val="070865B3"/>
    <w:rsid w:val="08BB4157"/>
    <w:rsid w:val="08BD65C4"/>
    <w:rsid w:val="092626E6"/>
    <w:rsid w:val="09FA59E7"/>
    <w:rsid w:val="0BBB29C9"/>
    <w:rsid w:val="0BF719CD"/>
    <w:rsid w:val="0C562ECC"/>
    <w:rsid w:val="0C6F6399"/>
    <w:rsid w:val="0FB0132E"/>
    <w:rsid w:val="106530BE"/>
    <w:rsid w:val="140D6837"/>
    <w:rsid w:val="14360E9D"/>
    <w:rsid w:val="15BF0779"/>
    <w:rsid w:val="15DD5D31"/>
    <w:rsid w:val="16712B88"/>
    <w:rsid w:val="167429F4"/>
    <w:rsid w:val="16D15A40"/>
    <w:rsid w:val="16E81710"/>
    <w:rsid w:val="179216C6"/>
    <w:rsid w:val="19AB6F8E"/>
    <w:rsid w:val="1A1F4F6D"/>
    <w:rsid w:val="1B82390A"/>
    <w:rsid w:val="1DDE1448"/>
    <w:rsid w:val="1E7879AF"/>
    <w:rsid w:val="1F1F7064"/>
    <w:rsid w:val="20095B14"/>
    <w:rsid w:val="23F25212"/>
    <w:rsid w:val="26423EFF"/>
    <w:rsid w:val="26C7259C"/>
    <w:rsid w:val="270C661B"/>
    <w:rsid w:val="27BA1B7C"/>
    <w:rsid w:val="2B16453C"/>
    <w:rsid w:val="2C36248E"/>
    <w:rsid w:val="2D9F4EF8"/>
    <w:rsid w:val="2FBA73DE"/>
    <w:rsid w:val="2FBE547D"/>
    <w:rsid w:val="302837E4"/>
    <w:rsid w:val="30791638"/>
    <w:rsid w:val="31117602"/>
    <w:rsid w:val="312A73BC"/>
    <w:rsid w:val="34102D29"/>
    <w:rsid w:val="34711A93"/>
    <w:rsid w:val="3478661B"/>
    <w:rsid w:val="36AA3FD8"/>
    <w:rsid w:val="36E44291"/>
    <w:rsid w:val="39372652"/>
    <w:rsid w:val="3BFB19E3"/>
    <w:rsid w:val="3CF6615D"/>
    <w:rsid w:val="3DD36518"/>
    <w:rsid w:val="3E237685"/>
    <w:rsid w:val="3F4E171F"/>
    <w:rsid w:val="3FEE4694"/>
    <w:rsid w:val="40420D8C"/>
    <w:rsid w:val="42E75E3A"/>
    <w:rsid w:val="43A610CA"/>
    <w:rsid w:val="45E80663"/>
    <w:rsid w:val="483B7148"/>
    <w:rsid w:val="484F7B35"/>
    <w:rsid w:val="49263122"/>
    <w:rsid w:val="4993613B"/>
    <w:rsid w:val="49B07B17"/>
    <w:rsid w:val="4A1D53DB"/>
    <w:rsid w:val="4A9B4753"/>
    <w:rsid w:val="4BE51D09"/>
    <w:rsid w:val="51A128D2"/>
    <w:rsid w:val="51D1344E"/>
    <w:rsid w:val="51DB6FAB"/>
    <w:rsid w:val="524269C5"/>
    <w:rsid w:val="52DD2FD6"/>
    <w:rsid w:val="53BE6EE7"/>
    <w:rsid w:val="54952865"/>
    <w:rsid w:val="59795FF2"/>
    <w:rsid w:val="5B2C0540"/>
    <w:rsid w:val="5EFD46F5"/>
    <w:rsid w:val="5F010883"/>
    <w:rsid w:val="5FBA4E4C"/>
    <w:rsid w:val="60595146"/>
    <w:rsid w:val="6090039F"/>
    <w:rsid w:val="60B55A4E"/>
    <w:rsid w:val="61040EA5"/>
    <w:rsid w:val="61186397"/>
    <w:rsid w:val="616854FA"/>
    <w:rsid w:val="61FA6B8D"/>
    <w:rsid w:val="625C1FC3"/>
    <w:rsid w:val="62951203"/>
    <w:rsid w:val="6441457B"/>
    <w:rsid w:val="66A66A4D"/>
    <w:rsid w:val="66F73075"/>
    <w:rsid w:val="689773E2"/>
    <w:rsid w:val="69B9399C"/>
    <w:rsid w:val="6A05075C"/>
    <w:rsid w:val="6A476406"/>
    <w:rsid w:val="6A737633"/>
    <w:rsid w:val="6ACB7C14"/>
    <w:rsid w:val="6B96789D"/>
    <w:rsid w:val="6BB53802"/>
    <w:rsid w:val="6DF731D4"/>
    <w:rsid w:val="6F5C3080"/>
    <w:rsid w:val="6F623C00"/>
    <w:rsid w:val="6FAB56DD"/>
    <w:rsid w:val="70F1548E"/>
    <w:rsid w:val="711235A4"/>
    <w:rsid w:val="71332ADA"/>
    <w:rsid w:val="72D17DDC"/>
    <w:rsid w:val="73650F44"/>
    <w:rsid w:val="74601A43"/>
    <w:rsid w:val="76161C32"/>
    <w:rsid w:val="76184CB6"/>
    <w:rsid w:val="768E5F5E"/>
    <w:rsid w:val="77BD320E"/>
    <w:rsid w:val="796025B0"/>
    <w:rsid w:val="7E933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62F4C"/>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262F4C"/>
    <w:pPr>
      <w:ind w:firstLineChars="200" w:firstLine="420"/>
    </w:pPr>
  </w:style>
  <w:style w:type="paragraph" w:styleId="a3">
    <w:name w:val="Body Text Indent"/>
    <w:basedOn w:val="a"/>
    <w:uiPriority w:val="99"/>
    <w:unhideWhenUsed/>
    <w:qFormat/>
    <w:rsid w:val="00262F4C"/>
    <w:pPr>
      <w:spacing w:after="120"/>
      <w:ind w:leftChars="200" w:left="420"/>
    </w:pPr>
    <w:rPr>
      <w:kern w:val="0"/>
      <w:sz w:val="20"/>
      <w:szCs w:val="20"/>
    </w:rPr>
  </w:style>
  <w:style w:type="paragraph" w:styleId="a4">
    <w:name w:val="Document Map"/>
    <w:basedOn w:val="a"/>
    <w:link w:val="Char"/>
    <w:uiPriority w:val="99"/>
    <w:semiHidden/>
    <w:unhideWhenUsed/>
    <w:qFormat/>
    <w:rsid w:val="00262F4C"/>
    <w:rPr>
      <w:rFonts w:ascii="宋体" w:eastAsia="宋体"/>
      <w:sz w:val="18"/>
      <w:szCs w:val="18"/>
    </w:rPr>
  </w:style>
  <w:style w:type="paragraph" w:styleId="a5">
    <w:name w:val="annotation text"/>
    <w:basedOn w:val="a"/>
    <w:link w:val="Char0"/>
    <w:unhideWhenUsed/>
    <w:qFormat/>
    <w:rsid w:val="00262F4C"/>
    <w:pPr>
      <w:jc w:val="left"/>
    </w:pPr>
  </w:style>
  <w:style w:type="paragraph" w:styleId="a6">
    <w:name w:val="Balloon Text"/>
    <w:basedOn w:val="a"/>
    <w:link w:val="Char1"/>
    <w:uiPriority w:val="99"/>
    <w:semiHidden/>
    <w:unhideWhenUsed/>
    <w:qFormat/>
    <w:rsid w:val="00262F4C"/>
    <w:rPr>
      <w:sz w:val="18"/>
      <w:szCs w:val="18"/>
    </w:rPr>
  </w:style>
  <w:style w:type="paragraph" w:styleId="a7">
    <w:name w:val="footer"/>
    <w:basedOn w:val="a"/>
    <w:link w:val="Char2"/>
    <w:uiPriority w:val="99"/>
    <w:semiHidden/>
    <w:unhideWhenUsed/>
    <w:qFormat/>
    <w:rsid w:val="00262F4C"/>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262F4C"/>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uiPriority w:val="99"/>
    <w:semiHidden/>
    <w:unhideWhenUsed/>
    <w:qFormat/>
    <w:rsid w:val="00262F4C"/>
    <w:rPr>
      <w:b/>
      <w:bCs/>
    </w:rPr>
  </w:style>
  <w:style w:type="character" w:styleId="aa">
    <w:name w:val="annotation reference"/>
    <w:basedOn w:val="a0"/>
    <w:uiPriority w:val="99"/>
    <w:semiHidden/>
    <w:unhideWhenUsed/>
    <w:qFormat/>
    <w:rsid w:val="00262F4C"/>
    <w:rPr>
      <w:sz w:val="21"/>
      <w:szCs w:val="21"/>
    </w:rPr>
  </w:style>
  <w:style w:type="character" w:customStyle="1" w:styleId="Char3">
    <w:name w:val="页眉 Char"/>
    <w:basedOn w:val="a0"/>
    <w:link w:val="a8"/>
    <w:uiPriority w:val="99"/>
    <w:semiHidden/>
    <w:qFormat/>
    <w:rsid w:val="00262F4C"/>
    <w:rPr>
      <w:rFonts w:ascii="Times New Roman" w:eastAsia="华文仿宋" w:hAnsi="Times New Roman" w:cs="Times New Roman"/>
      <w:sz w:val="18"/>
      <w:szCs w:val="18"/>
    </w:rPr>
  </w:style>
  <w:style w:type="character" w:customStyle="1" w:styleId="Char2">
    <w:name w:val="页脚 Char"/>
    <w:basedOn w:val="a0"/>
    <w:link w:val="a7"/>
    <w:uiPriority w:val="99"/>
    <w:semiHidden/>
    <w:qFormat/>
    <w:rsid w:val="00262F4C"/>
    <w:rPr>
      <w:rFonts w:ascii="Times New Roman" w:eastAsia="华文仿宋" w:hAnsi="Times New Roman" w:cs="Times New Roman"/>
      <w:sz w:val="18"/>
      <w:szCs w:val="18"/>
    </w:rPr>
  </w:style>
  <w:style w:type="character" w:customStyle="1" w:styleId="Char">
    <w:name w:val="文档结构图 Char"/>
    <w:basedOn w:val="a0"/>
    <w:link w:val="a4"/>
    <w:uiPriority w:val="99"/>
    <w:semiHidden/>
    <w:qFormat/>
    <w:rsid w:val="00262F4C"/>
    <w:rPr>
      <w:rFonts w:ascii="宋体" w:eastAsia="宋体" w:hAnsi="Times New Roman" w:cs="Times New Roman"/>
      <w:sz w:val="18"/>
      <w:szCs w:val="18"/>
    </w:rPr>
  </w:style>
  <w:style w:type="character" w:customStyle="1" w:styleId="Char1">
    <w:name w:val="批注框文本 Char"/>
    <w:basedOn w:val="a0"/>
    <w:link w:val="a6"/>
    <w:uiPriority w:val="99"/>
    <w:semiHidden/>
    <w:qFormat/>
    <w:rsid w:val="00262F4C"/>
    <w:rPr>
      <w:rFonts w:ascii="Times New Roman" w:eastAsia="华文仿宋" w:hAnsi="Times New Roman" w:cs="Times New Roman"/>
      <w:sz w:val="18"/>
      <w:szCs w:val="18"/>
    </w:rPr>
  </w:style>
  <w:style w:type="character" w:customStyle="1" w:styleId="Char0">
    <w:name w:val="批注文字 Char"/>
    <w:basedOn w:val="a0"/>
    <w:link w:val="a5"/>
    <w:qFormat/>
    <w:rsid w:val="00262F4C"/>
    <w:rPr>
      <w:rFonts w:ascii="Times New Roman" w:eastAsia="华文仿宋" w:hAnsi="Times New Roman" w:cs="Times New Roman"/>
      <w:sz w:val="32"/>
      <w:szCs w:val="24"/>
    </w:rPr>
  </w:style>
  <w:style w:type="character" w:customStyle="1" w:styleId="Char4">
    <w:name w:val="批注主题 Char"/>
    <w:basedOn w:val="Char0"/>
    <w:link w:val="a9"/>
    <w:uiPriority w:val="99"/>
    <w:semiHidden/>
    <w:qFormat/>
    <w:rsid w:val="00262F4C"/>
    <w:rPr>
      <w:rFonts w:ascii="Times New Roman" w:eastAsia="华文仿宋" w:hAnsi="Times New Roman" w:cs="Times New Roman"/>
      <w:b/>
      <w:bCs/>
      <w:sz w:val="32"/>
      <w:szCs w:val="24"/>
    </w:rPr>
  </w:style>
  <w:style w:type="paragraph" w:styleId="ab">
    <w:name w:val="List Paragraph"/>
    <w:basedOn w:val="a"/>
    <w:uiPriority w:val="34"/>
    <w:qFormat/>
    <w:rsid w:val="00262F4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106</cp:revision>
  <cp:lastPrinted>2020-05-27T08:09:00Z</cp:lastPrinted>
  <dcterms:created xsi:type="dcterms:W3CDTF">2018-05-17T02:57:00Z</dcterms:created>
  <dcterms:modified xsi:type="dcterms:W3CDTF">2020-08-31T11:45:00Z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