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hint="eastAsia" w:ascii="仿宋_GB2312" w:eastAsia="仿宋_GB2312"/>
          <w:color w:val="auto"/>
          <w:sz w:val="32"/>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益环高审[2020]</w:t>
      </w:r>
      <w:r>
        <w:rPr>
          <w:rFonts w:hint="eastAsia" w:ascii="仿宋_GB2312" w:eastAsia="仿宋_GB2312"/>
          <w:color w:val="auto"/>
          <w:sz w:val="28"/>
          <w:szCs w:val="28"/>
          <w:lang w:val="en-US" w:eastAsia="zh-CN"/>
        </w:rPr>
        <w:t>25</w:t>
      </w:r>
      <w:r>
        <w:rPr>
          <w:rFonts w:hint="eastAsia" w:ascii="仿宋_GB2312" w:eastAsia="仿宋_GB2312"/>
          <w:color w:val="auto"/>
          <w:sz w:val="28"/>
          <w:szCs w:val="28"/>
        </w:rPr>
        <w:t>号</w:t>
      </w:r>
    </w:p>
    <w:p>
      <w:pPr>
        <w:tabs>
          <w:tab w:val="left" w:pos="6240"/>
        </w:tabs>
        <w:spacing w:line="560" w:lineRule="exact"/>
        <w:jc w:val="righ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益阳仪纬科技有限公司年加工70万件汽车零配件改扩建项目</w:t>
      </w:r>
      <w:r>
        <w:rPr>
          <w:rFonts w:hint="eastAsia" w:ascii="方正小标宋简体" w:hAnsi="方正小标宋简体" w:eastAsia="方正小标宋简体" w:cs="方正小标宋简体"/>
          <w:b w:val="0"/>
          <w:bCs w:val="0"/>
          <w:sz w:val="44"/>
          <w:szCs w:val="44"/>
        </w:rPr>
        <w:t>环境影响报告</w:t>
      </w:r>
      <w:r>
        <w:rPr>
          <w:rFonts w:hint="eastAsia" w:ascii="方正小标宋简体" w:hAnsi="方正小标宋简体" w:eastAsia="方正小标宋简体" w:cs="方正小标宋简体"/>
          <w:b w:val="0"/>
          <w:bCs w:val="0"/>
          <w:sz w:val="44"/>
          <w:szCs w:val="44"/>
          <w:lang w:eastAsia="zh-CN"/>
        </w:rPr>
        <w:t>表</w:t>
      </w:r>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黑体" w:eastAsia="仿宋_GB2312"/>
          <w:color w:val="000000"/>
          <w:sz w:val="36"/>
          <w:szCs w:val="36"/>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Cs w:val="32"/>
        </w:rPr>
      </w:pPr>
      <w:r>
        <w:rPr>
          <w:rFonts w:hint="eastAsia" w:ascii="仿宋_GB2312" w:eastAsia="仿宋_GB2312"/>
          <w:bCs/>
          <w:szCs w:val="32"/>
        </w:rPr>
        <w:t>益阳仪纬科技有限公司</w:t>
      </w:r>
      <w:r>
        <w:rPr>
          <w:rFonts w:hint="eastAsia" w:ascii="仿宋_GB2312" w:eastAsia="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000000"/>
          <w:spacing w:val="0"/>
          <w:sz w:val="32"/>
          <w:szCs w:val="32"/>
        </w:rPr>
      </w:pPr>
      <w:r>
        <w:rPr>
          <w:rFonts w:hint="eastAsia" w:ascii="仿宋_GB2312" w:eastAsia="仿宋_GB2312"/>
          <w:color w:val="000000"/>
          <w:spacing w:val="4"/>
          <w:szCs w:val="32"/>
        </w:rPr>
        <w:t>你</w:t>
      </w:r>
      <w:r>
        <w:rPr>
          <w:rFonts w:hint="eastAsia" w:ascii="仿宋_GB2312" w:eastAsia="仿宋_GB2312"/>
          <w:bCs/>
          <w:szCs w:val="32"/>
          <w:lang w:eastAsia="zh-CN"/>
        </w:rPr>
        <w:t>公司</w:t>
      </w:r>
      <w:r>
        <w:rPr>
          <w:rFonts w:hint="eastAsia" w:ascii="仿宋_GB2312" w:eastAsia="仿宋_GB2312"/>
          <w:bCs/>
          <w:szCs w:val="32"/>
        </w:rPr>
        <w:t>呈报的《益阳仪纬科技有限公司年加工70万件汽车零配件改扩建项目环境影响报告</w:t>
      </w:r>
      <w:r>
        <w:rPr>
          <w:rFonts w:hint="eastAsia" w:ascii="仿宋_GB2312" w:eastAsia="仿宋_GB2312"/>
          <w:bCs/>
          <w:szCs w:val="32"/>
          <w:lang w:eastAsia="zh-CN"/>
        </w:rPr>
        <w:t>表</w:t>
      </w:r>
      <w:r>
        <w:rPr>
          <w:rFonts w:hint="eastAsia" w:ascii="仿宋_GB2312" w:eastAsia="仿宋_GB2312"/>
          <w:bCs/>
          <w:szCs w:val="32"/>
        </w:rPr>
        <w:t>》</w:t>
      </w:r>
      <w:r>
        <w:rPr>
          <w:rFonts w:hint="eastAsia" w:ascii="仿宋_GB2312" w:hAnsi="仿宋_GB2312" w:eastAsia="仿宋_GB2312" w:cs="仿宋_GB2312"/>
          <w:color w:val="000000"/>
          <w:spacing w:val="0"/>
          <w:sz w:val="32"/>
          <w:szCs w:val="32"/>
          <w:lang w:val="en-US" w:eastAsia="zh-CN"/>
        </w:rPr>
        <w:t>及相关附件收悉</w:t>
      </w:r>
      <w:r>
        <w:rPr>
          <w:rFonts w:hint="eastAsia" w:ascii="仿宋_GB2312" w:hAnsi="仿宋_GB2312" w:eastAsia="仿宋_GB2312" w:cs="仿宋_GB2312"/>
          <w:color w:val="000000"/>
          <w:spacing w:val="0"/>
          <w:sz w:val="32"/>
          <w:szCs w:val="32"/>
        </w:rPr>
        <w:t>。经</w:t>
      </w:r>
      <w:r>
        <w:rPr>
          <w:rFonts w:hint="eastAsia" w:ascii="仿宋_GB2312" w:hAnsi="仿宋_GB2312" w:eastAsia="仿宋_GB2312" w:cs="仿宋_GB2312"/>
          <w:color w:val="000000"/>
          <w:spacing w:val="0"/>
          <w:sz w:val="32"/>
          <w:szCs w:val="32"/>
          <w:lang w:eastAsia="zh-CN"/>
        </w:rPr>
        <w:t>研究</w:t>
      </w:r>
      <w:r>
        <w:rPr>
          <w:rFonts w:hint="eastAsia" w:ascii="仿宋_GB2312" w:hAnsi="仿宋_GB2312" w:eastAsia="仿宋_GB2312" w:cs="仿宋_GB2312"/>
          <w:color w:val="000000"/>
          <w:spacing w:val="0"/>
          <w:sz w:val="32"/>
          <w:szCs w:val="32"/>
        </w:rPr>
        <w:t>，批复如下：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pacing w:val="4"/>
          <w:szCs w:val="32"/>
        </w:rPr>
      </w:pPr>
      <w:r>
        <w:rPr>
          <w:rFonts w:hint="eastAsia"/>
          <w:szCs w:val="24"/>
          <w:lang w:eastAsia="zh-CN"/>
        </w:rPr>
        <w:t>你</w:t>
      </w:r>
      <w:r>
        <w:rPr>
          <w:rFonts w:hint="eastAsia" w:ascii="仿宋_GB2312" w:hAnsi="仿宋" w:eastAsia="仿宋_GB2312" w:cs="仿宋"/>
          <w:szCs w:val="32"/>
        </w:rPr>
        <w:t>公司拟投资</w:t>
      </w:r>
      <w:r>
        <w:rPr>
          <w:rFonts w:hint="eastAsia" w:ascii="仿宋_GB2312" w:hAnsi="仿宋" w:eastAsia="仿宋_GB2312" w:cs="仿宋"/>
          <w:szCs w:val="32"/>
          <w:lang w:val="en-US" w:eastAsia="zh-CN"/>
        </w:rPr>
        <w:t>5000</w:t>
      </w:r>
      <w:r>
        <w:rPr>
          <w:rFonts w:hint="eastAsia" w:ascii="仿宋_GB2312" w:hAnsi="仿宋" w:eastAsia="仿宋_GB2312" w:cs="仿宋"/>
          <w:szCs w:val="32"/>
        </w:rPr>
        <w:t>万元</w:t>
      </w:r>
      <w:r>
        <w:rPr>
          <w:rFonts w:hint="eastAsia" w:ascii="仿宋_GB2312" w:hAnsi="仿宋" w:eastAsia="仿宋_GB2312" w:cs="仿宋"/>
          <w:szCs w:val="32"/>
          <w:lang w:eastAsia="zh-CN"/>
        </w:rPr>
        <w:t>在</w:t>
      </w:r>
      <w:r>
        <w:rPr>
          <w:rFonts w:hint="eastAsia" w:ascii="仿宋_GB2312" w:hAnsi="仿宋" w:eastAsia="仿宋_GB2312" w:cs="仿宋"/>
          <w:szCs w:val="32"/>
        </w:rPr>
        <w:t>益阳高新区东部产业园现有厂址</w:t>
      </w:r>
      <w:r>
        <w:rPr>
          <w:rFonts w:hint="eastAsia" w:ascii="仿宋_GB2312" w:hAnsi="仿宋" w:eastAsia="仿宋_GB2312" w:cs="仿宋"/>
          <w:szCs w:val="32"/>
          <w:lang w:eastAsia="zh-CN"/>
        </w:rPr>
        <w:t>内</w:t>
      </w:r>
      <w:r>
        <w:rPr>
          <w:rFonts w:hint="eastAsia" w:ascii="仿宋_GB2312" w:hAnsi="仿宋" w:eastAsia="仿宋_GB2312" w:cs="仿宋"/>
          <w:szCs w:val="32"/>
        </w:rPr>
        <w:t>进行改扩建</w:t>
      </w:r>
      <w:r>
        <w:rPr>
          <w:rFonts w:hint="eastAsia" w:ascii="仿宋_GB2312" w:hAnsi="仿宋" w:eastAsia="仿宋_GB2312" w:cs="仿宋"/>
          <w:szCs w:val="32"/>
          <w:lang w:eastAsia="zh-CN"/>
        </w:rPr>
        <w:t>，新增一条年产</w:t>
      </w:r>
      <w:r>
        <w:rPr>
          <w:rFonts w:hint="eastAsia" w:ascii="仿宋_GB2312" w:hAnsi="仿宋" w:eastAsia="仿宋_GB2312" w:cs="仿宋"/>
          <w:szCs w:val="32"/>
          <w:lang w:val="en-US" w:eastAsia="zh-CN"/>
        </w:rPr>
        <w:t>6.6万件的低压铸造汽车零配件生产线、一条年产18.15万件的高压铸造汽车零配件生产线</w:t>
      </w:r>
      <w:r>
        <w:rPr>
          <w:rFonts w:hint="eastAsia" w:ascii="仿宋_GB2312" w:hAnsi="仿宋" w:eastAsia="仿宋_GB2312" w:cs="仿宋"/>
          <w:color w:val="auto"/>
          <w:szCs w:val="32"/>
          <w:lang w:val="en-US" w:eastAsia="zh-CN"/>
        </w:rPr>
        <w:t>，改扩建后整体产能达到70万件。项目占地面积27333平方米，</w:t>
      </w:r>
      <w:r>
        <w:rPr>
          <w:rFonts w:hint="eastAsia" w:ascii="仿宋_GB2312" w:hAnsi="仿宋_GB2312" w:eastAsia="仿宋_GB2312" w:cs="仿宋_GB2312"/>
          <w:color w:val="auto"/>
          <w:spacing w:val="0"/>
          <w:sz w:val="32"/>
          <w:szCs w:val="32"/>
          <w:lang w:val="en-US" w:eastAsia="zh-CN"/>
        </w:rPr>
        <w:t>用地</w:t>
      </w:r>
      <w:r>
        <w:rPr>
          <w:rFonts w:hint="eastAsia" w:ascii="仿宋_GB2312" w:hAnsi="仿宋" w:eastAsia="仿宋_GB2312" w:cs="仿宋"/>
          <w:color w:val="auto"/>
          <w:szCs w:val="32"/>
          <w:lang w:val="en-US" w:eastAsia="zh-CN"/>
        </w:rPr>
        <w:t>内分区设置压铸车间、低压铸造车间、重力铸造车间、机加工车间、</w:t>
      </w:r>
      <w:r>
        <w:rPr>
          <w:color w:val="auto"/>
          <w:u w:val="none"/>
        </w:rPr>
        <w:t>办公</w:t>
      </w:r>
      <w:r>
        <w:rPr>
          <w:rFonts w:hint="eastAsia"/>
          <w:color w:val="auto"/>
          <w:u w:val="none"/>
        </w:rPr>
        <w:t>楼</w:t>
      </w:r>
      <w:r>
        <w:rPr>
          <w:rFonts w:hint="eastAsia" w:ascii="仿宋_GB2312" w:eastAsia="仿宋_GB2312"/>
          <w:color w:val="auto"/>
          <w:spacing w:val="4"/>
          <w:szCs w:val="32"/>
          <w:lang w:eastAsia="zh-CN"/>
        </w:rPr>
        <w:t>、食堂</w:t>
      </w:r>
      <w:r>
        <w:rPr>
          <w:rFonts w:hint="eastAsia" w:ascii="仿宋_GB2312" w:hAnsi="仿宋_GB2312" w:eastAsia="仿宋_GB2312" w:cs="仿宋_GB2312"/>
          <w:color w:val="auto"/>
          <w:spacing w:val="0"/>
          <w:sz w:val="32"/>
          <w:szCs w:val="32"/>
          <w:lang w:eastAsia="zh-CN"/>
        </w:rPr>
        <w:t>及</w:t>
      </w:r>
      <w:r>
        <w:rPr>
          <w:rFonts w:hint="eastAsia" w:ascii="仿宋_GB2312" w:hAnsi="仿宋_GB2312" w:eastAsia="仿宋_GB2312" w:cs="仿宋_GB2312"/>
          <w:color w:val="auto"/>
          <w:spacing w:val="0"/>
          <w:sz w:val="32"/>
          <w:szCs w:val="32"/>
          <w:lang w:val="en-US" w:eastAsia="zh-CN"/>
        </w:rPr>
        <w:t>给排水、供配电、环保等相关公用辅助工程。项目建设符合国家产</w:t>
      </w:r>
      <w:r>
        <w:rPr>
          <w:rFonts w:hint="eastAsia" w:ascii="仿宋_GB2312" w:hAnsi="仿宋_GB2312" w:eastAsia="仿宋_GB2312" w:cs="仿宋_GB2312"/>
          <w:color w:val="000000"/>
          <w:spacing w:val="0"/>
          <w:sz w:val="32"/>
          <w:szCs w:val="32"/>
          <w:lang w:val="en-US" w:eastAsia="zh-CN"/>
        </w:rPr>
        <w:t>业政策和</w:t>
      </w:r>
      <w:r>
        <w:rPr>
          <w:rFonts w:hint="eastAsia" w:ascii="仿宋_GB2312" w:hAnsi="仿宋_GB2312" w:eastAsia="仿宋_GB2312" w:cs="仿宋_GB2312"/>
          <w:color w:val="000000"/>
          <w:spacing w:val="0"/>
          <w:sz w:val="32"/>
          <w:szCs w:val="32"/>
        </w:rPr>
        <w:t>益阳高新区东部产业园</w:t>
      </w:r>
      <w:r>
        <w:rPr>
          <w:rFonts w:hint="eastAsia" w:ascii="仿宋_GB2312" w:hAnsi="仿宋_GB2312" w:eastAsia="仿宋_GB2312" w:cs="仿宋_GB2312"/>
          <w:color w:val="000000"/>
          <w:spacing w:val="0"/>
          <w:sz w:val="32"/>
          <w:szCs w:val="32"/>
          <w:lang w:val="en-US" w:eastAsia="zh-CN"/>
        </w:rPr>
        <w:t>选址用地规划要求</w:t>
      </w:r>
      <w:r>
        <w:rPr>
          <w:rFonts w:hint="eastAsia" w:ascii="仿宋_GB2312" w:hAnsi="仿宋_GB2312" w:eastAsia="仿宋_GB2312" w:cs="仿宋_GB2312"/>
          <w:color w:val="000000"/>
          <w:spacing w:val="0"/>
          <w:sz w:val="32"/>
          <w:szCs w:val="32"/>
        </w:rPr>
        <w:t>。根据</w:t>
      </w:r>
      <w:r>
        <w:rPr>
          <w:rFonts w:hint="eastAsia" w:ascii="仿宋_GB2312" w:hAnsi="宋体"/>
          <w:color w:val="000000"/>
          <w:szCs w:val="32"/>
        </w:rPr>
        <w:t>湖南</w:t>
      </w:r>
      <w:r>
        <w:rPr>
          <w:rFonts w:hint="eastAsia" w:ascii="仿宋_GB2312" w:hAnsi="宋体"/>
          <w:color w:val="000000"/>
          <w:szCs w:val="32"/>
          <w:lang w:val="en-US" w:eastAsia="zh-CN"/>
        </w:rPr>
        <w:t>知成环保服务</w:t>
      </w:r>
      <w:r>
        <w:rPr>
          <w:rFonts w:hint="eastAsia" w:ascii="仿宋_GB2312" w:hAnsi="宋体"/>
          <w:color w:val="000000"/>
          <w:szCs w:val="32"/>
        </w:rPr>
        <w:t>有限公司</w:t>
      </w:r>
      <w:r>
        <w:rPr>
          <w:rFonts w:hint="eastAsia" w:ascii="仿宋_GB2312" w:hAnsi="仿宋_GB2312" w:eastAsia="仿宋_GB2312" w:cs="仿宋_GB2312"/>
          <w:color w:val="000000"/>
          <w:spacing w:val="0"/>
          <w:sz w:val="32"/>
          <w:szCs w:val="32"/>
          <w:lang w:eastAsia="zh-CN"/>
        </w:rPr>
        <w:t>编制</w:t>
      </w:r>
      <w:r>
        <w:rPr>
          <w:rFonts w:hint="eastAsia" w:ascii="仿宋_GB2312" w:hAnsi="仿宋_GB2312" w:eastAsia="仿宋_GB2312" w:cs="仿宋_GB2312"/>
          <w:color w:val="000000"/>
          <w:spacing w:val="0"/>
          <w:sz w:val="32"/>
          <w:szCs w:val="32"/>
          <w:lang w:val="en-US" w:eastAsia="zh-CN"/>
        </w:rPr>
        <w:t>的环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二、</w:t>
      </w:r>
      <w:r>
        <w:rPr>
          <w:rFonts w:hint="eastAsia" w:ascii="仿宋_GB2312" w:hAnsi="仿宋_GB2312" w:eastAsia="仿宋_GB2312" w:cs="仿宋_GB2312"/>
          <w:color w:val="000000"/>
          <w:spacing w:val="0"/>
          <w:sz w:val="32"/>
          <w:szCs w:val="32"/>
        </w:rPr>
        <w:t>建设单位在项目设计、建设和营运期间，必须严格执行环保“三同时”制度，按照环评报告</w:t>
      </w:r>
      <w:r>
        <w:rPr>
          <w:rFonts w:hint="eastAsia" w:ascii="仿宋_GB2312" w:hAnsi="仿宋_GB2312" w:eastAsia="仿宋_GB2312" w:cs="仿宋_GB2312"/>
          <w:color w:val="000000"/>
          <w:spacing w:val="0"/>
          <w:sz w:val="32"/>
          <w:szCs w:val="32"/>
          <w:lang w:eastAsia="zh-CN"/>
        </w:rPr>
        <w:t>书</w:t>
      </w:r>
      <w:r>
        <w:rPr>
          <w:rFonts w:hint="eastAsia" w:ascii="仿宋_GB2312" w:hAnsi="仿宋_GB2312" w:eastAsia="仿宋_GB2312" w:cs="仿宋_GB2312"/>
          <w:color w:val="000000"/>
          <w:spacing w:val="0"/>
          <w:sz w:val="32"/>
          <w:szCs w:val="32"/>
        </w:rPr>
        <w:t>要求落实各项污染防治措施，并着重做好如下工作</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hint="eastAsia" w:ascii="仿宋_GB2312" w:eastAsia="仿宋_GB2312"/>
          <w:color w:val="auto"/>
          <w:spacing w:val="4"/>
          <w:szCs w:val="32"/>
          <w:lang w:eastAsia="zh-CN"/>
        </w:rPr>
      </w:pPr>
      <w:r>
        <w:rPr>
          <w:rFonts w:hint="eastAsia" w:ascii="仿宋_GB2312" w:eastAsia="仿宋_GB2312"/>
          <w:color w:val="auto"/>
          <w:spacing w:val="4"/>
          <w:szCs w:val="32"/>
          <w:lang w:eastAsia="zh-CN"/>
        </w:rPr>
        <w:t>（一）</w:t>
      </w:r>
      <w:r>
        <w:rPr>
          <w:rFonts w:hint="eastAsia" w:ascii="仿宋_GB2312" w:eastAsia="仿宋_GB2312"/>
          <w:color w:val="auto"/>
          <w:spacing w:val="4"/>
          <w:szCs w:val="32"/>
        </w:rPr>
        <w:t>做好项目大气污染防治工作。</w:t>
      </w:r>
      <w:r>
        <w:rPr>
          <w:rFonts w:hint="eastAsia" w:ascii="仿宋_GB2312" w:eastAsia="仿宋_GB2312"/>
          <w:color w:val="auto"/>
          <w:spacing w:val="4"/>
          <w:szCs w:val="32"/>
          <w:lang w:eastAsia="zh-CN"/>
        </w:rPr>
        <w:t>加强车间通风换气，</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spacing w:val="4"/>
          <w:szCs w:val="32"/>
        </w:rPr>
      </w:pPr>
      <w:r>
        <w:rPr>
          <w:rFonts w:hint="eastAsia"/>
          <w:szCs w:val="21"/>
          <w:lang w:eastAsia="zh-CN"/>
        </w:rPr>
        <w:t>清砂、抛丸工序</w:t>
      </w:r>
      <w:r>
        <w:rPr>
          <w:rFonts w:hint="eastAsia" w:ascii="仿宋_GB2312" w:eastAsia="仿宋_GB2312"/>
          <w:color w:val="auto"/>
          <w:spacing w:val="4"/>
          <w:szCs w:val="32"/>
          <w:lang w:eastAsia="zh-CN"/>
        </w:rPr>
        <w:t>产生的粉尘</w:t>
      </w:r>
      <w:r>
        <w:rPr>
          <w:rFonts w:hint="eastAsia" w:ascii="仿宋_GB2312" w:eastAsia="仿宋_GB2312"/>
          <w:color w:val="auto"/>
          <w:spacing w:val="4"/>
          <w:szCs w:val="32"/>
          <w:lang w:val="en-US" w:eastAsia="zh-CN"/>
        </w:rPr>
        <w:t>经集气装置收集后采用</w:t>
      </w:r>
      <w:r>
        <w:rPr>
          <w:rFonts w:hint="eastAsia" w:ascii="仿宋_GB2312" w:eastAsia="仿宋_GB2312"/>
          <w:color w:val="auto"/>
          <w:spacing w:val="4"/>
          <w:szCs w:val="32"/>
          <w:lang w:eastAsia="zh-CN"/>
        </w:rPr>
        <w:t>布袋除尘器处理后</w:t>
      </w:r>
      <w:r>
        <w:rPr>
          <w:rFonts w:hint="eastAsia" w:ascii="仿宋_GB2312" w:eastAsia="仿宋_GB2312"/>
          <w:color w:val="auto"/>
          <w:spacing w:val="4"/>
          <w:szCs w:val="32"/>
          <w:lang w:val="en-US" w:eastAsia="zh-CN"/>
        </w:rPr>
        <w:t>经15m高排气筒排放，</w:t>
      </w:r>
      <w:r>
        <w:rPr>
          <w:rFonts w:hint="eastAsia" w:ascii="仿宋_GB2312" w:eastAsia="仿宋_GB2312"/>
          <w:color w:val="000000"/>
          <w:spacing w:val="4"/>
          <w:szCs w:val="32"/>
        </w:rPr>
        <w:t>机加工</w:t>
      </w:r>
      <w:r>
        <w:rPr>
          <w:rFonts w:hint="eastAsia" w:ascii="仿宋_GB2312" w:eastAsia="仿宋_GB2312"/>
          <w:color w:val="000000"/>
          <w:spacing w:val="4"/>
          <w:szCs w:val="32"/>
          <w:lang w:eastAsia="zh-CN"/>
        </w:rPr>
        <w:t>产生粉尘的工位应设置</w:t>
      </w:r>
      <w:r>
        <w:rPr>
          <w:rFonts w:hint="eastAsia" w:ascii="仿宋_GB2312" w:eastAsia="仿宋_GB2312"/>
          <w:color w:val="auto"/>
          <w:spacing w:val="4"/>
          <w:szCs w:val="32"/>
          <w:lang w:eastAsia="zh-CN"/>
        </w:rPr>
        <w:t>挡板、同时配备工业用集尘器进行处理</w:t>
      </w:r>
      <w:r>
        <w:rPr>
          <w:rFonts w:hint="eastAsia" w:ascii="仿宋_GB2312" w:eastAsia="仿宋_GB2312"/>
          <w:color w:val="auto"/>
          <w:spacing w:val="4"/>
          <w:szCs w:val="32"/>
        </w:rPr>
        <w:t>，</w:t>
      </w:r>
      <w:r>
        <w:rPr>
          <w:rFonts w:hint="eastAsia" w:ascii="仿宋_GB2312" w:eastAsia="仿宋_GB2312"/>
          <w:color w:val="auto"/>
          <w:spacing w:val="4"/>
          <w:szCs w:val="32"/>
          <w:lang w:val="en-US" w:eastAsia="zh-CN"/>
        </w:rPr>
        <w:t>去毛刺工序产生的粉尘经设备自带的集气除尘系统处理，</w:t>
      </w:r>
      <w:r>
        <w:rPr>
          <w:rFonts w:hint="eastAsia" w:ascii="仿宋_GB2312" w:eastAsia="仿宋_GB2312"/>
          <w:color w:val="000000"/>
          <w:spacing w:val="4"/>
          <w:szCs w:val="32"/>
        </w:rPr>
        <w:t>确保外排</w:t>
      </w:r>
      <w:r>
        <w:rPr>
          <w:rFonts w:hint="eastAsia" w:ascii="仿宋_GB2312" w:eastAsia="仿宋_GB2312"/>
          <w:color w:val="000000"/>
          <w:spacing w:val="4"/>
          <w:szCs w:val="32"/>
          <w:lang w:eastAsia="zh-CN"/>
        </w:rPr>
        <w:t>颗粒物</w:t>
      </w:r>
      <w:r>
        <w:rPr>
          <w:rFonts w:hint="eastAsia" w:ascii="仿宋_GB2312" w:eastAsia="仿宋_GB2312"/>
          <w:color w:val="000000"/>
          <w:spacing w:val="4"/>
          <w:szCs w:val="32"/>
        </w:rPr>
        <w:t>满足《大气污染物综合排放标准》（GB16297-1996）表2中二级标准及无组织排放</w:t>
      </w:r>
      <w:r>
        <w:rPr>
          <w:rFonts w:hint="eastAsia" w:ascii="仿宋_GB2312" w:eastAsia="仿宋_GB2312"/>
          <w:color w:val="000000"/>
          <w:spacing w:val="4"/>
          <w:szCs w:val="32"/>
          <w:lang w:eastAsia="zh-CN"/>
        </w:rPr>
        <w:t>监控</w:t>
      </w:r>
      <w:r>
        <w:rPr>
          <w:rFonts w:hint="eastAsia" w:ascii="仿宋_GB2312" w:eastAsia="仿宋_GB2312"/>
          <w:color w:val="000000"/>
          <w:spacing w:val="4"/>
          <w:szCs w:val="32"/>
        </w:rPr>
        <w:t>浓度限值要求</w:t>
      </w:r>
      <w:r>
        <w:rPr>
          <w:rFonts w:hint="eastAsia" w:ascii="仿宋_GB2312" w:eastAsia="仿宋_GB2312"/>
          <w:color w:val="000000"/>
          <w:spacing w:val="4"/>
          <w:szCs w:val="32"/>
          <w:lang w:val="en-US" w:eastAsia="zh-CN"/>
        </w:rPr>
        <w:t>;</w:t>
      </w:r>
      <w:r>
        <w:rPr>
          <w:rFonts w:hint="default" w:ascii="仿宋_GB2312" w:eastAsia="仿宋_GB2312"/>
          <w:color w:val="auto"/>
          <w:spacing w:val="4"/>
          <w:szCs w:val="32"/>
        </w:rPr>
        <w:t>砂芯造型</w:t>
      </w:r>
      <w:r>
        <w:rPr>
          <w:rFonts w:hint="eastAsia" w:ascii="仿宋_GB2312" w:eastAsia="仿宋_GB2312"/>
          <w:color w:val="auto"/>
          <w:spacing w:val="4"/>
          <w:szCs w:val="32"/>
          <w:lang w:eastAsia="zh-CN"/>
        </w:rPr>
        <w:t>、熔炼、铸造工序产生的粉尘、烟尘和有机废气</w:t>
      </w:r>
      <w:r>
        <w:rPr>
          <w:rFonts w:hint="eastAsia" w:ascii="仿宋_GB2312" w:eastAsia="仿宋_GB2312"/>
          <w:color w:val="auto"/>
          <w:spacing w:val="4"/>
          <w:szCs w:val="32"/>
          <w:lang w:val="en-US" w:eastAsia="zh-CN"/>
        </w:rPr>
        <w:t>经集气装置收集后采用</w:t>
      </w:r>
      <w:r>
        <w:rPr>
          <w:rFonts w:hint="eastAsia" w:ascii="仿宋_GB2312" w:eastAsia="仿宋_GB2312"/>
          <w:color w:val="auto"/>
          <w:spacing w:val="4"/>
          <w:szCs w:val="32"/>
          <w:lang w:eastAsia="zh-CN"/>
        </w:rPr>
        <w:t>“布袋除尘器+水喷淋</w:t>
      </w:r>
      <w:r>
        <w:rPr>
          <w:rFonts w:hint="eastAsia" w:ascii="仿宋_GB2312" w:eastAsia="仿宋_GB2312"/>
          <w:color w:val="auto"/>
          <w:spacing w:val="4"/>
          <w:szCs w:val="32"/>
          <w:lang w:val="en-US" w:eastAsia="zh-CN"/>
        </w:rPr>
        <w:t>+</w:t>
      </w:r>
      <w:r>
        <w:rPr>
          <w:rFonts w:hint="eastAsia" w:ascii="仿宋_GB2312" w:eastAsia="仿宋_GB2312"/>
          <w:color w:val="auto"/>
          <w:spacing w:val="4"/>
          <w:szCs w:val="32"/>
          <w:lang w:eastAsia="zh-CN"/>
        </w:rPr>
        <w:t>UV光解+活性炭吸附”</w:t>
      </w:r>
      <w:r>
        <w:rPr>
          <w:rFonts w:hint="eastAsia" w:ascii="仿宋_GB2312" w:eastAsia="仿宋_GB2312"/>
          <w:color w:val="auto"/>
          <w:spacing w:val="4"/>
          <w:szCs w:val="32"/>
          <w:lang w:val="en-US" w:eastAsia="zh-CN"/>
        </w:rPr>
        <w:t>工艺处理，确保外排的颗粒物和非甲烷总烃分别达到</w:t>
      </w:r>
      <w:r>
        <w:rPr>
          <w:rFonts w:hint="eastAsia" w:ascii="仿宋_GB2312" w:eastAsia="仿宋_GB2312"/>
          <w:color w:val="auto"/>
          <w:spacing w:val="4"/>
          <w:szCs w:val="32"/>
          <w:lang w:eastAsia="zh-CN"/>
        </w:rPr>
        <w:t>《工业炉窖大气污染物排放标准》（GB9078-1996）二级排放限值和《大气污染物综合排放标准》（GB16297-1996）表2中二级标准限值</w:t>
      </w:r>
      <w:r>
        <w:rPr>
          <w:rFonts w:hint="eastAsia" w:ascii="仿宋_GB2312" w:eastAsia="仿宋_GB2312"/>
          <w:color w:val="auto"/>
          <w:spacing w:val="4"/>
          <w:szCs w:val="32"/>
          <w:lang w:val="en-US" w:eastAsia="zh-CN"/>
        </w:rPr>
        <w:t>要求后经15m高排气筒排放</w:t>
      </w:r>
      <w:r>
        <w:rPr>
          <w:rFonts w:hint="eastAsia" w:ascii="仿宋_GB2312" w:eastAsia="仿宋_GB2312"/>
          <w:color w:val="000000"/>
          <w:spacing w:val="4"/>
          <w:szCs w:val="32"/>
          <w:lang w:eastAsia="zh-CN"/>
        </w:rPr>
        <w:t>；</w:t>
      </w:r>
      <w:r>
        <w:rPr>
          <w:rFonts w:hint="eastAsia" w:ascii="仿宋_GB2312" w:eastAsia="仿宋_GB2312"/>
          <w:color w:val="000000"/>
          <w:spacing w:val="4"/>
          <w:kern w:val="0"/>
          <w:szCs w:val="32"/>
        </w:rPr>
        <w:t>食堂油烟经油烟净化装置处理达到《饮食业油烟排放标准（试行）》（GB18483-2001）要求后高空排放</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油烟排气筒的高度、位置等具体要求按照</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饮食业环境保护技术规范</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HJ554-2010</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的规定执行。</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（二）</w:t>
      </w:r>
      <w:r>
        <w:rPr>
          <w:rFonts w:hint="eastAsia" w:ascii="仿宋_GB2312" w:eastAsia="仿宋_GB2312"/>
          <w:color w:val="000000"/>
          <w:spacing w:val="4"/>
          <w:szCs w:val="32"/>
        </w:rPr>
        <w:t>做好项目水污染防治工作。生活污水</w:t>
      </w:r>
      <w:r>
        <w:rPr>
          <w:rFonts w:hint="eastAsia" w:ascii="仿宋_GB2312" w:eastAsia="仿宋_GB2312"/>
          <w:color w:val="000000"/>
          <w:spacing w:val="4"/>
          <w:szCs w:val="32"/>
          <w:lang w:eastAsia="zh-CN"/>
        </w:rPr>
        <w:t>（含食堂废水）</w:t>
      </w:r>
      <w:r>
        <w:rPr>
          <w:rFonts w:hint="eastAsia" w:ascii="仿宋_GB2312" w:eastAsia="仿宋_GB2312"/>
          <w:color w:val="000000"/>
          <w:spacing w:val="4"/>
          <w:szCs w:val="32"/>
        </w:rPr>
        <w:t>经隔油池、化粪池</w:t>
      </w:r>
      <w:r>
        <w:rPr>
          <w:rFonts w:hint="eastAsia" w:ascii="仿宋_GB2312" w:eastAsia="仿宋_GB2312"/>
          <w:color w:val="000000"/>
          <w:spacing w:val="4"/>
          <w:szCs w:val="32"/>
          <w:lang w:eastAsia="zh-CN"/>
        </w:rPr>
        <w:t>预</w:t>
      </w:r>
      <w:r>
        <w:rPr>
          <w:rFonts w:hint="eastAsia" w:ascii="仿宋_GB2312" w:eastAsia="仿宋_GB2312"/>
          <w:color w:val="000000"/>
          <w:spacing w:val="4"/>
          <w:szCs w:val="32"/>
        </w:rPr>
        <w:t>处理，</w:t>
      </w:r>
      <w:r>
        <w:rPr>
          <w:rFonts w:hint="eastAsia" w:ascii="仿宋_GB2312" w:eastAsia="仿宋_GB2312"/>
          <w:color w:val="000000"/>
          <w:spacing w:val="4"/>
          <w:szCs w:val="32"/>
          <w:lang w:eastAsia="zh-CN"/>
        </w:rPr>
        <w:t>清洗废水经</w:t>
      </w:r>
      <w:r>
        <w:rPr>
          <w:rFonts w:hint="eastAsia" w:ascii="仿宋_GB2312" w:eastAsia="仿宋_GB2312"/>
          <w:color w:val="000000" w:themeColor="text1"/>
          <w:spacing w:val="4"/>
          <w:szCs w:val="32"/>
          <w:lang w:val="en-US" w:eastAsia="zh-CN"/>
          <w14:textFill>
            <w14:solidFill>
              <w14:schemeClr w14:val="tx1"/>
            </w14:solidFill>
          </w14:textFill>
        </w:rPr>
        <w:t>三级</w:t>
      </w:r>
      <w:r>
        <w:rPr>
          <w:rFonts w:hint="eastAsia" w:ascii="仿宋_GB2312" w:eastAsia="仿宋_GB2312"/>
          <w:color w:val="000000"/>
          <w:spacing w:val="4"/>
          <w:szCs w:val="32"/>
          <w:lang w:eastAsia="zh-CN"/>
        </w:rPr>
        <w:t>沉淀池预处理，确保预处理后的废水均</w:t>
      </w:r>
      <w:r>
        <w:rPr>
          <w:rFonts w:hint="eastAsia" w:ascii="仿宋_GB2312" w:eastAsia="仿宋_GB2312"/>
          <w:color w:val="000000"/>
          <w:spacing w:val="4"/>
          <w:szCs w:val="32"/>
        </w:rPr>
        <w:t>达到《污水综合排放标准》（GB8978-1996）表4中三级标准后经园区污水管网排入益阳</w:t>
      </w:r>
      <w:bookmarkStart w:id="0" w:name="_GoBack"/>
      <w:r>
        <w:rPr>
          <w:rFonts w:hint="eastAsia" w:ascii="仿宋_GB2312" w:eastAsia="仿宋_GB2312"/>
          <w:color w:val="000000" w:themeColor="text1"/>
          <w:spacing w:val="4"/>
          <w:szCs w:val="32"/>
          <w:lang w:eastAsia="zh-CN"/>
          <w14:textFill>
            <w14:solidFill>
              <w14:schemeClr w14:val="tx1"/>
            </w14:solidFill>
          </w14:textFill>
        </w:rPr>
        <w:t>市</w:t>
      </w:r>
      <w:bookmarkEnd w:id="0"/>
      <w:r>
        <w:rPr>
          <w:rFonts w:hint="eastAsia" w:ascii="仿宋_GB2312" w:eastAsia="仿宋_GB2312"/>
          <w:color w:val="000000"/>
          <w:spacing w:val="4"/>
          <w:szCs w:val="32"/>
        </w:rPr>
        <w:t>东部新区污水处理厂进行深度处理；</w:t>
      </w:r>
      <w:r>
        <w:rPr>
          <w:rFonts w:hint="eastAsia" w:ascii="仿宋_GB2312" w:eastAsia="仿宋_GB2312"/>
          <w:color w:val="000000"/>
          <w:spacing w:val="4"/>
          <w:szCs w:val="32"/>
          <w:lang w:eastAsia="zh-CN"/>
        </w:rPr>
        <w:t>冷却循环系统产生的</w:t>
      </w:r>
      <w:r>
        <w:rPr>
          <w:rFonts w:hint="eastAsia" w:ascii="仿宋_GB2312" w:eastAsia="仿宋_GB2312"/>
          <w:color w:val="000000"/>
          <w:spacing w:val="4"/>
          <w:szCs w:val="32"/>
        </w:rPr>
        <w:t>冷却水经收集后循环使用，不外排。</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ascii="仿宋_GB2312" w:eastAsia="仿宋_GB2312"/>
          <w:color w:val="000000"/>
          <w:spacing w:val="4"/>
          <w:szCs w:val="32"/>
        </w:rPr>
      </w:pPr>
      <w:r>
        <w:rPr>
          <w:rFonts w:hint="eastAsia" w:ascii="仿宋_GB2312" w:eastAsia="仿宋_GB2312"/>
          <w:color w:val="000000"/>
          <w:spacing w:val="4"/>
          <w:szCs w:val="32"/>
          <w:lang w:eastAsia="zh-CN"/>
        </w:rPr>
        <w:t>（三）</w:t>
      </w:r>
      <w:r>
        <w:rPr>
          <w:rFonts w:hint="eastAsia" w:ascii="仿宋_GB2312" w:eastAsia="仿宋_GB2312"/>
          <w:color w:val="000000"/>
          <w:spacing w:val="4"/>
          <w:szCs w:val="32"/>
        </w:rPr>
        <w:t>做好项目噪声污染防治工作。</w:t>
      </w:r>
      <w:r>
        <w:rPr>
          <w:rFonts w:hint="eastAsia" w:ascii="仿宋_GB2312" w:hAnsi="仿宋_GB2312" w:eastAsia="仿宋_GB2312" w:cs="仿宋_GB2312"/>
          <w:color w:val="000000"/>
          <w:spacing w:val="0"/>
          <w:sz w:val="32"/>
          <w:szCs w:val="32"/>
        </w:rPr>
        <w:t>落实环评报告</w:t>
      </w:r>
      <w:r>
        <w:rPr>
          <w:rFonts w:hint="eastAsia" w:ascii="仿宋_GB2312" w:hAnsi="仿宋_GB2312" w:eastAsia="仿宋_GB2312" w:cs="仿宋_GB2312"/>
          <w:color w:val="000000"/>
          <w:spacing w:val="0"/>
          <w:sz w:val="32"/>
          <w:szCs w:val="32"/>
          <w:lang w:eastAsia="zh-CN"/>
        </w:rPr>
        <w:t>书</w:t>
      </w:r>
      <w:r>
        <w:rPr>
          <w:rFonts w:hint="eastAsia" w:ascii="仿宋_GB2312" w:hAnsi="仿宋_GB2312" w:eastAsia="仿宋_GB2312" w:cs="仿宋_GB2312"/>
          <w:color w:val="000000"/>
          <w:spacing w:val="0"/>
          <w:sz w:val="32"/>
          <w:szCs w:val="32"/>
        </w:rPr>
        <w:t>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r>
        <w:rPr>
          <w:rFonts w:hint="eastAsia" w:ascii="仿宋_GB2312" w:eastAsia="仿宋_GB2312"/>
          <w:color w:val="000000"/>
          <w:spacing w:val="4"/>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eastAsia="仿宋_GB2312"/>
          <w:color w:val="000000"/>
          <w:spacing w:val="4"/>
          <w:szCs w:val="32"/>
          <w:lang w:eastAsia="zh-CN"/>
        </w:rPr>
        <w:t>（四）</w:t>
      </w:r>
      <w:r>
        <w:rPr>
          <w:rFonts w:hint="eastAsia" w:ascii="仿宋_GB2312" w:hAnsi="仿宋_GB2312" w:eastAsia="仿宋_GB2312" w:cs="仿宋_GB2312"/>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w:t>
      </w:r>
      <w:r>
        <w:rPr>
          <w:rFonts w:hint="eastAsia" w:ascii="仿宋_GB2312" w:hAnsi="仿宋_GB2312" w:eastAsia="仿宋_GB2312" w:cs="仿宋_GB2312"/>
          <w:color w:val="000000"/>
          <w:spacing w:val="0"/>
          <w:sz w:val="32"/>
          <w:szCs w:val="32"/>
          <w:lang w:val="en-US" w:eastAsia="zh-CN"/>
        </w:rPr>
        <w:t>-</w:t>
      </w:r>
      <w:r>
        <w:rPr>
          <w:rFonts w:hint="eastAsia" w:ascii="仿宋_GB2312" w:hAnsi="仿宋_GB2312" w:eastAsia="仿宋_GB2312" w:cs="仿宋_GB2312"/>
          <w:color w:val="000000"/>
          <w:spacing w:val="0"/>
          <w:sz w:val="32"/>
          <w:szCs w:val="32"/>
        </w:rPr>
        <w:t>2001)及其修改单要求、《一般工业固体废物贮存、处置场污染控制标准》（GB18599-2001）及其修改单要求。做好固体废物分类收集处置，</w:t>
      </w:r>
      <w:r>
        <w:rPr>
          <w:rFonts w:hint="eastAsia" w:ascii="仿宋_GB2312" w:hAnsi="仿宋_GB2312" w:eastAsia="仿宋_GB2312" w:cs="仿宋_GB2312"/>
          <w:color w:val="000000"/>
          <w:spacing w:val="0"/>
          <w:kern w:val="0"/>
          <w:sz w:val="32"/>
          <w:szCs w:val="32"/>
          <w:lang w:val="en-US" w:eastAsia="zh-CN" w:bidi="ar"/>
        </w:rPr>
        <w:t>生活垃圾收集后交给地方环卫部门处理；边角废料、不合格产品、除尘器收集的粉尘、废型砂、沉淀池沉渣和炉渣等</w:t>
      </w:r>
      <w:r>
        <w:rPr>
          <w:rFonts w:hint="eastAsia" w:ascii="仿宋_GB2312" w:hAnsi="仿宋_GB2312" w:eastAsia="仿宋_GB2312" w:cs="仿宋_GB2312"/>
          <w:color w:val="000000"/>
          <w:spacing w:val="0"/>
          <w:sz w:val="32"/>
          <w:szCs w:val="32"/>
          <w:lang w:val="en-US" w:eastAsia="zh-CN"/>
        </w:rPr>
        <w:t>为一般工业固废，经分类收集贮存后外售综合利用；</w:t>
      </w:r>
      <w:r>
        <w:rPr>
          <w:rFonts w:hint="eastAsia" w:ascii="仿宋_GB2312" w:eastAsia="仿宋_GB2312"/>
          <w:color w:val="000000"/>
          <w:spacing w:val="4"/>
          <w:szCs w:val="32"/>
          <w:lang w:eastAsia="zh-CN"/>
        </w:rPr>
        <w:t>切削液</w:t>
      </w:r>
      <w:r>
        <w:rPr>
          <w:rFonts w:hint="eastAsia" w:ascii="仿宋_GB2312" w:eastAsia="仿宋_GB2312"/>
          <w:color w:val="000000"/>
          <w:spacing w:val="4"/>
          <w:szCs w:val="32"/>
        </w:rPr>
        <w:t>及</w:t>
      </w:r>
      <w:r>
        <w:rPr>
          <w:rFonts w:hint="eastAsia" w:ascii="仿宋_GB2312" w:eastAsia="仿宋_GB2312"/>
          <w:color w:val="000000"/>
          <w:spacing w:val="4"/>
          <w:szCs w:val="32"/>
          <w:lang w:eastAsia="zh-CN"/>
        </w:rPr>
        <w:t>机</w:t>
      </w:r>
      <w:r>
        <w:rPr>
          <w:rFonts w:hint="eastAsia" w:ascii="仿宋_GB2312" w:eastAsia="仿宋_GB2312"/>
          <w:color w:val="000000"/>
          <w:spacing w:val="4"/>
          <w:szCs w:val="32"/>
        </w:rPr>
        <w:t>油的</w:t>
      </w:r>
      <w:r>
        <w:rPr>
          <w:rFonts w:hint="eastAsia" w:ascii="仿宋_GB2312" w:eastAsia="仿宋_GB2312"/>
          <w:color w:val="000000"/>
          <w:spacing w:val="4"/>
          <w:szCs w:val="32"/>
          <w:lang w:eastAsia="zh-CN"/>
        </w:rPr>
        <w:t>废弃</w:t>
      </w:r>
      <w:r>
        <w:rPr>
          <w:rFonts w:hint="eastAsia" w:ascii="仿宋_GB2312" w:eastAsia="仿宋_GB2312"/>
          <w:color w:val="000000"/>
          <w:spacing w:val="4"/>
          <w:szCs w:val="32"/>
        </w:rPr>
        <w:t>包装物、</w:t>
      </w:r>
      <w:r>
        <w:rPr>
          <w:rFonts w:hint="eastAsia" w:ascii="仿宋_GB2312" w:eastAsia="仿宋_GB2312"/>
          <w:color w:val="000000"/>
          <w:spacing w:val="4"/>
          <w:szCs w:val="32"/>
          <w:lang w:eastAsia="zh-CN"/>
        </w:rPr>
        <w:t>脱模剂及保温剂</w:t>
      </w:r>
      <w:r>
        <w:rPr>
          <w:rFonts w:hint="eastAsia" w:ascii="仿宋_GB2312" w:eastAsia="仿宋_GB2312"/>
          <w:color w:val="000000"/>
          <w:spacing w:val="4"/>
          <w:szCs w:val="32"/>
        </w:rPr>
        <w:t>的</w:t>
      </w:r>
      <w:r>
        <w:rPr>
          <w:rFonts w:hint="eastAsia" w:ascii="仿宋_GB2312" w:eastAsia="仿宋_GB2312"/>
          <w:color w:val="000000"/>
          <w:spacing w:val="4"/>
          <w:szCs w:val="32"/>
          <w:lang w:eastAsia="zh-CN"/>
        </w:rPr>
        <w:t>废弃</w:t>
      </w:r>
      <w:r>
        <w:rPr>
          <w:rFonts w:hint="eastAsia" w:ascii="仿宋_GB2312" w:eastAsia="仿宋_GB2312"/>
          <w:color w:val="000000"/>
          <w:spacing w:val="4"/>
          <w:szCs w:val="32"/>
        </w:rPr>
        <w:t>包装物</w:t>
      </w:r>
      <w:r>
        <w:rPr>
          <w:rFonts w:hint="eastAsia" w:ascii="仿宋_GB2312" w:eastAsia="仿宋_GB2312"/>
          <w:color w:val="000000"/>
          <w:spacing w:val="4"/>
          <w:szCs w:val="32"/>
          <w:lang w:eastAsia="zh-CN"/>
        </w:rPr>
        <w:t>、</w:t>
      </w:r>
      <w:r>
        <w:rPr>
          <w:rFonts w:hint="eastAsia" w:ascii="仿宋_GB2312" w:eastAsia="仿宋_GB2312"/>
          <w:color w:val="000000"/>
          <w:spacing w:val="4"/>
          <w:szCs w:val="32"/>
        </w:rPr>
        <w:t>废</w:t>
      </w:r>
      <w:r>
        <w:rPr>
          <w:rFonts w:hint="eastAsia" w:ascii="仿宋_GB2312" w:eastAsia="仿宋_GB2312"/>
          <w:color w:val="000000"/>
          <w:spacing w:val="4"/>
          <w:szCs w:val="32"/>
          <w:lang w:eastAsia="zh-CN"/>
        </w:rPr>
        <w:t>切削液</w:t>
      </w:r>
      <w:r>
        <w:rPr>
          <w:rFonts w:hint="eastAsia" w:ascii="仿宋_GB2312" w:eastAsia="仿宋_GB2312"/>
          <w:color w:val="000000"/>
          <w:spacing w:val="4"/>
          <w:szCs w:val="32"/>
        </w:rPr>
        <w:t>、废</w:t>
      </w:r>
      <w:r>
        <w:rPr>
          <w:rFonts w:hint="eastAsia" w:ascii="仿宋_GB2312" w:eastAsia="仿宋_GB2312"/>
          <w:color w:val="000000"/>
          <w:spacing w:val="4"/>
          <w:szCs w:val="32"/>
          <w:lang w:eastAsia="zh-CN"/>
        </w:rPr>
        <w:t>机</w:t>
      </w:r>
      <w:r>
        <w:rPr>
          <w:rFonts w:hint="eastAsia" w:ascii="仿宋_GB2312" w:eastAsia="仿宋_GB2312"/>
          <w:color w:val="000000"/>
          <w:spacing w:val="4"/>
          <w:szCs w:val="32"/>
        </w:rPr>
        <w:t>油</w:t>
      </w:r>
      <w:r>
        <w:rPr>
          <w:rFonts w:hint="eastAsia" w:ascii="仿宋_GB2312" w:eastAsia="仿宋_GB2312"/>
          <w:color w:val="000000"/>
          <w:spacing w:val="4"/>
          <w:szCs w:val="32"/>
          <w:lang w:eastAsia="zh-CN"/>
        </w:rPr>
        <w:t>、废活性炭、废UV灯管以及含油废抹布和废手套等</w:t>
      </w:r>
      <w:r>
        <w:rPr>
          <w:rFonts w:hint="eastAsia" w:ascii="仿宋_GB2312" w:hAnsi="仿宋_GB2312" w:eastAsia="仿宋_GB2312" w:cs="仿宋_GB2312"/>
          <w:spacing w:val="0"/>
          <w:sz w:val="32"/>
          <w:szCs w:val="32"/>
        </w:rPr>
        <w:t>危险废物</w:t>
      </w:r>
      <w:r>
        <w:rPr>
          <w:rFonts w:hint="eastAsia" w:ascii="仿宋_GB2312" w:hAnsi="仿宋_GB2312" w:eastAsia="仿宋_GB2312" w:cs="仿宋_GB2312"/>
          <w:color w:val="000000"/>
          <w:spacing w:val="0"/>
          <w:kern w:val="0"/>
          <w:sz w:val="32"/>
          <w:szCs w:val="32"/>
          <w:lang w:val="en-US" w:eastAsia="zh-CN" w:bidi="ar"/>
        </w:rPr>
        <w:t>应送危废暂存间分类贮存，定期外委有危废处置资质单位处理。</w:t>
      </w:r>
    </w:p>
    <w:p>
      <w:pPr>
        <w:pStyle w:val="3"/>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eastAsia="仿宋_GB2312"/>
          <w:color w:val="000000"/>
          <w:spacing w:val="4"/>
          <w:szCs w:val="32"/>
          <w:lang w:eastAsia="zh-CN"/>
        </w:rPr>
        <w:t>（五）</w:t>
      </w:r>
      <w:r>
        <w:rPr>
          <w:rFonts w:hint="eastAsia" w:ascii="仿宋_GB2312" w:hAnsi="仿宋_GB2312" w:eastAsia="仿宋_GB2312" w:cs="仿宋_GB2312"/>
          <w:color w:val="000000"/>
          <w:spacing w:val="0"/>
          <w:sz w:val="32"/>
          <w:szCs w:val="32"/>
          <w:lang w:val="en-US" w:eastAsia="zh-CN"/>
        </w:rPr>
        <w:t>加强环境风险防范。加强环保和风险防范设施的运行管理，明确责任人，确保环保设施稳定正常运行和污染物的稳定达标排放，制定环境风险事故应急预案，落实事故应急防范措施。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（六）</w:t>
      </w:r>
      <w:r>
        <w:rPr>
          <w:rFonts w:hint="eastAsia" w:ascii="仿宋_GB2312" w:hAnsi="仿宋" w:eastAsia="仿宋_GB2312" w:cs="仿宋"/>
          <w:color w:val="000000"/>
          <w:spacing w:val="4"/>
          <w:szCs w:val="32"/>
        </w:rPr>
        <w:t>污染物总量控制：</w:t>
      </w:r>
      <w:r>
        <w:rPr>
          <w:rFonts w:hint="eastAsia" w:ascii="仿宋_GB2312" w:hAnsi="仿宋" w:eastAsia="仿宋_GB2312" w:cs="仿宋"/>
          <w:color w:val="000000"/>
          <w:spacing w:val="8"/>
          <w:szCs w:val="32"/>
        </w:rPr>
        <w:t>VOC</w:t>
      </w:r>
      <w:r>
        <w:rPr>
          <w:rFonts w:hint="eastAsia" w:ascii="仿宋_GB2312" w:hAnsi="仿宋" w:eastAsia="仿宋_GB2312" w:cs="仿宋"/>
          <w:color w:val="000000"/>
          <w:spacing w:val="8"/>
          <w:szCs w:val="32"/>
          <w:vertAlign w:val="subscript"/>
        </w:rPr>
        <w:t>S</w:t>
      </w:r>
      <w:r>
        <w:rPr>
          <w:rFonts w:hint="eastAsia" w:ascii="宋体" w:hAnsi="宋体" w:eastAsia="宋体" w:cs="宋体"/>
          <w:color w:val="000000"/>
          <w:spacing w:val="8"/>
          <w:szCs w:val="32"/>
          <w:vertAlign w:val="baseline"/>
          <w:lang w:val="en-US" w:eastAsia="zh-CN"/>
        </w:rPr>
        <w:t>≦</w:t>
      </w:r>
      <w:r>
        <w:rPr>
          <w:rFonts w:hint="eastAsia" w:ascii="仿宋_GB2312" w:hAnsi="仿宋" w:eastAsia="仿宋_GB2312" w:cs="仿宋"/>
          <w:color w:val="000000"/>
          <w:spacing w:val="8"/>
          <w:szCs w:val="32"/>
        </w:rPr>
        <w:t>0.</w:t>
      </w:r>
      <w:r>
        <w:rPr>
          <w:rFonts w:hint="eastAsia" w:ascii="仿宋_GB2312" w:hAnsi="仿宋" w:cs="仿宋"/>
          <w:color w:val="000000"/>
          <w:spacing w:val="8"/>
          <w:szCs w:val="32"/>
          <w:lang w:val="en-US" w:eastAsia="zh-CN"/>
        </w:rPr>
        <w:t>71</w:t>
      </w:r>
      <w:r>
        <w:rPr>
          <w:rFonts w:hint="eastAsia" w:ascii="仿宋_GB2312" w:hAnsi="仿宋" w:eastAsia="仿宋_GB2312" w:cs="仿宋"/>
          <w:color w:val="000000"/>
          <w:spacing w:val="8"/>
          <w:szCs w:val="32"/>
        </w:rPr>
        <w:t>t/a</w:t>
      </w:r>
      <w:r>
        <w:rPr>
          <w:rFonts w:hint="eastAsia" w:ascii="仿宋_GB2312" w:hAnsi="仿宋" w:eastAsia="仿宋_GB2312" w:cs="仿宋"/>
          <w:color w:val="000000"/>
          <w:spacing w:val="8"/>
          <w:szCs w:val="32"/>
          <w:lang w:eastAsia="zh-CN"/>
        </w:rPr>
        <w:t>，总量指标纳入当地环保部门总量控制管理。</w:t>
      </w:r>
    </w:p>
    <w:p>
      <w:pPr>
        <w:keepNext w:val="0"/>
        <w:keepLines w:val="0"/>
        <w:pageBreakBefore w:val="0"/>
        <w:kinsoku/>
        <w:wordWrap/>
        <w:overflowPunct/>
        <w:topLinePunct w:val="0"/>
        <w:autoSpaceDE/>
        <w:autoSpaceDN/>
        <w:bidi w:val="0"/>
        <w:adjustRightInd/>
        <w:snapToGrid/>
        <w:spacing w:line="560" w:lineRule="exact"/>
        <w:ind w:firstLine="656" w:firstLineChars="200"/>
        <w:textAlignment w:val="auto"/>
        <w:rPr>
          <w:rFonts w:ascii="仿宋_GB2312" w:eastAsia="仿宋_GB2312"/>
          <w:color w:val="000000"/>
          <w:spacing w:val="4"/>
          <w:szCs w:val="32"/>
        </w:rPr>
      </w:pPr>
      <w:r>
        <w:rPr>
          <w:rFonts w:hint="eastAsia" w:ascii="仿宋_GB2312" w:eastAsia="仿宋_GB2312"/>
          <w:color w:val="000000"/>
          <w:spacing w:val="4"/>
          <w:szCs w:val="32"/>
        </w:rPr>
        <w:t>三、</w:t>
      </w:r>
      <w:r>
        <w:rPr>
          <w:rFonts w:hint="eastAsia" w:ascii="仿宋_GB2312" w:hAnsi="仿宋_GB2312" w:eastAsia="仿宋_GB2312" w:cs="仿宋_GB2312"/>
          <w:color w:val="000000"/>
          <w:spacing w:val="0"/>
          <w:szCs w:val="32"/>
        </w:rPr>
        <w:t>建设</w:t>
      </w:r>
      <w:r>
        <w:rPr>
          <w:rFonts w:hint="eastAsia" w:ascii="仿宋_GB2312" w:hAnsi="仿宋_GB2312" w:eastAsia="仿宋_GB2312" w:cs="仿宋_GB2312"/>
          <w:color w:val="000000"/>
          <w:spacing w:val="0"/>
          <w:szCs w:val="32"/>
          <w:lang w:eastAsia="zh-CN"/>
        </w:rPr>
        <w:t>单位应严格执行环境保护“三同时”规定，项目环保“三同时”执行情况的监督检查和日常环境管理工作由益阳市生态环境局高新区分局和益阳市生态环境保护综合行政执法支队高新区大队具体负责</w:t>
      </w:r>
      <w:r>
        <w:rPr>
          <w:rFonts w:hint="eastAsia" w:ascii="仿宋_GB2312" w:eastAsia="仿宋_GB2312"/>
          <w:color w:val="000000"/>
          <w:spacing w:val="4"/>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rPr>
      </w:pPr>
      <w:r>
        <w:rPr>
          <w:rFonts w:hint="eastAsia" w:ascii="仿宋_GB2312" w:eastAsia="仿宋_GB2312"/>
        </w:rPr>
        <w:t xml:space="preserve">                             益阳市生态环境局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color w:val="FF0000"/>
        </w:rPr>
      </w:pPr>
      <w:r>
        <w:rPr>
          <w:rFonts w:hint="eastAsia" w:ascii="仿宋_GB2312" w:eastAsia="仿宋_GB2312"/>
          <w:color w:val="FF0000"/>
        </w:rPr>
        <w:t xml:space="preserve">                             </w:t>
      </w:r>
      <w:r>
        <w:rPr>
          <w:rFonts w:hint="eastAsia" w:ascii="仿宋_GB2312" w:eastAsia="仿宋_GB2312"/>
          <w:color w:val="auto"/>
        </w:rPr>
        <w:t>2020年</w:t>
      </w:r>
      <w:r>
        <w:rPr>
          <w:rFonts w:hint="eastAsia" w:ascii="仿宋_GB2312" w:eastAsia="仿宋_GB2312"/>
          <w:color w:val="auto"/>
          <w:lang w:val="en-US" w:eastAsia="zh-CN"/>
        </w:rPr>
        <w:t>5</w:t>
      </w:r>
      <w:r>
        <w:rPr>
          <w:rFonts w:hint="eastAsia" w:ascii="仿宋_GB2312" w:eastAsia="仿宋_GB2312"/>
          <w:color w:val="auto"/>
        </w:rPr>
        <w:t>月</w:t>
      </w:r>
      <w:r>
        <w:rPr>
          <w:rFonts w:hint="eastAsia" w:ascii="仿宋_GB2312" w:eastAsia="仿宋_GB2312"/>
          <w:color w:val="auto"/>
          <w:lang w:val="en-US" w:eastAsia="zh-CN"/>
        </w:rPr>
        <w:t>21</w:t>
      </w:r>
      <w:r>
        <w:rPr>
          <w:rFonts w:hint="eastAsia" w:ascii="仿宋_GB2312" w:eastAsia="仿宋_GB2312"/>
          <w:color w:val="auto"/>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F3CF"/>
    <w:multiLevelType w:val="singleLevel"/>
    <w:tmpl w:val="0A5EF3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BD6E3C"/>
    <w:rsid w:val="01D03FEC"/>
    <w:rsid w:val="01ED35F8"/>
    <w:rsid w:val="0220111E"/>
    <w:rsid w:val="024450D7"/>
    <w:rsid w:val="033476DA"/>
    <w:rsid w:val="046F2962"/>
    <w:rsid w:val="04944F5B"/>
    <w:rsid w:val="04B7331F"/>
    <w:rsid w:val="050D4B50"/>
    <w:rsid w:val="070865B3"/>
    <w:rsid w:val="084D2071"/>
    <w:rsid w:val="08F63086"/>
    <w:rsid w:val="09FA59E7"/>
    <w:rsid w:val="0A5C3254"/>
    <w:rsid w:val="0A6D52EF"/>
    <w:rsid w:val="0BF719CD"/>
    <w:rsid w:val="0C51261E"/>
    <w:rsid w:val="0C562ECC"/>
    <w:rsid w:val="0D112E8C"/>
    <w:rsid w:val="0DCF2DE5"/>
    <w:rsid w:val="10275D5E"/>
    <w:rsid w:val="1294405E"/>
    <w:rsid w:val="13504F15"/>
    <w:rsid w:val="13950693"/>
    <w:rsid w:val="140D6837"/>
    <w:rsid w:val="14360E9D"/>
    <w:rsid w:val="14456D2D"/>
    <w:rsid w:val="15795D64"/>
    <w:rsid w:val="16560A5B"/>
    <w:rsid w:val="165B3415"/>
    <w:rsid w:val="167429F4"/>
    <w:rsid w:val="16E81710"/>
    <w:rsid w:val="17002797"/>
    <w:rsid w:val="18325885"/>
    <w:rsid w:val="19FA1528"/>
    <w:rsid w:val="1A1F4F6D"/>
    <w:rsid w:val="1A781479"/>
    <w:rsid w:val="1B4A24ED"/>
    <w:rsid w:val="1BC41C5A"/>
    <w:rsid w:val="1BE16251"/>
    <w:rsid w:val="1C8F32EA"/>
    <w:rsid w:val="1DDE1448"/>
    <w:rsid w:val="1DF661B9"/>
    <w:rsid w:val="1E8C6E43"/>
    <w:rsid w:val="1FA453A1"/>
    <w:rsid w:val="20095B14"/>
    <w:rsid w:val="21972FB1"/>
    <w:rsid w:val="231743EF"/>
    <w:rsid w:val="23955273"/>
    <w:rsid w:val="23F32129"/>
    <w:rsid w:val="24033872"/>
    <w:rsid w:val="24B6419A"/>
    <w:rsid w:val="25E2734F"/>
    <w:rsid w:val="26423EFF"/>
    <w:rsid w:val="26C636D7"/>
    <w:rsid w:val="26C7259C"/>
    <w:rsid w:val="27BA1B7C"/>
    <w:rsid w:val="29164D1D"/>
    <w:rsid w:val="2974783F"/>
    <w:rsid w:val="29916EC3"/>
    <w:rsid w:val="2B917629"/>
    <w:rsid w:val="2C337454"/>
    <w:rsid w:val="2C36248E"/>
    <w:rsid w:val="2DE75E31"/>
    <w:rsid w:val="2E8F02D2"/>
    <w:rsid w:val="2EA803AD"/>
    <w:rsid w:val="2FBE547D"/>
    <w:rsid w:val="302837E4"/>
    <w:rsid w:val="326B0598"/>
    <w:rsid w:val="32B4639C"/>
    <w:rsid w:val="32D17F93"/>
    <w:rsid w:val="33741DC8"/>
    <w:rsid w:val="34711A93"/>
    <w:rsid w:val="36D47963"/>
    <w:rsid w:val="36E44291"/>
    <w:rsid w:val="371B365C"/>
    <w:rsid w:val="37DC7101"/>
    <w:rsid w:val="38253F4B"/>
    <w:rsid w:val="39316126"/>
    <w:rsid w:val="3A4E3056"/>
    <w:rsid w:val="3AA8457A"/>
    <w:rsid w:val="3B5E010D"/>
    <w:rsid w:val="3C27418C"/>
    <w:rsid w:val="3DD36518"/>
    <w:rsid w:val="3E087A3E"/>
    <w:rsid w:val="3E237685"/>
    <w:rsid w:val="3E673028"/>
    <w:rsid w:val="3ED87383"/>
    <w:rsid w:val="3F4E171F"/>
    <w:rsid w:val="3F663D3E"/>
    <w:rsid w:val="3F7F12A1"/>
    <w:rsid w:val="400F6B63"/>
    <w:rsid w:val="40964F6E"/>
    <w:rsid w:val="41B433FC"/>
    <w:rsid w:val="42C40111"/>
    <w:rsid w:val="455640F7"/>
    <w:rsid w:val="45E80663"/>
    <w:rsid w:val="45EA4112"/>
    <w:rsid w:val="46260513"/>
    <w:rsid w:val="46916A0C"/>
    <w:rsid w:val="47B30442"/>
    <w:rsid w:val="47C30A72"/>
    <w:rsid w:val="484F7B35"/>
    <w:rsid w:val="487976ED"/>
    <w:rsid w:val="489759DB"/>
    <w:rsid w:val="48EA22C6"/>
    <w:rsid w:val="4937651C"/>
    <w:rsid w:val="495E5927"/>
    <w:rsid w:val="4993613B"/>
    <w:rsid w:val="49A139B0"/>
    <w:rsid w:val="49B07B17"/>
    <w:rsid w:val="49CC6308"/>
    <w:rsid w:val="4A9B4753"/>
    <w:rsid w:val="4B70303A"/>
    <w:rsid w:val="4BAC15B2"/>
    <w:rsid w:val="4BE51D09"/>
    <w:rsid w:val="4D0C257E"/>
    <w:rsid w:val="4D264726"/>
    <w:rsid w:val="4EFB74D5"/>
    <w:rsid w:val="4FBE354F"/>
    <w:rsid w:val="50514B19"/>
    <w:rsid w:val="50A41749"/>
    <w:rsid w:val="51036BC5"/>
    <w:rsid w:val="51A22DB0"/>
    <w:rsid w:val="51D7346D"/>
    <w:rsid w:val="51DB6FAB"/>
    <w:rsid w:val="524D6C2D"/>
    <w:rsid w:val="53D729C9"/>
    <w:rsid w:val="53DF092C"/>
    <w:rsid w:val="547A36D3"/>
    <w:rsid w:val="54952865"/>
    <w:rsid w:val="54ED2801"/>
    <w:rsid w:val="552D52A9"/>
    <w:rsid w:val="557B62FA"/>
    <w:rsid w:val="56BD74A5"/>
    <w:rsid w:val="57CC7573"/>
    <w:rsid w:val="57E02209"/>
    <w:rsid w:val="58232224"/>
    <w:rsid w:val="58244EB7"/>
    <w:rsid w:val="5A13021C"/>
    <w:rsid w:val="5B206D35"/>
    <w:rsid w:val="5B2C0540"/>
    <w:rsid w:val="5B2F231F"/>
    <w:rsid w:val="5B9F7B06"/>
    <w:rsid w:val="5C5727C7"/>
    <w:rsid w:val="5C760F90"/>
    <w:rsid w:val="5D9D73E7"/>
    <w:rsid w:val="5DBB2715"/>
    <w:rsid w:val="5DBC1C1E"/>
    <w:rsid w:val="5DF945D5"/>
    <w:rsid w:val="5E907F94"/>
    <w:rsid w:val="5E99298E"/>
    <w:rsid w:val="5EFD4C2F"/>
    <w:rsid w:val="5F010883"/>
    <w:rsid w:val="5FBA4E4C"/>
    <w:rsid w:val="5FDF59CF"/>
    <w:rsid w:val="5FE31F6A"/>
    <w:rsid w:val="61040EA5"/>
    <w:rsid w:val="61597C19"/>
    <w:rsid w:val="616854FA"/>
    <w:rsid w:val="61887116"/>
    <w:rsid w:val="62445FC4"/>
    <w:rsid w:val="630C4648"/>
    <w:rsid w:val="64751B6A"/>
    <w:rsid w:val="647D74BC"/>
    <w:rsid w:val="64A944D3"/>
    <w:rsid w:val="65D60198"/>
    <w:rsid w:val="65F2278B"/>
    <w:rsid w:val="660D2ED6"/>
    <w:rsid w:val="66F130F7"/>
    <w:rsid w:val="674F1106"/>
    <w:rsid w:val="67CA2359"/>
    <w:rsid w:val="68CC6525"/>
    <w:rsid w:val="69DC5D3B"/>
    <w:rsid w:val="6A476406"/>
    <w:rsid w:val="6A567B90"/>
    <w:rsid w:val="6A737633"/>
    <w:rsid w:val="6B8E02C8"/>
    <w:rsid w:val="6BB53802"/>
    <w:rsid w:val="6CC4010E"/>
    <w:rsid w:val="6DF731D4"/>
    <w:rsid w:val="6E913029"/>
    <w:rsid w:val="6F3A6929"/>
    <w:rsid w:val="6FAB56DD"/>
    <w:rsid w:val="711235A4"/>
    <w:rsid w:val="713069BC"/>
    <w:rsid w:val="71332ADA"/>
    <w:rsid w:val="72D17DDC"/>
    <w:rsid w:val="730E10C8"/>
    <w:rsid w:val="751B097E"/>
    <w:rsid w:val="758328BE"/>
    <w:rsid w:val="75982830"/>
    <w:rsid w:val="76184CB6"/>
    <w:rsid w:val="76BB5D3A"/>
    <w:rsid w:val="771D765F"/>
    <w:rsid w:val="773F226F"/>
    <w:rsid w:val="78900131"/>
    <w:rsid w:val="78EB73A4"/>
    <w:rsid w:val="7949289B"/>
    <w:rsid w:val="7A8D32F6"/>
    <w:rsid w:val="7B416CB5"/>
    <w:rsid w:val="7B711966"/>
    <w:rsid w:val="7BAC7D80"/>
    <w:rsid w:val="7C135354"/>
    <w:rsid w:val="7C4D6B6B"/>
    <w:rsid w:val="7D2A3C0D"/>
    <w:rsid w:val="7D916A9D"/>
    <w:rsid w:val="7E21399E"/>
    <w:rsid w:val="7E2255C4"/>
    <w:rsid w:val="7F353E24"/>
    <w:rsid w:val="7FE16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99"/>
    <w:rPr>
      <w:rFonts w:ascii="宋体" w:eastAsia="宋体"/>
      <w:sz w:val="18"/>
      <w:szCs w:val="18"/>
    </w:rPr>
  </w:style>
  <w:style w:type="paragraph" w:styleId="3">
    <w:name w:val="annotation text"/>
    <w:basedOn w:val="1"/>
    <w:link w:val="17"/>
    <w:unhideWhenUsed/>
    <w:qFormat/>
    <w:uiPriority w:val="0"/>
    <w:pPr>
      <w:jc w:val="left"/>
    </w:pPr>
  </w:style>
  <w:style w:type="paragraph" w:styleId="4">
    <w:name w:val="Body Text Indent"/>
    <w:basedOn w:val="1"/>
    <w:unhideWhenUsed/>
    <w:qFormat/>
    <w:uiPriority w:val="99"/>
    <w:pPr>
      <w:spacing w:after="120"/>
      <w:ind w:left="420" w:leftChars="200"/>
    </w:pPr>
    <w:rPr>
      <w:kern w:val="0"/>
      <w:sz w:val="20"/>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paragraph" w:styleId="9">
    <w:name w:val="Body Text First Indent 2"/>
    <w:basedOn w:val="4"/>
    <w:unhideWhenUsed/>
    <w:qFormat/>
    <w:uiPriority w:val="99"/>
    <w:pPr>
      <w:ind w:firstLine="420" w:firstLineChars="200"/>
    </w:p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semiHidden/>
    <w:qFormat/>
    <w:uiPriority w:val="99"/>
    <w:rPr>
      <w:rFonts w:ascii="Times New Roman" w:hAnsi="Times New Roman" w:eastAsia="华文仿宋" w:cs="Times New Roman"/>
      <w:sz w:val="18"/>
      <w:szCs w:val="18"/>
    </w:rPr>
  </w:style>
  <w:style w:type="character" w:customStyle="1" w:styleId="14">
    <w:name w:val="页脚 Char"/>
    <w:basedOn w:val="11"/>
    <w:link w:val="6"/>
    <w:semiHidden/>
    <w:qFormat/>
    <w:uiPriority w:val="99"/>
    <w:rPr>
      <w:rFonts w:ascii="Times New Roman" w:hAnsi="Times New Roman" w:eastAsia="华文仿宋" w:cs="Times New Roman"/>
      <w:sz w:val="18"/>
      <w:szCs w:val="18"/>
    </w:rPr>
  </w:style>
  <w:style w:type="character" w:customStyle="1" w:styleId="15">
    <w:name w:val="文档结构图 Char"/>
    <w:basedOn w:val="11"/>
    <w:link w:val="2"/>
    <w:semiHidden/>
    <w:qFormat/>
    <w:uiPriority w:val="99"/>
    <w:rPr>
      <w:rFonts w:ascii="宋体"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华文仿宋" w:cs="Times New Roman"/>
      <w:sz w:val="18"/>
      <w:szCs w:val="18"/>
    </w:rPr>
  </w:style>
  <w:style w:type="character" w:customStyle="1" w:styleId="17">
    <w:name w:val="批注文字 Char"/>
    <w:basedOn w:val="11"/>
    <w:link w:val="3"/>
    <w:qFormat/>
    <w:uiPriority w:val="0"/>
    <w:rPr>
      <w:rFonts w:ascii="Times New Roman" w:hAnsi="Times New Roman" w:eastAsia="华文仿宋" w:cs="Times New Roman"/>
      <w:sz w:val="32"/>
      <w:szCs w:val="24"/>
    </w:rPr>
  </w:style>
  <w:style w:type="character" w:customStyle="1" w:styleId="18">
    <w:name w:val="批注主题 Char"/>
    <w:basedOn w:val="17"/>
    <w:link w:val="8"/>
    <w:semiHidden/>
    <w:qFormat/>
    <w:uiPriority w:val="99"/>
    <w:rPr>
      <w:rFonts w:ascii="Times New Roman" w:hAnsi="Times New Roman" w:eastAsia="华文仿宋" w:cs="Times New Roman"/>
      <w:b/>
      <w:bCs/>
      <w:sz w:val="32"/>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225</Words>
  <Characters>1286</Characters>
  <Lines>10</Lines>
  <Paragraphs>3</Paragraphs>
  <TotalTime>13</TotalTime>
  <ScaleCrop>false</ScaleCrop>
  <LinksUpToDate>false</LinksUpToDate>
  <CharactersWithSpaces>1508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Administrator</cp:lastModifiedBy>
  <cp:lastPrinted>2020-05-21T05:51:00Z</cp:lastPrinted>
  <dcterms:modified xsi:type="dcterms:W3CDTF">2020-07-15T08:50:13Z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