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FF0000"/>
          <w:szCs w:val="32"/>
        </w:rPr>
      </w:pPr>
      <w:r>
        <w:rPr>
          <w:rFonts w:hint="eastAsia" w:ascii="仿宋_GB2312" w:eastAsia="仿宋_GB2312"/>
          <w:color w:val="000000" w:themeColor="text1"/>
          <w:sz w:val="24"/>
        </w:rPr>
        <w:t xml:space="preserve">                                        </w:t>
      </w:r>
      <w:r>
        <w:rPr>
          <w:rFonts w:hint="eastAsia" w:ascii="仿宋_GB2312" w:eastAsia="仿宋_GB2312"/>
          <w:sz w:val="28"/>
          <w:szCs w:val="28"/>
        </w:rPr>
        <w:t>益环高审[2020]2</w:t>
      </w:r>
      <w:r>
        <w:rPr>
          <w:rFonts w:hint="eastAsia" w:ascii="仿宋_GB2312" w:eastAsia="仿宋_GB2312"/>
          <w:sz w:val="28"/>
          <w:szCs w:val="28"/>
          <w:lang w:val="en-US" w:eastAsia="zh-CN"/>
        </w:rPr>
        <w:t>2</w:t>
      </w:r>
      <w:r>
        <w:rPr>
          <w:rFonts w:hint="eastAsia" w:ascii="仿宋_GB2312" w:eastAsia="仿宋_GB2312"/>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w w:val="95"/>
          <w:sz w:val="44"/>
          <w:szCs w:val="44"/>
        </w:rPr>
      </w:pPr>
      <w:bookmarkStart w:id="0" w:name="_GoBack"/>
      <w:r>
        <w:rPr>
          <w:rFonts w:hint="eastAsia" w:ascii="方正小标宋简体" w:hAnsi="方正小标宋简体" w:eastAsia="方正小标宋简体" w:cs="方正小标宋简体"/>
          <w:w w:val="95"/>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5"/>
          <w:sz w:val="44"/>
          <w:szCs w:val="44"/>
          <w:lang w:eastAsia="zh-CN"/>
        </w:rPr>
        <w:t>关于</w:t>
      </w:r>
      <w:r>
        <w:rPr>
          <w:rFonts w:hint="eastAsia" w:ascii="方正小标宋简体" w:hAnsi="方正小标宋简体" w:eastAsia="方正小标宋简体" w:cs="方正小标宋简体"/>
          <w:w w:val="95"/>
          <w:sz w:val="44"/>
          <w:szCs w:val="44"/>
        </w:rPr>
        <w:t>益阳天汇热处理有限公司金属材料热处理生产项目环境影响报告表的批复</w:t>
      </w:r>
    </w:p>
    <w:bookmarkEnd w:id="0"/>
    <w:p>
      <w:pPr>
        <w:spacing w:line="60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Cs w:val="32"/>
        </w:rPr>
      </w:pPr>
      <w:r>
        <w:rPr>
          <w:rFonts w:hint="eastAsia" w:ascii="仿宋_GB2312" w:hAnsi="仿宋_GB2312" w:eastAsia="仿宋_GB2312" w:cs="仿宋_GB2312"/>
          <w:bCs/>
          <w:szCs w:val="32"/>
        </w:rPr>
        <w:t>益阳天汇热处理有限公司</w:t>
      </w:r>
      <w:r>
        <w:rPr>
          <w:rFonts w:hint="eastAsia" w:ascii="仿宋_GB2312" w:hAnsi="仿宋_GB2312" w:eastAsia="仿宋_GB2312" w:cs="仿宋_GB231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pacing w:val="0"/>
          <w:szCs w:val="32"/>
        </w:rPr>
      </w:pPr>
      <w:r>
        <w:rPr>
          <w:rFonts w:hint="eastAsia" w:ascii="仿宋_GB2312" w:hAnsi="仿宋_GB2312" w:eastAsia="仿宋_GB2312" w:cs="仿宋_GB2312"/>
          <w:color w:val="000000"/>
          <w:spacing w:val="0"/>
          <w:szCs w:val="32"/>
        </w:rPr>
        <w:t>你</w:t>
      </w:r>
      <w:r>
        <w:rPr>
          <w:rFonts w:hint="eastAsia" w:ascii="仿宋_GB2312" w:hAnsi="仿宋_GB2312" w:eastAsia="仿宋_GB2312" w:cs="仿宋_GB2312"/>
          <w:bCs/>
          <w:spacing w:val="0"/>
          <w:szCs w:val="32"/>
        </w:rPr>
        <w:t>公司呈报的《益</w:t>
      </w:r>
      <w:r>
        <w:rPr>
          <w:rFonts w:hint="eastAsia" w:ascii="仿宋_GB2312" w:hAnsi="仿宋_GB2312" w:eastAsia="仿宋_GB2312" w:cs="仿宋_GB2312"/>
          <w:color w:val="000000"/>
          <w:spacing w:val="0"/>
          <w:szCs w:val="32"/>
        </w:rPr>
        <w:t>阳天汇热处理有限公司金属</w:t>
      </w:r>
      <w:r>
        <w:rPr>
          <w:rFonts w:hint="eastAsia" w:ascii="仿宋_GB2312" w:hAnsi="仿宋_GB2312" w:eastAsia="仿宋_GB2312" w:cs="仿宋_GB2312"/>
          <w:bCs/>
          <w:spacing w:val="0"/>
          <w:szCs w:val="32"/>
        </w:rPr>
        <w:t>材料热处理生产项目环境影响报告表》</w:t>
      </w:r>
      <w:r>
        <w:rPr>
          <w:rFonts w:hint="eastAsia" w:ascii="仿宋_GB2312" w:hAnsi="仿宋_GB2312" w:eastAsia="仿宋_GB2312" w:cs="仿宋_GB2312"/>
          <w:color w:val="000000"/>
          <w:spacing w:val="0"/>
          <w:szCs w:val="32"/>
        </w:rPr>
        <w:t>及相关附件收悉。经研究，批复如下：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你公司拟投资120万元在益阳高新区梅林工业园</w:t>
      </w:r>
      <w:r>
        <w:rPr>
          <w:rFonts w:hint="eastAsia" w:ascii="仿宋_GB2312" w:hAnsi="仿宋_GB2312" w:eastAsia="仿宋_GB2312" w:cs="仿宋_GB2312"/>
          <w:lang w:eastAsia="zh-CN"/>
        </w:rPr>
        <w:t>内租赁</w:t>
      </w:r>
      <w:r>
        <w:rPr>
          <w:rFonts w:hint="eastAsia" w:ascii="仿宋_GB2312" w:hAnsi="仿宋_GB2312" w:eastAsia="仿宋_GB2312" w:cs="仿宋_GB2312"/>
        </w:rPr>
        <w:t>益阳康益机械发展有限公司</w:t>
      </w:r>
      <w:r>
        <w:rPr>
          <w:rFonts w:hint="eastAsia"/>
          <w:szCs w:val="24"/>
          <w:lang w:eastAsia="zh-CN"/>
        </w:rPr>
        <w:t>现有厂房，</w:t>
      </w:r>
      <w:r>
        <w:rPr>
          <w:rFonts w:hint="eastAsia" w:ascii="仿宋_GB2312" w:hAnsi="仿宋_GB2312" w:eastAsia="仿宋_GB2312" w:cs="仿宋_GB2312"/>
        </w:rPr>
        <w:t>建设</w:t>
      </w:r>
      <w:r>
        <w:rPr>
          <w:rFonts w:hint="eastAsia" w:ascii="仿宋_GB2312" w:hAnsi="仿宋_GB2312" w:eastAsia="仿宋_GB2312" w:cs="仿宋_GB2312"/>
          <w:lang w:eastAsia="zh-CN"/>
        </w:rPr>
        <w:t>四条</w:t>
      </w:r>
      <w:r>
        <w:rPr>
          <w:rFonts w:hint="eastAsia" w:ascii="仿宋_GB2312" w:hAnsi="仿宋_GB2312" w:eastAsia="仿宋_GB2312" w:cs="仿宋_GB2312"/>
        </w:rPr>
        <w:t>热处理加工</w:t>
      </w:r>
      <w:r>
        <w:rPr>
          <w:rFonts w:hint="eastAsia" w:ascii="仿宋_GB2312" w:hAnsi="仿宋_GB2312" w:eastAsia="仿宋_GB2312" w:cs="仿宋_GB2312"/>
          <w:lang w:eastAsia="zh-CN"/>
        </w:rPr>
        <w:t>生产</w:t>
      </w:r>
      <w:r>
        <w:rPr>
          <w:rFonts w:hint="eastAsia" w:ascii="仿宋_GB2312" w:hAnsi="仿宋_GB2312" w:eastAsia="仿宋_GB2312" w:cs="仿宋_GB2312"/>
        </w:rPr>
        <w:t>线</w:t>
      </w:r>
      <w:r>
        <w:rPr>
          <w:rFonts w:hint="eastAsia" w:ascii="仿宋_GB2312" w:hAnsi="仿宋_GB2312" w:eastAsia="仿宋_GB2312" w:cs="仿宋_GB2312"/>
          <w:lang w:eastAsia="zh-CN"/>
        </w:rPr>
        <w:t>，年产</w:t>
      </w:r>
      <w:r>
        <w:rPr>
          <w:szCs w:val="21"/>
        </w:rPr>
        <w:t>渗碳件</w:t>
      </w:r>
      <w:r>
        <w:rPr>
          <w:rFonts w:hint="eastAsia"/>
          <w:szCs w:val="21"/>
          <w:lang w:val="en-US" w:eastAsia="zh-CN"/>
        </w:rPr>
        <w:t>500吨、</w:t>
      </w:r>
      <w:r>
        <w:rPr>
          <w:szCs w:val="21"/>
        </w:rPr>
        <w:t>调质件</w:t>
      </w:r>
      <w:r>
        <w:rPr>
          <w:rFonts w:hint="eastAsia"/>
          <w:szCs w:val="21"/>
          <w:lang w:val="en-US" w:eastAsia="zh-CN"/>
        </w:rPr>
        <w:t>900吨、</w:t>
      </w:r>
      <w:r>
        <w:rPr>
          <w:szCs w:val="21"/>
        </w:rPr>
        <w:t>高频件</w:t>
      </w:r>
      <w:r>
        <w:rPr>
          <w:rFonts w:hint="eastAsia"/>
          <w:szCs w:val="21"/>
          <w:lang w:val="en-US" w:eastAsia="zh-CN"/>
        </w:rPr>
        <w:t>220吨、正火件110吨。</w:t>
      </w:r>
      <w:r>
        <w:rPr>
          <w:rFonts w:hint="eastAsia" w:ascii="仿宋_GB2312" w:hAnsi="仿宋_GB2312" w:eastAsia="仿宋_GB2312" w:cs="仿宋_GB2312"/>
        </w:rPr>
        <w:t>项目占地面积2000平方米，</w:t>
      </w:r>
      <w:r>
        <w:rPr>
          <w:rFonts w:hint="eastAsia"/>
          <w:szCs w:val="24"/>
          <w:lang w:eastAsia="zh-CN"/>
        </w:rPr>
        <w:t>厂房内分区设置</w:t>
      </w:r>
      <w:r>
        <w:rPr>
          <w:szCs w:val="21"/>
        </w:rPr>
        <w:t>生产车间</w:t>
      </w:r>
      <w:r>
        <w:rPr>
          <w:rFonts w:hint="eastAsia"/>
          <w:szCs w:val="21"/>
          <w:lang w:eastAsia="zh-CN"/>
        </w:rPr>
        <w:t>、</w:t>
      </w:r>
      <w:r>
        <w:rPr>
          <w:szCs w:val="21"/>
        </w:rPr>
        <w:t>办公区</w:t>
      </w:r>
      <w:r>
        <w:rPr>
          <w:rFonts w:hint="eastAsia"/>
          <w:szCs w:val="21"/>
          <w:lang w:eastAsia="zh-CN"/>
        </w:rPr>
        <w:t>、</w:t>
      </w:r>
      <w:r>
        <w:rPr>
          <w:szCs w:val="21"/>
        </w:rPr>
        <w:t>原料库</w:t>
      </w:r>
      <w:r>
        <w:rPr>
          <w:rFonts w:hint="eastAsia"/>
          <w:szCs w:val="21"/>
          <w:lang w:eastAsia="zh-CN"/>
        </w:rPr>
        <w:t>、</w:t>
      </w:r>
      <w:r>
        <w:rPr>
          <w:szCs w:val="21"/>
        </w:rPr>
        <w:t>成品库</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w:t>
      </w:r>
      <w:r>
        <w:rPr>
          <w:rFonts w:hint="eastAsia" w:ascii="仿宋_GB2312" w:hAnsi="仿宋_GB2312" w:eastAsia="仿宋_GB2312" w:cs="仿宋_GB2312"/>
        </w:rPr>
        <w:t>。项目</w:t>
      </w:r>
      <w:r>
        <w:rPr>
          <w:rFonts w:hint="eastAsia" w:ascii="仿宋_GB2312" w:hAnsi="仿宋_GB2312" w:eastAsia="仿宋_GB2312" w:cs="仿宋_GB2312"/>
          <w:color w:val="000000"/>
          <w:spacing w:val="0"/>
          <w:sz w:val="32"/>
          <w:szCs w:val="32"/>
          <w:lang w:val="en-US" w:eastAsia="zh-CN"/>
        </w:rPr>
        <w:t>建设</w:t>
      </w:r>
      <w:r>
        <w:rPr>
          <w:rFonts w:hint="eastAsia" w:ascii="仿宋_GB2312" w:hAnsi="仿宋_GB2312" w:eastAsia="仿宋_GB2312" w:cs="仿宋_GB2312"/>
        </w:rPr>
        <w:t>符合国家产业政策</w:t>
      </w:r>
      <w:r>
        <w:rPr>
          <w:rFonts w:hint="eastAsia" w:ascii="仿宋_GB2312" w:hAnsi="仿宋_GB2312" w:eastAsia="仿宋_GB2312" w:cs="仿宋_GB2312"/>
          <w:color w:val="000000"/>
          <w:szCs w:val="32"/>
        </w:rPr>
        <w:t>和益阳高新区朝阳产业园选址用地规划要求</w:t>
      </w:r>
      <w:r>
        <w:rPr>
          <w:rFonts w:hint="eastAsia" w:ascii="仿宋_GB2312" w:hAnsi="仿宋_GB2312" w:eastAsia="仿宋_GB2312" w:cs="仿宋_GB2312"/>
        </w:rPr>
        <w:t>。根据</w:t>
      </w:r>
      <w:r>
        <w:rPr>
          <w:rFonts w:hint="eastAsia" w:ascii="仿宋_GB2312" w:eastAsia="仿宋_GB2312"/>
          <w:color w:val="000000"/>
          <w:spacing w:val="4"/>
          <w:szCs w:val="32"/>
        </w:rPr>
        <w:t>湖南至禹环境服务有限公司</w:t>
      </w:r>
      <w:r>
        <w:rPr>
          <w:rFonts w:hint="eastAsia" w:ascii="仿宋_GB2312" w:hAnsi="仿宋_GB2312" w:eastAsia="仿宋_GB2312" w:cs="仿宋_GB2312"/>
          <w:color w:val="000000"/>
          <w:szCs w:val="32"/>
        </w:rPr>
        <w:t>编制的环评</w:t>
      </w:r>
      <w:r>
        <w:rPr>
          <w:rFonts w:hint="eastAsia" w:ascii="仿宋_GB2312" w:hAnsi="仿宋_GB2312" w:eastAsia="仿宋_GB2312" w:cs="仿宋_GB2312"/>
        </w:rPr>
        <w:t>报告表的分析结论，</w:t>
      </w:r>
      <w:r>
        <w:rPr>
          <w:rFonts w:hint="eastAsia" w:ascii="仿宋_GB2312" w:hAnsi="仿宋_GB2312" w:eastAsia="仿宋_GB2312" w:cs="仿宋_GB2312"/>
          <w:color w:val="000000"/>
          <w:szCs w:val="32"/>
        </w:rPr>
        <w:t>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pacing w:val="4"/>
          <w:szCs w:val="32"/>
        </w:rPr>
        <w:t>二、</w:t>
      </w:r>
      <w:r>
        <w:rPr>
          <w:rFonts w:hint="eastAsia" w:ascii="仿宋_GB2312" w:hAnsi="仿宋_GB2312" w:eastAsia="仿宋_GB2312" w:cs="仿宋_GB2312"/>
          <w:color w:val="000000"/>
          <w:szCs w:val="32"/>
        </w:rPr>
        <w:t>建设单位在项目设计、建设和营运期间，必须严格执行环保“三同时”制度，按照环评报告表要求落实各项污染防治措施，并着重做好如下工作</w:t>
      </w:r>
      <w:r>
        <w:rPr>
          <w:rFonts w:hint="eastAsia" w:ascii="仿宋_GB2312" w:hAnsi="仿宋_GB2312" w:eastAsia="仿宋_GB2312" w:cs="仿宋_GB2312"/>
          <w:color w:val="000000"/>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（一）</w:t>
      </w:r>
      <w:r>
        <w:rPr>
          <w:rFonts w:hint="eastAsia" w:ascii="仿宋_GB2312" w:hAnsi="仿宋_GB2312" w:eastAsia="仿宋_GB2312" w:cs="仿宋_GB2312"/>
          <w:spacing w:val="4"/>
          <w:szCs w:val="32"/>
        </w:rPr>
        <w:t>做好项目大气污染防治工作</w:t>
      </w:r>
      <w:r>
        <w:rPr>
          <w:rFonts w:hint="eastAsia" w:ascii="仿宋_GB2312" w:hAnsi="仿宋_GB2312" w:eastAsia="仿宋_GB2312" w:cs="仿宋_GB2312"/>
          <w:color w:val="000000"/>
          <w:szCs w:val="32"/>
        </w:rPr>
        <w:t>。</w:t>
      </w:r>
      <w:r>
        <w:rPr>
          <w:rFonts w:hint="eastAsia" w:ascii="仿宋_GB2312" w:hAnsi="仿宋_GB2312" w:eastAsia="仿宋_GB2312" w:cs="仿宋_GB2312"/>
          <w:spacing w:val="4"/>
          <w:szCs w:val="32"/>
        </w:rPr>
        <w:t>加强车间通风换气，</w:t>
      </w:r>
      <w:r>
        <w:rPr>
          <w:rFonts w:hint="eastAsia" w:ascii="仿宋_GB2312" w:hAnsi="仿宋_GB2312" w:eastAsia="仿宋_GB2312" w:cs="仿宋_GB2312"/>
          <w:spacing w:val="4"/>
          <w:szCs w:val="32"/>
          <w:lang w:eastAsia="zh-CN"/>
        </w:rPr>
        <w:t>喷砂和抛丸工序产生的粉尘经设备自带的袋式除尘器进行处理，</w:t>
      </w:r>
      <w:r>
        <w:rPr>
          <w:rFonts w:hint="eastAsia" w:ascii="仿宋_GB2312" w:hAnsi="仿宋_GB2312" w:eastAsia="仿宋_GB2312" w:cs="仿宋_GB2312"/>
          <w:color w:val="000000"/>
          <w:szCs w:val="32"/>
        </w:rPr>
        <w:t>检修</w:t>
      </w:r>
      <w:r>
        <w:rPr>
          <w:rFonts w:hint="eastAsia" w:ascii="仿宋_GB2312" w:hAnsi="仿宋_GB2312" w:eastAsia="仿宋_GB2312" w:cs="仿宋_GB2312"/>
          <w:color w:val="000000"/>
          <w:szCs w:val="32"/>
          <w:lang w:eastAsia="zh-CN"/>
        </w:rPr>
        <w:t>工序产生的</w:t>
      </w:r>
      <w:r>
        <w:rPr>
          <w:rFonts w:hint="eastAsia" w:ascii="仿宋_GB2312" w:hAnsi="Times New Roman" w:eastAsia="仿宋_GB2312" w:cs="Times New Roman"/>
          <w:color w:val="000000"/>
          <w:spacing w:val="4"/>
          <w:szCs w:val="32"/>
          <w:lang w:eastAsia="zh-CN"/>
        </w:rPr>
        <w:t>焊接烟尘经移动式焊接烟尘净化器进行处理，</w:t>
      </w:r>
      <w:r>
        <w:rPr>
          <w:rFonts w:hint="eastAsia" w:ascii="仿宋_GB2312" w:eastAsia="仿宋_GB2312"/>
          <w:color w:val="000000"/>
          <w:spacing w:val="4"/>
          <w:szCs w:val="32"/>
        </w:rPr>
        <w:t>确保外排污染物满足《大气污染物综合排放标准》（GB16297-1996）表2中无组织排放</w:t>
      </w:r>
      <w:r>
        <w:rPr>
          <w:rFonts w:hint="eastAsia" w:ascii="仿宋_GB2312" w:eastAsia="仿宋_GB2312"/>
          <w:color w:val="000000"/>
          <w:spacing w:val="4"/>
          <w:szCs w:val="32"/>
          <w:lang w:eastAsia="zh-CN"/>
        </w:rPr>
        <w:t>监控</w:t>
      </w:r>
      <w:r>
        <w:rPr>
          <w:rFonts w:hint="eastAsia" w:ascii="仿宋_GB2312" w:eastAsia="仿宋_GB2312"/>
          <w:color w:val="000000"/>
          <w:spacing w:val="4"/>
          <w:szCs w:val="32"/>
        </w:rPr>
        <w:t>浓度限值要求</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回火和淬火过程中产生的有机废气经集气罩收集后</w:t>
      </w:r>
      <w:r>
        <w:rPr>
          <w:rFonts w:hint="eastAsia" w:ascii="仿宋_GB2312" w:eastAsia="仿宋_GB2312"/>
          <w:color w:val="000000"/>
          <w:spacing w:val="4"/>
          <w:szCs w:val="32"/>
          <w:lang w:eastAsia="zh-CN"/>
        </w:rPr>
        <w:t>采用“喷淋塔+静电式油雾净化器+活性炭”装置进行</w:t>
      </w:r>
      <w:r>
        <w:rPr>
          <w:rFonts w:hint="eastAsia" w:ascii="仿宋_GB2312" w:eastAsia="仿宋_GB2312"/>
          <w:color w:val="000000"/>
          <w:spacing w:val="4"/>
          <w:szCs w:val="32"/>
        </w:rPr>
        <w:t>处理</w:t>
      </w:r>
      <w:r>
        <w:rPr>
          <w:rFonts w:hint="eastAsia" w:ascii="仿宋_GB2312" w:eastAsia="仿宋_GB2312"/>
          <w:color w:val="000000"/>
          <w:spacing w:val="4"/>
          <w:szCs w:val="32"/>
          <w:lang w:eastAsia="zh-CN"/>
        </w:rPr>
        <w:t>，</w:t>
      </w:r>
      <w:r>
        <w:rPr>
          <w:rFonts w:hint="eastAsia" w:ascii="仿宋_GB2312" w:hAnsi="仿宋_GB2312" w:eastAsia="仿宋_GB2312" w:cs="仿宋_GB2312"/>
          <w:color w:val="auto"/>
          <w:spacing w:val="0"/>
          <w:szCs w:val="32"/>
          <w:lang w:val="en-US" w:eastAsia="zh-CN"/>
        </w:rPr>
        <w:t>确保</w:t>
      </w:r>
      <w:r>
        <w:rPr>
          <w:rFonts w:hint="eastAsia" w:ascii="仿宋_GB2312" w:hAnsi="仿宋_GB2312" w:eastAsia="仿宋_GB2312" w:cs="仿宋_GB2312"/>
          <w:color w:val="auto"/>
          <w:spacing w:val="4"/>
          <w:szCs w:val="32"/>
        </w:rPr>
        <w:t>外排</w:t>
      </w:r>
      <w:r>
        <w:rPr>
          <w:rFonts w:hint="eastAsia" w:ascii="仿宋_GB2312" w:hAnsi="仿宋_GB2312" w:eastAsia="仿宋_GB2312" w:cs="仿宋_GB2312"/>
          <w:spacing w:val="0"/>
          <w:szCs w:val="32"/>
        </w:rPr>
        <w:t>污染物</w:t>
      </w:r>
      <w:r>
        <w:rPr>
          <w:rFonts w:hint="eastAsia" w:ascii="仿宋_GB2312" w:hAnsi="仿宋_GB2312" w:eastAsia="仿宋_GB2312" w:cs="仿宋_GB2312"/>
          <w:color w:val="auto"/>
          <w:spacing w:val="0"/>
          <w:szCs w:val="32"/>
          <w:lang w:val="en-US" w:eastAsia="zh-CN"/>
        </w:rPr>
        <w:t>达到《</w:t>
      </w:r>
      <w:r>
        <w:rPr>
          <w:rFonts w:hint="eastAsia" w:ascii="仿宋_GB2312" w:hAnsi="仿宋_GB2312" w:eastAsia="仿宋_GB2312" w:cs="仿宋_GB2312"/>
          <w:b w:val="0"/>
          <w:color w:val="auto"/>
          <w:spacing w:val="0"/>
          <w:kern w:val="2"/>
          <w:sz w:val="32"/>
          <w:szCs w:val="32"/>
          <w:lang w:val="en-US" w:eastAsia="zh-CN" w:bidi="ar-SA"/>
        </w:rPr>
        <w:t>工业企业挥发性有机物排放控制标准</w:t>
      </w:r>
      <w:r>
        <w:rPr>
          <w:rFonts w:hint="eastAsia" w:ascii="仿宋_GB2312" w:hAnsi="仿宋_GB2312" w:eastAsia="仿宋_GB2312" w:cs="仿宋_GB2312"/>
          <w:color w:val="auto"/>
          <w:spacing w:val="0"/>
          <w:szCs w:val="32"/>
          <w:lang w:val="en-US" w:eastAsia="zh-CN"/>
        </w:rPr>
        <w:t>》（</w:t>
      </w:r>
      <w:r>
        <w:rPr>
          <w:rFonts w:hint="eastAsia" w:ascii="仿宋_GB2312" w:hAnsi="仿宋_GB2312" w:eastAsia="仿宋_GB2312" w:cs="仿宋_GB2312"/>
          <w:b w:val="0"/>
          <w:color w:val="auto"/>
          <w:spacing w:val="0"/>
          <w:kern w:val="2"/>
          <w:sz w:val="32"/>
          <w:szCs w:val="32"/>
          <w:lang w:val="en-US" w:eastAsia="zh-CN" w:bidi="ar-SA"/>
        </w:rPr>
        <w:fldChar w:fldCharType="begin"/>
      </w:r>
      <w:r>
        <w:rPr>
          <w:rFonts w:hint="eastAsia" w:ascii="仿宋_GB2312" w:hAnsi="仿宋_GB2312" w:eastAsia="仿宋_GB2312" w:cs="仿宋_GB2312"/>
          <w:b w:val="0"/>
          <w:color w:val="auto"/>
          <w:spacing w:val="0"/>
          <w:kern w:val="2"/>
          <w:sz w:val="32"/>
          <w:szCs w:val="32"/>
          <w:lang w:val="en-US" w:eastAsia="zh-CN" w:bidi="ar-SA"/>
        </w:rPr>
        <w:instrText xml:space="preserve"> HYPERLINK "https://www.baidu.com/link?url=gMMKoEDS89vtLImgSQO-X4o0OA5jSQ7s2C25qDgoLWbKyEuEk2kao3tXGrwihCsuYuklyOF4gGGcBLdnV_V1J2XERBY8hbBTRvfkUhh5f1S&amp;wd=&amp;eqid=b1470b5d0002f817000000065e60bbf0" \t "https://www.baidu.com/_blank" </w:instrText>
      </w:r>
      <w:r>
        <w:rPr>
          <w:rFonts w:hint="eastAsia" w:ascii="仿宋_GB2312" w:hAnsi="仿宋_GB2312" w:eastAsia="仿宋_GB2312" w:cs="仿宋_GB2312"/>
          <w:b w:val="0"/>
          <w:color w:val="auto"/>
          <w:spacing w:val="0"/>
          <w:kern w:val="2"/>
          <w:sz w:val="32"/>
          <w:szCs w:val="32"/>
          <w:lang w:val="en-US" w:eastAsia="zh-CN" w:bidi="ar-SA"/>
        </w:rPr>
        <w:fldChar w:fldCharType="separate"/>
      </w:r>
      <w:r>
        <w:rPr>
          <w:rFonts w:hint="eastAsia" w:ascii="仿宋_GB2312" w:hAnsi="仿宋_GB2312" w:eastAsia="仿宋_GB2312" w:cs="仿宋_GB2312"/>
          <w:b w:val="0"/>
          <w:color w:val="auto"/>
          <w:spacing w:val="0"/>
          <w:kern w:val="2"/>
          <w:sz w:val="32"/>
          <w:szCs w:val="32"/>
          <w:lang w:val="en-US" w:eastAsia="zh-CN" w:bidi="ar-SA"/>
        </w:rPr>
        <w:t>DB12/524-2014)</w:t>
      </w:r>
      <w:r>
        <w:rPr>
          <w:rFonts w:hint="eastAsia" w:ascii="仿宋_GB2312" w:hAnsi="仿宋_GB2312" w:eastAsia="仿宋_GB2312" w:cs="仿宋_GB2312"/>
          <w:b w:val="0"/>
          <w:color w:val="auto"/>
          <w:spacing w:val="0"/>
          <w:kern w:val="2"/>
          <w:sz w:val="32"/>
          <w:szCs w:val="32"/>
          <w:lang w:val="en-US" w:eastAsia="zh-CN" w:bidi="ar-SA"/>
        </w:rPr>
        <w:fldChar w:fldCharType="end"/>
      </w:r>
      <w:r>
        <w:rPr>
          <w:rFonts w:hint="eastAsia" w:ascii="仿宋_GB2312" w:hAnsi="仿宋_GB2312" w:eastAsia="仿宋_GB2312" w:cs="仿宋_GB2312"/>
          <w:b w:val="0"/>
          <w:color w:val="auto"/>
          <w:spacing w:val="0"/>
          <w:kern w:val="2"/>
          <w:sz w:val="32"/>
          <w:szCs w:val="32"/>
          <w:lang w:val="en-US" w:eastAsia="zh-CN" w:bidi="ar-SA"/>
        </w:rPr>
        <w:t>表2中新建企业排气筒污染物排放限值</w:t>
      </w:r>
      <w:r>
        <w:rPr>
          <w:rFonts w:hint="eastAsia" w:ascii="仿宋_GB2312" w:hAnsi="仿宋_GB2312" w:eastAsia="仿宋_GB2312" w:cs="仿宋_GB2312"/>
          <w:color w:val="auto"/>
          <w:spacing w:val="0"/>
          <w:szCs w:val="21"/>
        </w:rPr>
        <w:t>后经</w:t>
      </w:r>
      <w:r>
        <w:rPr>
          <w:rFonts w:hint="eastAsia" w:ascii="仿宋_GB2312" w:hAnsi="仿宋_GB2312" w:eastAsia="仿宋_GB2312" w:cs="仿宋_GB2312"/>
          <w:color w:val="auto"/>
          <w:spacing w:val="0"/>
          <w:szCs w:val="21"/>
          <w:lang w:val="en-US" w:eastAsia="zh-CN"/>
        </w:rPr>
        <w:t>1</w:t>
      </w:r>
      <w:r>
        <w:rPr>
          <w:rFonts w:hint="eastAsia" w:ascii="仿宋_GB2312" w:hAnsi="仿宋_GB2312" w:eastAsia="仿宋_GB2312" w:cs="仿宋_GB2312"/>
          <w:color w:val="auto"/>
          <w:spacing w:val="0"/>
          <w:szCs w:val="21"/>
        </w:rPr>
        <w:t>5m高排气筒排放</w:t>
      </w:r>
      <w:r>
        <w:rPr>
          <w:rFonts w:hint="eastAsia" w:ascii="仿宋_GB2312" w:hAnsi="仿宋_GB2312" w:eastAsia="仿宋_GB2312" w:cs="仿宋_GB2312"/>
          <w:color w:val="000000"/>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pacing w:val="4"/>
          <w:szCs w:val="32"/>
        </w:rPr>
        <w:t>（二）做好项目水污染防治工作。生活污水经隔油池、化粪池预处理达到《污水综合排放标准》（GB8978-1996）表4中三级标准后经园区污水管网排入益阳</w:t>
      </w:r>
      <w:r>
        <w:rPr>
          <w:rFonts w:hint="eastAsia" w:ascii="仿宋_GB2312" w:hAnsi="仿宋_GB2312" w:eastAsia="仿宋_GB2312" w:cs="仿宋_GB2312"/>
          <w:color w:val="000000"/>
          <w:spacing w:val="4"/>
          <w:szCs w:val="32"/>
          <w:lang w:val="en-US" w:eastAsia="zh-CN"/>
        </w:rPr>
        <w:t>市团洲污水处理厂</w:t>
      </w:r>
      <w:r>
        <w:rPr>
          <w:rFonts w:hint="eastAsia" w:ascii="仿宋_GB2312" w:hAnsi="仿宋_GB2312" w:eastAsia="仿宋_GB2312" w:cs="仿宋_GB2312"/>
          <w:color w:val="000000"/>
          <w:spacing w:val="4"/>
          <w:szCs w:val="32"/>
        </w:rPr>
        <w:t>进行深度处理；</w:t>
      </w:r>
      <w:r>
        <w:rPr>
          <w:rFonts w:hint="eastAsia" w:ascii="仿宋_GB2312" w:eastAsia="仿宋_GB2312"/>
          <w:color w:val="000000"/>
          <w:spacing w:val="4"/>
          <w:szCs w:val="32"/>
          <w:lang w:eastAsia="zh-CN"/>
        </w:rPr>
        <w:t>冷却循环系统产生的</w:t>
      </w:r>
      <w:r>
        <w:rPr>
          <w:rFonts w:hint="eastAsia" w:ascii="仿宋_GB2312" w:eastAsia="仿宋_GB2312"/>
          <w:color w:val="000000"/>
          <w:spacing w:val="4"/>
          <w:szCs w:val="32"/>
        </w:rPr>
        <w:t>冷却水经收集后循环使用，不外排</w:t>
      </w:r>
      <w:r>
        <w:rPr>
          <w:rFonts w:hint="eastAsia" w:ascii="仿宋_GB2312" w:eastAsia="仿宋_GB2312"/>
          <w:color w:val="000000"/>
          <w:spacing w:val="4"/>
          <w:szCs w:val="32"/>
          <w:lang w:eastAsia="zh-CN"/>
        </w:rPr>
        <w:t>；</w:t>
      </w:r>
      <w:r>
        <w:rPr>
          <w:rFonts w:hint="eastAsia" w:ascii="仿宋_GB2312" w:hAnsi="仿宋_GB2312" w:eastAsia="仿宋_GB2312" w:cs="仿宋_GB2312"/>
          <w:color w:val="000000"/>
          <w:szCs w:val="32"/>
        </w:rPr>
        <w:t>清洗废水</w:t>
      </w:r>
      <w:r>
        <w:rPr>
          <w:rFonts w:hint="eastAsia" w:ascii="仿宋_GB2312" w:hAnsi="仿宋_GB2312" w:eastAsia="仿宋_GB2312" w:cs="仿宋_GB2312"/>
          <w:color w:val="000000"/>
          <w:szCs w:val="32"/>
          <w:lang w:eastAsia="zh-CN"/>
        </w:rPr>
        <w:t>、水喷淋废水经</w:t>
      </w:r>
      <w:r>
        <w:rPr>
          <w:rFonts w:hint="eastAsia" w:ascii="仿宋_GB2312" w:hAnsi="仿宋_GB2312" w:eastAsia="仿宋_GB2312" w:cs="仿宋_GB2312"/>
          <w:color w:val="000000"/>
          <w:szCs w:val="32"/>
        </w:rPr>
        <w:t>油水分离装置处理后回用</w:t>
      </w:r>
      <w:r>
        <w:rPr>
          <w:rFonts w:hint="eastAsia" w:ascii="仿宋_GB2312" w:hAnsi="仿宋_GB2312" w:eastAsia="仿宋_GB2312" w:cs="仿宋_GB2312"/>
          <w:color w:val="000000"/>
          <w:spacing w:val="4"/>
          <w:szCs w:val="32"/>
        </w:rPr>
        <w:t>，不外排</w:t>
      </w:r>
      <w:r>
        <w:rPr>
          <w:rFonts w:hint="eastAsia" w:ascii="仿宋_GB2312" w:hAnsi="仿宋_GB2312" w:eastAsia="仿宋_GB2312" w:cs="仿宋_GB2312"/>
          <w:color w:val="000000"/>
          <w:szCs w:val="32"/>
        </w:rPr>
        <w:t>。</w:t>
      </w:r>
    </w:p>
    <w:p>
      <w:pPr>
        <w:pStyle w:val="3"/>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hAnsi="仿宋_GB2312" w:eastAsia="仿宋_GB2312" w:cs="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生活垃圾收集后交给地方环卫部门处理，工业气体钢瓶交由气体生产公司处理；不合格产品、废焊条、焊渣、除尘器收集的粉尘和废弃包装材料等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color w:val="000000"/>
          <w:spacing w:val="0"/>
          <w:kern w:val="0"/>
          <w:sz w:val="32"/>
          <w:szCs w:val="32"/>
          <w:lang w:val="en-US" w:eastAsia="zh-CN" w:bidi="ar"/>
        </w:rPr>
        <w:t>甲醇、煤油、淬火油的包装桶、</w:t>
      </w:r>
      <w:r>
        <w:rPr>
          <w:rFonts w:hint="eastAsia" w:ascii="仿宋_GB2312" w:eastAsia="仿宋_GB2312"/>
          <w:color w:val="000000"/>
          <w:spacing w:val="4"/>
          <w:szCs w:val="32"/>
          <w:lang w:eastAsia="zh-CN"/>
        </w:rPr>
        <w:t>废活性炭</w:t>
      </w:r>
      <w:r>
        <w:rPr>
          <w:rFonts w:hint="eastAsia" w:ascii="仿宋_GB2312" w:eastAsia="仿宋_GB2312"/>
          <w:color w:val="000000"/>
          <w:spacing w:val="4"/>
          <w:szCs w:val="32"/>
        </w:rPr>
        <w:t>、</w:t>
      </w:r>
      <w:r>
        <w:rPr>
          <w:rFonts w:hint="eastAsia" w:ascii="仿宋_GB2312" w:eastAsia="仿宋_GB2312"/>
          <w:color w:val="000000"/>
          <w:spacing w:val="4"/>
          <w:szCs w:val="32"/>
          <w:lang w:eastAsia="zh-CN"/>
        </w:rPr>
        <w:t>废油以及含油废抹布和废手套等</w:t>
      </w:r>
      <w:r>
        <w:rPr>
          <w:rFonts w:hint="eastAsia" w:ascii="仿宋_GB2312" w:hAnsi="仿宋_GB2312" w:eastAsia="仿宋_GB2312" w:cs="仿宋_GB2312"/>
          <w:spacing w:val="0"/>
          <w:sz w:val="32"/>
          <w:szCs w:val="32"/>
        </w:rPr>
        <w:t>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pStyle w:val="3"/>
        <w:keepNext w:val="0"/>
        <w:keepLines w:val="0"/>
        <w:pageBreakBefore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8"/>
          <w:szCs w:val="32"/>
        </w:rPr>
      </w:pPr>
      <w:r>
        <w:rPr>
          <w:rFonts w:hint="eastAsia" w:ascii="仿宋_GB2312" w:hAnsi="仿宋_GB2312" w:eastAsia="仿宋_GB2312" w:cs="仿宋_GB2312"/>
          <w:color w:val="000000"/>
          <w:spacing w:val="4"/>
          <w:szCs w:val="32"/>
        </w:rPr>
        <w:t>（五）</w:t>
      </w:r>
      <w:r>
        <w:rPr>
          <w:rFonts w:hint="eastAsia" w:ascii="仿宋_GB2312" w:hAnsi="仿宋_GB2312" w:eastAsia="仿宋_GB2312" w:cs="仿宋_GB2312"/>
          <w:color w:val="000000"/>
          <w:szCs w:val="32"/>
        </w:rPr>
        <w:t>加强环境风险防范。加强环保和风险防范设施的运行管理，明确责任人，确保环保设施稳定正常运行和污染物的稳定达标排放，制定环境风险事故应急预案，落实事故应急防范措施</w:t>
      </w:r>
      <w:r>
        <w:rPr>
          <w:rFonts w:hint="eastAsia" w:ascii="仿宋_GB2312" w:hAnsi="仿宋_GB2312" w:eastAsia="仿宋_GB2312" w:cs="仿宋_GB2312"/>
          <w:color w:val="000000"/>
          <w:spacing w:val="8"/>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8"/>
          <w:szCs w:val="32"/>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 w:eastAsia="仿宋_GB2312" w:cs="仿宋"/>
          <w:color w:val="000000"/>
          <w:spacing w:val="4"/>
          <w:szCs w:val="32"/>
        </w:rPr>
        <w:t>污染物总量控制：</w:t>
      </w:r>
      <w:r>
        <w:rPr>
          <w:rFonts w:hint="eastAsia" w:ascii="仿宋_GB2312" w:hAnsi="仿宋" w:eastAsia="仿宋_GB2312" w:cs="仿宋"/>
          <w:color w:val="000000"/>
          <w:spacing w:val="8"/>
          <w:szCs w:val="32"/>
        </w:rPr>
        <w:t>VOC</w:t>
      </w:r>
      <w:r>
        <w:rPr>
          <w:rFonts w:hint="eastAsia" w:ascii="仿宋_GB2312" w:hAnsi="仿宋" w:eastAsia="仿宋_GB2312" w:cs="仿宋"/>
          <w:color w:val="000000"/>
          <w:spacing w:val="8"/>
          <w:szCs w:val="32"/>
          <w:vertAlign w:val="subscript"/>
        </w:rPr>
        <w:t>S</w:t>
      </w:r>
      <w:r>
        <w:rPr>
          <w:rFonts w:hint="eastAsia" w:ascii="宋体" w:hAnsi="宋体" w:eastAsia="宋体" w:cs="宋体"/>
          <w:color w:val="000000"/>
          <w:spacing w:val="8"/>
          <w:szCs w:val="32"/>
          <w:vertAlign w:val="baseline"/>
          <w:lang w:val="en-US" w:eastAsia="zh-CN"/>
        </w:rPr>
        <w:t>≦</w:t>
      </w:r>
      <w:r>
        <w:rPr>
          <w:rFonts w:hint="eastAsia" w:ascii="仿宋_GB2312" w:hAnsi="仿宋" w:eastAsia="仿宋_GB2312" w:cs="仿宋"/>
          <w:color w:val="000000"/>
          <w:spacing w:val="8"/>
          <w:szCs w:val="32"/>
        </w:rPr>
        <w:t>0.</w:t>
      </w:r>
      <w:r>
        <w:rPr>
          <w:rFonts w:hint="eastAsia" w:ascii="仿宋_GB2312" w:hAnsi="仿宋" w:eastAsia="仿宋_GB2312" w:cs="仿宋"/>
          <w:color w:val="000000"/>
          <w:spacing w:val="8"/>
          <w:szCs w:val="32"/>
          <w:lang w:val="en-US" w:eastAsia="zh-CN"/>
        </w:rPr>
        <w:t>07</w:t>
      </w:r>
      <w:r>
        <w:rPr>
          <w:rFonts w:hint="eastAsia" w:ascii="仿宋_GB2312" w:hAnsi="仿宋" w:eastAsia="仿宋_GB2312" w:cs="仿宋"/>
          <w:color w:val="000000"/>
          <w:spacing w:val="8"/>
          <w:szCs w:val="32"/>
        </w:rPr>
        <w:t>t/a</w:t>
      </w:r>
      <w:r>
        <w:rPr>
          <w:rFonts w:hint="eastAsia" w:ascii="仿宋_GB2312" w:hAnsi="仿宋" w:eastAsia="仿宋_GB2312" w:cs="仿宋"/>
          <w:color w:val="000000"/>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三、</w:t>
      </w:r>
      <w:r>
        <w:rPr>
          <w:rFonts w:hint="eastAsia" w:ascii="仿宋_GB2312" w:hAnsi="仿宋_GB2312" w:eastAsia="仿宋_GB2312" w:cs="仿宋_GB2312"/>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rPr>
      </w:pPr>
      <w:r>
        <w:rPr>
          <w:rFonts w:hint="eastAsia" w:ascii="仿宋_GB2312" w:hAnsi="仿宋_GB2312" w:eastAsia="仿宋_GB2312" w:cs="仿宋_GB2312"/>
        </w:rPr>
        <w:t>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rPr>
      </w:pPr>
      <w:r>
        <w:rPr>
          <w:rFonts w:hint="eastAsia" w:ascii="仿宋_GB2312" w:hAnsi="仿宋_GB2312" w:eastAsia="仿宋_GB2312" w:cs="仿宋_GB2312"/>
        </w:rPr>
        <w:t xml:space="preserve">                             2020年5月</w:t>
      </w:r>
      <w:r>
        <w:rPr>
          <w:rFonts w:hint="eastAsia" w:ascii="仿宋_GB2312" w:hAnsi="仿宋_GB2312" w:eastAsia="仿宋_GB2312" w:cs="仿宋_GB2312"/>
          <w:lang w:val="en-US" w:eastAsia="zh-CN"/>
        </w:rPr>
        <w:t>21</w:t>
      </w:r>
      <w:r>
        <w:rPr>
          <w:rFonts w:hint="eastAsia" w:ascii="仿宋_GB2312" w:hAnsi="仿宋_GB2312" w:eastAsia="仿宋_GB2312" w:cs="仿宋_GB2312"/>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_GB2312"/>
    <w:panose1 w:val="00000000000000000000"/>
    <w:charset w:val="00"/>
    <w:family w:val="auto"/>
    <w:pitch w:val="default"/>
    <w:sig w:usb0="00000000" w:usb1="00000000" w:usb2="00000000" w:usb3="00000000" w:csb0="00000000" w:csb1="0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6"/>
                  <w:jc w:val="right"/>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F3CF"/>
    <w:multiLevelType w:val="singleLevel"/>
    <w:tmpl w:val="0A5EF3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340FE"/>
    <w:rsid w:val="001663FB"/>
    <w:rsid w:val="00183370"/>
    <w:rsid w:val="00185ED5"/>
    <w:rsid w:val="001A21A9"/>
    <w:rsid w:val="001A5E8D"/>
    <w:rsid w:val="001B2F42"/>
    <w:rsid w:val="001C3A30"/>
    <w:rsid w:val="001D2001"/>
    <w:rsid w:val="001D6ED1"/>
    <w:rsid w:val="0022226D"/>
    <w:rsid w:val="002371E9"/>
    <w:rsid w:val="00253AC6"/>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46B78"/>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7E4E"/>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57B"/>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9102A"/>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038"/>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C5E9A"/>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03C2E"/>
    <w:rsid w:val="00F1129B"/>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D6E3C"/>
    <w:rsid w:val="01D03FEC"/>
    <w:rsid w:val="01ED35F8"/>
    <w:rsid w:val="0220111E"/>
    <w:rsid w:val="024450D7"/>
    <w:rsid w:val="033476DA"/>
    <w:rsid w:val="04944F5B"/>
    <w:rsid w:val="04B7331F"/>
    <w:rsid w:val="059A51DA"/>
    <w:rsid w:val="06B6757D"/>
    <w:rsid w:val="070865B3"/>
    <w:rsid w:val="070F6479"/>
    <w:rsid w:val="07EB399E"/>
    <w:rsid w:val="084D2071"/>
    <w:rsid w:val="08795D42"/>
    <w:rsid w:val="08F63086"/>
    <w:rsid w:val="09971A96"/>
    <w:rsid w:val="09FA59E7"/>
    <w:rsid w:val="0A140F0B"/>
    <w:rsid w:val="0A6D52EF"/>
    <w:rsid w:val="0A900349"/>
    <w:rsid w:val="0AA445D7"/>
    <w:rsid w:val="0BF719CD"/>
    <w:rsid w:val="0C51261E"/>
    <w:rsid w:val="0C562ECC"/>
    <w:rsid w:val="0D1C02C5"/>
    <w:rsid w:val="0DCF2DE5"/>
    <w:rsid w:val="0FC658CF"/>
    <w:rsid w:val="10275D5E"/>
    <w:rsid w:val="10B57884"/>
    <w:rsid w:val="112A4D5E"/>
    <w:rsid w:val="11361503"/>
    <w:rsid w:val="1294405E"/>
    <w:rsid w:val="12A96A26"/>
    <w:rsid w:val="13504F15"/>
    <w:rsid w:val="138377E2"/>
    <w:rsid w:val="13950693"/>
    <w:rsid w:val="140D6837"/>
    <w:rsid w:val="14360E9D"/>
    <w:rsid w:val="143720B4"/>
    <w:rsid w:val="14456D2D"/>
    <w:rsid w:val="144E6079"/>
    <w:rsid w:val="15026D3F"/>
    <w:rsid w:val="15752A35"/>
    <w:rsid w:val="16560A5B"/>
    <w:rsid w:val="165B3415"/>
    <w:rsid w:val="167429F4"/>
    <w:rsid w:val="16E81710"/>
    <w:rsid w:val="17002797"/>
    <w:rsid w:val="18325885"/>
    <w:rsid w:val="18FC408D"/>
    <w:rsid w:val="191B2113"/>
    <w:rsid w:val="1A1F4F6D"/>
    <w:rsid w:val="1A6F53FB"/>
    <w:rsid w:val="1A781479"/>
    <w:rsid w:val="1B4D0720"/>
    <w:rsid w:val="1BC41C5A"/>
    <w:rsid w:val="1BE16251"/>
    <w:rsid w:val="1C3042A1"/>
    <w:rsid w:val="1C8F32EA"/>
    <w:rsid w:val="1DDE1448"/>
    <w:rsid w:val="1DF661B9"/>
    <w:rsid w:val="1F0A6B48"/>
    <w:rsid w:val="1FCA68B4"/>
    <w:rsid w:val="20095B14"/>
    <w:rsid w:val="20B77646"/>
    <w:rsid w:val="215D5779"/>
    <w:rsid w:val="21972FB1"/>
    <w:rsid w:val="227B137F"/>
    <w:rsid w:val="22D97013"/>
    <w:rsid w:val="23037A07"/>
    <w:rsid w:val="231743EF"/>
    <w:rsid w:val="2348484A"/>
    <w:rsid w:val="23F32129"/>
    <w:rsid w:val="2470149A"/>
    <w:rsid w:val="24B6419A"/>
    <w:rsid w:val="251801F7"/>
    <w:rsid w:val="25E2734F"/>
    <w:rsid w:val="260700C5"/>
    <w:rsid w:val="26423EFF"/>
    <w:rsid w:val="26B67720"/>
    <w:rsid w:val="26C636D7"/>
    <w:rsid w:val="26C7259C"/>
    <w:rsid w:val="26E33FD1"/>
    <w:rsid w:val="26FC1EF0"/>
    <w:rsid w:val="275A55C2"/>
    <w:rsid w:val="27BA1B7C"/>
    <w:rsid w:val="28403EA7"/>
    <w:rsid w:val="28CC6164"/>
    <w:rsid w:val="29164D1D"/>
    <w:rsid w:val="2974783F"/>
    <w:rsid w:val="2AC076C2"/>
    <w:rsid w:val="2B201DDB"/>
    <w:rsid w:val="2B917629"/>
    <w:rsid w:val="2BBA6A67"/>
    <w:rsid w:val="2C337454"/>
    <w:rsid w:val="2C36248E"/>
    <w:rsid w:val="2C9E1DD4"/>
    <w:rsid w:val="2DC81A38"/>
    <w:rsid w:val="2DE75E31"/>
    <w:rsid w:val="2E8F02D2"/>
    <w:rsid w:val="2EA803AD"/>
    <w:rsid w:val="2F0417EE"/>
    <w:rsid w:val="2F3A0F45"/>
    <w:rsid w:val="2FBE547D"/>
    <w:rsid w:val="300848E7"/>
    <w:rsid w:val="302837E4"/>
    <w:rsid w:val="304F1C25"/>
    <w:rsid w:val="31836F6C"/>
    <w:rsid w:val="326B0598"/>
    <w:rsid w:val="33741DC8"/>
    <w:rsid w:val="34711A93"/>
    <w:rsid w:val="34897B2E"/>
    <w:rsid w:val="348E46C8"/>
    <w:rsid w:val="35C336B9"/>
    <w:rsid w:val="363300A8"/>
    <w:rsid w:val="365F2844"/>
    <w:rsid w:val="36D47963"/>
    <w:rsid w:val="36E44291"/>
    <w:rsid w:val="3768584C"/>
    <w:rsid w:val="37DC7101"/>
    <w:rsid w:val="38253F4B"/>
    <w:rsid w:val="38522091"/>
    <w:rsid w:val="38D8187E"/>
    <w:rsid w:val="39316126"/>
    <w:rsid w:val="39887829"/>
    <w:rsid w:val="39FD0A7E"/>
    <w:rsid w:val="3A4E3056"/>
    <w:rsid w:val="3A835699"/>
    <w:rsid w:val="3AA8457A"/>
    <w:rsid w:val="3B5E010D"/>
    <w:rsid w:val="3C27418C"/>
    <w:rsid w:val="3DC02FD1"/>
    <w:rsid w:val="3DD36518"/>
    <w:rsid w:val="3E087A3E"/>
    <w:rsid w:val="3E237685"/>
    <w:rsid w:val="3F4E171F"/>
    <w:rsid w:val="3F663D3E"/>
    <w:rsid w:val="3F7B0BCA"/>
    <w:rsid w:val="3F7F12A1"/>
    <w:rsid w:val="400F6B63"/>
    <w:rsid w:val="41204235"/>
    <w:rsid w:val="41B433FC"/>
    <w:rsid w:val="41E31D39"/>
    <w:rsid w:val="42C40111"/>
    <w:rsid w:val="42EC56CE"/>
    <w:rsid w:val="44B02534"/>
    <w:rsid w:val="455640F7"/>
    <w:rsid w:val="45E80663"/>
    <w:rsid w:val="45EA4112"/>
    <w:rsid w:val="461E3112"/>
    <w:rsid w:val="46260513"/>
    <w:rsid w:val="46916A0C"/>
    <w:rsid w:val="46F95DCC"/>
    <w:rsid w:val="47C30A72"/>
    <w:rsid w:val="48346ED7"/>
    <w:rsid w:val="484F7B35"/>
    <w:rsid w:val="48EA22C6"/>
    <w:rsid w:val="492F7742"/>
    <w:rsid w:val="4993613B"/>
    <w:rsid w:val="49A139B0"/>
    <w:rsid w:val="49B07B17"/>
    <w:rsid w:val="4A9B4753"/>
    <w:rsid w:val="4AA72FAB"/>
    <w:rsid w:val="4B70303A"/>
    <w:rsid w:val="4BAC15B2"/>
    <w:rsid w:val="4BE51D09"/>
    <w:rsid w:val="4C406BA5"/>
    <w:rsid w:val="4CDB61F1"/>
    <w:rsid w:val="4D0C257E"/>
    <w:rsid w:val="4D264726"/>
    <w:rsid w:val="4D2C3DA7"/>
    <w:rsid w:val="4DD272AF"/>
    <w:rsid w:val="4FBE354F"/>
    <w:rsid w:val="50514B19"/>
    <w:rsid w:val="50A41749"/>
    <w:rsid w:val="50A55EF9"/>
    <w:rsid w:val="515B5BB6"/>
    <w:rsid w:val="51A22DB0"/>
    <w:rsid w:val="51D7346D"/>
    <w:rsid w:val="51DB6FAB"/>
    <w:rsid w:val="524D6C2D"/>
    <w:rsid w:val="534938E3"/>
    <w:rsid w:val="539D5774"/>
    <w:rsid w:val="53D729C9"/>
    <w:rsid w:val="54952865"/>
    <w:rsid w:val="54ED2801"/>
    <w:rsid w:val="552D52A9"/>
    <w:rsid w:val="557B62FA"/>
    <w:rsid w:val="55AB7F34"/>
    <w:rsid w:val="579A6E9C"/>
    <w:rsid w:val="57CC7573"/>
    <w:rsid w:val="57E02209"/>
    <w:rsid w:val="58244EB7"/>
    <w:rsid w:val="5902639B"/>
    <w:rsid w:val="599B677D"/>
    <w:rsid w:val="5A110B36"/>
    <w:rsid w:val="5B206D35"/>
    <w:rsid w:val="5B2C0540"/>
    <w:rsid w:val="5B9F7B06"/>
    <w:rsid w:val="5C760F90"/>
    <w:rsid w:val="5D762391"/>
    <w:rsid w:val="5D9D73E7"/>
    <w:rsid w:val="5DB20729"/>
    <w:rsid w:val="5DBB2715"/>
    <w:rsid w:val="5DBC1C1E"/>
    <w:rsid w:val="5DF945D5"/>
    <w:rsid w:val="5E6036DD"/>
    <w:rsid w:val="5E907F94"/>
    <w:rsid w:val="5E99298E"/>
    <w:rsid w:val="5EB2196E"/>
    <w:rsid w:val="5EFD4C2F"/>
    <w:rsid w:val="5F010883"/>
    <w:rsid w:val="5FBA4E4C"/>
    <w:rsid w:val="5FDF59CF"/>
    <w:rsid w:val="5FE31F6A"/>
    <w:rsid w:val="61040EA5"/>
    <w:rsid w:val="61292D62"/>
    <w:rsid w:val="61597C19"/>
    <w:rsid w:val="616854FA"/>
    <w:rsid w:val="61887116"/>
    <w:rsid w:val="61AF7EBD"/>
    <w:rsid w:val="62236A34"/>
    <w:rsid w:val="62445FC4"/>
    <w:rsid w:val="624757BC"/>
    <w:rsid w:val="627D747F"/>
    <w:rsid w:val="62FA3951"/>
    <w:rsid w:val="642637A0"/>
    <w:rsid w:val="64751B6A"/>
    <w:rsid w:val="647D74BC"/>
    <w:rsid w:val="65F2278B"/>
    <w:rsid w:val="660D2ED6"/>
    <w:rsid w:val="664904B6"/>
    <w:rsid w:val="66B475BA"/>
    <w:rsid w:val="66F130F7"/>
    <w:rsid w:val="676C7B20"/>
    <w:rsid w:val="67BD71B6"/>
    <w:rsid w:val="67CA2359"/>
    <w:rsid w:val="68D25C98"/>
    <w:rsid w:val="692374EC"/>
    <w:rsid w:val="6A3853E6"/>
    <w:rsid w:val="6A476406"/>
    <w:rsid w:val="6A567B90"/>
    <w:rsid w:val="6A737633"/>
    <w:rsid w:val="6B8E02C8"/>
    <w:rsid w:val="6BB53802"/>
    <w:rsid w:val="6C2E3CF4"/>
    <w:rsid w:val="6CC4010E"/>
    <w:rsid w:val="6CDB0F2E"/>
    <w:rsid w:val="6CF511A0"/>
    <w:rsid w:val="6D333937"/>
    <w:rsid w:val="6DF731D4"/>
    <w:rsid w:val="6E913029"/>
    <w:rsid w:val="6EA1005A"/>
    <w:rsid w:val="6EC86B24"/>
    <w:rsid w:val="6F3A6929"/>
    <w:rsid w:val="6F5162FB"/>
    <w:rsid w:val="6FAB56DD"/>
    <w:rsid w:val="6FCC612F"/>
    <w:rsid w:val="711235A4"/>
    <w:rsid w:val="713069BC"/>
    <w:rsid w:val="71332ADA"/>
    <w:rsid w:val="7262292A"/>
    <w:rsid w:val="72974490"/>
    <w:rsid w:val="72D17DDC"/>
    <w:rsid w:val="73236061"/>
    <w:rsid w:val="738A1947"/>
    <w:rsid w:val="73D35893"/>
    <w:rsid w:val="745B06DD"/>
    <w:rsid w:val="75094B3E"/>
    <w:rsid w:val="751B097E"/>
    <w:rsid w:val="752C4403"/>
    <w:rsid w:val="758328BE"/>
    <w:rsid w:val="75982830"/>
    <w:rsid w:val="76184CB6"/>
    <w:rsid w:val="76763ABE"/>
    <w:rsid w:val="77112BE7"/>
    <w:rsid w:val="773F226F"/>
    <w:rsid w:val="780811C6"/>
    <w:rsid w:val="78900131"/>
    <w:rsid w:val="78902A07"/>
    <w:rsid w:val="78EB73A4"/>
    <w:rsid w:val="7918200A"/>
    <w:rsid w:val="7949289B"/>
    <w:rsid w:val="7A16139E"/>
    <w:rsid w:val="7A877B3A"/>
    <w:rsid w:val="7A8D32F6"/>
    <w:rsid w:val="7B711966"/>
    <w:rsid w:val="7BAC7D80"/>
    <w:rsid w:val="7C135354"/>
    <w:rsid w:val="7C4D6B6B"/>
    <w:rsid w:val="7CA71C68"/>
    <w:rsid w:val="7D2A3C0D"/>
    <w:rsid w:val="7D5B7568"/>
    <w:rsid w:val="7E21399E"/>
    <w:rsid w:val="7E2255C4"/>
    <w:rsid w:val="7EEC1102"/>
    <w:rsid w:val="7F353E24"/>
    <w:rsid w:val="7F6A30A6"/>
    <w:rsid w:val="7FE16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annotation text"/>
    <w:basedOn w:val="1"/>
    <w:link w:val="17"/>
    <w:unhideWhenUsed/>
    <w:qFormat/>
    <w:uiPriority w:val="0"/>
    <w:pPr>
      <w:jc w:val="left"/>
    </w:pPr>
  </w:style>
  <w:style w:type="paragraph" w:styleId="4">
    <w:name w:val="Body Text Indent"/>
    <w:basedOn w:val="1"/>
    <w:unhideWhenUsed/>
    <w:qFormat/>
    <w:uiPriority w:val="99"/>
    <w:pPr>
      <w:spacing w:after="120"/>
      <w:ind w:left="420" w:leftChars="200"/>
    </w:pPr>
    <w:rPr>
      <w:kern w:val="0"/>
      <w:sz w:val="20"/>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paragraph" w:styleId="9">
    <w:name w:val="Body Text First Indent 2"/>
    <w:basedOn w:val="4"/>
    <w:unhideWhenUsed/>
    <w:qFormat/>
    <w:uiPriority w:val="99"/>
    <w:pPr>
      <w:ind w:firstLine="420" w:firstLineChars="200"/>
    </w:p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rFonts w:ascii="Times New Roman" w:hAnsi="Times New Roman" w:eastAsia="华文仿宋" w:cs="Times New Roman"/>
      <w:sz w:val="18"/>
      <w:szCs w:val="18"/>
    </w:rPr>
  </w:style>
  <w:style w:type="character" w:customStyle="1" w:styleId="14">
    <w:name w:val="页脚 Char"/>
    <w:basedOn w:val="11"/>
    <w:link w:val="6"/>
    <w:qFormat/>
    <w:uiPriority w:val="99"/>
    <w:rPr>
      <w:rFonts w:ascii="Times New Roman" w:hAnsi="Times New Roman" w:eastAsia="华文仿宋" w:cs="Times New Roman"/>
      <w:sz w:val="18"/>
      <w:szCs w:val="18"/>
    </w:rPr>
  </w:style>
  <w:style w:type="character" w:customStyle="1" w:styleId="15">
    <w:name w:val="文档结构图 Char"/>
    <w:basedOn w:val="11"/>
    <w:link w:val="2"/>
    <w:semiHidden/>
    <w:qFormat/>
    <w:uiPriority w:val="99"/>
    <w:rPr>
      <w:rFonts w:ascii="宋体"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华文仿宋" w:cs="Times New Roman"/>
      <w:sz w:val="18"/>
      <w:szCs w:val="18"/>
    </w:rPr>
  </w:style>
  <w:style w:type="character" w:customStyle="1" w:styleId="17">
    <w:name w:val="批注文字 Char"/>
    <w:basedOn w:val="11"/>
    <w:link w:val="3"/>
    <w:qFormat/>
    <w:uiPriority w:val="0"/>
    <w:rPr>
      <w:rFonts w:ascii="Times New Roman" w:hAnsi="Times New Roman" w:eastAsia="华文仿宋" w:cs="Times New Roman"/>
      <w:sz w:val="32"/>
      <w:szCs w:val="24"/>
    </w:rPr>
  </w:style>
  <w:style w:type="character" w:customStyle="1" w:styleId="18">
    <w:name w:val="批注主题 Char"/>
    <w:basedOn w:val="17"/>
    <w:link w:val="8"/>
    <w:semiHidden/>
    <w:qFormat/>
    <w:uiPriority w:val="99"/>
    <w:rPr>
      <w:rFonts w:ascii="Times New Roman" w:hAnsi="Times New Roman" w:eastAsia="华文仿宋" w:cs="Times New Roman"/>
      <w:b/>
      <w:bCs/>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213</Words>
  <Characters>1218</Characters>
  <Lines>10</Lines>
  <Paragraphs>2</Paragraphs>
  <TotalTime>1</TotalTime>
  <ScaleCrop>false</ScaleCrop>
  <LinksUpToDate>false</LinksUpToDate>
  <CharactersWithSpaces>1429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2020-06-17T08:06:00Z</cp:lastPrinted>
  <dcterms:modified xsi:type="dcterms:W3CDTF">2020-07-02T03:11:40Z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