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24</w:t>
      </w:r>
      <w:r>
        <w:rPr>
          <w:rFonts w:hint="eastAsia" w:ascii="仿宋_GB2312" w:eastAsia="仿宋_GB2312"/>
          <w:color w:val="auto"/>
          <w:sz w:val="28"/>
          <w:szCs w:val="28"/>
        </w:rPr>
        <w:t>号</w:t>
      </w:r>
    </w:p>
    <w:p>
      <w:pPr>
        <w:tabs>
          <w:tab w:val="left" w:pos="6240"/>
        </w:tabs>
        <w:spacing w:line="560" w:lineRule="exact"/>
        <w:jc w:val="right"/>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关于湖南晶海冶金科技有限公司年产60t刀具刀片生产线项目环境影响报告表的批复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Cs w:val="32"/>
        </w:rPr>
      </w:pPr>
      <w:r>
        <w:rPr>
          <w:rFonts w:hint="eastAsia" w:ascii="仿宋_GB2312" w:eastAsia="仿宋_GB2312"/>
          <w:bCs/>
          <w:szCs w:val="32"/>
        </w:rPr>
        <w:t>湖南晶海冶金科技有限公司</w:t>
      </w:r>
      <w:r>
        <w:rPr>
          <w:rFonts w:hint="eastAsia" w:ascii="仿宋_GB2312" w:eastAsia="仿宋_GB231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56" w:firstLineChars="200"/>
        <w:textAlignment w:val="auto"/>
        <w:rPr>
          <w:rFonts w:hint="eastAsia" w:ascii="仿宋_GB2312" w:hAnsi="仿宋_GB2312" w:eastAsia="仿宋_GB2312" w:cs="仿宋_GB2312"/>
          <w:color w:val="000000"/>
          <w:spacing w:val="0"/>
          <w:sz w:val="32"/>
          <w:szCs w:val="32"/>
        </w:rPr>
      </w:pPr>
      <w:r>
        <w:rPr>
          <w:rFonts w:hint="eastAsia" w:ascii="仿宋_GB2312" w:eastAsia="仿宋_GB2312"/>
          <w:color w:val="000000"/>
          <w:spacing w:val="4"/>
          <w:szCs w:val="32"/>
        </w:rPr>
        <w:t>你</w:t>
      </w:r>
      <w:r>
        <w:rPr>
          <w:rFonts w:hint="eastAsia" w:ascii="仿宋_GB2312" w:eastAsia="仿宋_GB2312"/>
          <w:bCs/>
          <w:szCs w:val="32"/>
          <w:lang w:eastAsia="zh-CN"/>
        </w:rPr>
        <w:t>公司</w:t>
      </w:r>
      <w:r>
        <w:rPr>
          <w:rFonts w:hint="eastAsia" w:ascii="仿宋_GB2312" w:eastAsia="仿宋_GB2312"/>
          <w:bCs/>
          <w:szCs w:val="32"/>
        </w:rPr>
        <w:t>呈报的《湖南晶海冶金科技有限公司年产60t刀具刀片生产线项目环境影响报告表》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pacing w:val="4"/>
          <w:szCs w:val="32"/>
        </w:rPr>
      </w:pPr>
      <w:r>
        <w:rPr>
          <w:rFonts w:hint="eastAsia"/>
          <w:szCs w:val="24"/>
          <w:lang w:eastAsia="zh-CN"/>
        </w:rPr>
        <w:t>你</w:t>
      </w:r>
      <w:r>
        <w:rPr>
          <w:rFonts w:hint="eastAsia"/>
          <w:szCs w:val="24"/>
        </w:rPr>
        <w:t>公司拟投资</w:t>
      </w:r>
      <w:r>
        <w:rPr>
          <w:rFonts w:hint="eastAsia"/>
          <w:szCs w:val="24"/>
          <w:lang w:val="en-US" w:eastAsia="zh-CN"/>
        </w:rPr>
        <w:t>1</w:t>
      </w:r>
      <w:r>
        <w:rPr>
          <w:rFonts w:hint="eastAsia"/>
          <w:szCs w:val="24"/>
        </w:rPr>
        <w:t>6</w:t>
      </w:r>
      <w:r>
        <w:rPr>
          <w:rFonts w:hint="eastAsia"/>
          <w:szCs w:val="24"/>
          <w:lang w:val="en-US" w:eastAsia="zh-CN"/>
        </w:rPr>
        <w:t>0</w:t>
      </w:r>
      <w:r>
        <w:rPr>
          <w:rFonts w:hint="eastAsia"/>
          <w:szCs w:val="24"/>
        </w:rPr>
        <w:t>0万元</w:t>
      </w:r>
      <w:r>
        <w:rPr>
          <w:rFonts w:hint="eastAsia"/>
          <w:szCs w:val="24"/>
          <w:lang w:eastAsia="zh-CN"/>
        </w:rPr>
        <w:t>在</w:t>
      </w:r>
      <w:r>
        <w:rPr>
          <w:rFonts w:hint="eastAsia"/>
          <w:szCs w:val="24"/>
        </w:rPr>
        <w:t>益阳高新区东部产业园</w:t>
      </w:r>
      <w:r>
        <w:rPr>
          <w:rFonts w:hint="eastAsia"/>
          <w:szCs w:val="24"/>
          <w:lang w:eastAsia="zh-CN"/>
        </w:rPr>
        <w:t>内</w:t>
      </w:r>
      <w:r>
        <w:rPr>
          <w:rFonts w:hint="eastAsia"/>
          <w:szCs w:val="24"/>
        </w:rPr>
        <w:t>租赁</w:t>
      </w:r>
      <w:r>
        <w:rPr>
          <w:rFonts w:hint="eastAsia"/>
          <w:szCs w:val="24"/>
          <w:lang w:eastAsia="zh-CN"/>
        </w:rPr>
        <w:t>湖南湘达科技</w:t>
      </w:r>
      <w:r>
        <w:rPr>
          <w:rFonts w:hint="eastAsia"/>
          <w:szCs w:val="24"/>
        </w:rPr>
        <w:t>有限公司</w:t>
      </w:r>
      <w:r>
        <w:rPr>
          <w:rFonts w:hint="eastAsia"/>
          <w:szCs w:val="24"/>
          <w:lang w:eastAsia="zh-CN"/>
        </w:rPr>
        <w:t>现有厂房</w:t>
      </w:r>
      <w:r>
        <w:rPr>
          <w:rFonts w:hint="eastAsia"/>
          <w:szCs w:val="24"/>
          <w:lang w:val="en-US" w:eastAsia="zh-CN"/>
        </w:rPr>
        <w:t>，</w:t>
      </w:r>
      <w:r>
        <w:rPr>
          <w:rFonts w:hint="eastAsia"/>
          <w:szCs w:val="24"/>
        </w:rPr>
        <w:t>建设一条刀具刀片生产线，年产盾构刀具30t、耐磨件12t、刀片18t</w:t>
      </w:r>
      <w:r>
        <w:rPr>
          <w:rFonts w:hint="eastAsia"/>
          <w:szCs w:val="24"/>
          <w:lang w:eastAsia="zh-CN"/>
        </w:rPr>
        <w:t>。</w:t>
      </w:r>
      <w:r>
        <w:rPr>
          <w:rFonts w:hint="eastAsia"/>
          <w:szCs w:val="24"/>
          <w:lang w:val="en-US" w:eastAsia="zh-CN"/>
        </w:rPr>
        <w:t>项目占地面积1700平方米，</w:t>
      </w:r>
      <w:r>
        <w:rPr>
          <w:rFonts w:hint="eastAsia"/>
          <w:szCs w:val="24"/>
          <w:lang w:eastAsia="zh-CN"/>
        </w:rPr>
        <w:t>厂房内分区设置烧结区、压制区、混料区、湿磨区、机加工区、打包区、仓库</w:t>
      </w:r>
      <w:r>
        <w:rPr>
          <w:rFonts w:hint="eastAsia" w:ascii="仿宋_GB2312" w:hAnsi="仿宋_GB2312" w:eastAsia="仿宋_GB2312" w:cs="仿宋_GB2312"/>
          <w:color w:val="000000"/>
          <w:spacing w:val="0"/>
          <w:sz w:val="32"/>
          <w:szCs w:val="32"/>
          <w:lang w:eastAsia="zh-CN"/>
        </w:rPr>
        <w:t>、办公区、食堂及</w:t>
      </w:r>
      <w:r>
        <w:rPr>
          <w:rFonts w:hint="eastAsia" w:ascii="仿宋_GB2312" w:hAnsi="仿宋_GB2312" w:eastAsia="仿宋_GB2312" w:cs="仿宋_GB2312"/>
          <w:color w:val="000000"/>
          <w:spacing w:val="0"/>
          <w:sz w:val="32"/>
          <w:szCs w:val="32"/>
          <w:lang w:val="en-US" w:eastAsia="zh-CN"/>
        </w:rPr>
        <w:t>给排水、供配电、环保等相关公用辅助工程。项目建设符合国家产业政策和</w:t>
      </w:r>
      <w:r>
        <w:rPr>
          <w:rFonts w:hint="eastAsia" w:ascii="仿宋_GB2312" w:hAnsi="仿宋_GB2312" w:eastAsia="仿宋_GB2312" w:cs="仿宋_GB2312"/>
          <w:color w:val="000000"/>
          <w:spacing w:val="0"/>
          <w:sz w:val="32"/>
          <w:szCs w:val="32"/>
        </w:rPr>
        <w:t>益阳高新区东部产业园</w:t>
      </w:r>
      <w:r>
        <w:rPr>
          <w:rFonts w:hint="eastAsia" w:ascii="仿宋_GB2312" w:hAnsi="仿宋_GB2312" w:eastAsia="仿宋_GB2312" w:cs="仿宋_GB2312"/>
          <w:color w:val="000000"/>
          <w:spacing w:val="0"/>
          <w:sz w:val="32"/>
          <w:szCs w:val="32"/>
          <w:lang w:val="en-US" w:eastAsia="zh-CN"/>
        </w:rPr>
        <w:t>选址用地规划要求。根据湖南明启环保工程有限公司</w:t>
      </w:r>
      <w:r>
        <w:rPr>
          <w:rFonts w:hint="eastAsia" w:ascii="仿宋_GB2312" w:hAnsi="仿宋_GB2312" w:eastAsia="仿宋_GB2312" w:cs="仿宋_GB2312"/>
          <w:color w:val="000000"/>
          <w:spacing w:val="0"/>
          <w:sz w:val="32"/>
          <w:szCs w:val="32"/>
          <w:lang w:eastAsia="zh-CN"/>
        </w:rPr>
        <w:t>编制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hint="eastAsia" w:ascii="仿宋_GB2312" w:eastAsia="仿宋_GB2312"/>
          <w:color w:val="000000"/>
          <w:spacing w:val="4"/>
          <w:szCs w:val="32"/>
        </w:rPr>
      </w:pPr>
      <w:r>
        <w:rPr>
          <w:rFonts w:hint="eastAsia" w:ascii="仿宋_GB2312" w:eastAsia="仿宋_GB2312"/>
          <w:color w:val="000000"/>
          <w:spacing w:val="4"/>
          <w:szCs w:val="32"/>
          <w:lang w:eastAsia="zh-CN"/>
        </w:rPr>
        <w:t>（一）</w:t>
      </w:r>
      <w:r>
        <w:rPr>
          <w:rFonts w:hint="eastAsia" w:ascii="仿宋_GB2312" w:eastAsia="仿宋_GB2312"/>
          <w:color w:val="000000"/>
          <w:spacing w:val="4"/>
          <w:szCs w:val="32"/>
        </w:rPr>
        <w:t>做好项目大气污染防治工作。机加工</w:t>
      </w:r>
      <w:r>
        <w:rPr>
          <w:rFonts w:hint="eastAsia" w:ascii="仿宋_GB2312" w:eastAsia="仿宋_GB2312"/>
          <w:color w:val="000000"/>
          <w:spacing w:val="4"/>
          <w:szCs w:val="32"/>
          <w:lang w:eastAsia="zh-CN"/>
        </w:rPr>
        <w:t>产生粉尘的工位应设置</w:t>
      </w:r>
      <w:r>
        <w:rPr>
          <w:rFonts w:hint="eastAsia" w:ascii="仿宋_GB2312" w:eastAsia="仿宋_GB2312"/>
          <w:color w:val="auto"/>
          <w:spacing w:val="4"/>
          <w:szCs w:val="32"/>
          <w:lang w:eastAsia="zh-CN"/>
        </w:rPr>
        <w:t>挡板、同时配备工业用集尘器进行处理</w:t>
      </w:r>
      <w:r>
        <w:rPr>
          <w:rFonts w:hint="eastAsia" w:ascii="仿宋_GB2312" w:eastAsia="仿宋_GB2312"/>
          <w:color w:val="000000"/>
          <w:spacing w:val="4"/>
          <w:szCs w:val="32"/>
        </w:rPr>
        <w:t>，确保外排污染物满足《大气污染物综合排放标准》（GB16297-1996）表2中无组织排放</w:t>
      </w:r>
      <w:r>
        <w:rPr>
          <w:rFonts w:hint="eastAsia" w:ascii="仿宋_GB2312" w:eastAsia="仿宋_GB2312"/>
          <w:color w:val="000000"/>
          <w:spacing w:val="4"/>
          <w:szCs w:val="32"/>
          <w:lang w:eastAsia="zh-CN"/>
        </w:rPr>
        <w:t>监控</w:t>
      </w:r>
      <w:r>
        <w:rPr>
          <w:rFonts w:hint="eastAsia" w:ascii="仿宋_GB2312" w:eastAsia="仿宋_GB2312"/>
          <w:color w:val="000000"/>
          <w:spacing w:val="4"/>
          <w:szCs w:val="32"/>
        </w:rPr>
        <w:t>浓度限值要求；干燥工序</w:t>
      </w:r>
      <w:r>
        <w:rPr>
          <w:rFonts w:hint="eastAsia" w:ascii="仿宋_GB2312" w:eastAsia="仿宋_GB2312"/>
          <w:color w:val="000000"/>
          <w:spacing w:val="4"/>
          <w:szCs w:val="32"/>
          <w:lang w:eastAsia="zh-CN"/>
        </w:rPr>
        <w:t>产生</w:t>
      </w:r>
      <w:r>
        <w:rPr>
          <w:rFonts w:hint="eastAsia" w:ascii="仿宋_GB2312" w:eastAsia="仿宋_GB2312"/>
          <w:color w:val="000000"/>
          <w:spacing w:val="4"/>
          <w:szCs w:val="32"/>
        </w:rPr>
        <w:t>的酒精蒸汽经集气后采用冷凝回收工艺处理，确保外排污染物分别达到《工业企业挥发性有机物排放控制标准》（DB12/524-2014)表5</w:t>
      </w:r>
      <w:r>
        <w:rPr>
          <w:rFonts w:hint="eastAsia" w:ascii="仿宋_GB2312" w:eastAsia="仿宋_GB2312"/>
          <w:color w:val="000000"/>
          <w:spacing w:val="4"/>
          <w:szCs w:val="32"/>
          <w:lang w:eastAsia="zh-CN"/>
        </w:rPr>
        <w:t>中</w:t>
      </w:r>
      <w:r>
        <w:rPr>
          <w:rFonts w:hint="eastAsia" w:ascii="仿宋_GB2312" w:eastAsia="仿宋_GB2312"/>
          <w:color w:val="000000"/>
          <w:spacing w:val="4"/>
          <w:szCs w:val="32"/>
        </w:rPr>
        <w:t>无组织排放厂界监控点浓度限值</w:t>
      </w:r>
      <w:r>
        <w:rPr>
          <w:rFonts w:hint="eastAsia" w:ascii="仿宋_GB2312" w:eastAsia="仿宋_GB2312"/>
          <w:color w:val="000000"/>
          <w:spacing w:val="4"/>
          <w:szCs w:val="32"/>
          <w:lang w:eastAsia="zh-CN"/>
        </w:rPr>
        <w:t>要求；</w:t>
      </w:r>
      <w:r>
        <w:rPr>
          <w:rFonts w:hint="eastAsia" w:ascii="仿宋_GB2312" w:eastAsia="仿宋_GB2312"/>
          <w:color w:val="000000"/>
          <w:spacing w:val="4"/>
          <w:szCs w:val="32"/>
        </w:rPr>
        <w:t>烧结工序产生的有机废气</w:t>
      </w:r>
      <w:r>
        <w:rPr>
          <w:rFonts w:hint="eastAsia" w:ascii="仿宋_GB2312" w:eastAsia="仿宋_GB2312"/>
          <w:color w:val="000000"/>
          <w:spacing w:val="4"/>
          <w:szCs w:val="32"/>
          <w:lang w:eastAsia="zh-CN"/>
        </w:rPr>
        <w:t>（主要成分为石蜡）经集气后采用</w:t>
      </w:r>
      <w:r>
        <w:rPr>
          <w:rFonts w:hint="eastAsia" w:ascii="仿宋_GB2312" w:eastAsia="仿宋_GB2312"/>
          <w:color w:val="000000"/>
          <w:spacing w:val="4"/>
          <w:szCs w:val="32"/>
        </w:rPr>
        <w:t>冷凝回收</w:t>
      </w:r>
      <w:r>
        <w:rPr>
          <w:rFonts w:hint="eastAsia" w:ascii="仿宋_GB2312" w:eastAsia="仿宋_GB2312"/>
          <w:color w:val="000000"/>
          <w:spacing w:val="4"/>
          <w:szCs w:val="32"/>
          <w:lang w:eastAsia="zh-CN"/>
        </w:rPr>
        <w:t>工艺处理，确保外排污染物分别达到《工业企业挥发性有机物排放控制标准》（DB12/524-2014)表2中新建企业排气筒污染物排放限值后经15m高排气筒排放；</w:t>
      </w:r>
      <w:r>
        <w:rPr>
          <w:rFonts w:hint="eastAsia" w:ascii="仿宋_GB2312" w:eastAsia="仿宋_GB2312"/>
          <w:color w:val="000000"/>
          <w:spacing w:val="4"/>
          <w:kern w:val="0"/>
          <w:szCs w:val="32"/>
        </w:rPr>
        <w:t>食堂油烟经油烟净化装置处理达到《饮食业油烟排放标准（试行）》（GB18483-2001）要求后高空排放</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油烟排气筒的高度、位置等具体要求按照</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饮食业环境保护技术规范</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HJ554-2010</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的规定执行。</w:t>
      </w:r>
    </w:p>
    <w:p>
      <w:pPr>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（二）</w:t>
      </w:r>
      <w:r>
        <w:rPr>
          <w:rFonts w:hint="eastAsia" w:ascii="仿宋_GB2312" w:eastAsia="仿宋_GB2312"/>
          <w:color w:val="000000"/>
          <w:spacing w:val="4"/>
          <w:szCs w:val="32"/>
        </w:rPr>
        <w:t>做好项目水污染防治工作。生活污水</w:t>
      </w:r>
      <w:r>
        <w:rPr>
          <w:rFonts w:hint="eastAsia" w:ascii="仿宋_GB2312" w:eastAsia="仿宋_GB2312"/>
          <w:color w:val="000000"/>
          <w:spacing w:val="4"/>
          <w:szCs w:val="32"/>
          <w:lang w:eastAsia="zh-CN"/>
        </w:rPr>
        <w:t>（含食堂废水）、车间地面清洁废水</w:t>
      </w:r>
      <w:r>
        <w:rPr>
          <w:rFonts w:hint="eastAsia" w:ascii="仿宋_GB2312" w:eastAsia="仿宋_GB2312"/>
          <w:color w:val="000000"/>
          <w:spacing w:val="4"/>
          <w:szCs w:val="32"/>
        </w:rPr>
        <w:t>经隔油池、化粪池处理，达到《污水综合排放标准》（GB8978-1996）表4中三级标准后经园区污水管网排入益阳东部新区污水处理厂进行深度处理；</w:t>
      </w:r>
      <w:r>
        <w:rPr>
          <w:rFonts w:hint="eastAsia" w:ascii="仿宋_GB2312" w:eastAsia="仿宋_GB2312"/>
          <w:color w:val="000000"/>
          <w:spacing w:val="4"/>
          <w:szCs w:val="32"/>
          <w:lang w:eastAsia="zh-CN"/>
        </w:rPr>
        <w:t>冷却循环系统产生的</w:t>
      </w:r>
      <w:r>
        <w:rPr>
          <w:rFonts w:hint="eastAsia" w:ascii="仿宋_GB2312" w:eastAsia="仿宋_GB2312"/>
          <w:color w:val="000000"/>
          <w:spacing w:val="4"/>
          <w:szCs w:val="32"/>
        </w:rPr>
        <w:t>冷却水经收集后循环使用，不外排。</w:t>
      </w:r>
    </w:p>
    <w:p>
      <w:pPr>
        <w:pStyle w:val="3"/>
        <w:keepNext w:val="0"/>
        <w:keepLines w:val="0"/>
        <w:pageBreakBefore w:val="0"/>
        <w:widowControl w:val="0"/>
        <w:kinsoku/>
        <w:wordWrap/>
        <w:overflowPunct/>
        <w:topLinePunct w:val="0"/>
        <w:autoSpaceDE/>
        <w:autoSpaceDN/>
        <w:bidi w:val="0"/>
        <w:adjustRightInd/>
        <w:snapToGrid/>
        <w:spacing w:line="600" w:lineRule="exact"/>
        <w:ind w:firstLine="656" w:firstLineChars="200"/>
        <w:jc w:val="both"/>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（三）</w:t>
      </w:r>
      <w:r>
        <w:rPr>
          <w:rFonts w:hint="eastAsia" w:ascii="仿宋_GB2312" w:eastAsia="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表</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Pr>
          <w:rFonts w:hint="eastAsia" w:ascii="仿宋_GB2312" w:eastAsia="仿宋_GB2312"/>
          <w:color w:val="000000"/>
          <w:spacing w:val="4"/>
          <w:szCs w:val="3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56"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eastAsia="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生活垃圾收集后交给地方环卫部门处理；边角料、不合格产品、集尘器收集的粉尘和废弃包装材料等</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eastAsia="仿宋_GB2312"/>
          <w:color w:val="000000"/>
          <w:spacing w:val="4"/>
          <w:szCs w:val="32"/>
          <w:lang w:eastAsia="zh-CN"/>
        </w:rPr>
        <w:t>乳化液</w:t>
      </w:r>
      <w:r>
        <w:rPr>
          <w:rFonts w:hint="eastAsia" w:ascii="仿宋_GB2312" w:eastAsia="仿宋_GB2312"/>
          <w:color w:val="000000"/>
          <w:spacing w:val="4"/>
          <w:szCs w:val="32"/>
        </w:rPr>
        <w:t>及润滑油的</w:t>
      </w:r>
      <w:r>
        <w:rPr>
          <w:rFonts w:hint="eastAsia" w:ascii="仿宋_GB2312" w:eastAsia="仿宋_GB2312"/>
          <w:color w:val="000000"/>
          <w:spacing w:val="4"/>
          <w:szCs w:val="32"/>
          <w:lang w:eastAsia="zh-CN"/>
        </w:rPr>
        <w:t>废弃</w:t>
      </w:r>
      <w:r>
        <w:rPr>
          <w:rFonts w:hint="eastAsia" w:ascii="仿宋_GB2312" w:eastAsia="仿宋_GB2312"/>
          <w:color w:val="000000"/>
          <w:spacing w:val="4"/>
          <w:szCs w:val="32"/>
        </w:rPr>
        <w:t>包装物、废</w:t>
      </w:r>
      <w:r>
        <w:rPr>
          <w:rFonts w:hint="eastAsia" w:ascii="仿宋_GB2312" w:eastAsia="仿宋_GB2312"/>
          <w:color w:val="000000"/>
          <w:spacing w:val="4"/>
          <w:szCs w:val="32"/>
          <w:lang w:eastAsia="zh-CN"/>
        </w:rPr>
        <w:t>乳化液</w:t>
      </w:r>
      <w:r>
        <w:rPr>
          <w:rFonts w:hint="eastAsia" w:ascii="仿宋_GB2312" w:eastAsia="仿宋_GB2312"/>
          <w:color w:val="000000"/>
          <w:spacing w:val="4"/>
          <w:szCs w:val="32"/>
        </w:rPr>
        <w:t>、废润滑油、油泥</w:t>
      </w:r>
      <w:r>
        <w:rPr>
          <w:rFonts w:hint="eastAsia" w:ascii="仿宋_GB2312" w:eastAsia="仿宋_GB2312"/>
          <w:color w:val="000000"/>
          <w:spacing w:val="4"/>
          <w:szCs w:val="32"/>
          <w:lang w:eastAsia="zh-CN"/>
        </w:rPr>
        <w:t>以及含油废抹布和废手套等</w:t>
      </w:r>
      <w:r>
        <w:rPr>
          <w:rFonts w:hint="eastAsia" w:ascii="仿宋_GB2312" w:hAnsi="仿宋_GB2312" w:eastAsia="仿宋_GB2312" w:cs="仿宋_GB2312"/>
          <w:spacing w:val="0"/>
          <w:sz w:val="32"/>
          <w:szCs w:val="32"/>
        </w:rPr>
        <w:t>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p>
    <w:p>
      <w:pPr>
        <w:pStyle w:val="3"/>
        <w:keepNext w:val="0"/>
        <w:keepLines w:val="0"/>
        <w:pageBreakBefore w:val="0"/>
        <w:widowControl w:val="0"/>
        <w:kinsoku/>
        <w:wordWrap/>
        <w:overflowPunct/>
        <w:topLinePunct w:val="0"/>
        <w:autoSpaceDE/>
        <w:autoSpaceDN/>
        <w:bidi w:val="0"/>
        <w:adjustRightInd/>
        <w:snapToGrid/>
        <w:spacing w:line="600" w:lineRule="exact"/>
        <w:ind w:firstLine="656"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4"/>
          <w:szCs w:val="32"/>
          <w:lang w:eastAsia="zh-CN"/>
        </w:rPr>
        <w:t>（五）</w:t>
      </w:r>
      <w:r>
        <w:rPr>
          <w:rFonts w:hint="eastAsia" w:ascii="仿宋_GB2312" w:hAnsi="仿宋_GB2312" w:eastAsia="仿宋_GB2312" w:cs="仿宋_GB2312"/>
          <w:color w:val="000000"/>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（六）</w:t>
      </w:r>
      <w:r>
        <w:rPr>
          <w:rFonts w:hint="eastAsia" w:ascii="仿宋_GB2312" w:hAnsi="仿宋" w:eastAsia="仿宋_GB2312" w:cs="仿宋"/>
          <w:color w:val="000000"/>
          <w:spacing w:val="4"/>
          <w:szCs w:val="32"/>
        </w:rPr>
        <w:t>污染物总量控制：</w:t>
      </w:r>
      <w:r>
        <w:rPr>
          <w:rFonts w:hint="eastAsia" w:ascii="仿宋_GB2312" w:hAnsi="仿宋" w:eastAsia="仿宋_GB2312" w:cs="仿宋"/>
          <w:color w:val="000000"/>
          <w:spacing w:val="8"/>
          <w:szCs w:val="32"/>
        </w:rPr>
        <w:t>VOC</w:t>
      </w:r>
      <w:r>
        <w:rPr>
          <w:rFonts w:hint="eastAsia" w:ascii="仿宋_GB2312" w:hAnsi="仿宋" w:eastAsia="仿宋_GB2312" w:cs="仿宋"/>
          <w:color w:val="000000"/>
          <w:spacing w:val="8"/>
          <w:szCs w:val="32"/>
          <w:vertAlign w:val="subscript"/>
        </w:rPr>
        <w:t>S</w:t>
      </w:r>
      <w:r>
        <w:rPr>
          <w:rFonts w:hint="eastAsia" w:ascii="宋体" w:hAnsi="宋体" w:eastAsia="宋体" w:cs="宋体"/>
          <w:color w:val="000000"/>
          <w:spacing w:val="8"/>
          <w:szCs w:val="32"/>
          <w:vertAlign w:val="baseline"/>
          <w:lang w:val="en-US" w:eastAsia="zh-CN"/>
        </w:rPr>
        <w:t>≦</w:t>
      </w:r>
      <w:r>
        <w:rPr>
          <w:rFonts w:hint="eastAsia" w:ascii="仿宋_GB2312" w:hAnsi="仿宋" w:eastAsia="仿宋_GB2312" w:cs="仿宋"/>
          <w:color w:val="000000"/>
          <w:spacing w:val="8"/>
          <w:szCs w:val="32"/>
        </w:rPr>
        <w:t>0.</w:t>
      </w:r>
      <w:r>
        <w:rPr>
          <w:rFonts w:hint="eastAsia" w:ascii="仿宋_GB2312" w:hAnsi="仿宋" w:cs="仿宋"/>
          <w:color w:val="000000"/>
          <w:spacing w:val="8"/>
          <w:szCs w:val="32"/>
          <w:lang w:val="en-US" w:eastAsia="zh-CN"/>
        </w:rPr>
        <w:t>36</w:t>
      </w:r>
      <w:r>
        <w:rPr>
          <w:rFonts w:hint="eastAsia" w:ascii="仿宋_GB2312" w:hAnsi="仿宋" w:eastAsia="仿宋_GB2312" w:cs="仿宋"/>
          <w:color w:val="000000"/>
          <w:spacing w:val="8"/>
          <w:szCs w:val="32"/>
        </w:rPr>
        <w:t>t/a</w:t>
      </w:r>
      <w:r>
        <w:rPr>
          <w:rFonts w:hint="eastAsia" w:ascii="仿宋_GB2312" w:hAnsi="仿宋" w:eastAsia="仿宋_GB2312" w:cs="仿宋"/>
          <w:color w:val="000000"/>
          <w:spacing w:val="8"/>
          <w:szCs w:val="32"/>
          <w:lang w:eastAsia="zh-CN"/>
        </w:rPr>
        <w:t>，总量指标纳入当地环保部门总量控制管理。</w:t>
      </w:r>
    </w:p>
    <w:p>
      <w:pPr>
        <w:keepNext w:val="0"/>
        <w:keepLines w:val="0"/>
        <w:pageBreakBefore w:val="0"/>
        <w:kinsoku/>
        <w:wordWrap/>
        <w:overflowPunct/>
        <w:topLinePunct w:val="0"/>
        <w:autoSpaceDE/>
        <w:autoSpaceDN/>
        <w:bidi w:val="0"/>
        <w:adjustRightInd/>
        <w:snapToGrid/>
        <w:spacing w:line="60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rPr>
      </w:pP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color w:val="auto"/>
        </w:rPr>
        <w:t>2020年</w:t>
      </w:r>
      <w:r>
        <w:rPr>
          <w:rFonts w:hint="eastAsia" w:ascii="仿宋_GB2312" w:eastAsia="仿宋_GB2312"/>
          <w:color w:val="auto"/>
          <w:lang w:val="en-US" w:eastAsia="zh-CN"/>
        </w:rPr>
        <w:t>5</w:t>
      </w:r>
      <w:r>
        <w:rPr>
          <w:rFonts w:hint="eastAsia" w:ascii="仿宋_GB2312" w:eastAsia="仿宋_GB2312"/>
          <w:color w:val="auto"/>
        </w:rPr>
        <w:t>月</w:t>
      </w:r>
      <w:r>
        <w:rPr>
          <w:rFonts w:hint="eastAsia" w:ascii="仿宋_GB2312" w:eastAsia="仿宋_GB2312"/>
          <w:color w:val="auto"/>
          <w:lang w:val="en-US" w:eastAsia="zh-CN"/>
        </w:rPr>
        <w:t>21</w:t>
      </w:r>
      <w:bookmarkStart w:id="0" w:name="_GoBack"/>
      <w:bookmarkEnd w:id="0"/>
      <w:r>
        <w:rPr>
          <w:rFonts w:hint="eastAsia" w:ascii="仿宋_GB2312" w:eastAsia="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5AD0C"/>
    <w:multiLevelType w:val="singleLevel"/>
    <w:tmpl w:val="5915AD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8661B"/>
    <w:rsid w:val="01D03FEC"/>
    <w:rsid w:val="01ED35F8"/>
    <w:rsid w:val="024450D7"/>
    <w:rsid w:val="033476DA"/>
    <w:rsid w:val="04944F5B"/>
    <w:rsid w:val="04B7331F"/>
    <w:rsid w:val="070865B3"/>
    <w:rsid w:val="084D2071"/>
    <w:rsid w:val="09FA59E7"/>
    <w:rsid w:val="0A6D52EF"/>
    <w:rsid w:val="0BF719CD"/>
    <w:rsid w:val="0C51261E"/>
    <w:rsid w:val="0C562ECC"/>
    <w:rsid w:val="13504F15"/>
    <w:rsid w:val="13950693"/>
    <w:rsid w:val="140D6837"/>
    <w:rsid w:val="14360E9D"/>
    <w:rsid w:val="16560A5B"/>
    <w:rsid w:val="167429F4"/>
    <w:rsid w:val="16E81710"/>
    <w:rsid w:val="17002797"/>
    <w:rsid w:val="1A1F4F6D"/>
    <w:rsid w:val="1A781479"/>
    <w:rsid w:val="1BC41C5A"/>
    <w:rsid w:val="1BE16251"/>
    <w:rsid w:val="1DDE1448"/>
    <w:rsid w:val="20095B14"/>
    <w:rsid w:val="231743EF"/>
    <w:rsid w:val="23F32129"/>
    <w:rsid w:val="26423EFF"/>
    <w:rsid w:val="26C7259C"/>
    <w:rsid w:val="27BA1B7C"/>
    <w:rsid w:val="29164D1D"/>
    <w:rsid w:val="2C36248E"/>
    <w:rsid w:val="2DE75E31"/>
    <w:rsid w:val="2E8F02D2"/>
    <w:rsid w:val="2FBE547D"/>
    <w:rsid w:val="302837E4"/>
    <w:rsid w:val="326B0598"/>
    <w:rsid w:val="33741DC8"/>
    <w:rsid w:val="34711A93"/>
    <w:rsid w:val="36D47963"/>
    <w:rsid w:val="36E44291"/>
    <w:rsid w:val="3DD36518"/>
    <w:rsid w:val="3E237685"/>
    <w:rsid w:val="3F4E171F"/>
    <w:rsid w:val="3F7F12A1"/>
    <w:rsid w:val="42C40111"/>
    <w:rsid w:val="45E80663"/>
    <w:rsid w:val="46260513"/>
    <w:rsid w:val="47C30A72"/>
    <w:rsid w:val="484F7B35"/>
    <w:rsid w:val="48EA22C6"/>
    <w:rsid w:val="4993613B"/>
    <w:rsid w:val="49A139B0"/>
    <w:rsid w:val="49B07B17"/>
    <w:rsid w:val="4A9B4753"/>
    <w:rsid w:val="4BAC15B2"/>
    <w:rsid w:val="4BE51D09"/>
    <w:rsid w:val="4D264726"/>
    <w:rsid w:val="4FBE354F"/>
    <w:rsid w:val="50A41749"/>
    <w:rsid w:val="51A22DB0"/>
    <w:rsid w:val="51DB6FAB"/>
    <w:rsid w:val="524D6C2D"/>
    <w:rsid w:val="53D729C9"/>
    <w:rsid w:val="54952865"/>
    <w:rsid w:val="557B62FA"/>
    <w:rsid w:val="57CC7573"/>
    <w:rsid w:val="57E02209"/>
    <w:rsid w:val="5B2C0540"/>
    <w:rsid w:val="5C760F90"/>
    <w:rsid w:val="5DF945D5"/>
    <w:rsid w:val="5E907F94"/>
    <w:rsid w:val="5E99298E"/>
    <w:rsid w:val="5F010883"/>
    <w:rsid w:val="5FBA4E4C"/>
    <w:rsid w:val="5FE31F6A"/>
    <w:rsid w:val="61040EA5"/>
    <w:rsid w:val="61597C19"/>
    <w:rsid w:val="616854FA"/>
    <w:rsid w:val="62445FC4"/>
    <w:rsid w:val="65F2278B"/>
    <w:rsid w:val="660D2ED6"/>
    <w:rsid w:val="66F130F7"/>
    <w:rsid w:val="6A476406"/>
    <w:rsid w:val="6A567B90"/>
    <w:rsid w:val="6A737633"/>
    <w:rsid w:val="6BB53802"/>
    <w:rsid w:val="6DF731D4"/>
    <w:rsid w:val="6F3A6929"/>
    <w:rsid w:val="6FAB56DD"/>
    <w:rsid w:val="711235A4"/>
    <w:rsid w:val="71332ADA"/>
    <w:rsid w:val="72D17DDC"/>
    <w:rsid w:val="751B097E"/>
    <w:rsid w:val="758328BE"/>
    <w:rsid w:val="76184CB6"/>
    <w:rsid w:val="7949289B"/>
    <w:rsid w:val="7A8D32F6"/>
    <w:rsid w:val="7B711966"/>
    <w:rsid w:val="7C135354"/>
    <w:rsid w:val="7C4D6B6B"/>
    <w:rsid w:val="7F353E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annotation text"/>
    <w:basedOn w:val="1"/>
    <w:link w:val="15"/>
    <w:unhideWhenUsed/>
    <w:qFormat/>
    <w:uiPriority w:val="0"/>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semiHidden/>
    <w:qFormat/>
    <w:uiPriority w:val="99"/>
    <w:rPr>
      <w:rFonts w:ascii="Times New Roman" w:hAnsi="Times New Roman" w:eastAsia="华文仿宋" w:cs="Times New Roman"/>
      <w:sz w:val="18"/>
      <w:szCs w:val="18"/>
    </w:rPr>
  </w:style>
  <w:style w:type="character" w:customStyle="1" w:styleId="12">
    <w:name w:val="页脚 Char"/>
    <w:basedOn w:val="9"/>
    <w:link w:val="5"/>
    <w:semiHidden/>
    <w:qFormat/>
    <w:uiPriority w:val="99"/>
    <w:rPr>
      <w:rFonts w:ascii="Times New Roman" w:hAnsi="Times New Roman" w:eastAsia="华文仿宋" w:cs="Times New Roman"/>
      <w:sz w:val="18"/>
      <w:szCs w:val="18"/>
    </w:rPr>
  </w:style>
  <w:style w:type="character" w:customStyle="1" w:styleId="13">
    <w:name w:val="文档结构图 Char"/>
    <w:basedOn w:val="9"/>
    <w:link w:val="2"/>
    <w:semiHidden/>
    <w:qFormat/>
    <w:uiPriority w:val="99"/>
    <w:rPr>
      <w:rFonts w:ascii="宋体"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华文仿宋" w:cs="Times New Roman"/>
      <w:sz w:val="18"/>
      <w:szCs w:val="18"/>
    </w:rPr>
  </w:style>
  <w:style w:type="character" w:customStyle="1" w:styleId="15">
    <w:name w:val="批注文字 Char"/>
    <w:basedOn w:val="9"/>
    <w:link w:val="3"/>
    <w:qFormat/>
    <w:uiPriority w:val="0"/>
    <w:rPr>
      <w:rFonts w:ascii="Times New Roman" w:hAnsi="Times New Roman" w:eastAsia="华文仿宋" w:cs="Times New Roman"/>
      <w:sz w:val="32"/>
      <w:szCs w:val="24"/>
    </w:rPr>
  </w:style>
  <w:style w:type="character" w:customStyle="1" w:styleId="16">
    <w:name w:val="批注主题 Char"/>
    <w:basedOn w:val="15"/>
    <w:link w:val="7"/>
    <w:semiHidden/>
    <w:qFormat/>
    <w:uiPriority w:val="99"/>
    <w:rPr>
      <w:rFonts w:ascii="Times New Roman" w:hAnsi="Times New Roman" w:eastAsia="华文仿宋" w:cs="Times New Roman"/>
      <w:b/>
      <w:bCs/>
      <w:sz w:val="32"/>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10</TotalTime>
  <ScaleCrop>false</ScaleCrop>
  <LinksUpToDate>false</LinksUpToDate>
  <CharactersWithSpaces>1508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2020-05-21T05:51:25Z</cp:lastPrinted>
  <dcterms:modified xsi:type="dcterms:W3CDTF">2020-05-21T05:51:32Z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