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szCs w:val="32"/>
        </w:rPr>
      </w:pPr>
      <w:r>
        <w:rPr>
          <w:rFonts w:hint="eastAsia" w:ascii="仿宋_GB2312" w:eastAsia="仿宋_GB2312"/>
          <w:color w:val="000000" w:themeColor="text1"/>
          <w:sz w:val="24"/>
        </w:rPr>
        <w:t xml:space="preserve">                                        </w:t>
      </w:r>
      <w:r>
        <w:rPr>
          <w:rFonts w:hint="eastAsia" w:ascii="仿宋_GB2312" w:eastAsia="仿宋_GB2312"/>
          <w:sz w:val="28"/>
          <w:szCs w:val="28"/>
        </w:rPr>
        <w:t>益环高审[2020]9号</w:t>
      </w:r>
    </w:p>
    <w:p>
      <w:pPr>
        <w:tabs>
          <w:tab w:val="left" w:pos="6240"/>
        </w:tabs>
        <w:spacing w:line="560" w:lineRule="exact"/>
        <w:jc w:val="right"/>
        <w:rPr>
          <w:rFonts w:ascii="仿宋_GB2312" w:eastAsia="仿宋_GB2312"/>
          <w:szCs w:val="32"/>
        </w:rPr>
      </w:pP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益阳市生态环境局</w:t>
      </w:r>
    </w:p>
    <w:p>
      <w:pPr>
        <w:spacing w:line="7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关于湖南湘投金天新材料有限公司年产4500吨钛及钛合金焊管、不锈钢焊管等稀有金属材料扩建项目环境影响报告表的批复</w:t>
      </w:r>
    </w:p>
    <w:p>
      <w:pPr>
        <w:spacing w:line="560" w:lineRule="exact"/>
        <w:rPr>
          <w:rFonts w:ascii="仿宋_GB2312" w:hAnsi="黑体" w:eastAsia="仿宋_GB2312"/>
          <w:color w:val="000000"/>
          <w:sz w:val="36"/>
          <w:szCs w:val="36"/>
        </w:rPr>
      </w:pPr>
    </w:p>
    <w:p>
      <w:pPr>
        <w:spacing w:line="530" w:lineRule="exact"/>
        <w:rPr>
          <w:rFonts w:ascii="仿宋_GB2312" w:eastAsia="仿宋_GB2312"/>
          <w:szCs w:val="32"/>
        </w:rPr>
      </w:pPr>
      <w:r>
        <w:rPr>
          <w:rFonts w:hint="eastAsia" w:ascii="仿宋_GB2312" w:eastAsia="仿宋_GB2312"/>
          <w:bCs/>
          <w:szCs w:val="32"/>
        </w:rPr>
        <w:t>湖南湘投金天新材料有限公司</w:t>
      </w:r>
      <w:r>
        <w:rPr>
          <w:rFonts w:hint="eastAsia" w:ascii="仿宋_GB2312" w:eastAsia="仿宋_GB2312"/>
          <w:szCs w:val="32"/>
        </w:rPr>
        <w:t>：</w:t>
      </w:r>
    </w:p>
    <w:p>
      <w:pPr>
        <w:spacing w:line="530" w:lineRule="exact"/>
        <w:ind w:firstLine="656" w:firstLineChars="200"/>
        <w:rPr>
          <w:rFonts w:ascii="仿宋_GB2312" w:eastAsia="仿宋_GB2312"/>
          <w:bCs/>
          <w:szCs w:val="32"/>
        </w:rPr>
      </w:pPr>
      <w:r>
        <w:rPr>
          <w:rFonts w:hint="eastAsia" w:ascii="仿宋_GB2312" w:eastAsia="仿宋_GB2312"/>
          <w:color w:val="000000"/>
          <w:spacing w:val="4"/>
          <w:szCs w:val="32"/>
        </w:rPr>
        <w:t>你</w:t>
      </w:r>
      <w:r>
        <w:rPr>
          <w:rFonts w:hint="eastAsia" w:ascii="仿宋_GB2312" w:eastAsia="仿宋_GB2312"/>
          <w:bCs/>
          <w:szCs w:val="32"/>
        </w:rPr>
        <w:t>公司呈报的《湖南湘投金天新材料有限公司年产4500吨钛及钛合金焊管、不锈钢焊管等稀有金属材料扩建项目环境影响报告表》</w:t>
      </w:r>
      <w:r>
        <w:rPr>
          <w:rFonts w:hint="eastAsia" w:ascii="仿宋_GB2312" w:hAnsi="仿宋_GB2312" w:eastAsia="仿宋_GB2312" w:cs="仿宋_GB2312"/>
          <w:color w:val="000000"/>
          <w:szCs w:val="32"/>
        </w:rPr>
        <w:t>及相关附件收悉。经研究，批复如下：</w:t>
      </w:r>
    </w:p>
    <w:p>
      <w:pPr>
        <w:numPr>
          <w:ilvl w:val="0"/>
          <w:numId w:val="1"/>
        </w:numPr>
        <w:spacing w:line="530" w:lineRule="exact"/>
        <w:ind w:firstLine="640" w:firstLineChars="200"/>
        <w:rPr>
          <w:rFonts w:ascii="仿宋_GB2312" w:eastAsia="仿宋_GB2312"/>
          <w:color w:val="000000"/>
          <w:spacing w:val="4"/>
          <w:szCs w:val="32"/>
        </w:rPr>
      </w:pPr>
      <w:r>
        <w:rPr>
          <w:rFonts w:hint="eastAsia" w:ascii="仿宋_GB2312" w:eastAsia="仿宋_GB2312"/>
          <w:bCs/>
          <w:szCs w:val="32"/>
        </w:rPr>
        <w:t>你公司</w:t>
      </w:r>
      <w:r>
        <w:rPr>
          <w:rFonts w:hint="eastAsia" w:ascii="仿宋_GB2312" w:eastAsia="仿宋_GB2312"/>
          <w:bCs/>
          <w:color w:val="000000"/>
          <w:spacing w:val="4"/>
          <w:szCs w:val="32"/>
        </w:rPr>
        <w:t>拟</w:t>
      </w:r>
      <w:r>
        <w:rPr>
          <w:rFonts w:hint="eastAsia" w:ascii="仿宋_GB2312" w:eastAsia="仿宋_GB2312"/>
          <w:color w:val="000000"/>
          <w:spacing w:val="4"/>
          <w:szCs w:val="32"/>
        </w:rPr>
        <w:t>投资3000万元在益阳高新区朝阳产业园现有</w:t>
      </w:r>
      <w:r>
        <w:rPr>
          <w:rFonts w:hint="eastAsia" w:ascii="仿宋_GB2312" w:hAnsi="仿宋_GB2312" w:eastAsia="仿宋_GB2312" w:cs="仿宋_GB2312"/>
          <w:color w:val="000000"/>
          <w:szCs w:val="32"/>
        </w:rPr>
        <w:t>标准化厂房内</w:t>
      </w:r>
      <w:r>
        <w:rPr>
          <w:rFonts w:hint="eastAsia" w:ascii="仿宋_GB2312" w:hAnsi="仿宋" w:eastAsia="仿宋_GB2312" w:cs="仿宋"/>
          <w:szCs w:val="32"/>
        </w:rPr>
        <w:t>进行改扩建，</w:t>
      </w:r>
      <w:r>
        <w:rPr>
          <w:rFonts w:hint="eastAsia" w:ascii="仿宋_GB2312" w:hAnsi="仿宋_GB2312" w:eastAsia="仿宋_GB2312" w:cs="仿宋_GB2312"/>
          <w:szCs w:val="32"/>
        </w:rPr>
        <w:t>新增6条焊管生产线，年产钛焊管1500吨、不锈钢焊管500吨，改扩建后整体产能达到年产钛焊管4000吨、不锈钢焊管500吨。项目总占地面积</w:t>
      </w:r>
      <w:r>
        <w:rPr>
          <w:rFonts w:hint="eastAsia" w:ascii="仿宋_GB2312" w:hAnsi="仿宋" w:eastAsia="仿宋_GB2312" w:cs="仿宋"/>
          <w:spacing w:val="4"/>
          <w:szCs w:val="32"/>
        </w:rPr>
        <w:t>179210</w:t>
      </w:r>
      <w:r>
        <w:rPr>
          <w:rFonts w:hint="eastAsia" w:ascii="仿宋_GB2312" w:hAnsi="仿宋_GB2312" w:eastAsia="仿宋_GB2312" w:cs="仿宋_GB2312"/>
          <w:szCs w:val="32"/>
        </w:rPr>
        <w:t>平方米，用地内分区设置生产区</w:t>
      </w:r>
      <w:r>
        <w:rPr>
          <w:rFonts w:hint="eastAsia" w:ascii="仿宋_GB2312" w:hAnsi="仿宋_GB2312" w:eastAsia="仿宋_GB2312" w:cs="仿宋_GB2312"/>
          <w:color w:val="000000"/>
          <w:szCs w:val="32"/>
        </w:rPr>
        <w:t>、办公区、倒班宿舍、食堂及给排水、供配电、环保等相关公用辅助工程。项目建设符合国家产业政策和益阳高新区朝阳产业园选址用地规划要求。根据湖南汇恒环境保护科技发展有限公司编制的环评报告表的分</w:t>
      </w:r>
      <w:bookmarkStart w:id="0" w:name="_GoBack"/>
      <w:bookmarkEnd w:id="0"/>
      <w:r>
        <w:rPr>
          <w:rFonts w:hint="eastAsia" w:ascii="仿宋_GB2312" w:hAnsi="仿宋_GB2312" w:eastAsia="仿宋_GB2312" w:cs="仿宋_GB2312"/>
          <w:color w:val="000000"/>
          <w:szCs w:val="32"/>
        </w:rPr>
        <w:t>析结论，在建设单位认真落实报告表提出的各项污染防治措施、确保外排污染物稳定达标的前提下，从环保的角度分析，我局同意项目按报告表所列的建设方案、规模、工艺、环保措施等在拟选地址建设。</w:t>
      </w:r>
    </w:p>
    <w:p>
      <w:pPr>
        <w:spacing w:line="530" w:lineRule="exact"/>
        <w:ind w:firstLine="656" w:firstLineChars="200"/>
        <w:rPr>
          <w:rFonts w:ascii="仿宋_GB2312" w:eastAsia="仿宋_GB2312"/>
          <w:color w:val="000000"/>
          <w:spacing w:val="4"/>
          <w:szCs w:val="32"/>
        </w:rPr>
      </w:pPr>
      <w:r>
        <w:rPr>
          <w:rFonts w:hint="eastAsia" w:ascii="仿宋_GB2312" w:eastAsia="仿宋_GB2312"/>
          <w:color w:val="000000"/>
          <w:spacing w:val="4"/>
          <w:szCs w:val="32"/>
        </w:rPr>
        <w:t>二、</w:t>
      </w:r>
      <w:r>
        <w:rPr>
          <w:rFonts w:hint="eastAsia" w:ascii="仿宋_GB2312" w:hAnsi="仿宋_GB2312" w:eastAsia="仿宋_GB2312" w:cs="仿宋_GB2312"/>
          <w:color w:val="000000"/>
          <w:szCs w:val="32"/>
        </w:rPr>
        <w:t>建设单位在项目设计、建设和营运期间，必须严格执行环保“三同时”制度，按照环评报告表要求落实各项污染防治措施，并着重做好如下工作</w:t>
      </w:r>
      <w:r>
        <w:rPr>
          <w:rFonts w:hint="eastAsia" w:ascii="仿宋_GB2312" w:eastAsia="仿宋_GB2312"/>
          <w:color w:val="000000"/>
          <w:spacing w:val="4"/>
          <w:szCs w:val="32"/>
        </w:rPr>
        <w:t>：</w:t>
      </w:r>
    </w:p>
    <w:p>
      <w:pPr>
        <w:spacing w:line="530" w:lineRule="exact"/>
        <w:ind w:firstLine="656" w:firstLineChars="200"/>
        <w:rPr>
          <w:rFonts w:ascii="仿宋_GB2312" w:hAnsi="仿宋_GB2312" w:eastAsia="仿宋_GB2312" w:cs="仿宋_GB2312"/>
          <w:color w:val="000000"/>
          <w:szCs w:val="32"/>
        </w:rPr>
      </w:pPr>
      <w:r>
        <w:rPr>
          <w:rFonts w:hint="eastAsia" w:ascii="仿宋_GB2312" w:eastAsia="仿宋_GB2312"/>
          <w:color w:val="000000"/>
          <w:spacing w:val="4"/>
          <w:szCs w:val="32"/>
        </w:rPr>
        <w:t>（一）做好项目大气污染防治工作。机加工产生粉尘的工位应设置</w:t>
      </w:r>
      <w:r>
        <w:rPr>
          <w:rFonts w:hint="eastAsia" w:ascii="仿宋_GB2312" w:eastAsia="仿宋_GB2312"/>
          <w:spacing w:val="4"/>
          <w:szCs w:val="32"/>
        </w:rPr>
        <w:t>挡板，焊接烟气由玻璃罩封闭并用氩气保护，确保外排污染物满足《大气污染物综合排放标准》（GB16297-1996）表2中无组织排放监控浓度限值要求</w:t>
      </w:r>
      <w:r>
        <w:rPr>
          <w:rFonts w:hint="eastAsia" w:ascii="仿宋_GB2312" w:eastAsia="仿宋_GB2312"/>
          <w:color w:val="000000"/>
          <w:spacing w:val="4"/>
          <w:szCs w:val="32"/>
        </w:rPr>
        <w:t>；</w:t>
      </w:r>
      <w:r>
        <w:rPr>
          <w:rFonts w:hint="eastAsia" w:ascii="仿宋_GB2312" w:eastAsia="仿宋_GB2312"/>
          <w:color w:val="000000"/>
          <w:spacing w:val="4"/>
          <w:kern w:val="0"/>
          <w:szCs w:val="32"/>
        </w:rPr>
        <w:t>食堂油烟经油烟净化装置处理达到《饮食业油烟排放标准（试行）》（GB18483-2001）要求后高空排放</w:t>
      </w:r>
      <w:r>
        <w:rPr>
          <w:rFonts w:hint="eastAsia" w:ascii="仿宋_GB2312" w:eastAsia="仿宋_GB2312"/>
          <w:color w:val="000000"/>
          <w:spacing w:val="4"/>
          <w:szCs w:val="32"/>
        </w:rPr>
        <w:t>，油烟排气筒的高度、位置等具体要求按照《饮食业环境保护技术规范》（HJ554-2010）的规定执行。</w:t>
      </w:r>
    </w:p>
    <w:p>
      <w:pPr>
        <w:spacing w:line="530" w:lineRule="exact"/>
        <w:ind w:firstLine="656" w:firstLineChars="200"/>
        <w:rPr>
          <w:rFonts w:ascii="仿宋_GB2312" w:eastAsia="仿宋_GB2312"/>
          <w:color w:val="FF0000"/>
          <w:spacing w:val="4"/>
          <w:szCs w:val="32"/>
        </w:rPr>
      </w:pPr>
      <w:r>
        <w:rPr>
          <w:rFonts w:hint="eastAsia" w:ascii="仿宋_GB2312" w:eastAsia="仿宋_GB2312"/>
          <w:color w:val="000000"/>
          <w:spacing w:val="4"/>
          <w:szCs w:val="32"/>
        </w:rPr>
        <w:t>（二）做好项目水污染防治工作。生活污水经隔油池、化粪池处理，达到《污水综合排放标准》（GB8978-1996）表4中三级标准后经园</w:t>
      </w:r>
      <w:r>
        <w:rPr>
          <w:rFonts w:hint="eastAsia" w:ascii="仿宋_GB2312" w:eastAsia="仿宋_GB2312"/>
          <w:spacing w:val="4"/>
          <w:szCs w:val="32"/>
        </w:rPr>
        <w:t>区污水管网排入益阳首创水务有限责任公司进行深度处理。生产设备冷却水循环回用，气密水压工段废水经沉淀后回用或用于厂内绿化及道路洒水</w:t>
      </w:r>
      <w:r>
        <w:rPr>
          <w:rFonts w:hint="eastAsia" w:ascii="仿宋_GB2312" w:hAnsi="仿宋_GB2312" w:eastAsia="仿宋_GB2312" w:cs="仿宋_GB2312"/>
        </w:rPr>
        <w:t>。</w:t>
      </w:r>
    </w:p>
    <w:p>
      <w:pPr>
        <w:pStyle w:val="3"/>
        <w:spacing w:line="530" w:lineRule="exact"/>
        <w:ind w:firstLine="656" w:firstLineChars="200"/>
        <w:jc w:val="both"/>
        <w:rPr>
          <w:rFonts w:ascii="仿宋_GB2312" w:eastAsia="仿宋_GB2312"/>
          <w:color w:val="000000"/>
          <w:spacing w:val="4"/>
          <w:szCs w:val="32"/>
        </w:rPr>
      </w:pPr>
      <w:r>
        <w:rPr>
          <w:rFonts w:hint="eastAsia" w:ascii="仿宋_GB2312" w:eastAsia="仿宋_GB2312"/>
          <w:color w:val="000000"/>
          <w:spacing w:val="4"/>
          <w:szCs w:val="32"/>
        </w:rPr>
        <w:t>（三）做好项目噪声污染防治工作。</w:t>
      </w:r>
      <w:r>
        <w:rPr>
          <w:rFonts w:hint="eastAsia" w:ascii="仿宋_GB2312" w:hAnsi="仿宋_GB2312" w:eastAsia="仿宋_GB2312" w:cs="仿宋_GB2312"/>
          <w:color w:val="000000"/>
          <w:szCs w:val="32"/>
        </w:rPr>
        <w:t>落实环评报告表提出的噪声防治措施，合理优化总平面布局，并从优化设备的选型、减震、消声、隔声和合理安排设备作业时间等方面做好噪声的污染控制工作，确保厂界噪</w:t>
      </w:r>
      <w:r>
        <w:rPr>
          <w:rFonts w:hint="eastAsia" w:ascii="仿宋_GB2312" w:hAnsi="仿宋_GB2312" w:eastAsia="仿宋_GB2312" w:cs="仿宋_GB2312"/>
          <w:szCs w:val="32"/>
        </w:rPr>
        <w:t>声达到《工业企业厂界环境噪声排放标准》（GB12348-2008）中3类、4类区标准要求</w:t>
      </w:r>
      <w:r>
        <w:rPr>
          <w:rFonts w:hint="eastAsia" w:ascii="仿宋_GB2312" w:eastAsia="仿宋_GB2312"/>
          <w:spacing w:val="4"/>
          <w:szCs w:val="32"/>
        </w:rPr>
        <w:t>。</w:t>
      </w:r>
    </w:p>
    <w:p>
      <w:pPr>
        <w:pStyle w:val="3"/>
        <w:spacing w:line="530" w:lineRule="exact"/>
        <w:ind w:firstLine="656" w:firstLineChars="200"/>
        <w:jc w:val="both"/>
        <w:rPr>
          <w:rFonts w:ascii="仿宋_GB2312" w:eastAsia="仿宋_GB2312"/>
          <w:color w:val="000000"/>
          <w:spacing w:val="4"/>
          <w:szCs w:val="32"/>
        </w:rPr>
      </w:pPr>
      <w:r>
        <w:rPr>
          <w:rFonts w:hint="eastAsia" w:ascii="仿宋_GB2312" w:eastAsia="仿宋_GB2312"/>
          <w:color w:val="000000"/>
          <w:spacing w:val="4"/>
          <w:szCs w:val="32"/>
        </w:rPr>
        <w:t>（四）</w:t>
      </w:r>
      <w:r>
        <w:rPr>
          <w:rFonts w:hint="eastAsia" w:ascii="仿宋_GB2312" w:hAnsi="仿宋_GB2312" w:eastAsia="仿宋_GB2312" w:cs="仿宋_GB2312"/>
          <w:color w:val="000000"/>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kern w:val="0"/>
          <w:szCs w:val="32"/>
          <w:lang w:bidi="ar"/>
        </w:rPr>
        <w:t>生活垃圾收集后交给地方环卫部门处理；</w:t>
      </w:r>
      <w:r>
        <w:rPr>
          <w:rFonts w:hint="eastAsia" w:ascii="仿宋_GB2312" w:eastAsia="仿宋_GB2312"/>
          <w:color w:val="000000"/>
          <w:spacing w:val="4"/>
          <w:szCs w:val="32"/>
        </w:rPr>
        <w:t>金属边角料及不合格产品</w:t>
      </w:r>
      <w:r>
        <w:rPr>
          <w:rFonts w:hint="eastAsia" w:ascii="仿宋_GB2312" w:hAnsi="仿宋_GB2312" w:eastAsia="仿宋_GB2312" w:cs="仿宋_GB2312"/>
          <w:color w:val="000000"/>
          <w:szCs w:val="32"/>
        </w:rPr>
        <w:t>为一般工业固废，经分类收集贮存后外售综合利用；含</w:t>
      </w:r>
      <w:r>
        <w:rPr>
          <w:rFonts w:hint="eastAsia" w:ascii="仿宋_GB2312" w:eastAsia="仿宋_GB2312"/>
          <w:color w:val="000000"/>
          <w:spacing w:val="4"/>
          <w:szCs w:val="32"/>
        </w:rPr>
        <w:t>乳化液及机油的废弃包装物、废乳化液、废机油</w:t>
      </w:r>
      <w:r>
        <w:rPr>
          <w:rFonts w:hint="eastAsia" w:ascii="仿宋_GB2312" w:eastAsia="仿宋_GB2312"/>
          <w:spacing w:val="4"/>
          <w:szCs w:val="32"/>
        </w:rPr>
        <w:t>、油泥及</w:t>
      </w:r>
      <w:r>
        <w:rPr>
          <w:rFonts w:hint="eastAsia" w:ascii="仿宋_GB2312" w:hAnsi="仿宋_GB2312" w:eastAsia="仿宋_GB2312" w:cs="仿宋_GB2312"/>
          <w:szCs w:val="32"/>
        </w:rPr>
        <w:t>含油废抹布和废手套等危险废物</w:t>
      </w:r>
      <w:r>
        <w:rPr>
          <w:rFonts w:hint="eastAsia" w:ascii="仿宋_GB2312" w:hAnsi="仿宋_GB2312" w:eastAsia="仿宋_GB2312" w:cs="仿宋_GB2312"/>
          <w:color w:val="000000"/>
          <w:kern w:val="0"/>
          <w:szCs w:val="32"/>
          <w:lang w:bidi="ar"/>
        </w:rPr>
        <w:t>应送危废暂存间分类贮存，定期外委有危废处置资质单位处理。</w:t>
      </w:r>
    </w:p>
    <w:p>
      <w:pPr>
        <w:widowControl/>
        <w:spacing w:line="530" w:lineRule="exact"/>
        <w:ind w:firstLine="656" w:firstLineChars="200"/>
        <w:jc w:val="left"/>
        <w:rPr>
          <w:rFonts w:ascii="仿宋_GB2312" w:hAnsi="仿宋_GB2312" w:eastAsia="仿宋_GB2312" w:cs="仿宋_GB2312"/>
          <w:color w:val="000000"/>
          <w:szCs w:val="32"/>
        </w:rPr>
      </w:pPr>
      <w:r>
        <w:rPr>
          <w:rFonts w:hint="eastAsia" w:ascii="仿宋_GB2312" w:eastAsia="仿宋_GB2312"/>
          <w:color w:val="000000"/>
          <w:spacing w:val="4"/>
          <w:szCs w:val="32"/>
        </w:rPr>
        <w:t>（五）</w:t>
      </w:r>
      <w:r>
        <w:rPr>
          <w:rFonts w:hint="eastAsia" w:ascii="仿宋_GB2312" w:hAnsi="仿宋_GB2312" w:eastAsia="仿宋_GB2312" w:cs="仿宋_GB2312"/>
          <w:color w:val="000000"/>
          <w:szCs w:val="32"/>
        </w:rPr>
        <w:t>加强环境风险防范。加强环保和风险防范设施的运行管理，明确责任人，确保环保设施稳定正常运行和污染物的稳定达标排放，制定环境风险事故应急预案，落实事故应急防范措施。</w:t>
      </w:r>
    </w:p>
    <w:p>
      <w:pPr>
        <w:spacing w:line="530" w:lineRule="exact"/>
        <w:ind w:firstLine="656" w:firstLineChars="200"/>
        <w:rPr>
          <w:rFonts w:ascii="仿宋_GB2312" w:eastAsia="仿宋_GB2312"/>
          <w:color w:val="000000"/>
          <w:spacing w:val="4"/>
          <w:szCs w:val="32"/>
        </w:rPr>
      </w:pPr>
      <w:r>
        <w:rPr>
          <w:rFonts w:hint="eastAsia" w:ascii="仿宋_GB2312" w:eastAsia="仿宋_GB2312"/>
          <w:color w:val="000000"/>
          <w:spacing w:val="4"/>
          <w:szCs w:val="32"/>
        </w:rPr>
        <w:t>三、</w:t>
      </w:r>
      <w:r>
        <w:rPr>
          <w:rFonts w:hint="eastAsia" w:ascii="仿宋_GB2312" w:hAnsi="仿宋_GB2312" w:eastAsia="仿宋_GB2312" w:cs="仿宋_GB2312"/>
          <w:color w:val="00000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4"/>
          <w:szCs w:val="32"/>
        </w:rPr>
        <w:t>。</w:t>
      </w:r>
    </w:p>
    <w:p>
      <w:pPr>
        <w:spacing w:line="530" w:lineRule="exact"/>
        <w:rPr>
          <w:rFonts w:ascii="仿宋_GB2312" w:eastAsia="仿宋_GB2312"/>
        </w:rPr>
      </w:pPr>
    </w:p>
    <w:p>
      <w:pPr>
        <w:spacing w:line="530" w:lineRule="exact"/>
        <w:ind w:firstLine="640" w:firstLineChars="200"/>
        <w:jc w:val="right"/>
        <w:rPr>
          <w:rFonts w:ascii="仿宋_GB2312" w:eastAsia="仿宋_GB2312"/>
        </w:rPr>
      </w:pPr>
      <w:r>
        <w:rPr>
          <w:rFonts w:hint="eastAsia" w:ascii="仿宋_GB2312" w:eastAsia="仿宋_GB2312"/>
        </w:rPr>
        <w:t xml:space="preserve">                             益阳市生态环境局</w:t>
      </w:r>
    </w:p>
    <w:p>
      <w:pPr>
        <w:spacing w:line="530" w:lineRule="exact"/>
        <w:ind w:firstLine="640" w:firstLineChars="200"/>
        <w:jc w:val="right"/>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rPr>
        <w:t>2020年2月28日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altName w:val="仿宋_GB2312"/>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7" o:spid="_x0000_s3077" o:spt="202" type="#_x0000_t202" style="position:absolute;left:0pt;margin-top:0pt;height:144pt;width:144pt;mso-position-horizontal:outside;mso-position-horizontal-relative:margin;mso-wrap-style:none;z-index:251673600;mso-width-relative:page;mso-height-relative:page;" filled="f" stroked="f" coordsize="21600,21600">
          <v:path/>
          <v:fill on="f" focussize="0,0"/>
          <v:stroke on="f" joinstyle="miter"/>
          <v:imagedata o:title=""/>
          <o:lock v:ext="edit"/>
          <v:textbox inset="0mm,0mm,0mm,0mm" style="mso-fit-shape-to-text:t;">
            <w:txbxContent>
              <w:p>
                <w:pPr>
                  <w:pStyle w:val="5"/>
                  <w:jc w:val="right"/>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C4B02"/>
    <w:multiLevelType w:val="singleLevel"/>
    <w:tmpl w:val="40FC4B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4836"/>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57BFD"/>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338E"/>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37F2"/>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67CCE"/>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547"/>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2790A"/>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30650D"/>
    <w:rsid w:val="01D03FEC"/>
    <w:rsid w:val="01D159D9"/>
    <w:rsid w:val="01ED35F8"/>
    <w:rsid w:val="02224966"/>
    <w:rsid w:val="028647C1"/>
    <w:rsid w:val="033476DA"/>
    <w:rsid w:val="059E6F82"/>
    <w:rsid w:val="070865B3"/>
    <w:rsid w:val="086B7063"/>
    <w:rsid w:val="09FA59E7"/>
    <w:rsid w:val="0A2233CD"/>
    <w:rsid w:val="0A6A6715"/>
    <w:rsid w:val="0A9F631F"/>
    <w:rsid w:val="0B5C453E"/>
    <w:rsid w:val="0BF719CD"/>
    <w:rsid w:val="0C54570B"/>
    <w:rsid w:val="0C562ECC"/>
    <w:rsid w:val="0CBA3F7F"/>
    <w:rsid w:val="0E75128A"/>
    <w:rsid w:val="101616EC"/>
    <w:rsid w:val="121E59B9"/>
    <w:rsid w:val="140D6837"/>
    <w:rsid w:val="14360E9D"/>
    <w:rsid w:val="14BD37EA"/>
    <w:rsid w:val="158942BB"/>
    <w:rsid w:val="160A46D5"/>
    <w:rsid w:val="167429F4"/>
    <w:rsid w:val="16CC5B36"/>
    <w:rsid w:val="16E81710"/>
    <w:rsid w:val="17493235"/>
    <w:rsid w:val="17565A99"/>
    <w:rsid w:val="18757D21"/>
    <w:rsid w:val="19273E5B"/>
    <w:rsid w:val="1A1F4F6D"/>
    <w:rsid w:val="1ABD0F78"/>
    <w:rsid w:val="1B5F06EB"/>
    <w:rsid w:val="1DDE1448"/>
    <w:rsid w:val="1E3A67FD"/>
    <w:rsid w:val="1E461FF2"/>
    <w:rsid w:val="1E843BFB"/>
    <w:rsid w:val="1EC34D55"/>
    <w:rsid w:val="1F322613"/>
    <w:rsid w:val="20095B14"/>
    <w:rsid w:val="210406BE"/>
    <w:rsid w:val="214B4C99"/>
    <w:rsid w:val="21D23C17"/>
    <w:rsid w:val="22B0685E"/>
    <w:rsid w:val="23AC2B40"/>
    <w:rsid w:val="262C5193"/>
    <w:rsid w:val="26423EFF"/>
    <w:rsid w:val="26C7259C"/>
    <w:rsid w:val="27240C18"/>
    <w:rsid w:val="27BA1B7C"/>
    <w:rsid w:val="27C03033"/>
    <w:rsid w:val="29F82DE6"/>
    <w:rsid w:val="2BCE09DB"/>
    <w:rsid w:val="2C36248E"/>
    <w:rsid w:val="2C9A7D53"/>
    <w:rsid w:val="2CC35361"/>
    <w:rsid w:val="2F5D4677"/>
    <w:rsid w:val="2FBE547D"/>
    <w:rsid w:val="302837E4"/>
    <w:rsid w:val="306D20D8"/>
    <w:rsid w:val="3073000C"/>
    <w:rsid w:val="327E2D1A"/>
    <w:rsid w:val="33703068"/>
    <w:rsid w:val="33741DC8"/>
    <w:rsid w:val="33B11EC4"/>
    <w:rsid w:val="34711A93"/>
    <w:rsid w:val="34C220D6"/>
    <w:rsid w:val="35B4328A"/>
    <w:rsid w:val="36452C6E"/>
    <w:rsid w:val="368D4765"/>
    <w:rsid w:val="36E44291"/>
    <w:rsid w:val="3A8E5140"/>
    <w:rsid w:val="3B125EF8"/>
    <w:rsid w:val="3C691245"/>
    <w:rsid w:val="3D1B1474"/>
    <w:rsid w:val="3DD36518"/>
    <w:rsid w:val="3E237685"/>
    <w:rsid w:val="3F30222B"/>
    <w:rsid w:val="3F4E171F"/>
    <w:rsid w:val="3F6F11B0"/>
    <w:rsid w:val="452156A3"/>
    <w:rsid w:val="45341614"/>
    <w:rsid w:val="45E80663"/>
    <w:rsid w:val="46BE060E"/>
    <w:rsid w:val="484F7B35"/>
    <w:rsid w:val="485A6652"/>
    <w:rsid w:val="48AE3800"/>
    <w:rsid w:val="4993613B"/>
    <w:rsid w:val="49B07B17"/>
    <w:rsid w:val="4A9B4753"/>
    <w:rsid w:val="4AB744D3"/>
    <w:rsid w:val="4BA21EBD"/>
    <w:rsid w:val="4BE51D09"/>
    <w:rsid w:val="4C5A64EE"/>
    <w:rsid w:val="4E501075"/>
    <w:rsid w:val="4E6A7DDF"/>
    <w:rsid w:val="4EE34A61"/>
    <w:rsid w:val="4FB31940"/>
    <w:rsid w:val="50C86BE5"/>
    <w:rsid w:val="51DB6FAB"/>
    <w:rsid w:val="52A93A25"/>
    <w:rsid w:val="54952865"/>
    <w:rsid w:val="563F30A9"/>
    <w:rsid w:val="568A3E5C"/>
    <w:rsid w:val="573C59EC"/>
    <w:rsid w:val="59C37FAB"/>
    <w:rsid w:val="5A107B8D"/>
    <w:rsid w:val="5A42464D"/>
    <w:rsid w:val="5B2C0540"/>
    <w:rsid w:val="5B7434AD"/>
    <w:rsid w:val="5F010883"/>
    <w:rsid w:val="5F8A0C3E"/>
    <w:rsid w:val="5FBA4E4C"/>
    <w:rsid w:val="60E0450D"/>
    <w:rsid w:val="61040EA5"/>
    <w:rsid w:val="616854FA"/>
    <w:rsid w:val="61D7797F"/>
    <w:rsid w:val="6282593D"/>
    <w:rsid w:val="63BA1EC7"/>
    <w:rsid w:val="647E3767"/>
    <w:rsid w:val="657A6729"/>
    <w:rsid w:val="67990F2E"/>
    <w:rsid w:val="68EA26DC"/>
    <w:rsid w:val="6A476406"/>
    <w:rsid w:val="6A737633"/>
    <w:rsid w:val="6BB53802"/>
    <w:rsid w:val="6DF731D4"/>
    <w:rsid w:val="6F5D6120"/>
    <w:rsid w:val="6FAB56DD"/>
    <w:rsid w:val="711235A4"/>
    <w:rsid w:val="71332ADA"/>
    <w:rsid w:val="714E27EA"/>
    <w:rsid w:val="71A13211"/>
    <w:rsid w:val="71C43F12"/>
    <w:rsid w:val="72D17DDC"/>
    <w:rsid w:val="75D34E1A"/>
    <w:rsid w:val="75F143D9"/>
    <w:rsid w:val="76184CB6"/>
    <w:rsid w:val="77B74CE3"/>
    <w:rsid w:val="78485F58"/>
    <w:rsid w:val="790B44B7"/>
    <w:rsid w:val="798D56F0"/>
    <w:rsid w:val="798D6140"/>
    <w:rsid w:val="7AA95265"/>
    <w:rsid w:val="7B41207C"/>
    <w:rsid w:val="7C8778FD"/>
    <w:rsid w:val="7D7A2C5C"/>
    <w:rsid w:val="7DD930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annotation text"/>
    <w:basedOn w:val="1"/>
    <w:link w:val="15"/>
    <w:unhideWhenUsed/>
    <w:qFormat/>
    <w:uiPriority w:val="0"/>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semiHidden/>
    <w:qFormat/>
    <w:uiPriority w:val="99"/>
    <w:rPr>
      <w:rFonts w:ascii="Times New Roman" w:hAnsi="Times New Roman" w:eastAsia="华文仿宋" w:cs="Times New Roman"/>
      <w:sz w:val="18"/>
      <w:szCs w:val="18"/>
    </w:rPr>
  </w:style>
  <w:style w:type="character" w:customStyle="1" w:styleId="12">
    <w:name w:val="页脚 字符"/>
    <w:basedOn w:val="9"/>
    <w:link w:val="5"/>
    <w:semiHidden/>
    <w:qFormat/>
    <w:uiPriority w:val="99"/>
    <w:rPr>
      <w:rFonts w:ascii="Times New Roman" w:hAnsi="Times New Roman" w:eastAsia="华文仿宋" w:cs="Times New Roman"/>
      <w:sz w:val="18"/>
      <w:szCs w:val="18"/>
    </w:rPr>
  </w:style>
  <w:style w:type="character" w:customStyle="1" w:styleId="13">
    <w:name w:val="文档结构图 字符"/>
    <w:basedOn w:val="9"/>
    <w:link w:val="2"/>
    <w:semiHidden/>
    <w:qFormat/>
    <w:uiPriority w:val="99"/>
    <w:rPr>
      <w:rFonts w:ascii="宋体"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华文仿宋" w:cs="Times New Roman"/>
      <w:sz w:val="18"/>
      <w:szCs w:val="18"/>
    </w:rPr>
  </w:style>
  <w:style w:type="character" w:customStyle="1" w:styleId="15">
    <w:name w:val="批注文字 字符"/>
    <w:basedOn w:val="9"/>
    <w:link w:val="3"/>
    <w:qFormat/>
    <w:uiPriority w:val="0"/>
    <w:rPr>
      <w:rFonts w:ascii="Times New Roman" w:hAnsi="Times New Roman" w:eastAsia="华文仿宋" w:cs="Times New Roman"/>
      <w:sz w:val="32"/>
      <w:szCs w:val="24"/>
    </w:rPr>
  </w:style>
  <w:style w:type="character" w:customStyle="1" w:styleId="16">
    <w:name w:val="批注主题 字符"/>
    <w:basedOn w:val="15"/>
    <w:link w:val="7"/>
    <w:semiHidden/>
    <w:qFormat/>
    <w:uiPriority w:val="99"/>
    <w:rPr>
      <w:rFonts w:ascii="Times New Roman" w:hAnsi="Times New Roman" w:eastAsia="华文仿宋" w:cs="Times New Roman"/>
      <w:b/>
      <w:bCs/>
      <w:sz w:val="32"/>
      <w:szCs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243</Words>
  <Characters>1386</Characters>
  <Lines>11</Lines>
  <Paragraphs>3</Paragraphs>
  <TotalTime>4</TotalTime>
  <ScaleCrop>false</ScaleCrop>
  <LinksUpToDate>false</LinksUpToDate>
  <CharactersWithSpaces>1626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七夜</cp:lastModifiedBy>
  <cp:lastPrinted>2020-03-07T06:09:00Z</cp:lastPrinted>
  <dcterms:modified xsi:type="dcterms:W3CDTF">2020-03-27T08:38:55Z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