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jc w:val="center"/>
        <w:rPr>
          <w:b/>
          <w:sz w:val="24"/>
        </w:rPr>
      </w:pPr>
    </w:p>
    <w:p>
      <w:pPr>
        <w:snapToGrid w:val="0"/>
        <w:jc w:val="center"/>
        <w:rPr>
          <w:b/>
          <w:sz w:val="24"/>
        </w:rPr>
      </w:pPr>
    </w:p>
    <w:p>
      <w:pPr>
        <w:snapToGrid w:val="0"/>
        <w:jc w:val="center"/>
        <w:rPr>
          <w:b/>
          <w:sz w:val="24"/>
        </w:rPr>
      </w:pPr>
    </w:p>
    <w:p>
      <w:pPr>
        <w:snapToGrid w:val="0"/>
        <w:jc w:val="center"/>
        <w:rPr>
          <w:b/>
          <w:sz w:val="24"/>
        </w:rPr>
      </w:pPr>
    </w:p>
    <w:p>
      <w:pPr>
        <w:snapToGrid w:val="0"/>
        <w:jc w:val="center"/>
        <w:rPr>
          <w:b/>
          <w:sz w:val="24"/>
        </w:rPr>
      </w:pPr>
    </w:p>
    <w:p>
      <w:pPr>
        <w:snapToGrid w:val="0"/>
        <w:jc w:val="center"/>
        <w:rPr>
          <w:b/>
          <w:sz w:val="24"/>
        </w:rPr>
      </w:pPr>
    </w:p>
    <w:p>
      <w:pPr>
        <w:snapToGrid w:val="0"/>
        <w:jc w:val="center"/>
        <w:rPr>
          <w:b/>
          <w:sz w:val="24"/>
        </w:rPr>
      </w:pPr>
    </w:p>
    <w:p>
      <w:pPr>
        <w:tabs>
          <w:tab w:val="left" w:pos="6240"/>
        </w:tabs>
        <w:spacing w:line="560" w:lineRule="exact"/>
        <w:jc w:val="right"/>
        <w:rPr>
          <w:rFonts w:ascii="仿宋_GB2312" w:eastAsia="仿宋_GB2312"/>
          <w:color w:val="FF0000"/>
          <w:szCs w:val="32"/>
        </w:rPr>
      </w:pPr>
      <w:r>
        <w:rPr>
          <w:rFonts w:hint="eastAsia" w:ascii="仿宋_GB2312" w:eastAsia="仿宋_GB2312"/>
          <w:color w:val="000000" w:themeColor="text1"/>
          <w:sz w:val="24"/>
        </w:rPr>
        <w:t xml:space="preserve">                                        </w:t>
      </w:r>
      <w:r>
        <w:rPr>
          <w:rFonts w:hint="eastAsia" w:ascii="仿宋_GB2312" w:eastAsia="仿宋_GB2312"/>
          <w:color w:val="auto"/>
          <w:sz w:val="28"/>
          <w:szCs w:val="28"/>
        </w:rPr>
        <w:t>益环高审[2020]</w:t>
      </w:r>
      <w:r>
        <w:rPr>
          <w:rFonts w:hint="eastAsia" w:ascii="仿宋_GB2312" w:eastAsia="仿宋_GB2312"/>
          <w:color w:val="auto"/>
          <w:sz w:val="28"/>
          <w:szCs w:val="28"/>
          <w:lang w:val="en-US" w:eastAsia="zh-CN"/>
        </w:rPr>
        <w:t>20</w:t>
      </w:r>
      <w:r>
        <w:rPr>
          <w:rFonts w:hint="eastAsia" w:ascii="仿宋_GB2312" w:eastAsia="仿宋_GB2312"/>
          <w:color w:val="auto"/>
          <w:sz w:val="28"/>
          <w:szCs w:val="28"/>
        </w:rPr>
        <w:t>号</w:t>
      </w:r>
    </w:p>
    <w:p>
      <w:pPr>
        <w:tabs>
          <w:tab w:val="left" w:pos="6240"/>
        </w:tabs>
        <w:spacing w:line="560" w:lineRule="exact"/>
        <w:jc w:val="right"/>
        <w:rPr>
          <w:rFonts w:ascii="仿宋_GB2312" w:eastAsia="仿宋_GB2312"/>
          <w:szCs w:val="32"/>
        </w:rPr>
      </w:pPr>
    </w:p>
    <w:p>
      <w:pPr>
        <w:spacing w:line="76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益阳市生态环境局</w:t>
      </w:r>
    </w:p>
    <w:p>
      <w:pPr>
        <w:spacing w:line="76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关于益阳市鹏之程节能玻璃门窗有限公司</w:t>
      </w:r>
    </w:p>
    <w:p>
      <w:pPr>
        <w:spacing w:line="76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年产40万平方钢化中空玻璃建设项目</w:t>
      </w:r>
    </w:p>
    <w:p>
      <w:pPr>
        <w:spacing w:line="76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环境影响报告表的批复</w:t>
      </w:r>
    </w:p>
    <w:p>
      <w:pPr>
        <w:spacing w:line="600" w:lineRule="exact"/>
        <w:rPr>
          <w:rFonts w:ascii="仿宋_GB2312" w:hAnsi="黑体" w:eastAsia="仿宋_GB2312"/>
          <w:color w:val="000000"/>
          <w:sz w:val="36"/>
          <w:szCs w:val="36"/>
        </w:rPr>
      </w:pPr>
    </w:p>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Cs w:val="32"/>
        </w:rPr>
      </w:pPr>
      <w:r>
        <w:rPr>
          <w:rFonts w:hint="eastAsia" w:ascii="仿宋_GB2312" w:hAnsi="仿宋_GB2312" w:eastAsia="仿宋_GB2312" w:cs="仿宋_GB2312"/>
          <w:bCs/>
          <w:szCs w:val="32"/>
        </w:rPr>
        <w:t>益阳市鹏之程节能玻璃门窗有限公司</w:t>
      </w:r>
      <w:r>
        <w:rPr>
          <w:rFonts w:hint="eastAsia" w:ascii="仿宋_GB2312" w:hAnsi="仿宋_GB2312" w:eastAsia="仿宋_GB2312" w:cs="仿宋_GB2312"/>
          <w:szCs w:val="32"/>
        </w:rPr>
        <w:t>：</w:t>
      </w:r>
    </w:p>
    <w:p>
      <w:pPr>
        <w:keepNext w:val="0"/>
        <w:keepLines w:val="0"/>
        <w:pageBreakBefore w:val="0"/>
        <w:kinsoku/>
        <w:wordWrap/>
        <w:overflowPunct/>
        <w:topLinePunct w:val="0"/>
        <w:autoSpaceDE/>
        <w:autoSpaceDN/>
        <w:bidi w:val="0"/>
        <w:adjustRightInd/>
        <w:snapToGrid/>
        <w:spacing w:line="560" w:lineRule="exact"/>
        <w:ind w:firstLine="656" w:firstLineChars="200"/>
        <w:textAlignment w:val="auto"/>
        <w:rPr>
          <w:rFonts w:hint="eastAsia" w:ascii="仿宋_GB2312" w:hAnsi="仿宋_GB2312" w:eastAsia="仿宋_GB2312" w:cs="仿宋_GB2312"/>
          <w:color w:val="000000"/>
          <w:szCs w:val="32"/>
        </w:rPr>
      </w:pPr>
      <w:r>
        <w:rPr>
          <w:rFonts w:hint="eastAsia" w:ascii="仿宋_GB2312" w:hAnsi="仿宋_GB2312" w:eastAsia="仿宋_GB2312" w:cs="仿宋_GB2312"/>
          <w:color w:val="000000"/>
          <w:spacing w:val="4"/>
          <w:szCs w:val="32"/>
        </w:rPr>
        <w:t>你</w:t>
      </w:r>
      <w:r>
        <w:rPr>
          <w:rFonts w:hint="eastAsia" w:ascii="仿宋_GB2312" w:hAnsi="仿宋_GB2312" w:eastAsia="仿宋_GB2312" w:cs="仿宋_GB2312"/>
          <w:bCs/>
          <w:szCs w:val="32"/>
        </w:rPr>
        <w:t>公司呈报的《益阳市鹏之程节能玻璃门窗有限公司年产40万平方钢化中空玻璃建设项目环境影响报告表》</w:t>
      </w:r>
      <w:r>
        <w:rPr>
          <w:rFonts w:hint="eastAsia" w:ascii="仿宋_GB2312" w:hAnsi="仿宋_GB2312" w:eastAsia="仿宋_GB2312" w:cs="仿宋_GB2312"/>
          <w:color w:val="000000"/>
          <w:szCs w:val="32"/>
        </w:rPr>
        <w:t>及相关附件收悉。经研究，批复如下：</w:t>
      </w:r>
    </w:p>
    <w:p>
      <w:pPr>
        <w:keepNext w:val="0"/>
        <w:keepLines w:val="0"/>
        <w:pageBreakBefore w:val="0"/>
        <w:numPr>
          <w:ilvl w:val="0"/>
          <w:numId w:val="1"/>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pacing w:val="4"/>
          <w:szCs w:val="32"/>
        </w:rPr>
      </w:pPr>
      <w:r>
        <w:rPr>
          <w:rFonts w:hint="eastAsia" w:ascii="仿宋_GB2312" w:hAnsi="仿宋_GB2312" w:eastAsia="仿宋_GB2312" w:cs="仿宋_GB2312"/>
          <w:lang w:eastAsia="zh-CN"/>
        </w:rPr>
        <w:t>你</w:t>
      </w:r>
      <w:r>
        <w:rPr>
          <w:rFonts w:hint="eastAsia" w:ascii="仿宋_GB2312" w:hAnsi="仿宋_GB2312" w:eastAsia="仿宋_GB2312" w:cs="仿宋_GB2312"/>
        </w:rPr>
        <w:t>公司拟投资500万元在益阳高新区梅林工业园</w:t>
      </w:r>
      <w:r>
        <w:rPr>
          <w:rFonts w:hint="eastAsia" w:ascii="仿宋_GB2312" w:hAnsi="仿宋_GB2312" w:eastAsia="仿宋_GB2312" w:cs="仿宋_GB2312"/>
          <w:lang w:eastAsia="zh-CN"/>
        </w:rPr>
        <w:t>购地</w:t>
      </w:r>
      <w:r>
        <w:rPr>
          <w:rFonts w:hint="eastAsia" w:ascii="仿宋_GB2312" w:hAnsi="仿宋_GB2312" w:eastAsia="仿宋_GB2312" w:cs="仿宋_GB2312"/>
        </w:rPr>
        <w:t>16576.53</w:t>
      </w:r>
      <w:r>
        <w:rPr>
          <w:rFonts w:hint="eastAsia" w:ascii="仿宋_GB2312" w:hAnsi="仿宋_GB2312" w:eastAsia="仿宋_GB2312" w:cs="仿宋_GB2312"/>
          <w:color w:val="000000"/>
          <w:spacing w:val="4"/>
          <w:szCs w:val="32"/>
          <w:lang w:eastAsia="zh-CN"/>
        </w:rPr>
        <w:t>平方米</w:t>
      </w:r>
      <w:r>
        <w:rPr>
          <w:rFonts w:hint="eastAsia" w:ascii="仿宋_GB2312" w:hAnsi="仿宋_GB2312" w:eastAsia="仿宋_GB2312" w:cs="仿宋_GB2312"/>
          <w:lang w:val="en-US" w:eastAsia="zh-CN"/>
        </w:rPr>
        <w:t>（</w:t>
      </w:r>
      <w:r>
        <w:rPr>
          <w:rFonts w:hint="eastAsia" w:ascii="仿宋_GB2312" w:hAnsi="仿宋_GB2312" w:eastAsia="仿宋_GB2312" w:cs="仿宋_GB2312"/>
        </w:rPr>
        <w:t>通过</w:t>
      </w:r>
      <w:r>
        <w:rPr>
          <w:rFonts w:hint="eastAsia" w:ascii="仿宋_GB2312" w:hAnsi="仿宋_GB2312" w:eastAsia="仿宋_GB2312" w:cs="仿宋_GB2312"/>
          <w:lang w:eastAsia="zh-CN"/>
        </w:rPr>
        <w:t>司法</w:t>
      </w:r>
      <w:r>
        <w:rPr>
          <w:rFonts w:hint="eastAsia" w:ascii="仿宋_GB2312" w:hAnsi="仿宋_GB2312" w:eastAsia="仿宋_GB2312" w:cs="仿宋_GB2312"/>
        </w:rPr>
        <w:t>拍卖方式</w:t>
      </w:r>
      <w:r>
        <w:rPr>
          <w:rFonts w:hint="eastAsia" w:ascii="仿宋_GB2312" w:hAnsi="仿宋_GB2312" w:eastAsia="仿宋_GB2312" w:cs="仿宋_GB2312"/>
          <w:lang w:eastAsia="zh-CN"/>
        </w:rPr>
        <w:t>取得</w:t>
      </w:r>
      <w:r>
        <w:rPr>
          <w:rFonts w:hint="eastAsia" w:ascii="仿宋_GB2312" w:hAnsi="仿宋_GB2312" w:eastAsia="仿宋_GB2312" w:cs="仿宋_GB2312"/>
          <w:color w:val="000000"/>
          <w:spacing w:val="4"/>
          <w:szCs w:val="32"/>
          <w:lang w:eastAsia="zh-CN"/>
        </w:rPr>
        <w:t>），建设一条年产40万平方的钢化中空玻璃生产线及配套一条年产2万平方的铝合金框生产线。拟建项目主要建设内容包括钢化中空玻璃生产区、铝合金框生产区</w:t>
      </w:r>
      <w:r>
        <w:rPr>
          <w:rFonts w:hint="eastAsia" w:ascii="仿宋_GB2312" w:hAnsi="仿宋_GB2312" w:eastAsia="仿宋_GB2312" w:cs="仿宋_GB2312"/>
          <w:lang w:eastAsia="zh-CN"/>
        </w:rPr>
        <w:t>、</w:t>
      </w:r>
      <w:r>
        <w:rPr>
          <w:rFonts w:hint="eastAsia" w:ascii="仿宋_GB2312" w:hAnsi="仿宋_GB2312" w:eastAsia="仿宋_GB2312" w:cs="仿宋_GB2312"/>
        </w:rPr>
        <w:t>办公生活</w:t>
      </w:r>
      <w:r>
        <w:rPr>
          <w:rFonts w:hint="eastAsia" w:ascii="仿宋_GB2312" w:hAnsi="仿宋_GB2312" w:eastAsia="仿宋_GB2312" w:cs="仿宋_GB2312"/>
          <w:lang w:eastAsia="zh-CN"/>
        </w:rPr>
        <w:t>区</w:t>
      </w:r>
      <w:r>
        <w:rPr>
          <w:rFonts w:hint="eastAsia" w:ascii="仿宋_GB2312" w:hAnsi="仿宋_GB2312" w:eastAsia="仿宋_GB2312" w:cs="仿宋_GB2312"/>
          <w:color w:val="000000"/>
          <w:spacing w:val="0"/>
          <w:sz w:val="32"/>
          <w:szCs w:val="32"/>
          <w:lang w:eastAsia="zh-CN"/>
        </w:rPr>
        <w:t>及</w:t>
      </w:r>
      <w:r>
        <w:rPr>
          <w:rFonts w:hint="eastAsia" w:ascii="仿宋_GB2312" w:hAnsi="仿宋_GB2312" w:eastAsia="仿宋_GB2312" w:cs="仿宋_GB2312"/>
          <w:color w:val="000000"/>
          <w:spacing w:val="0"/>
          <w:sz w:val="32"/>
          <w:szCs w:val="32"/>
          <w:lang w:val="en-US" w:eastAsia="zh-CN"/>
        </w:rPr>
        <w:t>给排水、供配电、环保等相关公用辅助工程。</w:t>
      </w:r>
      <w:r>
        <w:rPr>
          <w:rFonts w:hint="eastAsia" w:ascii="仿宋_GB2312" w:hAnsi="仿宋_GB2312" w:eastAsia="仿宋_GB2312" w:cs="仿宋_GB2312"/>
          <w:color w:val="000000"/>
          <w:szCs w:val="32"/>
        </w:rPr>
        <w:t>项目建设符合国家产业政策和益阳高新区</w:t>
      </w:r>
      <w:r>
        <w:rPr>
          <w:rFonts w:hint="eastAsia" w:ascii="仿宋_GB2312" w:hAnsi="仿宋_GB2312" w:eastAsia="仿宋_GB2312" w:cs="仿宋_GB2312"/>
          <w:color w:val="000000"/>
          <w:spacing w:val="0"/>
          <w:sz w:val="32"/>
          <w:szCs w:val="32"/>
          <w:lang w:val="en-US" w:eastAsia="zh-CN"/>
        </w:rPr>
        <w:t>朝阳产业园</w:t>
      </w:r>
      <w:r>
        <w:rPr>
          <w:rFonts w:hint="eastAsia" w:ascii="仿宋_GB2312" w:hAnsi="仿宋_GB2312" w:eastAsia="仿宋_GB2312" w:cs="仿宋_GB2312"/>
          <w:color w:val="000000"/>
          <w:szCs w:val="32"/>
        </w:rPr>
        <w:t>选址用地规划要求。根据江苏新清源环保有限公司编制的环评报告表的分析结论，在建设单位认真落实报告表提出的各项污染防治措施、确保外排污染物稳定达标的前提下，从环保的角度分析，我局同意项目按报告表所列的建设方案、规模、工艺、环保措施等在拟选地址建设。</w:t>
      </w:r>
    </w:p>
    <w:p>
      <w:pPr>
        <w:keepNext w:val="0"/>
        <w:keepLines w:val="0"/>
        <w:pageBreakBefore w:val="0"/>
        <w:kinsoku/>
        <w:wordWrap/>
        <w:overflowPunct/>
        <w:topLinePunct w:val="0"/>
        <w:autoSpaceDE/>
        <w:autoSpaceDN/>
        <w:bidi w:val="0"/>
        <w:adjustRightInd/>
        <w:snapToGrid/>
        <w:spacing w:line="560" w:lineRule="exact"/>
        <w:ind w:firstLine="656" w:firstLineChars="200"/>
        <w:textAlignment w:val="auto"/>
        <w:rPr>
          <w:rFonts w:hint="eastAsia" w:ascii="仿宋_GB2312" w:hAnsi="仿宋_GB2312" w:eastAsia="仿宋_GB2312" w:cs="仿宋_GB2312"/>
          <w:color w:val="000000"/>
          <w:spacing w:val="4"/>
          <w:szCs w:val="32"/>
        </w:rPr>
      </w:pPr>
      <w:r>
        <w:rPr>
          <w:rFonts w:hint="eastAsia" w:ascii="仿宋_GB2312" w:hAnsi="仿宋_GB2312" w:eastAsia="仿宋_GB2312" w:cs="仿宋_GB2312"/>
          <w:color w:val="000000"/>
          <w:spacing w:val="4"/>
          <w:szCs w:val="32"/>
        </w:rPr>
        <w:t>二、</w:t>
      </w:r>
      <w:r>
        <w:rPr>
          <w:rFonts w:hint="eastAsia" w:ascii="仿宋_GB2312" w:hAnsi="仿宋_GB2312" w:eastAsia="仿宋_GB2312" w:cs="仿宋_GB2312"/>
          <w:color w:val="000000"/>
          <w:szCs w:val="32"/>
        </w:rPr>
        <w:t>建设单位在项目设计、建设和营运期间，必须严格执行环保“三同时”制度，按照环评报告表要求落实各项污染防治措施，并着重做好如下工作</w:t>
      </w:r>
      <w:r>
        <w:rPr>
          <w:rFonts w:hint="eastAsia" w:ascii="仿宋_GB2312" w:hAnsi="仿宋_GB2312" w:eastAsia="仿宋_GB2312" w:cs="仿宋_GB2312"/>
          <w:color w:val="000000"/>
          <w:spacing w:val="4"/>
          <w:szCs w:val="32"/>
        </w:rPr>
        <w:t>：</w:t>
      </w:r>
    </w:p>
    <w:p>
      <w:pPr>
        <w:keepNext w:val="0"/>
        <w:keepLines w:val="0"/>
        <w:pageBreakBefore w:val="0"/>
        <w:kinsoku/>
        <w:wordWrap/>
        <w:overflowPunct/>
        <w:topLinePunct w:val="0"/>
        <w:autoSpaceDE/>
        <w:autoSpaceDN/>
        <w:bidi w:val="0"/>
        <w:adjustRightInd/>
        <w:snapToGrid/>
        <w:spacing w:line="560" w:lineRule="exact"/>
        <w:ind w:firstLine="656" w:firstLineChars="200"/>
        <w:textAlignment w:val="auto"/>
        <w:rPr>
          <w:rFonts w:hint="eastAsia" w:ascii="仿宋_GB2312" w:hAnsi="仿宋_GB2312" w:eastAsia="仿宋_GB2312" w:cs="仿宋_GB2312"/>
          <w:color w:val="000000"/>
          <w:spacing w:val="4"/>
          <w:szCs w:val="32"/>
        </w:rPr>
      </w:pPr>
      <w:r>
        <w:rPr>
          <w:rFonts w:hint="eastAsia" w:ascii="仿宋_GB2312" w:hAnsi="仿宋_GB2312" w:eastAsia="仿宋_GB2312" w:cs="仿宋_GB2312"/>
          <w:spacing w:val="4"/>
          <w:szCs w:val="32"/>
        </w:rPr>
        <w:t>（一）做好项目大气污染防治工作。加强车间通风换气，</w:t>
      </w:r>
      <w:r>
        <w:rPr>
          <w:rFonts w:hint="eastAsia" w:ascii="仿宋_GB2312" w:hAnsi="仿宋_GB2312" w:eastAsia="仿宋_GB2312" w:cs="仿宋_GB2312"/>
          <w:color w:val="000000"/>
          <w:spacing w:val="4"/>
          <w:szCs w:val="32"/>
        </w:rPr>
        <w:t>机加工</w:t>
      </w:r>
      <w:r>
        <w:rPr>
          <w:rFonts w:hint="eastAsia" w:ascii="仿宋_GB2312" w:hAnsi="仿宋_GB2312" w:eastAsia="仿宋_GB2312" w:cs="仿宋_GB2312"/>
          <w:color w:val="000000"/>
          <w:spacing w:val="4"/>
          <w:szCs w:val="32"/>
          <w:lang w:eastAsia="zh-CN"/>
        </w:rPr>
        <w:t>产生粉尘的工位应设置</w:t>
      </w:r>
      <w:r>
        <w:rPr>
          <w:rFonts w:hint="eastAsia" w:ascii="仿宋_GB2312" w:hAnsi="仿宋_GB2312" w:eastAsia="仿宋_GB2312" w:cs="仿宋_GB2312"/>
          <w:color w:val="auto"/>
          <w:spacing w:val="4"/>
          <w:szCs w:val="32"/>
          <w:lang w:eastAsia="zh-CN"/>
        </w:rPr>
        <w:t>挡板，</w:t>
      </w:r>
      <w:r>
        <w:rPr>
          <w:rFonts w:hint="eastAsia" w:ascii="仿宋_GB2312" w:hAnsi="仿宋_GB2312" w:eastAsia="仿宋_GB2312" w:cs="仿宋_GB2312"/>
          <w:spacing w:val="4"/>
          <w:szCs w:val="32"/>
          <w:lang w:eastAsia="zh-CN"/>
        </w:rPr>
        <w:t>打磨</w:t>
      </w:r>
      <w:r>
        <w:rPr>
          <w:rFonts w:hint="eastAsia" w:ascii="仿宋_GB2312" w:hAnsi="仿宋_GB2312" w:eastAsia="仿宋_GB2312" w:cs="仿宋_GB2312"/>
          <w:spacing w:val="4"/>
          <w:szCs w:val="32"/>
        </w:rPr>
        <w:t>工序</w:t>
      </w:r>
      <w:r>
        <w:rPr>
          <w:rFonts w:hint="eastAsia" w:ascii="仿宋_GB2312" w:hAnsi="仿宋_GB2312" w:eastAsia="仿宋_GB2312" w:cs="仿宋_GB2312"/>
          <w:spacing w:val="4"/>
          <w:szCs w:val="32"/>
          <w:lang w:eastAsia="zh-CN"/>
        </w:rPr>
        <w:t>应</w:t>
      </w:r>
      <w:r>
        <w:rPr>
          <w:rFonts w:hint="eastAsia" w:ascii="仿宋_GB2312" w:hAnsi="仿宋_GB2312" w:eastAsia="仿宋_GB2312" w:cs="仿宋_GB2312"/>
          <w:spacing w:val="4"/>
          <w:szCs w:val="32"/>
        </w:rPr>
        <w:t>采用水磨工艺，</w:t>
      </w:r>
      <w:r>
        <w:rPr>
          <w:rFonts w:hint="eastAsia" w:ascii="仿宋_GB2312" w:hAnsi="仿宋_GB2312" w:eastAsia="仿宋_GB2312" w:cs="仿宋_GB2312"/>
          <w:spacing w:val="4"/>
          <w:szCs w:val="32"/>
          <w:lang w:eastAsia="zh-CN"/>
        </w:rPr>
        <w:t>上胶、固化工序产生的有机废气经集气收集后采用活性炭吸附装置处理</w:t>
      </w:r>
      <w:r>
        <w:rPr>
          <w:rFonts w:hint="eastAsia" w:ascii="仿宋_GB2312" w:hAnsi="仿宋_GB2312" w:eastAsia="仿宋_GB2312" w:cs="仿宋_GB2312"/>
          <w:spacing w:val="4"/>
          <w:szCs w:val="32"/>
        </w:rPr>
        <w:t>，确保外排</w:t>
      </w:r>
      <w:r>
        <w:rPr>
          <w:rFonts w:hint="eastAsia" w:ascii="仿宋_GB2312" w:hAnsi="仿宋_GB2312" w:eastAsia="仿宋_GB2312" w:cs="仿宋_GB2312"/>
          <w:spacing w:val="4"/>
          <w:szCs w:val="32"/>
          <w:lang w:eastAsia="zh-CN"/>
        </w:rPr>
        <w:t>污染物达到</w:t>
      </w:r>
      <w:r>
        <w:rPr>
          <w:rFonts w:hint="eastAsia" w:ascii="仿宋_GB2312" w:hAnsi="仿宋_GB2312" w:eastAsia="仿宋_GB2312" w:cs="仿宋_GB2312"/>
          <w:spacing w:val="4"/>
          <w:szCs w:val="32"/>
        </w:rPr>
        <w:t>《大气污染物综合排放标准》（GB16297-1996）表2中无组织排放监控浓度限值要求</w:t>
      </w:r>
      <w:r>
        <w:rPr>
          <w:rFonts w:hint="eastAsia" w:ascii="仿宋_GB2312" w:hAnsi="仿宋_GB2312" w:eastAsia="仿宋_GB2312" w:cs="仿宋_GB2312"/>
          <w:color w:val="000000"/>
          <w:spacing w:val="4"/>
          <w:szCs w:val="32"/>
        </w:rPr>
        <w:t>。</w:t>
      </w:r>
    </w:p>
    <w:p>
      <w:pPr>
        <w:keepNext w:val="0"/>
        <w:keepLines w:val="0"/>
        <w:pageBreakBefore w:val="0"/>
        <w:kinsoku/>
        <w:wordWrap/>
        <w:overflowPunct/>
        <w:topLinePunct w:val="0"/>
        <w:autoSpaceDE/>
        <w:autoSpaceDN/>
        <w:bidi w:val="0"/>
        <w:adjustRightInd/>
        <w:snapToGrid/>
        <w:spacing w:line="560" w:lineRule="exact"/>
        <w:ind w:firstLine="656" w:firstLineChars="200"/>
        <w:textAlignment w:val="auto"/>
        <w:rPr>
          <w:rFonts w:hint="eastAsia" w:ascii="仿宋_GB2312" w:hAnsi="仿宋_GB2312" w:eastAsia="仿宋_GB2312" w:cs="仿宋_GB2312"/>
          <w:color w:val="000000"/>
          <w:spacing w:val="4"/>
          <w:szCs w:val="32"/>
        </w:rPr>
      </w:pPr>
      <w:r>
        <w:rPr>
          <w:rFonts w:hint="eastAsia" w:ascii="仿宋_GB2312" w:hAnsi="仿宋_GB2312" w:eastAsia="仿宋_GB2312" w:cs="仿宋_GB2312"/>
          <w:color w:val="000000"/>
          <w:spacing w:val="4"/>
          <w:szCs w:val="32"/>
        </w:rPr>
        <w:t>（二）做好项目水污染防治工作。生活污水经隔油池、化粪池预处理达到《污水综合排放标准》（GB8978-1996）表4中三级标准后经园区污水管网排入益阳</w:t>
      </w:r>
      <w:r>
        <w:rPr>
          <w:rFonts w:hint="eastAsia" w:ascii="仿宋_GB2312" w:hAnsi="仿宋_GB2312" w:eastAsia="仿宋_GB2312" w:cs="仿宋_GB2312"/>
          <w:color w:val="000000"/>
          <w:spacing w:val="4"/>
          <w:szCs w:val="32"/>
          <w:lang w:val="en-US" w:eastAsia="zh-CN"/>
        </w:rPr>
        <w:t>市团洲污水处理厂</w:t>
      </w:r>
      <w:r>
        <w:rPr>
          <w:rFonts w:hint="eastAsia" w:ascii="仿宋_GB2312" w:hAnsi="仿宋_GB2312" w:eastAsia="仿宋_GB2312" w:cs="仿宋_GB2312"/>
          <w:color w:val="000000"/>
          <w:spacing w:val="4"/>
          <w:szCs w:val="32"/>
        </w:rPr>
        <w:t>进行深度处理；打磨</w:t>
      </w:r>
      <w:r>
        <w:rPr>
          <w:rFonts w:hint="eastAsia" w:ascii="仿宋_GB2312" w:hAnsi="仿宋_GB2312" w:eastAsia="仿宋_GB2312" w:cs="仿宋_GB2312"/>
          <w:color w:val="000000"/>
          <w:spacing w:val="4"/>
          <w:szCs w:val="32"/>
          <w:lang w:eastAsia="zh-CN"/>
        </w:rPr>
        <w:t>、</w:t>
      </w:r>
      <w:r>
        <w:rPr>
          <w:rFonts w:hint="eastAsia" w:ascii="仿宋_GB2312" w:hAnsi="仿宋_GB2312" w:eastAsia="仿宋_GB2312" w:cs="仿宋_GB2312"/>
          <w:color w:val="000000"/>
          <w:spacing w:val="4"/>
          <w:szCs w:val="32"/>
        </w:rPr>
        <w:t>清洗</w:t>
      </w:r>
      <w:r>
        <w:rPr>
          <w:rFonts w:hint="eastAsia" w:ascii="仿宋_GB2312" w:hAnsi="仿宋_GB2312" w:eastAsia="仿宋_GB2312" w:cs="仿宋_GB2312"/>
          <w:color w:val="000000"/>
          <w:spacing w:val="4"/>
          <w:szCs w:val="32"/>
          <w:lang w:eastAsia="zh-CN"/>
        </w:rPr>
        <w:t>过程中</w:t>
      </w:r>
      <w:r>
        <w:rPr>
          <w:rFonts w:hint="eastAsia" w:ascii="仿宋_GB2312" w:hAnsi="仿宋_GB2312" w:eastAsia="仿宋_GB2312" w:cs="仿宋_GB2312"/>
          <w:color w:val="000000"/>
          <w:spacing w:val="4"/>
          <w:szCs w:val="32"/>
        </w:rPr>
        <w:t>产生的废水经沉淀后回用，不外排。</w:t>
      </w:r>
    </w:p>
    <w:p>
      <w:pPr>
        <w:pStyle w:val="3"/>
        <w:keepNext w:val="0"/>
        <w:keepLines w:val="0"/>
        <w:pageBreakBefore w:val="0"/>
        <w:kinsoku/>
        <w:wordWrap/>
        <w:overflowPunct/>
        <w:topLinePunct w:val="0"/>
        <w:autoSpaceDE/>
        <w:autoSpaceDN/>
        <w:bidi w:val="0"/>
        <w:adjustRightInd/>
        <w:snapToGrid/>
        <w:spacing w:line="560" w:lineRule="exact"/>
        <w:ind w:firstLine="656" w:firstLineChars="200"/>
        <w:jc w:val="both"/>
        <w:textAlignment w:val="auto"/>
        <w:rPr>
          <w:rFonts w:hint="eastAsia" w:ascii="仿宋_GB2312" w:hAnsi="仿宋_GB2312" w:eastAsia="仿宋_GB2312" w:cs="仿宋_GB2312"/>
          <w:color w:val="000000"/>
          <w:spacing w:val="4"/>
          <w:szCs w:val="32"/>
        </w:rPr>
      </w:pPr>
      <w:r>
        <w:rPr>
          <w:rFonts w:hint="eastAsia" w:ascii="仿宋_GB2312" w:hAnsi="仿宋_GB2312" w:eastAsia="仿宋_GB2312" w:cs="仿宋_GB2312"/>
          <w:color w:val="000000"/>
          <w:spacing w:val="4"/>
          <w:szCs w:val="32"/>
        </w:rPr>
        <w:t>（三）做好项目噪声污染防治工作。</w:t>
      </w:r>
      <w:r>
        <w:rPr>
          <w:rFonts w:hint="eastAsia" w:ascii="仿宋_GB2312" w:hAnsi="仿宋_GB2312" w:eastAsia="仿宋_GB2312" w:cs="仿宋_GB2312"/>
          <w:color w:val="000000"/>
          <w:szCs w:val="32"/>
        </w:rPr>
        <w:t>落实环评报告表提出的噪声防治措施，合理优化总平面布局，并从优化设备的选型、减震、消声、隔声和合理安排设备作业时间等方面做好噪声的污染控制工作，确保厂界东、西、北面噪声达到《工业企业厂界环境噪声排放标准》（GB12348-2008）中3类区标准要求，南面噪声达到《工业企业厂界环境噪声排放标准》（GB12348-2008）中4类区标准要求</w:t>
      </w:r>
      <w:r>
        <w:rPr>
          <w:rFonts w:hint="eastAsia" w:ascii="仿宋_GB2312" w:hAnsi="仿宋_GB2312" w:eastAsia="仿宋_GB2312" w:cs="仿宋_GB2312"/>
          <w:color w:val="000000"/>
          <w:spacing w:val="4"/>
          <w:szCs w:val="32"/>
        </w:rPr>
        <w:t>。</w:t>
      </w:r>
    </w:p>
    <w:p>
      <w:pPr>
        <w:pStyle w:val="3"/>
        <w:keepNext w:val="0"/>
        <w:keepLines w:val="0"/>
        <w:pageBreakBefore w:val="0"/>
        <w:kinsoku/>
        <w:wordWrap/>
        <w:overflowPunct/>
        <w:topLinePunct w:val="0"/>
        <w:autoSpaceDE/>
        <w:autoSpaceDN/>
        <w:bidi w:val="0"/>
        <w:adjustRightInd/>
        <w:snapToGrid/>
        <w:spacing w:line="560" w:lineRule="exact"/>
        <w:ind w:firstLine="656" w:firstLineChars="200"/>
        <w:jc w:val="both"/>
        <w:textAlignment w:val="auto"/>
        <w:rPr>
          <w:rFonts w:hint="eastAsia" w:ascii="仿宋_GB2312" w:hAnsi="仿宋_GB2312" w:eastAsia="仿宋_GB2312" w:cs="仿宋_GB2312"/>
          <w:color w:val="000000"/>
          <w:kern w:val="0"/>
          <w:szCs w:val="32"/>
        </w:rPr>
      </w:pPr>
      <w:r>
        <w:rPr>
          <w:rFonts w:hint="eastAsia" w:ascii="仿宋_GB2312" w:hAnsi="仿宋_GB2312" w:eastAsia="仿宋_GB2312" w:cs="仿宋_GB2312"/>
          <w:color w:val="000000"/>
          <w:spacing w:val="4"/>
          <w:szCs w:val="32"/>
        </w:rPr>
        <w:t>（四）</w:t>
      </w:r>
      <w:r>
        <w:rPr>
          <w:rFonts w:hint="eastAsia" w:ascii="仿宋_GB2312" w:hAnsi="仿宋_GB2312" w:eastAsia="仿宋_GB2312" w:cs="仿宋_GB2312"/>
          <w:color w:val="000000"/>
          <w:szCs w:val="32"/>
        </w:rPr>
        <w:t>加强对固体废物的分类管理控制。项目产生的危废和一般固废应严格分类贮存，厂区内按规范和环评提出的容量要求分别设置危废暂存库和一般固废暂存场所，其建设、运行和管理应相应分别满足《危险废物贮存污染控制标准》(GB18597-2001)及其修改单要求、《一般工业固体废物贮存、处置场污染控制标准》（GB18599-2001）及其修改单要求。做好固体废物分类收集处置，</w:t>
      </w:r>
      <w:r>
        <w:rPr>
          <w:rFonts w:hint="eastAsia" w:ascii="仿宋_GB2312" w:hAnsi="仿宋_GB2312" w:eastAsia="仿宋_GB2312" w:cs="仿宋_GB2312"/>
          <w:color w:val="000000"/>
          <w:kern w:val="0"/>
          <w:szCs w:val="32"/>
        </w:rPr>
        <w:t>生活垃圾收集后交给地方环卫部门处理；铝合金边角料、废玻璃片、玻璃沉渣</w:t>
      </w:r>
      <w:r>
        <w:rPr>
          <w:rFonts w:hint="eastAsia" w:ascii="仿宋_GB2312" w:hAnsi="仿宋_GB2312" w:eastAsia="仿宋_GB2312" w:cs="仿宋_GB2312"/>
          <w:color w:val="000000"/>
          <w:kern w:val="0"/>
          <w:szCs w:val="32"/>
          <w:lang w:eastAsia="zh-CN"/>
        </w:rPr>
        <w:t>、</w:t>
      </w:r>
      <w:r>
        <w:rPr>
          <w:rFonts w:hint="eastAsia" w:ascii="仿宋_GB2312" w:hAnsi="仿宋_GB2312" w:eastAsia="仿宋_GB2312" w:cs="仿宋_GB2312"/>
          <w:color w:val="auto"/>
          <w:spacing w:val="4"/>
          <w:szCs w:val="32"/>
          <w:lang w:eastAsia="zh-CN"/>
        </w:rPr>
        <w:t>废包装材料</w:t>
      </w:r>
      <w:r>
        <w:rPr>
          <w:rFonts w:hint="eastAsia" w:ascii="仿宋_GB2312" w:hAnsi="仿宋_GB2312" w:eastAsia="仿宋_GB2312" w:cs="仿宋_GB2312"/>
          <w:color w:val="000000"/>
          <w:kern w:val="0"/>
          <w:szCs w:val="32"/>
        </w:rPr>
        <w:t>等</w:t>
      </w:r>
      <w:r>
        <w:rPr>
          <w:rFonts w:hint="eastAsia" w:ascii="仿宋_GB2312" w:hAnsi="仿宋_GB2312" w:eastAsia="仿宋_GB2312" w:cs="仿宋_GB2312"/>
          <w:color w:val="000000"/>
          <w:szCs w:val="32"/>
        </w:rPr>
        <w:t>为一般工业固废，经分类收集贮存后外售综合利用；</w:t>
      </w:r>
      <w:r>
        <w:rPr>
          <w:rFonts w:hint="eastAsia" w:ascii="仿宋_GB2312" w:hAnsi="仿宋_GB2312" w:eastAsia="仿宋_GB2312" w:cs="仿宋_GB2312"/>
          <w:color w:val="000000"/>
          <w:spacing w:val="4"/>
          <w:szCs w:val="32"/>
        </w:rPr>
        <w:t>废弃胶桶</w:t>
      </w:r>
      <w:r>
        <w:rPr>
          <w:rFonts w:hint="eastAsia" w:ascii="仿宋_GB2312" w:hAnsi="仿宋_GB2312" w:eastAsia="仿宋_GB2312" w:cs="仿宋_GB2312"/>
          <w:color w:val="000000"/>
          <w:spacing w:val="4"/>
          <w:szCs w:val="32"/>
          <w:lang w:eastAsia="zh-CN"/>
        </w:rPr>
        <w:t>、废活性炭</w:t>
      </w:r>
      <w:r>
        <w:rPr>
          <w:rFonts w:hint="eastAsia" w:ascii="仿宋_GB2312" w:hAnsi="仿宋_GB2312" w:eastAsia="仿宋_GB2312" w:cs="仿宋_GB2312"/>
          <w:color w:val="000000"/>
          <w:spacing w:val="4"/>
          <w:szCs w:val="32"/>
        </w:rPr>
        <w:t>等</w:t>
      </w:r>
      <w:r>
        <w:rPr>
          <w:rFonts w:hint="eastAsia" w:ascii="仿宋_GB2312" w:hAnsi="仿宋_GB2312" w:eastAsia="仿宋_GB2312" w:cs="仿宋_GB2312"/>
          <w:szCs w:val="32"/>
        </w:rPr>
        <w:t>危险废物</w:t>
      </w:r>
      <w:r>
        <w:rPr>
          <w:rFonts w:hint="eastAsia" w:ascii="仿宋_GB2312" w:hAnsi="仿宋_GB2312" w:eastAsia="仿宋_GB2312" w:cs="仿宋_GB2312"/>
          <w:color w:val="000000"/>
          <w:kern w:val="0"/>
          <w:szCs w:val="32"/>
        </w:rPr>
        <w:t>应送危废暂存间分类贮存，定期外委有危废处置资质单位处理。</w:t>
      </w:r>
    </w:p>
    <w:p>
      <w:pPr>
        <w:pStyle w:val="3"/>
        <w:keepNext w:val="0"/>
        <w:keepLines w:val="0"/>
        <w:pageBreakBefore w:val="0"/>
        <w:kinsoku/>
        <w:wordWrap/>
        <w:overflowPunct/>
        <w:topLinePunct w:val="0"/>
        <w:autoSpaceDE/>
        <w:autoSpaceDN/>
        <w:bidi w:val="0"/>
        <w:adjustRightInd/>
        <w:snapToGrid/>
        <w:spacing w:line="560" w:lineRule="exact"/>
        <w:ind w:firstLine="656" w:firstLineChars="200"/>
        <w:jc w:val="both"/>
        <w:textAlignment w:val="auto"/>
        <w:rPr>
          <w:rFonts w:hint="eastAsia" w:ascii="仿宋_GB2312" w:hAnsi="仿宋_GB2312" w:eastAsia="仿宋_GB2312" w:cs="仿宋_GB2312"/>
          <w:color w:val="000000"/>
          <w:szCs w:val="32"/>
        </w:rPr>
      </w:pPr>
      <w:r>
        <w:rPr>
          <w:rFonts w:hint="eastAsia" w:ascii="仿宋_GB2312" w:hAnsi="仿宋_GB2312" w:eastAsia="仿宋_GB2312" w:cs="仿宋_GB2312"/>
          <w:color w:val="000000"/>
          <w:spacing w:val="4"/>
          <w:szCs w:val="32"/>
        </w:rPr>
        <w:t>（五）</w:t>
      </w:r>
      <w:r>
        <w:rPr>
          <w:rFonts w:hint="eastAsia" w:ascii="仿宋_GB2312" w:hAnsi="仿宋_GB2312" w:eastAsia="仿宋_GB2312" w:cs="仿宋_GB2312"/>
          <w:color w:val="000000"/>
          <w:szCs w:val="32"/>
        </w:rPr>
        <w:t>加强环境风险防范。加强环保和风险防范设施的运行管理，明确责任人，确保环保设施稳定正常运行和污染物的稳定达标排放，制定环境风险事故应急预案，落实事故应急防范措施</w:t>
      </w:r>
      <w:r>
        <w:rPr>
          <w:rFonts w:hint="eastAsia" w:ascii="仿宋_GB2312" w:hAnsi="仿宋_GB2312" w:eastAsia="仿宋_GB2312" w:cs="仿宋_GB2312"/>
          <w:color w:val="000000"/>
          <w:spacing w:val="8"/>
          <w:szCs w:val="32"/>
        </w:rPr>
        <w:t>。</w:t>
      </w:r>
    </w:p>
    <w:p>
      <w:pPr>
        <w:keepNext w:val="0"/>
        <w:keepLines w:val="0"/>
        <w:pageBreakBefore w:val="0"/>
        <w:kinsoku/>
        <w:wordWrap/>
        <w:overflowPunct/>
        <w:topLinePunct w:val="0"/>
        <w:autoSpaceDE/>
        <w:autoSpaceDN/>
        <w:bidi w:val="0"/>
        <w:adjustRightInd/>
        <w:snapToGrid/>
        <w:spacing w:line="560" w:lineRule="exact"/>
        <w:ind w:firstLine="656" w:firstLineChars="200"/>
        <w:textAlignment w:val="auto"/>
        <w:rPr>
          <w:rFonts w:hint="eastAsia" w:ascii="仿宋_GB2312" w:hAnsi="仿宋_GB2312" w:eastAsia="仿宋_GB2312" w:cs="仿宋_GB2312"/>
          <w:color w:val="000000"/>
          <w:spacing w:val="4"/>
          <w:szCs w:val="32"/>
        </w:rPr>
      </w:pPr>
      <w:r>
        <w:rPr>
          <w:rFonts w:hint="eastAsia" w:ascii="仿宋_GB2312" w:hAnsi="仿宋_GB2312" w:eastAsia="仿宋_GB2312" w:cs="仿宋_GB2312"/>
          <w:color w:val="000000"/>
          <w:spacing w:val="4"/>
          <w:szCs w:val="32"/>
        </w:rPr>
        <w:t>三、</w:t>
      </w:r>
      <w:r>
        <w:rPr>
          <w:rFonts w:hint="eastAsia" w:ascii="仿宋_GB2312" w:hAnsi="仿宋_GB2312" w:eastAsia="仿宋_GB2312" w:cs="仿宋_GB2312"/>
          <w:color w:val="000000"/>
          <w:szCs w:val="32"/>
        </w:rPr>
        <w:t>建设单位应严格执行环境保护“三同时”规定，项目环保“三同时”执行情况的监督检查和日常环境管理工作由益阳市生态环境局高新区分局和益阳市生态环境保护综合行政执法支队高新区大队具体负责</w:t>
      </w:r>
      <w:r>
        <w:rPr>
          <w:rFonts w:hint="eastAsia" w:ascii="仿宋_GB2312" w:hAnsi="仿宋_GB2312" w:eastAsia="仿宋_GB2312" w:cs="仿宋_GB2312"/>
          <w:color w:val="000000"/>
          <w:spacing w:val="4"/>
          <w:szCs w:val="32"/>
        </w:rPr>
        <w:t>。</w:t>
      </w:r>
    </w:p>
    <w:p>
      <w:pPr>
        <w:keepNext w:val="0"/>
        <w:keepLines w:val="0"/>
        <w:pageBreakBefore w:val="0"/>
        <w:kinsoku/>
        <w:wordWrap/>
        <w:overflowPunct/>
        <w:topLinePunct w:val="0"/>
        <w:autoSpaceDE/>
        <w:autoSpaceDN/>
        <w:bidi w:val="0"/>
        <w:adjustRightInd/>
        <w:snapToGrid/>
        <w:spacing w:line="560" w:lineRule="exact"/>
        <w:ind w:firstLine="640" w:firstLineChars="200"/>
        <w:jc w:val="right"/>
        <w:textAlignment w:val="auto"/>
        <w:rPr>
          <w:rFonts w:hint="eastAsia" w:ascii="仿宋_GB2312" w:hAnsi="仿宋_GB2312" w:eastAsia="仿宋_GB2312" w:cs="仿宋_GB2312"/>
          <w:color w:val="auto"/>
        </w:rPr>
      </w:pPr>
    </w:p>
    <w:p>
      <w:pPr>
        <w:keepNext w:val="0"/>
        <w:keepLines w:val="0"/>
        <w:pageBreakBefore w:val="0"/>
        <w:kinsoku/>
        <w:wordWrap/>
        <w:overflowPunct/>
        <w:topLinePunct w:val="0"/>
        <w:autoSpaceDE/>
        <w:autoSpaceDN/>
        <w:bidi w:val="0"/>
        <w:adjustRightInd/>
        <w:snapToGrid/>
        <w:spacing w:line="560" w:lineRule="exact"/>
        <w:ind w:firstLine="640" w:firstLineChars="200"/>
        <w:jc w:val="right"/>
        <w:textAlignment w:val="auto"/>
        <w:rPr>
          <w:rFonts w:hint="eastAsia" w:ascii="仿宋_GB2312" w:hAnsi="仿宋_GB2312" w:eastAsia="仿宋_GB2312" w:cs="仿宋_GB2312"/>
          <w:color w:val="auto"/>
        </w:rPr>
      </w:pPr>
      <w:bookmarkStart w:id="0" w:name="_GoBack"/>
      <w:bookmarkEnd w:id="0"/>
      <w:r>
        <w:rPr>
          <w:rFonts w:hint="eastAsia" w:ascii="仿宋_GB2312" w:hAnsi="仿宋_GB2312" w:eastAsia="仿宋_GB2312" w:cs="仿宋_GB2312"/>
          <w:color w:val="auto"/>
        </w:rPr>
        <w:t>益阳市生态环境局</w:t>
      </w:r>
    </w:p>
    <w:p>
      <w:pPr>
        <w:keepNext w:val="0"/>
        <w:keepLines w:val="0"/>
        <w:pageBreakBefore w:val="0"/>
        <w:kinsoku/>
        <w:wordWrap/>
        <w:overflowPunct/>
        <w:topLinePunct w:val="0"/>
        <w:autoSpaceDE/>
        <w:autoSpaceDN/>
        <w:bidi w:val="0"/>
        <w:adjustRightInd/>
        <w:snapToGrid/>
        <w:spacing w:line="560" w:lineRule="exact"/>
        <w:ind w:firstLine="640" w:firstLineChars="200"/>
        <w:jc w:val="right"/>
        <w:textAlignment w:val="auto"/>
        <w:rPr>
          <w:rFonts w:hint="eastAsia" w:ascii="仿宋_GB2312" w:hAnsi="仿宋_GB2312" w:eastAsia="仿宋_GB2312" w:cs="仿宋_GB2312"/>
          <w:color w:val="auto"/>
        </w:rPr>
      </w:pPr>
      <w:r>
        <w:rPr>
          <w:rFonts w:hint="eastAsia" w:ascii="仿宋_GB2312" w:hAnsi="仿宋_GB2312" w:eastAsia="仿宋_GB2312" w:cs="仿宋_GB2312"/>
          <w:color w:val="auto"/>
        </w:rPr>
        <w:t xml:space="preserve">                             2020年5月14日</w:t>
      </w:r>
    </w:p>
    <w:sectPr>
      <w:headerReference r:id="rId3" w:type="default"/>
      <w:footerReference r:id="rId4" w:type="default"/>
      <w:pgSz w:w="11906" w:h="16838"/>
      <w:pgMar w:top="1701" w:right="1701" w:bottom="1701" w:left="1701"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00007A87" w:usb1="80000000" w:usb2="00000008" w:usb3="00000000" w:csb0="400001FF" w:csb1="FFFF0000"/>
  </w:font>
  <w:font w:name="宋体">
    <w:panose1 w:val="02010600030101010101"/>
    <w:charset w:val="88"/>
    <w:family w:val="modern"/>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华文仿宋">
    <w:altName w:val="仿宋_GB2312"/>
    <w:panose1 w:val="02010600040101010101"/>
    <w:charset w:val="86"/>
    <w:family w:val="auto"/>
    <w:pitch w:val="default"/>
    <w:sig w:usb0="00000000" w:usb1="00000000" w:usb2="00000010" w:usb3="00000000" w:csb0="000400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
    <w:altName w:val="微软雅黑"/>
    <w:panose1 w:val="02010609060101010101"/>
    <w:charset w:val="86"/>
    <w:family w:val="modern"/>
    <w:pitch w:val="default"/>
    <w:sig w:usb0="00000000" w:usb1="00000000" w:usb2="00000016" w:usb3="00000000" w:csb0="00040001" w:csb1="00000000"/>
  </w:font>
  <w:font w:name="微软雅黑">
    <w:panose1 w:val="020B0503020204020204"/>
    <w:charset w:val="86"/>
    <w:family w:val="auto"/>
    <w:pitch w:val="default"/>
    <w:sig w:usb0="80000287" w:usb1="2A0F3C52" w:usb2="00000016" w:usb3="00000000" w:csb0="0004001F" w:csb1="00000000"/>
  </w:font>
  <w:font w:name="华文仿宋">
    <w:altName w:val="仿宋_GB2312"/>
    <w:panose1 w:val="00000000000000000000"/>
    <w:charset w:val="00"/>
    <w:family w:val="auto"/>
    <w:pitch w:val="default"/>
    <w:sig w:usb0="00000000" w:usb1="00000000" w:usb2="00000000" w:usb3="00000000" w:csb0="0000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pict>
        <v:shape id="_x0000_s4099" o:spid="_x0000_s4099" o:spt="202" type="#_x0000_t202" style="position:absolute;left:0pt;margin-top:0pt;height:144pt;width:144pt;mso-position-horizontal:outside;mso-position-horizontal-relative:margin;mso-wrap-style:none;z-index:251661312;mso-width-relative:page;mso-height-relative:page;" filled="f" stroked="f" coordsize="21600,21600">
          <v:path/>
          <v:fill on="f" focussize="0,0"/>
          <v:stroke on="f" joinstyle="miter"/>
          <v:imagedata o:title=""/>
          <o:lock v:ext="edit"/>
          <v:textbox inset="0mm,0mm,0mm,0mm" style="mso-fit-shape-to-text:t;">
            <w:txbxContent>
              <w:p>
                <w:pPr>
                  <w:pStyle w:val="6"/>
                  <w:jc w:val="right"/>
                </w:pPr>
                <w:r>
                  <w:rPr>
                    <w:rFonts w:hint="eastAsia"/>
                  </w:rPr>
                  <w:fldChar w:fldCharType="begin"/>
                </w:r>
                <w:r>
                  <w:rPr>
                    <w:rFonts w:hint="eastAsia"/>
                  </w:rPr>
                  <w:instrText xml:space="preserve"> PAGE  \* MERGEFORMAT </w:instrText>
                </w:r>
                <w:r>
                  <w:rPr>
                    <w:rFonts w:hint="eastAsia"/>
                  </w:rPr>
                  <w:fldChar w:fldCharType="separate"/>
                </w:r>
                <w:r>
                  <w:t>- 3 -</w:t>
                </w:r>
                <w:r>
                  <w:rPr>
                    <w:rFonts w:hint="eastAsia"/>
                  </w:rP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5EF3CF"/>
    <w:multiLevelType w:val="singleLevel"/>
    <w:tmpl w:val="0A5EF3CF"/>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3A417E"/>
    <w:rsid w:val="00001BF0"/>
    <w:rsid w:val="000048E1"/>
    <w:rsid w:val="00025DD7"/>
    <w:rsid w:val="0003774F"/>
    <w:rsid w:val="00045768"/>
    <w:rsid w:val="00051EBB"/>
    <w:rsid w:val="00061FF5"/>
    <w:rsid w:val="000631CD"/>
    <w:rsid w:val="00070A82"/>
    <w:rsid w:val="000731FD"/>
    <w:rsid w:val="00080857"/>
    <w:rsid w:val="00083200"/>
    <w:rsid w:val="000937FB"/>
    <w:rsid w:val="000B4630"/>
    <w:rsid w:val="000C0A77"/>
    <w:rsid w:val="000C212A"/>
    <w:rsid w:val="000C3813"/>
    <w:rsid w:val="000D0A02"/>
    <w:rsid w:val="000D2CC4"/>
    <w:rsid w:val="000D481A"/>
    <w:rsid w:val="000D5172"/>
    <w:rsid w:val="000E1649"/>
    <w:rsid w:val="000F2C08"/>
    <w:rsid w:val="000F4556"/>
    <w:rsid w:val="00110053"/>
    <w:rsid w:val="00111F88"/>
    <w:rsid w:val="00117285"/>
    <w:rsid w:val="0012723E"/>
    <w:rsid w:val="00131AB6"/>
    <w:rsid w:val="001663FB"/>
    <w:rsid w:val="00183370"/>
    <w:rsid w:val="00185ED5"/>
    <w:rsid w:val="001A21A9"/>
    <w:rsid w:val="001A5E8D"/>
    <w:rsid w:val="001B2F42"/>
    <w:rsid w:val="001C3A30"/>
    <w:rsid w:val="001D2001"/>
    <w:rsid w:val="001D6ED1"/>
    <w:rsid w:val="0022226D"/>
    <w:rsid w:val="002371E9"/>
    <w:rsid w:val="00253AC6"/>
    <w:rsid w:val="002549FF"/>
    <w:rsid w:val="00261EB2"/>
    <w:rsid w:val="00263B19"/>
    <w:rsid w:val="00290FDA"/>
    <w:rsid w:val="002C17C9"/>
    <w:rsid w:val="002C7DBB"/>
    <w:rsid w:val="002E1D0E"/>
    <w:rsid w:val="002F037B"/>
    <w:rsid w:val="002F3855"/>
    <w:rsid w:val="0030248F"/>
    <w:rsid w:val="00306B0D"/>
    <w:rsid w:val="00310CA4"/>
    <w:rsid w:val="003113CF"/>
    <w:rsid w:val="003326FA"/>
    <w:rsid w:val="00346B78"/>
    <w:rsid w:val="00350787"/>
    <w:rsid w:val="00355987"/>
    <w:rsid w:val="00360EF0"/>
    <w:rsid w:val="00361918"/>
    <w:rsid w:val="0036540D"/>
    <w:rsid w:val="0037180A"/>
    <w:rsid w:val="00372D78"/>
    <w:rsid w:val="00386FA5"/>
    <w:rsid w:val="003873AE"/>
    <w:rsid w:val="003962E8"/>
    <w:rsid w:val="003A417E"/>
    <w:rsid w:val="003B01AD"/>
    <w:rsid w:val="003B478D"/>
    <w:rsid w:val="003C033E"/>
    <w:rsid w:val="003C6794"/>
    <w:rsid w:val="003C723E"/>
    <w:rsid w:val="003D7CF6"/>
    <w:rsid w:val="004126F5"/>
    <w:rsid w:val="00425753"/>
    <w:rsid w:val="004263B3"/>
    <w:rsid w:val="004263F7"/>
    <w:rsid w:val="0042759C"/>
    <w:rsid w:val="00430BBE"/>
    <w:rsid w:val="004453C2"/>
    <w:rsid w:val="00453453"/>
    <w:rsid w:val="0045359D"/>
    <w:rsid w:val="0045451A"/>
    <w:rsid w:val="00461135"/>
    <w:rsid w:val="00462C7E"/>
    <w:rsid w:val="00471768"/>
    <w:rsid w:val="004765AE"/>
    <w:rsid w:val="00483AE6"/>
    <w:rsid w:val="004A33AC"/>
    <w:rsid w:val="004A7DE3"/>
    <w:rsid w:val="004B2C90"/>
    <w:rsid w:val="004B4DB9"/>
    <w:rsid w:val="004B72C7"/>
    <w:rsid w:val="004C6F89"/>
    <w:rsid w:val="004E1171"/>
    <w:rsid w:val="004E1812"/>
    <w:rsid w:val="004E58E8"/>
    <w:rsid w:val="004E6E66"/>
    <w:rsid w:val="004F3A16"/>
    <w:rsid w:val="00507694"/>
    <w:rsid w:val="00522689"/>
    <w:rsid w:val="00540290"/>
    <w:rsid w:val="005655C9"/>
    <w:rsid w:val="005724A2"/>
    <w:rsid w:val="00574CE8"/>
    <w:rsid w:val="00592C7E"/>
    <w:rsid w:val="00594977"/>
    <w:rsid w:val="005A3F9F"/>
    <w:rsid w:val="005C1025"/>
    <w:rsid w:val="005C6754"/>
    <w:rsid w:val="005D39A4"/>
    <w:rsid w:val="005D5D29"/>
    <w:rsid w:val="005E3244"/>
    <w:rsid w:val="005E4435"/>
    <w:rsid w:val="005F17E9"/>
    <w:rsid w:val="00607224"/>
    <w:rsid w:val="006132DE"/>
    <w:rsid w:val="006277FB"/>
    <w:rsid w:val="00652255"/>
    <w:rsid w:val="00676317"/>
    <w:rsid w:val="00682E08"/>
    <w:rsid w:val="0068731F"/>
    <w:rsid w:val="00693AB7"/>
    <w:rsid w:val="006971BB"/>
    <w:rsid w:val="006E2BE8"/>
    <w:rsid w:val="006E75E6"/>
    <w:rsid w:val="006F04FD"/>
    <w:rsid w:val="006F6BDD"/>
    <w:rsid w:val="00733AC7"/>
    <w:rsid w:val="00736DFB"/>
    <w:rsid w:val="007462E3"/>
    <w:rsid w:val="00750B05"/>
    <w:rsid w:val="00761219"/>
    <w:rsid w:val="00774D02"/>
    <w:rsid w:val="0079102A"/>
    <w:rsid w:val="007A72EA"/>
    <w:rsid w:val="007B43D1"/>
    <w:rsid w:val="007C681B"/>
    <w:rsid w:val="007C72A6"/>
    <w:rsid w:val="007E59C8"/>
    <w:rsid w:val="007F14CB"/>
    <w:rsid w:val="00815E14"/>
    <w:rsid w:val="0086218D"/>
    <w:rsid w:val="00865299"/>
    <w:rsid w:val="008746D2"/>
    <w:rsid w:val="0089082A"/>
    <w:rsid w:val="008A0B01"/>
    <w:rsid w:val="008A1C29"/>
    <w:rsid w:val="008C36BC"/>
    <w:rsid w:val="008C5CA9"/>
    <w:rsid w:val="008D583C"/>
    <w:rsid w:val="008F23DE"/>
    <w:rsid w:val="00901A2D"/>
    <w:rsid w:val="00914280"/>
    <w:rsid w:val="0091432D"/>
    <w:rsid w:val="009278DE"/>
    <w:rsid w:val="00936875"/>
    <w:rsid w:val="009549B7"/>
    <w:rsid w:val="00955595"/>
    <w:rsid w:val="0095578A"/>
    <w:rsid w:val="0096441F"/>
    <w:rsid w:val="009A6627"/>
    <w:rsid w:val="009A7161"/>
    <w:rsid w:val="009C2585"/>
    <w:rsid w:val="009D5A3E"/>
    <w:rsid w:val="009E0D18"/>
    <w:rsid w:val="009F3762"/>
    <w:rsid w:val="00A040C7"/>
    <w:rsid w:val="00A203A0"/>
    <w:rsid w:val="00A40D17"/>
    <w:rsid w:val="00A50CF1"/>
    <w:rsid w:val="00A61D09"/>
    <w:rsid w:val="00A71067"/>
    <w:rsid w:val="00A75DD9"/>
    <w:rsid w:val="00A77751"/>
    <w:rsid w:val="00A8604D"/>
    <w:rsid w:val="00AC03A6"/>
    <w:rsid w:val="00AD68E9"/>
    <w:rsid w:val="00AD782A"/>
    <w:rsid w:val="00AE6C55"/>
    <w:rsid w:val="00AF46EC"/>
    <w:rsid w:val="00B10801"/>
    <w:rsid w:val="00B3197F"/>
    <w:rsid w:val="00B33FA4"/>
    <w:rsid w:val="00B56F40"/>
    <w:rsid w:val="00B57591"/>
    <w:rsid w:val="00B575AE"/>
    <w:rsid w:val="00B64801"/>
    <w:rsid w:val="00B72013"/>
    <w:rsid w:val="00B777F7"/>
    <w:rsid w:val="00B80DB3"/>
    <w:rsid w:val="00B829CC"/>
    <w:rsid w:val="00B83300"/>
    <w:rsid w:val="00BB3AA8"/>
    <w:rsid w:val="00BB7D3F"/>
    <w:rsid w:val="00BC4262"/>
    <w:rsid w:val="00BC78D4"/>
    <w:rsid w:val="00BD0548"/>
    <w:rsid w:val="00BD2723"/>
    <w:rsid w:val="00BF042C"/>
    <w:rsid w:val="00C03684"/>
    <w:rsid w:val="00C04C48"/>
    <w:rsid w:val="00C131C0"/>
    <w:rsid w:val="00C31CFD"/>
    <w:rsid w:val="00C5157C"/>
    <w:rsid w:val="00C57A90"/>
    <w:rsid w:val="00C64DD0"/>
    <w:rsid w:val="00C75CEA"/>
    <w:rsid w:val="00C8365B"/>
    <w:rsid w:val="00CA1923"/>
    <w:rsid w:val="00CB4707"/>
    <w:rsid w:val="00CC3DD4"/>
    <w:rsid w:val="00CE1397"/>
    <w:rsid w:val="00CF0C36"/>
    <w:rsid w:val="00CF5456"/>
    <w:rsid w:val="00CF5985"/>
    <w:rsid w:val="00CF742E"/>
    <w:rsid w:val="00D060BC"/>
    <w:rsid w:val="00D13353"/>
    <w:rsid w:val="00D14609"/>
    <w:rsid w:val="00D15CFC"/>
    <w:rsid w:val="00D36B6F"/>
    <w:rsid w:val="00D41047"/>
    <w:rsid w:val="00D462B5"/>
    <w:rsid w:val="00D547FD"/>
    <w:rsid w:val="00D62666"/>
    <w:rsid w:val="00D66D69"/>
    <w:rsid w:val="00D74C97"/>
    <w:rsid w:val="00D76381"/>
    <w:rsid w:val="00D831DF"/>
    <w:rsid w:val="00DB19A8"/>
    <w:rsid w:val="00DB48B0"/>
    <w:rsid w:val="00DC4A62"/>
    <w:rsid w:val="00DD19D4"/>
    <w:rsid w:val="00DE1668"/>
    <w:rsid w:val="00DE16B9"/>
    <w:rsid w:val="00DE2408"/>
    <w:rsid w:val="00DF6B84"/>
    <w:rsid w:val="00E0598B"/>
    <w:rsid w:val="00E10E44"/>
    <w:rsid w:val="00E26450"/>
    <w:rsid w:val="00E31040"/>
    <w:rsid w:val="00E44DF8"/>
    <w:rsid w:val="00E6023E"/>
    <w:rsid w:val="00E6739F"/>
    <w:rsid w:val="00E7377D"/>
    <w:rsid w:val="00E73A50"/>
    <w:rsid w:val="00E90832"/>
    <w:rsid w:val="00EB1F0E"/>
    <w:rsid w:val="00EB259B"/>
    <w:rsid w:val="00EC157C"/>
    <w:rsid w:val="00EC436B"/>
    <w:rsid w:val="00EC4CB3"/>
    <w:rsid w:val="00EC7A75"/>
    <w:rsid w:val="00ED1286"/>
    <w:rsid w:val="00EF02FE"/>
    <w:rsid w:val="00EF2DA4"/>
    <w:rsid w:val="00F0178D"/>
    <w:rsid w:val="00F03C2E"/>
    <w:rsid w:val="00F12E10"/>
    <w:rsid w:val="00F3314B"/>
    <w:rsid w:val="00F34A3D"/>
    <w:rsid w:val="00F442B2"/>
    <w:rsid w:val="00F4790B"/>
    <w:rsid w:val="00F54EAA"/>
    <w:rsid w:val="00F74152"/>
    <w:rsid w:val="00F85AEE"/>
    <w:rsid w:val="00F86E75"/>
    <w:rsid w:val="00F91272"/>
    <w:rsid w:val="00F9172A"/>
    <w:rsid w:val="00F95F9E"/>
    <w:rsid w:val="00F96563"/>
    <w:rsid w:val="00F97E32"/>
    <w:rsid w:val="00FB255A"/>
    <w:rsid w:val="00FB7ED1"/>
    <w:rsid w:val="00FB7F67"/>
    <w:rsid w:val="00FE559B"/>
    <w:rsid w:val="00FE56D2"/>
    <w:rsid w:val="00FE632D"/>
    <w:rsid w:val="00FF6534"/>
    <w:rsid w:val="0118661B"/>
    <w:rsid w:val="01BD6E3C"/>
    <w:rsid w:val="01D03FEC"/>
    <w:rsid w:val="01ED35F8"/>
    <w:rsid w:val="0220111E"/>
    <w:rsid w:val="024450D7"/>
    <w:rsid w:val="033476DA"/>
    <w:rsid w:val="04944F5B"/>
    <w:rsid w:val="04B7331F"/>
    <w:rsid w:val="059A51DA"/>
    <w:rsid w:val="06B6757D"/>
    <w:rsid w:val="070865B3"/>
    <w:rsid w:val="07EB399E"/>
    <w:rsid w:val="084D2071"/>
    <w:rsid w:val="08795D42"/>
    <w:rsid w:val="08F63086"/>
    <w:rsid w:val="09FA59E7"/>
    <w:rsid w:val="0A6D52EF"/>
    <w:rsid w:val="0AA445D7"/>
    <w:rsid w:val="0BF719CD"/>
    <w:rsid w:val="0C51261E"/>
    <w:rsid w:val="0C562ECC"/>
    <w:rsid w:val="0D1C02C5"/>
    <w:rsid w:val="0DCF2DE5"/>
    <w:rsid w:val="10275D5E"/>
    <w:rsid w:val="1294405E"/>
    <w:rsid w:val="12A96A26"/>
    <w:rsid w:val="13504F15"/>
    <w:rsid w:val="138377E2"/>
    <w:rsid w:val="13950693"/>
    <w:rsid w:val="140D6837"/>
    <w:rsid w:val="14360E9D"/>
    <w:rsid w:val="14456D2D"/>
    <w:rsid w:val="15752A35"/>
    <w:rsid w:val="16560A5B"/>
    <w:rsid w:val="165B3415"/>
    <w:rsid w:val="167429F4"/>
    <w:rsid w:val="16E81710"/>
    <w:rsid w:val="17002797"/>
    <w:rsid w:val="18325885"/>
    <w:rsid w:val="1A1F4F6D"/>
    <w:rsid w:val="1A6F53FB"/>
    <w:rsid w:val="1A781479"/>
    <w:rsid w:val="1BC41C5A"/>
    <w:rsid w:val="1BE16251"/>
    <w:rsid w:val="1C8F32EA"/>
    <w:rsid w:val="1DDE1448"/>
    <w:rsid w:val="1DF661B9"/>
    <w:rsid w:val="20095B14"/>
    <w:rsid w:val="21972FB1"/>
    <w:rsid w:val="231743EF"/>
    <w:rsid w:val="23F32129"/>
    <w:rsid w:val="2470149A"/>
    <w:rsid w:val="24B6419A"/>
    <w:rsid w:val="25E2734F"/>
    <w:rsid w:val="26423EFF"/>
    <w:rsid w:val="26B67720"/>
    <w:rsid w:val="26C636D7"/>
    <w:rsid w:val="26C7259C"/>
    <w:rsid w:val="26FC1EF0"/>
    <w:rsid w:val="27BA1B7C"/>
    <w:rsid w:val="28403EA7"/>
    <w:rsid w:val="29164D1D"/>
    <w:rsid w:val="2974783F"/>
    <w:rsid w:val="2B201DDB"/>
    <w:rsid w:val="2B917629"/>
    <w:rsid w:val="2C337454"/>
    <w:rsid w:val="2C36248E"/>
    <w:rsid w:val="2C9E1DD4"/>
    <w:rsid w:val="2DE75E31"/>
    <w:rsid w:val="2E8F02D2"/>
    <w:rsid w:val="2EA803AD"/>
    <w:rsid w:val="2F3A0F45"/>
    <w:rsid w:val="2FBE547D"/>
    <w:rsid w:val="302837E4"/>
    <w:rsid w:val="326B0598"/>
    <w:rsid w:val="33741DC8"/>
    <w:rsid w:val="34711A93"/>
    <w:rsid w:val="34897B2E"/>
    <w:rsid w:val="365F2844"/>
    <w:rsid w:val="36D47963"/>
    <w:rsid w:val="36E44291"/>
    <w:rsid w:val="37DC7101"/>
    <w:rsid w:val="38253F4B"/>
    <w:rsid w:val="38D8187E"/>
    <w:rsid w:val="39316126"/>
    <w:rsid w:val="3A4E3056"/>
    <w:rsid w:val="3AA8457A"/>
    <w:rsid w:val="3B5E010D"/>
    <w:rsid w:val="3C27418C"/>
    <w:rsid w:val="3DD36518"/>
    <w:rsid w:val="3E087A3E"/>
    <w:rsid w:val="3E237685"/>
    <w:rsid w:val="3F4E171F"/>
    <w:rsid w:val="3F663D3E"/>
    <w:rsid w:val="3F7F12A1"/>
    <w:rsid w:val="400F6B63"/>
    <w:rsid w:val="41204235"/>
    <w:rsid w:val="41B433FC"/>
    <w:rsid w:val="42C40111"/>
    <w:rsid w:val="44B02534"/>
    <w:rsid w:val="455640F7"/>
    <w:rsid w:val="45E80663"/>
    <w:rsid w:val="45EA4112"/>
    <w:rsid w:val="46260513"/>
    <w:rsid w:val="46916A0C"/>
    <w:rsid w:val="47C30A72"/>
    <w:rsid w:val="484F7B35"/>
    <w:rsid w:val="48EA22C6"/>
    <w:rsid w:val="4993613B"/>
    <w:rsid w:val="49A139B0"/>
    <w:rsid w:val="49B07B17"/>
    <w:rsid w:val="4A9B4753"/>
    <w:rsid w:val="4AA72FAB"/>
    <w:rsid w:val="4B70303A"/>
    <w:rsid w:val="4BAC15B2"/>
    <w:rsid w:val="4BE51D09"/>
    <w:rsid w:val="4C406BA5"/>
    <w:rsid w:val="4D0C257E"/>
    <w:rsid w:val="4D264726"/>
    <w:rsid w:val="4D2C3DA7"/>
    <w:rsid w:val="4FBE354F"/>
    <w:rsid w:val="50514B19"/>
    <w:rsid w:val="50A41749"/>
    <w:rsid w:val="51A22DB0"/>
    <w:rsid w:val="51D7346D"/>
    <w:rsid w:val="51DB6FAB"/>
    <w:rsid w:val="524D6C2D"/>
    <w:rsid w:val="53D729C9"/>
    <w:rsid w:val="54952865"/>
    <w:rsid w:val="54ED2801"/>
    <w:rsid w:val="552D52A9"/>
    <w:rsid w:val="557B62FA"/>
    <w:rsid w:val="55AB7F34"/>
    <w:rsid w:val="57CC7573"/>
    <w:rsid w:val="57E02209"/>
    <w:rsid w:val="58244EB7"/>
    <w:rsid w:val="5A110B36"/>
    <w:rsid w:val="5B206D35"/>
    <w:rsid w:val="5B2C0540"/>
    <w:rsid w:val="5B9F7B06"/>
    <w:rsid w:val="5C760F90"/>
    <w:rsid w:val="5D9D73E7"/>
    <w:rsid w:val="5DBB2715"/>
    <w:rsid w:val="5DBC1C1E"/>
    <w:rsid w:val="5DF945D5"/>
    <w:rsid w:val="5E907F94"/>
    <w:rsid w:val="5E99298E"/>
    <w:rsid w:val="5EFD4C2F"/>
    <w:rsid w:val="5F010883"/>
    <w:rsid w:val="5FBA4E4C"/>
    <w:rsid w:val="5FDF59CF"/>
    <w:rsid w:val="5FE31F6A"/>
    <w:rsid w:val="61040EA5"/>
    <w:rsid w:val="61597C19"/>
    <w:rsid w:val="616854FA"/>
    <w:rsid w:val="61887116"/>
    <w:rsid w:val="61AF7EBD"/>
    <w:rsid w:val="62445FC4"/>
    <w:rsid w:val="627D747F"/>
    <w:rsid w:val="642637A0"/>
    <w:rsid w:val="64751B6A"/>
    <w:rsid w:val="647D74BC"/>
    <w:rsid w:val="65F2278B"/>
    <w:rsid w:val="660D2ED6"/>
    <w:rsid w:val="66F130F7"/>
    <w:rsid w:val="676C7B20"/>
    <w:rsid w:val="67BD71B6"/>
    <w:rsid w:val="67CA2359"/>
    <w:rsid w:val="692374EC"/>
    <w:rsid w:val="6A3853E6"/>
    <w:rsid w:val="6A476406"/>
    <w:rsid w:val="6A567B90"/>
    <w:rsid w:val="6A737633"/>
    <w:rsid w:val="6B8E02C8"/>
    <w:rsid w:val="6BB53802"/>
    <w:rsid w:val="6C2E3CF4"/>
    <w:rsid w:val="6CC4010E"/>
    <w:rsid w:val="6CDB0F2E"/>
    <w:rsid w:val="6CF511A0"/>
    <w:rsid w:val="6D333937"/>
    <w:rsid w:val="6DF731D4"/>
    <w:rsid w:val="6E913029"/>
    <w:rsid w:val="6EA1005A"/>
    <w:rsid w:val="6EC86B24"/>
    <w:rsid w:val="6F3A6929"/>
    <w:rsid w:val="6F5162FB"/>
    <w:rsid w:val="6FAB56DD"/>
    <w:rsid w:val="711235A4"/>
    <w:rsid w:val="713069BC"/>
    <w:rsid w:val="71332ADA"/>
    <w:rsid w:val="7262292A"/>
    <w:rsid w:val="72D17DDC"/>
    <w:rsid w:val="73D35893"/>
    <w:rsid w:val="751B097E"/>
    <w:rsid w:val="758328BE"/>
    <w:rsid w:val="75982830"/>
    <w:rsid w:val="76184CB6"/>
    <w:rsid w:val="76763ABE"/>
    <w:rsid w:val="773F226F"/>
    <w:rsid w:val="78900131"/>
    <w:rsid w:val="78902A07"/>
    <w:rsid w:val="78EB73A4"/>
    <w:rsid w:val="7949289B"/>
    <w:rsid w:val="7A877B3A"/>
    <w:rsid w:val="7A8D32F6"/>
    <w:rsid w:val="7B711966"/>
    <w:rsid w:val="7BAC7D80"/>
    <w:rsid w:val="7C135354"/>
    <w:rsid w:val="7C4D6B6B"/>
    <w:rsid w:val="7CA71C68"/>
    <w:rsid w:val="7D2A3C0D"/>
    <w:rsid w:val="7D5B7568"/>
    <w:rsid w:val="7E21399E"/>
    <w:rsid w:val="7E2255C4"/>
    <w:rsid w:val="7EEC1102"/>
    <w:rsid w:val="7F353E24"/>
    <w:rsid w:val="7FE1662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0" w:semiHidden="0"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qFormat="1"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华文仿宋" w:cs="Times New Roman"/>
      <w:kern w:val="2"/>
      <w:sz w:val="32"/>
      <w:szCs w:val="24"/>
      <w:lang w:val="en-US" w:eastAsia="zh-CN" w:bidi="ar-SA"/>
    </w:rPr>
  </w:style>
  <w:style w:type="character" w:default="1" w:styleId="11">
    <w:name w:val="Default Paragraph Font"/>
    <w:unhideWhenUsed/>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Document Map"/>
    <w:basedOn w:val="1"/>
    <w:link w:val="15"/>
    <w:semiHidden/>
    <w:unhideWhenUsed/>
    <w:qFormat/>
    <w:uiPriority w:val="99"/>
    <w:rPr>
      <w:rFonts w:ascii="宋体" w:eastAsia="宋体"/>
      <w:sz w:val="18"/>
      <w:szCs w:val="18"/>
    </w:rPr>
  </w:style>
  <w:style w:type="paragraph" w:styleId="3">
    <w:name w:val="annotation text"/>
    <w:basedOn w:val="1"/>
    <w:link w:val="17"/>
    <w:unhideWhenUsed/>
    <w:qFormat/>
    <w:uiPriority w:val="0"/>
    <w:pPr>
      <w:jc w:val="left"/>
    </w:pPr>
  </w:style>
  <w:style w:type="paragraph" w:styleId="4">
    <w:name w:val="Body Text Indent"/>
    <w:basedOn w:val="1"/>
    <w:unhideWhenUsed/>
    <w:qFormat/>
    <w:uiPriority w:val="99"/>
    <w:pPr>
      <w:spacing w:after="120"/>
      <w:ind w:left="420" w:leftChars="200"/>
    </w:pPr>
    <w:rPr>
      <w:kern w:val="0"/>
      <w:sz w:val="20"/>
      <w:szCs w:val="20"/>
    </w:rPr>
  </w:style>
  <w:style w:type="paragraph" w:styleId="5">
    <w:name w:val="Balloon Text"/>
    <w:basedOn w:val="1"/>
    <w:link w:val="16"/>
    <w:semiHidden/>
    <w:unhideWhenUsed/>
    <w:qFormat/>
    <w:uiPriority w:val="99"/>
    <w:rPr>
      <w:sz w:val="18"/>
      <w:szCs w:val="18"/>
    </w:rPr>
  </w:style>
  <w:style w:type="paragraph" w:styleId="6">
    <w:name w:val="footer"/>
    <w:basedOn w:val="1"/>
    <w:link w:val="14"/>
    <w:semiHidden/>
    <w:unhideWhenUsed/>
    <w:qFormat/>
    <w:uiPriority w:val="99"/>
    <w:pPr>
      <w:tabs>
        <w:tab w:val="center" w:pos="4153"/>
        <w:tab w:val="right" w:pos="8306"/>
      </w:tabs>
      <w:snapToGrid w:val="0"/>
      <w:jc w:val="left"/>
    </w:pPr>
    <w:rPr>
      <w:sz w:val="18"/>
      <w:szCs w:val="18"/>
    </w:rPr>
  </w:style>
  <w:style w:type="paragraph" w:styleId="7">
    <w:name w:val="header"/>
    <w:basedOn w:val="1"/>
    <w:link w:val="13"/>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annotation subject"/>
    <w:basedOn w:val="3"/>
    <w:next w:val="3"/>
    <w:link w:val="18"/>
    <w:semiHidden/>
    <w:unhideWhenUsed/>
    <w:qFormat/>
    <w:uiPriority w:val="99"/>
    <w:rPr>
      <w:b/>
      <w:bCs/>
    </w:rPr>
  </w:style>
  <w:style w:type="paragraph" w:styleId="9">
    <w:name w:val="Body Text First Indent 2"/>
    <w:basedOn w:val="4"/>
    <w:unhideWhenUsed/>
    <w:qFormat/>
    <w:uiPriority w:val="99"/>
    <w:pPr>
      <w:ind w:firstLine="420" w:firstLineChars="200"/>
    </w:pPr>
  </w:style>
  <w:style w:type="character" w:styleId="12">
    <w:name w:val="annotation reference"/>
    <w:basedOn w:val="11"/>
    <w:semiHidden/>
    <w:unhideWhenUsed/>
    <w:qFormat/>
    <w:uiPriority w:val="99"/>
    <w:rPr>
      <w:sz w:val="21"/>
      <w:szCs w:val="21"/>
    </w:rPr>
  </w:style>
  <w:style w:type="character" w:customStyle="1" w:styleId="13">
    <w:name w:val="页眉 Char"/>
    <w:basedOn w:val="11"/>
    <w:link w:val="7"/>
    <w:semiHidden/>
    <w:qFormat/>
    <w:uiPriority w:val="99"/>
    <w:rPr>
      <w:rFonts w:ascii="Times New Roman" w:hAnsi="Times New Roman" w:eastAsia="华文仿宋" w:cs="Times New Roman"/>
      <w:sz w:val="18"/>
      <w:szCs w:val="18"/>
    </w:rPr>
  </w:style>
  <w:style w:type="character" w:customStyle="1" w:styleId="14">
    <w:name w:val="页脚 Char"/>
    <w:basedOn w:val="11"/>
    <w:link w:val="6"/>
    <w:semiHidden/>
    <w:qFormat/>
    <w:uiPriority w:val="99"/>
    <w:rPr>
      <w:rFonts w:ascii="Times New Roman" w:hAnsi="Times New Roman" w:eastAsia="华文仿宋" w:cs="Times New Roman"/>
      <w:sz w:val="18"/>
      <w:szCs w:val="18"/>
    </w:rPr>
  </w:style>
  <w:style w:type="character" w:customStyle="1" w:styleId="15">
    <w:name w:val="文档结构图 Char"/>
    <w:basedOn w:val="11"/>
    <w:link w:val="2"/>
    <w:semiHidden/>
    <w:qFormat/>
    <w:uiPriority w:val="99"/>
    <w:rPr>
      <w:rFonts w:ascii="宋体" w:hAnsi="Times New Roman" w:eastAsia="宋体" w:cs="Times New Roman"/>
      <w:sz w:val="18"/>
      <w:szCs w:val="18"/>
    </w:rPr>
  </w:style>
  <w:style w:type="character" w:customStyle="1" w:styleId="16">
    <w:name w:val="批注框文本 Char"/>
    <w:basedOn w:val="11"/>
    <w:link w:val="5"/>
    <w:semiHidden/>
    <w:qFormat/>
    <w:uiPriority w:val="99"/>
    <w:rPr>
      <w:rFonts w:ascii="Times New Roman" w:hAnsi="Times New Roman" w:eastAsia="华文仿宋" w:cs="Times New Roman"/>
      <w:sz w:val="18"/>
      <w:szCs w:val="18"/>
    </w:rPr>
  </w:style>
  <w:style w:type="character" w:customStyle="1" w:styleId="17">
    <w:name w:val="批注文字 Char"/>
    <w:basedOn w:val="11"/>
    <w:link w:val="3"/>
    <w:qFormat/>
    <w:uiPriority w:val="0"/>
    <w:rPr>
      <w:rFonts w:ascii="Times New Roman" w:hAnsi="Times New Roman" w:eastAsia="华文仿宋" w:cs="Times New Roman"/>
      <w:sz w:val="32"/>
      <w:szCs w:val="24"/>
    </w:rPr>
  </w:style>
  <w:style w:type="character" w:customStyle="1" w:styleId="18">
    <w:name w:val="批注主题 Char"/>
    <w:basedOn w:val="17"/>
    <w:link w:val="8"/>
    <w:semiHidden/>
    <w:qFormat/>
    <w:uiPriority w:val="99"/>
    <w:rPr>
      <w:rFonts w:ascii="Times New Roman" w:hAnsi="Times New Roman" w:eastAsia="华文仿宋" w:cs="Times New Roman"/>
      <w:b/>
      <w:bCs/>
      <w:sz w:val="32"/>
      <w:szCs w:val="24"/>
    </w:rPr>
  </w:style>
  <w:style w:type="paragraph" w:styleId="19">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Pages>
  <Words>236</Words>
  <Characters>1349</Characters>
  <Lines>11</Lines>
  <Paragraphs>3</Paragraphs>
  <TotalTime>6</TotalTime>
  <ScaleCrop>false</ScaleCrop>
  <LinksUpToDate>false</LinksUpToDate>
  <CharactersWithSpaces>1582</CharactersWithSpaces>
  <Application>WPS Office_11.1.0.9740_F1E327BC-269C-435d-A152-05C5408002CA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2018-05-17T02:57:00Z</dcterms:created>
  <dc:creator>AutoBVT</dc:creator>
  <cp:lastModifiedBy>七夜</cp:lastModifiedBy>
  <cp:lastPrinted>2020-06-17T08:06:41Z</cp:lastPrinted>
  <dcterms:modified xsi:type="dcterms:W3CDTF">2020-06-17T08:07:14Z</dcterms:modified>
  <cp:revision>96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2052-11.1.0.9740</vt:lpwstr>
  </property>
</Properties>
</file>