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 w:val="24"/>
        </w:rPr>
      </w:pP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28"/>
          <w:szCs w:val="28"/>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w:t>
      </w:r>
      <w:r>
        <w:rPr>
          <w:rFonts w:hint="eastAsia" w:ascii="仿宋_GB2312" w:eastAsia="仿宋_GB2312"/>
          <w:color w:val="auto"/>
          <w:sz w:val="28"/>
          <w:szCs w:val="28"/>
          <w:lang w:val="en-US" w:eastAsia="zh-CN"/>
        </w:rPr>
        <w:t>20</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08</w:t>
      </w:r>
      <w:r>
        <w:rPr>
          <w:rFonts w:hint="eastAsia" w:ascii="仿宋_GB2312" w:eastAsia="仿宋_GB2312"/>
          <w:color w:val="auto"/>
          <w:sz w:val="28"/>
          <w:szCs w:val="28"/>
        </w:rPr>
        <w:t>号</w:t>
      </w: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w w:val="96"/>
          <w:sz w:val="44"/>
          <w:szCs w:val="44"/>
        </w:rPr>
        <w:t>关于</w:t>
      </w:r>
      <w:r>
        <w:rPr>
          <w:rFonts w:hint="eastAsia" w:ascii="方正小标宋简体" w:hAnsi="方正小标宋简体" w:eastAsia="方正小标宋简体" w:cs="方正小标宋简体"/>
          <w:b w:val="0"/>
          <w:bCs/>
          <w:w w:val="96"/>
          <w:sz w:val="44"/>
          <w:szCs w:val="44"/>
          <w:lang w:eastAsia="zh-CN"/>
        </w:rPr>
        <w:t>益阳市朝阳彩印有限责任公司食品包装袋改扩建</w:t>
      </w:r>
      <w:r>
        <w:rPr>
          <w:rFonts w:hint="eastAsia" w:ascii="方正小标宋简体" w:hAnsi="方正小标宋简体" w:eastAsia="方正小标宋简体" w:cs="方正小标宋简体"/>
          <w:b w:val="0"/>
          <w:bCs/>
          <w:sz w:val="44"/>
          <w:szCs w:val="44"/>
        </w:rPr>
        <w:t>项目环境影响报告表的批复</w:t>
      </w:r>
    </w:p>
    <w:p>
      <w:pPr>
        <w:spacing w:line="560" w:lineRule="exact"/>
        <w:rPr>
          <w:rFonts w:ascii="仿宋_GB2312" w:hAnsi="黑体" w:eastAsia="仿宋_GB2312"/>
          <w:color w:val="000000"/>
          <w:sz w:val="36"/>
          <w:szCs w:val="36"/>
        </w:rPr>
      </w:pPr>
    </w:p>
    <w:p>
      <w:pPr>
        <w:keepNext w:val="0"/>
        <w:keepLines w:val="0"/>
        <w:pageBreakBefore w:val="0"/>
        <w:kinsoku/>
        <w:wordWrap/>
        <w:overflowPunct/>
        <w:topLinePunct w:val="0"/>
        <w:autoSpaceDE/>
        <w:autoSpaceDN/>
        <w:bidi w:val="0"/>
        <w:adjustRightInd/>
        <w:snapToGrid/>
        <w:spacing w:line="540" w:lineRule="exact"/>
        <w:textAlignment w:val="auto"/>
        <w:rPr>
          <w:rFonts w:ascii="仿宋_GB2312" w:eastAsia="仿宋_GB2312"/>
          <w:szCs w:val="32"/>
        </w:rPr>
      </w:pPr>
      <w:r>
        <w:rPr>
          <w:rFonts w:hint="default" w:ascii="仿宋_GB2312" w:hAnsi="仿宋_GB2312" w:eastAsia="仿宋_GB2312" w:cs="仿宋_GB2312"/>
          <w:color w:val="000000"/>
          <w:szCs w:val="32"/>
        </w:rPr>
        <w:t>益阳市朝阳彩印有限责任公司</w:t>
      </w:r>
      <w:r>
        <w:rPr>
          <w:rFonts w:hint="eastAsia" w:ascii="仿宋_GB2312" w:eastAsia="仿宋_GB2312"/>
          <w:szCs w:val="32"/>
        </w:rPr>
        <w:t>：</w:t>
      </w:r>
    </w:p>
    <w:p>
      <w:pPr>
        <w:keepNext w:val="0"/>
        <w:keepLines w:val="0"/>
        <w:pageBreakBefore w:val="0"/>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color w:val="000000"/>
          <w:spacing w:val="0"/>
          <w:sz w:val="32"/>
          <w:szCs w:val="32"/>
        </w:rPr>
      </w:pPr>
      <w:r>
        <w:rPr>
          <w:rFonts w:hint="eastAsia" w:ascii="仿宋_GB2312" w:eastAsia="仿宋_GB2312"/>
          <w:color w:val="000000"/>
          <w:spacing w:val="4"/>
          <w:szCs w:val="32"/>
        </w:rPr>
        <w:t>你</w:t>
      </w:r>
      <w:r>
        <w:rPr>
          <w:rFonts w:hint="eastAsia" w:ascii="仿宋_GB2312" w:eastAsia="仿宋_GB2312"/>
          <w:bCs/>
          <w:szCs w:val="32"/>
          <w:lang w:eastAsia="zh-CN"/>
        </w:rPr>
        <w:t>公司</w:t>
      </w:r>
      <w:r>
        <w:rPr>
          <w:rFonts w:hint="eastAsia" w:ascii="仿宋_GB2312" w:eastAsia="仿宋_GB2312"/>
          <w:bCs/>
          <w:szCs w:val="32"/>
        </w:rPr>
        <w:t>呈报的《益阳市朝阳彩印有限责任公司食品包装袋改扩建项目</w:t>
      </w:r>
      <w:r>
        <w:rPr>
          <w:rFonts w:hint="default" w:ascii="仿宋_GB2312" w:hAnsi="仿宋_GB2312" w:eastAsia="仿宋_GB2312" w:cs="仿宋_GB2312"/>
          <w:color w:val="000000"/>
          <w:szCs w:val="32"/>
        </w:rPr>
        <w:t>环境影响报告表</w:t>
      </w:r>
      <w:r>
        <w:rPr>
          <w:rFonts w:hint="eastAsia" w:ascii="仿宋_GB2312" w:eastAsia="仿宋_GB2312"/>
          <w:bCs/>
          <w:szCs w:val="32"/>
        </w:rPr>
        <w:t>》</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keepNext w:val="0"/>
        <w:keepLines w:val="0"/>
        <w:pageBreakBefore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000000"/>
          <w:spacing w:val="4"/>
          <w:szCs w:val="32"/>
        </w:rPr>
      </w:pPr>
      <w:r>
        <w:rPr>
          <w:rFonts w:hint="eastAsia" w:ascii="仿宋_GB2312" w:eastAsia="仿宋_GB2312"/>
          <w:bCs/>
          <w:szCs w:val="32"/>
          <w:lang w:eastAsia="zh-CN"/>
        </w:rPr>
        <w:t>你</w:t>
      </w:r>
      <w:r>
        <w:rPr>
          <w:rFonts w:hint="eastAsia" w:ascii="仿宋_GB2312" w:eastAsia="仿宋_GB2312"/>
          <w:bCs/>
          <w:szCs w:val="32"/>
        </w:rPr>
        <w:t>公司</w:t>
      </w:r>
      <w:r>
        <w:rPr>
          <w:rFonts w:hint="eastAsia" w:ascii="仿宋_GB2312" w:eastAsia="仿宋_GB2312"/>
          <w:bCs/>
          <w:color w:val="000000"/>
          <w:spacing w:val="4"/>
          <w:szCs w:val="32"/>
        </w:rPr>
        <w:t>拟</w:t>
      </w:r>
      <w:r>
        <w:rPr>
          <w:rFonts w:hint="eastAsia" w:ascii="仿宋_GB2312" w:eastAsia="仿宋_GB2312"/>
          <w:color w:val="000000"/>
          <w:spacing w:val="4"/>
          <w:szCs w:val="32"/>
        </w:rPr>
        <w:t>投资</w:t>
      </w:r>
      <w:r>
        <w:rPr>
          <w:rFonts w:hint="eastAsia" w:ascii="仿宋_GB2312" w:eastAsia="仿宋_GB2312"/>
          <w:color w:val="000000"/>
          <w:spacing w:val="4"/>
          <w:szCs w:val="32"/>
          <w:lang w:val="en-US" w:eastAsia="zh-CN"/>
        </w:rPr>
        <w:t>1000</w:t>
      </w:r>
      <w:r>
        <w:rPr>
          <w:rFonts w:hint="eastAsia" w:ascii="仿宋_GB2312" w:eastAsia="仿宋_GB2312"/>
          <w:color w:val="000000"/>
          <w:spacing w:val="4"/>
          <w:szCs w:val="32"/>
        </w:rPr>
        <w:t>万元</w:t>
      </w:r>
      <w:r>
        <w:rPr>
          <w:rFonts w:hint="eastAsia" w:ascii="仿宋_GB2312" w:eastAsia="仿宋_GB2312"/>
          <w:color w:val="000000"/>
          <w:spacing w:val="4"/>
          <w:szCs w:val="32"/>
          <w:lang w:eastAsia="zh-CN"/>
        </w:rPr>
        <w:t>在</w:t>
      </w:r>
      <w:r>
        <w:rPr>
          <w:rFonts w:hint="eastAsia" w:ascii="仿宋_GB2312" w:eastAsia="仿宋_GB2312"/>
          <w:color w:val="000000"/>
          <w:spacing w:val="4"/>
          <w:szCs w:val="32"/>
        </w:rPr>
        <w:t>益阳高新区</w:t>
      </w:r>
      <w:r>
        <w:rPr>
          <w:rFonts w:hint="eastAsia" w:ascii="仿宋_GB2312" w:hAnsi="仿宋_GB2312" w:eastAsia="仿宋_GB2312" w:cs="仿宋_GB2312"/>
          <w:color w:val="000000"/>
          <w:spacing w:val="0"/>
          <w:sz w:val="32"/>
          <w:szCs w:val="32"/>
          <w:lang w:val="en-US" w:eastAsia="zh-CN"/>
        </w:rPr>
        <w:t>朝阳产业园</w:t>
      </w:r>
      <w:r>
        <w:rPr>
          <w:rFonts w:hint="eastAsia" w:ascii="仿宋_GB2312" w:hAnsi="仿宋_GB2312" w:eastAsia="仿宋_GB2312" w:cs="仿宋_GB2312"/>
          <w:color w:val="000000"/>
          <w:spacing w:val="0"/>
          <w:sz w:val="32"/>
          <w:szCs w:val="32"/>
        </w:rPr>
        <w:t>租赁</w:t>
      </w:r>
      <w:r>
        <w:rPr>
          <w:rFonts w:hint="eastAsia" w:ascii="仿宋_GB2312" w:eastAsia="仿宋_GB2312"/>
          <w:color w:val="000000"/>
          <w:spacing w:val="4"/>
          <w:szCs w:val="32"/>
          <w:lang w:val="en-US" w:eastAsia="zh-CN"/>
        </w:rPr>
        <w:t>创业园</w:t>
      </w:r>
      <w:r>
        <w:rPr>
          <w:rFonts w:hint="eastAsia" w:ascii="仿宋_GB2312" w:hAnsi="仿宋_GB2312" w:eastAsia="仿宋_GB2312" w:cs="仿宋_GB2312"/>
          <w:color w:val="000000"/>
          <w:spacing w:val="0"/>
          <w:sz w:val="32"/>
          <w:szCs w:val="32"/>
          <w:lang w:val="en-US" w:eastAsia="zh-CN"/>
        </w:rPr>
        <w:t>A3栋、A7栋</w:t>
      </w:r>
      <w:r>
        <w:rPr>
          <w:rFonts w:hint="eastAsia" w:ascii="仿宋_GB2312" w:hAnsi="仿宋_GB2312" w:eastAsia="仿宋_GB2312" w:cs="仿宋_GB2312"/>
          <w:color w:val="000000"/>
          <w:spacing w:val="0"/>
          <w:sz w:val="32"/>
          <w:szCs w:val="32"/>
        </w:rPr>
        <w:t>标准化厂房</w:t>
      </w:r>
      <w:r>
        <w:rPr>
          <w:rFonts w:hint="eastAsia" w:ascii="仿宋_GB2312" w:hAnsi="仿宋" w:eastAsia="仿宋_GB2312" w:cs="仿宋"/>
          <w:szCs w:val="32"/>
        </w:rPr>
        <w:t>进行改</w:t>
      </w:r>
      <w:r>
        <w:rPr>
          <w:rFonts w:hint="eastAsia" w:ascii="仿宋_GB2312" w:hAnsi="仿宋" w:eastAsia="仿宋_GB2312" w:cs="仿宋"/>
          <w:szCs w:val="32"/>
          <w:lang w:eastAsia="zh-CN"/>
        </w:rPr>
        <w:t>扩</w:t>
      </w:r>
      <w:r>
        <w:rPr>
          <w:rFonts w:hint="eastAsia" w:ascii="仿宋_GB2312" w:hAnsi="仿宋" w:eastAsia="仿宋_GB2312" w:cs="仿宋"/>
          <w:szCs w:val="32"/>
        </w:rPr>
        <w:t>建</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auto"/>
          <w:spacing w:val="0"/>
          <w:sz w:val="32"/>
          <w:szCs w:val="32"/>
          <w:lang w:eastAsia="zh-CN"/>
        </w:rPr>
        <w:t>新增一条年产</w:t>
      </w:r>
      <w:r>
        <w:rPr>
          <w:rFonts w:hint="eastAsia" w:ascii="仿宋_GB2312" w:hAnsi="仿宋_GB2312" w:eastAsia="仿宋_GB2312" w:cs="仿宋_GB2312"/>
          <w:color w:val="auto"/>
          <w:spacing w:val="0"/>
          <w:sz w:val="32"/>
          <w:szCs w:val="32"/>
          <w:lang w:val="en-US" w:eastAsia="zh-CN"/>
        </w:rPr>
        <w:t>300吨食品包装袋生产线，改扩建后整体产能达到年产800吨食品包装袋</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themeColor="text1"/>
          <w:spacing w:val="0"/>
          <w:sz w:val="32"/>
          <w:szCs w:val="32"/>
          <w:lang w:val="en-US" w:eastAsia="zh-CN"/>
        </w:rPr>
        <w:t>项目总占</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地面积</w:t>
      </w:r>
      <w:r>
        <w:rPr>
          <w:rFonts w:hint="eastAsia" w:ascii="仿宋_GB2312" w:hAnsi="仿宋" w:eastAsia="仿宋_GB2312" w:cs="仿宋"/>
          <w:color w:val="000000" w:themeColor="text1"/>
          <w:spacing w:val="4"/>
          <w:szCs w:val="32"/>
          <w:lang w:val="en-US" w:eastAsia="zh-CN"/>
          <w14:textFill>
            <w14:solidFill>
              <w14:schemeClr w14:val="tx1"/>
            </w14:solidFill>
          </w14:textFill>
        </w:rPr>
        <w:t>4904</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平方米，</w:t>
      </w:r>
      <w:r>
        <w:rPr>
          <w:rFonts w:hint="eastAsia" w:ascii="仿宋_GB2312" w:hAnsi="仿宋_GB2312" w:eastAsia="仿宋_GB2312" w:cs="仿宋_GB2312"/>
          <w:color w:val="000000"/>
          <w:spacing w:val="0"/>
          <w:sz w:val="32"/>
          <w:szCs w:val="32"/>
          <w:lang w:eastAsia="zh-CN"/>
        </w:rPr>
        <w:t>厂房内分区设置</w:t>
      </w:r>
      <w:r>
        <w:rPr>
          <w:rFonts w:hint="eastAsia" w:ascii="仿宋_GB2312" w:hAnsi="仿宋_GB2312" w:eastAsia="仿宋_GB2312" w:cs="仿宋_GB2312"/>
          <w:color w:val="000000"/>
          <w:spacing w:val="0"/>
          <w:sz w:val="32"/>
          <w:szCs w:val="32"/>
          <w:lang w:val="en-US" w:eastAsia="zh-CN"/>
        </w:rPr>
        <w:t>生产区、原料区、办公区</w:t>
      </w:r>
      <w:r>
        <w:rPr>
          <w:rFonts w:hint="eastAsia" w:ascii="仿宋_GB2312" w:hAnsi="仿宋_GB2312" w:eastAsia="仿宋_GB2312" w:cs="仿宋_GB2312"/>
          <w:color w:val="000000"/>
          <w:spacing w:val="0"/>
          <w:sz w:val="32"/>
          <w:szCs w:val="32"/>
          <w:lang w:eastAsia="zh-CN"/>
        </w:rPr>
        <w:t>及</w:t>
      </w:r>
      <w:r>
        <w:rPr>
          <w:rFonts w:hint="eastAsia" w:ascii="仿宋_GB2312" w:hAnsi="仿宋_GB2312" w:eastAsia="仿宋_GB2312" w:cs="仿宋_GB2312"/>
          <w:color w:val="000000"/>
          <w:spacing w:val="0"/>
          <w:sz w:val="32"/>
          <w:szCs w:val="32"/>
          <w:lang w:val="en-US" w:eastAsia="zh-CN"/>
        </w:rPr>
        <w:t>给排水、供配电、环保等相关公用辅助工程。项目建设符合国家产业政策和益阳高新区朝阳产业园选址用地规划要求。根据江苏新清源环保有限公司</w:t>
      </w:r>
      <w:r>
        <w:rPr>
          <w:rFonts w:hint="eastAsia" w:ascii="仿宋_GB2312" w:hAnsi="仿宋_GB2312" w:eastAsia="仿宋_GB2312" w:cs="仿宋_GB2312"/>
          <w:color w:val="000000"/>
          <w:spacing w:val="0"/>
          <w:sz w:val="32"/>
          <w:szCs w:val="32"/>
          <w:lang w:eastAsia="zh-CN"/>
        </w:rPr>
        <w:t>编制</w:t>
      </w:r>
      <w:r>
        <w:rPr>
          <w:rFonts w:hint="eastAsia" w:ascii="仿宋_GB2312" w:hAnsi="仿宋_GB2312" w:eastAsia="仿宋_GB2312" w:cs="仿宋_GB2312"/>
          <w:color w:val="000000"/>
          <w:spacing w:val="0"/>
          <w:sz w:val="32"/>
          <w:szCs w:val="32"/>
          <w:lang w:val="en-US" w:eastAsia="zh-CN"/>
        </w:rPr>
        <w:t>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54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rPr>
        <w:t>二、</w:t>
      </w:r>
      <w:r>
        <w:rPr>
          <w:rFonts w:hint="eastAsia" w:ascii="仿宋_GB2312" w:hAnsi="仿宋_GB2312" w:eastAsia="仿宋_GB2312" w:cs="仿宋_GB2312"/>
          <w:color w:val="000000"/>
          <w:spacing w:val="0"/>
          <w:sz w:val="32"/>
          <w:szCs w:val="32"/>
        </w:rPr>
        <w:t>建设单位在项目设计、建设和营运期间，必须严格执行环保“三同时”制度，按照环评报告表要求落实各项污染防治措施，并着重做好如下工作</w:t>
      </w:r>
      <w:r>
        <w:rPr>
          <w:rFonts w:hint="eastAsia" w:ascii="仿宋_GB2312" w:eastAsia="仿宋_GB2312"/>
          <w:color w:val="000000"/>
          <w:spacing w:val="4"/>
          <w:szCs w:val="32"/>
        </w:rPr>
        <w:t>：</w:t>
      </w:r>
    </w:p>
    <w:p>
      <w:pPr>
        <w:keepNext w:val="0"/>
        <w:keepLines w:val="0"/>
        <w:pageBreakBefore w:val="0"/>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color w:val="000000"/>
          <w:spacing w:val="0"/>
          <w:sz w:val="32"/>
          <w:szCs w:val="32"/>
          <w:lang w:eastAsia="zh-CN"/>
        </w:rPr>
      </w:pPr>
      <w:r>
        <w:rPr>
          <w:rFonts w:hint="eastAsia" w:ascii="仿宋_GB2312" w:eastAsia="仿宋_GB2312"/>
          <w:color w:val="000000"/>
          <w:spacing w:val="4"/>
          <w:szCs w:val="32"/>
          <w:lang w:eastAsia="zh-CN"/>
        </w:rPr>
        <w:t>（一）</w:t>
      </w:r>
      <w:r>
        <w:rPr>
          <w:rFonts w:hint="eastAsia" w:ascii="仿宋_GB2312" w:eastAsia="仿宋_GB2312"/>
          <w:color w:val="000000"/>
          <w:spacing w:val="4"/>
          <w:szCs w:val="32"/>
        </w:rPr>
        <w:t>做好项目大气污染防治工作。</w:t>
      </w:r>
      <w:r>
        <w:rPr>
          <w:rFonts w:hint="eastAsia" w:ascii="仿宋_GB2312" w:eastAsia="仿宋_GB2312"/>
          <w:color w:val="000000"/>
          <w:spacing w:val="4"/>
          <w:szCs w:val="32"/>
          <w:lang w:eastAsia="zh-CN"/>
        </w:rPr>
        <w:t>调墨、印刷、复合、熟化及清洗等工序产生的有机废气</w:t>
      </w:r>
      <w:r>
        <w:rPr>
          <w:rFonts w:hint="eastAsia" w:ascii="仿宋_GB2312" w:hAnsi="仿宋" w:eastAsia="仿宋_GB2312" w:cs="仿宋"/>
          <w:szCs w:val="32"/>
          <w:lang w:eastAsia="zh-CN"/>
        </w:rPr>
        <w:t>经</w:t>
      </w:r>
      <w:r>
        <w:rPr>
          <w:rFonts w:hint="eastAsia" w:ascii="仿宋_GB2312" w:hAnsi="仿宋" w:eastAsia="仿宋_GB2312" w:cs="仿宋"/>
          <w:szCs w:val="32"/>
        </w:rPr>
        <w:t>负压集气</w:t>
      </w:r>
      <w:r>
        <w:rPr>
          <w:rFonts w:hint="eastAsia" w:ascii="仿宋_GB2312" w:hAnsi="仿宋" w:eastAsia="仿宋_GB2312" w:cs="仿宋"/>
          <w:szCs w:val="32"/>
          <w:lang w:eastAsia="zh-CN"/>
        </w:rPr>
        <w:t>后采用</w:t>
      </w:r>
      <w:r>
        <w:rPr>
          <w:rFonts w:hint="eastAsia" w:ascii="仿宋_GB2312" w:hAnsi="仿宋" w:eastAsia="仿宋_GB2312" w:cs="仿宋"/>
          <w:szCs w:val="32"/>
          <w:lang w:val="en-US" w:eastAsia="zh-CN"/>
        </w:rPr>
        <w:t>催化燃烧</w:t>
      </w:r>
      <w:r>
        <w:rPr>
          <w:rFonts w:hint="eastAsia" w:ascii="仿宋_GB2312" w:hAnsi="仿宋" w:eastAsia="仿宋_GB2312" w:cs="仿宋"/>
          <w:szCs w:val="32"/>
          <w:lang w:eastAsia="zh-CN"/>
        </w:rPr>
        <w:t>处理工艺（</w:t>
      </w:r>
      <w:r>
        <w:rPr>
          <w:rFonts w:hint="eastAsia" w:ascii="仿宋_GB2312" w:hAnsi="仿宋" w:eastAsia="仿宋_GB2312" w:cs="仿宋"/>
          <w:szCs w:val="32"/>
          <w:lang w:val="en-US" w:eastAsia="zh-CN"/>
        </w:rPr>
        <w:t>RCO</w:t>
      </w:r>
      <w:r>
        <w:rPr>
          <w:rFonts w:hint="eastAsia" w:ascii="仿宋_GB2312" w:hAnsi="仿宋" w:eastAsia="仿宋_GB2312" w:cs="仿宋"/>
          <w:szCs w:val="32"/>
          <w:lang w:eastAsia="zh-CN"/>
        </w:rPr>
        <w:t>）</w:t>
      </w:r>
      <w:r>
        <w:rPr>
          <w:rFonts w:hint="eastAsia" w:ascii="仿宋_GB2312" w:hAnsi="仿宋" w:eastAsia="仿宋_GB2312" w:cs="仿宋"/>
          <w:szCs w:val="32"/>
        </w:rPr>
        <w:t>处理达到</w:t>
      </w:r>
      <w:r>
        <w:rPr>
          <w:rFonts w:hint="eastAsia" w:ascii="仿宋_GB2312" w:hAnsi="仿宋" w:eastAsia="仿宋_GB2312" w:cs="仿宋"/>
          <w:szCs w:val="32"/>
          <w:lang w:eastAsia="zh-CN"/>
        </w:rPr>
        <w:t>《</w:t>
      </w:r>
      <w:r>
        <w:rPr>
          <w:rFonts w:hint="eastAsia" w:ascii="仿宋_GB2312" w:hAnsi="仿宋" w:eastAsia="仿宋_GB2312" w:cs="仿宋"/>
          <w:szCs w:val="32"/>
        </w:rPr>
        <w:t>印刷业挥发性有机物排放标准</w:t>
      </w:r>
      <w:r>
        <w:rPr>
          <w:rFonts w:hint="eastAsia" w:ascii="仿宋_GB2312" w:hAnsi="仿宋" w:eastAsia="仿宋_GB2312" w:cs="仿宋"/>
          <w:szCs w:val="32"/>
          <w:lang w:eastAsia="zh-CN"/>
        </w:rPr>
        <w:t>》</w:t>
      </w:r>
      <w:r>
        <w:rPr>
          <w:rFonts w:hint="eastAsia" w:ascii="仿宋_GB2312" w:hAnsi="仿宋" w:eastAsia="仿宋_GB2312" w:cs="仿宋"/>
          <w:szCs w:val="32"/>
        </w:rPr>
        <w:t>(DB43/1357-2017)表1中的限值后通过1根15m高排气筒排放</w:t>
      </w:r>
      <w:r>
        <w:rPr>
          <w:rFonts w:hint="eastAsia" w:ascii="仿宋_GB2312" w:eastAsia="仿宋_GB2312"/>
          <w:color w:val="auto"/>
          <w:spacing w:val="4"/>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56" w:firstLineChars="200"/>
        <w:textAlignment w:val="auto"/>
        <w:rPr>
          <w:rFonts w:hint="eastAsia" w:ascii="仿宋_GB2312" w:hAnsi="仿宋_GB2312" w:eastAsia="仿宋_GB2312" w:cs="仿宋_GB2312"/>
          <w:color w:val="000000" w:themeColor="text1"/>
          <w:spacing w:val="0"/>
          <w:u w:val="none"/>
          <w:lang w:eastAsia="zh-CN"/>
          <w14:textFill>
            <w14:solidFill>
              <w14:schemeClr w14:val="tx1"/>
            </w14:solidFill>
          </w14:textFill>
        </w:rPr>
      </w:pPr>
      <w:r>
        <w:rPr>
          <w:rFonts w:hint="eastAsia" w:ascii="仿宋_GB2312" w:eastAsia="仿宋_GB2312"/>
          <w:color w:val="000000"/>
          <w:spacing w:val="4"/>
          <w:szCs w:val="32"/>
          <w:lang w:eastAsia="zh-CN"/>
        </w:rPr>
        <w:t>（二）</w:t>
      </w:r>
      <w:r>
        <w:rPr>
          <w:rFonts w:hint="eastAsia" w:ascii="仿宋_GB2312" w:eastAsia="仿宋_GB2312"/>
          <w:color w:val="000000"/>
          <w:spacing w:val="4"/>
          <w:szCs w:val="32"/>
        </w:rPr>
        <w:t>做好项目水污染防治工作。生活污水经</w:t>
      </w:r>
      <w:r>
        <w:rPr>
          <w:rFonts w:hint="eastAsia" w:ascii="仿宋_GB2312" w:eastAsia="仿宋_GB2312"/>
          <w:color w:val="000000" w:themeColor="text1"/>
          <w:spacing w:val="4"/>
          <w:szCs w:val="32"/>
          <w14:textFill>
            <w14:solidFill>
              <w14:schemeClr w14:val="tx1"/>
            </w14:solidFill>
          </w14:textFill>
        </w:rPr>
        <w:t>隔油池、</w:t>
      </w:r>
      <w:r>
        <w:rPr>
          <w:rFonts w:hint="eastAsia" w:ascii="仿宋_GB2312" w:eastAsia="仿宋_GB2312"/>
          <w:color w:val="000000"/>
          <w:spacing w:val="4"/>
          <w:szCs w:val="32"/>
        </w:rPr>
        <w:t>化粪池处理，达到《污水综合排放标准》（GB8978-1996）表4中三级标准后经园区污水管网排入益阳</w:t>
      </w:r>
      <w:r>
        <w:rPr>
          <w:rFonts w:hint="eastAsia" w:ascii="仿宋_GB2312" w:eastAsia="仿宋_GB2312"/>
          <w:color w:val="000000"/>
          <w:spacing w:val="4"/>
          <w:szCs w:val="32"/>
          <w:lang w:val="en-US" w:eastAsia="zh-CN"/>
        </w:rPr>
        <w:t>市团洲污水处理厂</w:t>
      </w:r>
      <w:r>
        <w:rPr>
          <w:rFonts w:hint="eastAsia" w:ascii="仿宋_GB2312" w:eastAsia="仿宋_GB2312"/>
          <w:color w:val="000000"/>
          <w:spacing w:val="4"/>
          <w:szCs w:val="32"/>
        </w:rPr>
        <w:t>进</w:t>
      </w:r>
      <w:r>
        <w:rPr>
          <w:rFonts w:hint="eastAsia" w:ascii="仿宋_GB2312" w:eastAsia="仿宋_GB2312"/>
          <w:color w:val="auto"/>
          <w:spacing w:val="4"/>
          <w:szCs w:val="32"/>
        </w:rPr>
        <w:t>行深度处理</w:t>
      </w:r>
      <w:r>
        <w:rPr>
          <w:rFonts w:hint="eastAsia" w:ascii="仿宋_GB2312" w:eastAsia="仿宋_GB2312"/>
          <w:color w:val="auto"/>
          <w:spacing w:val="4"/>
          <w:szCs w:val="32"/>
          <w:lang w:eastAsia="zh-CN"/>
        </w:rPr>
        <w:t>；</w:t>
      </w:r>
      <w:r>
        <w:rPr>
          <w:rFonts w:hint="eastAsia" w:ascii="仿宋_GB2312" w:eastAsia="仿宋_GB2312"/>
          <w:color w:val="000000" w:themeColor="text1"/>
          <w:spacing w:val="4"/>
          <w:szCs w:val="32"/>
          <w:lang w:eastAsia="zh-CN"/>
          <w14:textFill>
            <w14:solidFill>
              <w14:schemeClr w14:val="tx1"/>
            </w14:solidFill>
          </w14:textFill>
        </w:rPr>
        <w:t>生产线</w:t>
      </w:r>
      <w:r>
        <w:rPr>
          <w:rFonts w:hint="eastAsia" w:ascii="仿宋_GB2312" w:hAnsi="仿宋_GB2312" w:cs="仿宋_GB2312"/>
          <w:color w:val="000000" w:themeColor="text1"/>
          <w:spacing w:val="0"/>
          <w:lang w:eastAsia="zh-CN"/>
          <w14:textFill>
            <w14:solidFill>
              <w14:schemeClr w14:val="tx1"/>
            </w14:solidFill>
          </w14:textFill>
        </w:rPr>
        <w:t>清洗</w:t>
      </w:r>
      <w:r>
        <w:rPr>
          <w:rFonts w:hint="eastAsia" w:ascii="仿宋_GB2312" w:hAnsi="仿宋_GB2312" w:eastAsia="仿宋_GB2312" w:cs="仿宋_GB2312"/>
          <w:color w:val="000000" w:themeColor="text1"/>
          <w:spacing w:val="0"/>
          <w14:textFill>
            <w14:solidFill>
              <w14:schemeClr w14:val="tx1"/>
            </w14:solidFill>
          </w14:textFill>
        </w:rPr>
        <w:t>产生的</w:t>
      </w:r>
      <w:r>
        <w:rPr>
          <w:rFonts w:hint="eastAsia" w:ascii="仿宋_GB2312" w:hAnsi="仿宋_GB2312" w:eastAsia="仿宋_GB2312" w:cs="仿宋_GB2312"/>
          <w:color w:val="000000" w:themeColor="text1"/>
          <w:spacing w:val="0"/>
          <w:lang w:eastAsia="zh-CN"/>
          <w14:textFill>
            <w14:solidFill>
              <w14:schemeClr w14:val="tx1"/>
            </w14:solidFill>
          </w14:textFill>
        </w:rPr>
        <w:t>含油墨废液</w:t>
      </w:r>
      <w:r>
        <w:rPr>
          <w:rFonts w:hint="eastAsia" w:ascii="仿宋_GB2312" w:hAnsi="仿宋_GB2312" w:eastAsia="仿宋_GB2312" w:cs="仿宋_GB2312"/>
          <w:color w:val="000000" w:themeColor="text1"/>
          <w:spacing w:val="0"/>
          <w14:textFill>
            <w14:solidFill>
              <w14:schemeClr w14:val="tx1"/>
            </w14:solidFill>
          </w14:textFill>
        </w:rPr>
        <w:t>经</w:t>
      </w:r>
      <w:r>
        <w:rPr>
          <w:rFonts w:hint="eastAsia" w:ascii="仿宋_GB2312" w:hAnsi="仿宋_GB2312" w:eastAsia="仿宋_GB2312" w:cs="仿宋_GB2312"/>
          <w:color w:val="000000" w:themeColor="text1"/>
          <w:spacing w:val="0"/>
          <w:lang w:eastAsia="zh-CN"/>
          <w14:textFill>
            <w14:solidFill>
              <w14:schemeClr w14:val="tx1"/>
            </w14:solidFill>
          </w14:textFill>
        </w:rPr>
        <w:t>收集</w:t>
      </w:r>
      <w:r>
        <w:rPr>
          <w:rFonts w:hint="eastAsia" w:ascii="仿宋_GB2312" w:hAnsi="仿宋_GB2312" w:eastAsia="仿宋_GB2312" w:cs="仿宋_GB2312"/>
          <w:color w:val="000000" w:themeColor="text1"/>
          <w:spacing w:val="0"/>
          <w14:textFill>
            <w14:solidFill>
              <w14:schemeClr w14:val="tx1"/>
            </w14:solidFill>
          </w14:textFill>
        </w:rPr>
        <w:t>后</w:t>
      </w:r>
      <w:r>
        <w:rPr>
          <w:rFonts w:hint="eastAsia" w:ascii="仿宋_GB2312" w:hAnsi="仿宋_GB2312" w:cs="仿宋_GB2312"/>
          <w:color w:val="000000" w:themeColor="text1"/>
          <w:spacing w:val="0"/>
          <w:lang w:eastAsia="zh-CN"/>
          <w14:textFill>
            <w14:solidFill>
              <w14:schemeClr w14:val="tx1"/>
            </w14:solidFill>
          </w14:textFill>
        </w:rPr>
        <w:t>回用</w:t>
      </w:r>
      <w:r>
        <w:rPr>
          <w:rFonts w:hint="eastAsia" w:ascii="仿宋_GB2312" w:hAnsi="仿宋_GB2312" w:eastAsia="仿宋_GB2312" w:cs="仿宋_GB2312"/>
          <w:color w:val="000000" w:themeColor="text1"/>
          <w:spacing w:val="0"/>
          <w:u w:val="none"/>
          <w14:textFill>
            <w14:solidFill>
              <w14:schemeClr w14:val="tx1"/>
            </w14:solidFill>
          </w14:textFill>
        </w:rPr>
        <w:t>，严禁外排。</w:t>
      </w:r>
    </w:p>
    <w:p>
      <w:pPr>
        <w:pStyle w:val="4"/>
        <w:keepNext w:val="0"/>
        <w:keepLines w:val="0"/>
        <w:pageBreakBefore w:val="0"/>
        <w:widowControl w:val="0"/>
        <w:kinsoku/>
        <w:wordWrap/>
        <w:overflowPunct/>
        <w:topLinePunct w:val="0"/>
        <w:autoSpaceDE/>
        <w:autoSpaceDN/>
        <w:bidi w:val="0"/>
        <w:adjustRightInd/>
        <w:snapToGrid/>
        <w:spacing w:line="540" w:lineRule="exact"/>
        <w:ind w:firstLine="656" w:firstLineChars="200"/>
        <w:jc w:val="both"/>
        <w:textAlignment w:val="auto"/>
        <w:rPr>
          <w:rFonts w:ascii="仿宋_GB2312" w:eastAsia="仿宋_GB2312"/>
          <w:color w:val="000000"/>
          <w:spacing w:val="4"/>
          <w:szCs w:val="32"/>
        </w:rPr>
      </w:pPr>
      <w:r>
        <w:rPr>
          <w:rFonts w:hint="eastAsia" w:ascii="仿宋_GB2312" w:eastAsia="仿宋_GB2312"/>
          <w:color w:val="000000"/>
          <w:spacing w:val="4"/>
          <w:szCs w:val="32"/>
          <w:lang w:eastAsia="zh-CN"/>
        </w:rPr>
        <w:t>（三）</w:t>
      </w:r>
      <w:r>
        <w:rPr>
          <w:rFonts w:hint="eastAsia" w:ascii="仿宋_GB2312" w:eastAsia="仿宋_GB2312"/>
          <w:color w:val="000000"/>
          <w:spacing w:val="4"/>
          <w:szCs w:val="32"/>
        </w:rPr>
        <w:t>做好项目噪声污染防治工作。</w:t>
      </w:r>
      <w:r>
        <w:rPr>
          <w:rFonts w:hint="eastAsia" w:ascii="仿宋_GB2312" w:hAnsi="仿宋_GB2312" w:eastAsia="仿宋_GB2312" w:cs="仿宋_GB2312"/>
          <w:color w:val="000000"/>
          <w:spacing w:val="0"/>
          <w:sz w:val="32"/>
          <w:szCs w:val="32"/>
        </w:rPr>
        <w:t>落实环评报告</w:t>
      </w:r>
      <w:r>
        <w:rPr>
          <w:rFonts w:hint="eastAsia" w:ascii="仿宋_GB2312" w:hAnsi="仿宋_GB2312" w:eastAsia="仿宋_GB2312" w:cs="仿宋_GB2312"/>
          <w:color w:val="000000"/>
          <w:spacing w:val="0"/>
          <w:sz w:val="32"/>
          <w:szCs w:val="32"/>
          <w:lang w:eastAsia="zh-CN"/>
        </w:rPr>
        <w:t>表</w:t>
      </w:r>
      <w:r>
        <w:rPr>
          <w:rFonts w:hint="eastAsia" w:ascii="仿宋_GB2312" w:hAnsi="仿宋_GB2312" w:eastAsia="仿宋_GB2312" w:cs="仿宋_GB2312"/>
          <w:color w:val="000000"/>
          <w:spacing w:val="0"/>
          <w:sz w:val="32"/>
          <w:szCs w:val="32"/>
        </w:rPr>
        <w:t>提出的噪声防治措施，合理优化总平面布局，并从优化设备的选型、减震、消声、隔声和合理安排设备作业时间等方面做好噪声的污染控制工作，确保厂界噪声达到《工业企业厂界环境噪声排放标准》（GB12348-2008）中</w:t>
      </w:r>
      <w:r>
        <w:rPr>
          <w:rFonts w:hint="eastAsia" w:ascii="仿宋_GB2312" w:hAnsi="仿宋_GB2312" w:eastAsia="仿宋_GB2312" w:cs="仿宋_GB2312"/>
          <w:color w:val="000000"/>
          <w:spacing w:val="0"/>
          <w:sz w:val="32"/>
          <w:szCs w:val="32"/>
          <w:lang w:val="en-US" w:eastAsia="zh-CN"/>
        </w:rPr>
        <w:t>3</w:t>
      </w:r>
      <w:r>
        <w:rPr>
          <w:rFonts w:hint="eastAsia" w:ascii="仿宋_GB2312" w:hAnsi="仿宋_GB2312" w:eastAsia="仿宋_GB2312" w:cs="仿宋_GB2312"/>
          <w:color w:val="000000"/>
          <w:spacing w:val="0"/>
          <w:sz w:val="32"/>
          <w:szCs w:val="32"/>
        </w:rPr>
        <w:t>类区标准要求</w:t>
      </w:r>
      <w:r>
        <w:rPr>
          <w:rFonts w:hint="eastAsia" w:ascii="仿宋_GB2312" w:eastAsia="仿宋_GB2312"/>
          <w:color w:val="000000"/>
          <w:spacing w:val="4"/>
          <w:szCs w:val="32"/>
        </w:rPr>
        <w:t>。</w:t>
      </w:r>
    </w:p>
    <w:p>
      <w:pPr>
        <w:pStyle w:val="4"/>
        <w:keepNext w:val="0"/>
        <w:keepLines w:val="0"/>
        <w:pageBreakBefore w:val="0"/>
        <w:widowControl w:val="0"/>
        <w:kinsoku/>
        <w:wordWrap/>
        <w:overflowPunct/>
        <w:topLinePunct w:val="0"/>
        <w:autoSpaceDE/>
        <w:autoSpaceDN/>
        <w:bidi w:val="0"/>
        <w:adjustRightInd/>
        <w:snapToGrid/>
        <w:spacing w:line="540" w:lineRule="exact"/>
        <w:ind w:firstLine="656" w:firstLineChars="200"/>
        <w:jc w:val="both"/>
        <w:textAlignment w:val="auto"/>
        <w:rPr>
          <w:rFonts w:hint="eastAsia" w:ascii="仿宋_GB2312" w:hAnsi="仿宋_GB2312" w:eastAsia="仿宋_GB2312" w:cs="仿宋_GB2312"/>
          <w:color w:val="000000" w:themeColor="text1"/>
          <w:spacing w:val="0"/>
          <w:kern w:val="0"/>
          <w:sz w:val="32"/>
          <w:szCs w:val="32"/>
          <w:lang w:val="en-US" w:eastAsia="zh-CN" w:bidi="ar"/>
        </w:rPr>
      </w:pPr>
      <w:r>
        <w:rPr>
          <w:rFonts w:hint="eastAsia" w:ascii="仿宋_GB2312" w:eastAsia="仿宋_GB2312"/>
          <w:color w:val="000000"/>
          <w:spacing w:val="4"/>
          <w:szCs w:val="32"/>
          <w:lang w:eastAsia="zh-CN"/>
        </w:rPr>
        <w:t>（四）</w:t>
      </w:r>
      <w:r>
        <w:rPr>
          <w:rFonts w:hint="eastAsia" w:ascii="仿宋_GB2312" w:hAnsi="仿宋_GB2312" w:eastAsia="仿宋_GB2312" w:cs="仿宋_GB2312"/>
          <w:color w:val="000000"/>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spacing w:val="0"/>
          <w:kern w:val="0"/>
          <w:sz w:val="32"/>
          <w:szCs w:val="32"/>
          <w:lang w:val="en-US" w:eastAsia="zh-CN" w:bidi="ar"/>
        </w:rPr>
        <w:t>生活垃圾收集后交给地方环卫部门处理</w:t>
      </w:r>
      <w:r>
        <w:rPr>
          <w:rFonts w:hint="eastAsia" w:ascii="仿宋_GB2312" w:hAnsi="仿宋_GB2312" w:eastAsia="仿宋_GB2312" w:cs="仿宋_GB2312"/>
          <w:color w:val="auto"/>
          <w:spacing w:val="0"/>
          <w:kern w:val="0"/>
          <w:sz w:val="32"/>
          <w:szCs w:val="32"/>
          <w:lang w:val="en-US" w:eastAsia="zh-CN" w:bidi="ar"/>
        </w:rPr>
        <w:t>；</w:t>
      </w:r>
      <w:r>
        <w:rPr>
          <w:rFonts w:hint="eastAsia" w:ascii="仿宋_GB2312"/>
          <w:color w:val="000000" w:themeColor="text1"/>
          <w:szCs w:val="32"/>
          <w:lang w:eastAsia="zh-CN"/>
        </w:rPr>
        <w:t>边角料、废包装材料</w:t>
      </w:r>
      <w:r>
        <w:rPr>
          <w:rFonts w:hint="eastAsia" w:ascii="仿宋_GB2312" w:hAnsi="仿宋_GB2312" w:eastAsia="仿宋_GB2312" w:cs="仿宋_GB2312"/>
          <w:color w:val="000000"/>
          <w:spacing w:val="4"/>
          <w:szCs w:val="32"/>
          <w:lang w:eastAsia="zh-CN"/>
        </w:rPr>
        <w:t>等</w:t>
      </w:r>
      <w:r>
        <w:rPr>
          <w:rFonts w:hint="eastAsia" w:ascii="仿宋_GB2312" w:hAnsi="仿宋_GB2312" w:eastAsia="仿宋_GB2312" w:cs="仿宋_GB2312"/>
          <w:color w:val="000000"/>
          <w:spacing w:val="0"/>
          <w:sz w:val="32"/>
          <w:szCs w:val="32"/>
          <w:lang w:val="en-US" w:eastAsia="zh-CN"/>
        </w:rPr>
        <w:t>为一般工业固废，经分类收集贮存后外售综合利用；</w:t>
      </w:r>
      <w:r>
        <w:rPr>
          <w:rFonts w:hint="eastAsia" w:ascii="仿宋_GB2312" w:hAnsi="仿宋_GB2312" w:eastAsia="仿宋_GB2312" w:cs="仿宋_GB2312"/>
          <w:color w:val="000000" w:themeColor="text1"/>
          <w:spacing w:val="0"/>
          <w:sz w:val="32"/>
          <w:szCs w:val="32"/>
          <w:lang w:val="en-US" w:eastAsia="zh-CN"/>
        </w:rPr>
        <w:t>含</w:t>
      </w:r>
      <w:r>
        <w:rPr>
          <w:rFonts w:hint="eastAsia" w:ascii="仿宋_GB2312" w:hAnsi="仿宋_GB2312" w:eastAsia="仿宋_GB2312" w:cs="仿宋_GB2312"/>
          <w:color w:val="000000" w:themeColor="text1"/>
          <w:spacing w:val="0"/>
          <w:szCs w:val="32"/>
          <w:lang w:eastAsia="zh-CN"/>
        </w:rPr>
        <w:t>油墨、溶剂、胶水的废弃包装物、废活性炭、废过滤棉、含</w:t>
      </w:r>
      <w:r>
        <w:rPr>
          <w:rFonts w:hint="eastAsia" w:ascii="仿宋_GB2312" w:hAnsi="仿宋_GB2312" w:eastAsia="仿宋_GB2312" w:cs="仿宋_GB2312"/>
          <w:color w:val="000000" w:themeColor="text1"/>
          <w:spacing w:val="4"/>
          <w:szCs w:val="32"/>
        </w:rPr>
        <w:t>润滑油的</w:t>
      </w:r>
      <w:r>
        <w:rPr>
          <w:rFonts w:hint="eastAsia" w:ascii="仿宋_GB2312" w:hAnsi="仿宋_GB2312" w:eastAsia="仿宋_GB2312" w:cs="仿宋_GB2312"/>
          <w:color w:val="000000" w:themeColor="text1"/>
          <w:spacing w:val="4"/>
          <w:szCs w:val="32"/>
          <w:lang w:eastAsia="zh-CN"/>
        </w:rPr>
        <w:t>废弃</w:t>
      </w:r>
      <w:r>
        <w:rPr>
          <w:rFonts w:hint="eastAsia" w:ascii="仿宋_GB2312" w:hAnsi="仿宋_GB2312" w:eastAsia="仿宋_GB2312" w:cs="仿宋_GB2312"/>
          <w:color w:val="000000" w:themeColor="text1"/>
          <w:spacing w:val="4"/>
          <w:szCs w:val="32"/>
        </w:rPr>
        <w:t>包装物、废润滑油</w:t>
      </w:r>
      <w:r>
        <w:rPr>
          <w:rFonts w:hint="eastAsia" w:ascii="仿宋_GB2312" w:hAnsi="仿宋_GB2312" w:eastAsia="仿宋_GB2312" w:cs="仿宋_GB2312"/>
          <w:color w:val="000000" w:themeColor="text1"/>
          <w:spacing w:val="4"/>
          <w:szCs w:val="32"/>
          <w:lang w:eastAsia="zh-CN"/>
        </w:rPr>
        <w:t>以及</w:t>
      </w:r>
      <w:r>
        <w:rPr>
          <w:rFonts w:hint="eastAsia" w:ascii="仿宋_GB2312" w:hAnsi="仿宋_GB2312" w:eastAsia="仿宋_GB2312" w:cs="仿宋_GB2312"/>
          <w:color w:val="000000" w:themeColor="text1"/>
          <w:spacing w:val="0"/>
          <w:sz w:val="32"/>
          <w:szCs w:val="32"/>
        </w:rPr>
        <w:t>含油</w:t>
      </w:r>
      <w:r>
        <w:rPr>
          <w:rFonts w:hint="eastAsia" w:ascii="仿宋_GB2312" w:hAnsi="仿宋_GB2312" w:eastAsia="仿宋_GB2312" w:cs="仿宋_GB2312"/>
          <w:color w:val="000000" w:themeColor="text1"/>
          <w:spacing w:val="0"/>
          <w:sz w:val="32"/>
          <w:szCs w:val="32"/>
          <w:lang w:eastAsia="zh-CN"/>
        </w:rPr>
        <w:t>、油墨的</w:t>
      </w:r>
      <w:r>
        <w:rPr>
          <w:rFonts w:hint="eastAsia" w:ascii="仿宋_GB2312" w:hAnsi="仿宋_GB2312" w:eastAsia="仿宋_GB2312" w:cs="仿宋_GB2312"/>
          <w:color w:val="000000" w:themeColor="text1"/>
          <w:spacing w:val="0"/>
          <w:sz w:val="32"/>
          <w:szCs w:val="32"/>
        </w:rPr>
        <w:t>废抹布</w:t>
      </w:r>
      <w:r>
        <w:rPr>
          <w:rFonts w:hint="eastAsia" w:ascii="仿宋_GB2312" w:hAnsi="仿宋_GB2312" w:eastAsia="仿宋_GB2312" w:cs="仿宋_GB2312"/>
          <w:color w:val="000000" w:themeColor="text1"/>
          <w:spacing w:val="0"/>
          <w:sz w:val="32"/>
          <w:szCs w:val="32"/>
          <w:lang w:eastAsia="zh-CN"/>
        </w:rPr>
        <w:t>和废手套</w:t>
      </w:r>
      <w:r>
        <w:rPr>
          <w:rFonts w:hint="eastAsia" w:ascii="仿宋_GB2312" w:hAnsi="仿宋_GB2312" w:eastAsia="仿宋_GB2312" w:cs="仿宋_GB2312"/>
          <w:color w:val="000000" w:themeColor="text1"/>
          <w:spacing w:val="0"/>
          <w:sz w:val="32"/>
          <w:szCs w:val="32"/>
        </w:rPr>
        <w:t>等危险废物</w:t>
      </w:r>
      <w:r>
        <w:rPr>
          <w:rFonts w:hint="eastAsia" w:ascii="仿宋_GB2312" w:hAnsi="仿宋_GB2312" w:eastAsia="仿宋_GB2312" w:cs="仿宋_GB2312"/>
          <w:color w:val="000000" w:themeColor="text1"/>
          <w:spacing w:val="0"/>
          <w:kern w:val="0"/>
          <w:sz w:val="32"/>
          <w:szCs w:val="32"/>
          <w:lang w:val="en-US" w:eastAsia="zh-CN" w:bidi="ar"/>
        </w:rPr>
        <w:t>应送危废暂存间分类贮存，定期外委有危废处置资质单位处理。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（五）加强环境风险防范。加强环保和风险防范设施的运行管理，明</w:t>
      </w:r>
      <w:r>
        <w:rPr>
          <w:rFonts w:hint="eastAsia" w:ascii="仿宋_GB2312" w:hAnsi="仿宋_GB2312" w:eastAsia="仿宋_GB2312" w:cs="仿宋_GB2312"/>
          <w:color w:val="auto"/>
          <w:spacing w:val="0"/>
          <w:sz w:val="32"/>
          <w:szCs w:val="32"/>
          <w:lang w:val="en-US" w:eastAsia="zh-CN"/>
        </w:rPr>
        <w:t>确责任人，确保环保设施稳定正常运行和污染物的稳定达标排放，制定环境风险事故应急预案，落实事故应急防范措施。</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color w:val="auto"/>
          <w:lang w:val="en-US" w:eastAsia="zh-CN"/>
        </w:rPr>
      </w:pPr>
      <w:r>
        <w:rPr>
          <w:rFonts w:hint="eastAsia" w:ascii="仿宋_GB2312" w:hAnsi="仿宋_GB2312" w:eastAsia="仿宋_GB2312" w:cs="仿宋_GB2312"/>
          <w:color w:val="auto"/>
          <w:spacing w:val="0"/>
          <w:sz w:val="32"/>
          <w:szCs w:val="32"/>
          <w:lang w:val="en-US" w:eastAsia="zh-CN"/>
        </w:rPr>
        <w:t>（六）</w:t>
      </w:r>
      <w:r>
        <w:rPr>
          <w:rFonts w:hint="eastAsia" w:ascii="仿宋_GB2312" w:hAnsi="仿宋" w:eastAsia="仿宋_GB2312" w:cs="仿宋"/>
          <w:color w:val="auto"/>
          <w:spacing w:val="4"/>
          <w:szCs w:val="32"/>
        </w:rPr>
        <w:t>污染物总量控制：大气污染物</w:t>
      </w:r>
      <w:r>
        <w:rPr>
          <w:rFonts w:hint="eastAsia" w:ascii="仿宋_GB2312" w:hAnsi="仿宋" w:eastAsia="仿宋_GB2312" w:cs="仿宋"/>
          <w:color w:val="auto"/>
          <w:spacing w:val="8"/>
          <w:szCs w:val="32"/>
        </w:rPr>
        <w:t>VOC</w:t>
      </w:r>
      <w:r>
        <w:rPr>
          <w:rFonts w:hint="eastAsia" w:ascii="仿宋_GB2312" w:hAnsi="仿宋" w:eastAsia="仿宋_GB2312" w:cs="仿宋"/>
          <w:color w:val="auto"/>
          <w:spacing w:val="8"/>
          <w:szCs w:val="32"/>
          <w:vertAlign w:val="subscript"/>
        </w:rPr>
        <w:t>S</w:t>
      </w:r>
      <w:r>
        <w:rPr>
          <w:rFonts w:hint="eastAsia" w:ascii="宋体" w:hAnsi="宋体" w:eastAsia="宋体" w:cs="宋体"/>
          <w:color w:val="auto"/>
          <w:spacing w:val="8"/>
          <w:szCs w:val="32"/>
          <w:vertAlign w:val="baseline"/>
          <w:lang w:val="en-US" w:eastAsia="zh-CN"/>
        </w:rPr>
        <w:t>≦</w:t>
      </w:r>
      <w:r>
        <w:rPr>
          <w:rFonts w:hint="eastAsia" w:ascii="仿宋_GB2312" w:hAnsi="仿宋" w:eastAsia="仿宋_GB2312" w:cs="仿宋"/>
          <w:color w:val="auto"/>
          <w:spacing w:val="8"/>
          <w:szCs w:val="32"/>
        </w:rPr>
        <w:t>0.</w:t>
      </w:r>
      <w:r>
        <w:rPr>
          <w:rFonts w:hint="eastAsia" w:ascii="仿宋_GB2312" w:hAnsi="仿宋" w:eastAsia="仿宋_GB2312" w:cs="仿宋"/>
          <w:color w:val="auto"/>
          <w:spacing w:val="8"/>
          <w:szCs w:val="32"/>
          <w:lang w:val="en-US" w:eastAsia="zh-CN"/>
        </w:rPr>
        <w:t>15</w:t>
      </w:r>
      <w:r>
        <w:rPr>
          <w:rFonts w:hint="eastAsia" w:ascii="仿宋_GB2312" w:hAnsi="仿宋" w:eastAsia="仿宋_GB2312" w:cs="仿宋"/>
          <w:color w:val="auto"/>
          <w:spacing w:val="8"/>
          <w:szCs w:val="32"/>
        </w:rPr>
        <w:t>t/a</w:t>
      </w:r>
      <w:r>
        <w:rPr>
          <w:rFonts w:hint="eastAsia" w:ascii="仿宋_GB2312" w:hAnsi="仿宋" w:eastAsia="仿宋_GB2312" w:cs="仿宋"/>
          <w:color w:val="auto"/>
          <w:spacing w:val="4"/>
          <w:szCs w:val="32"/>
        </w:rPr>
        <w:t>。</w:t>
      </w:r>
    </w:p>
    <w:p>
      <w:pPr>
        <w:keepNext w:val="0"/>
        <w:keepLines w:val="0"/>
        <w:pageBreakBefore w:val="0"/>
        <w:kinsoku/>
        <w:wordWrap/>
        <w:overflowPunct/>
        <w:topLinePunct w:val="0"/>
        <w:autoSpaceDE/>
        <w:autoSpaceDN/>
        <w:bidi w:val="0"/>
        <w:adjustRightInd/>
        <w:snapToGrid/>
        <w:spacing w:line="54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rPr>
        <w:t>三、</w:t>
      </w:r>
      <w:r>
        <w:rPr>
          <w:rFonts w:hint="eastAsia" w:ascii="仿宋_GB2312" w:hAnsi="仿宋_GB2312" w:eastAsia="仿宋_GB2312" w:cs="仿宋_GB2312"/>
          <w:color w:val="000000"/>
          <w:spacing w:val="0"/>
          <w:szCs w:val="32"/>
        </w:rPr>
        <w:t>建设</w:t>
      </w:r>
      <w:r>
        <w:rPr>
          <w:rFonts w:hint="eastAsia" w:ascii="仿宋_GB2312" w:hAnsi="仿宋_GB2312" w:eastAsia="仿宋_GB2312" w:cs="仿宋_GB2312"/>
          <w:color w:val="000000"/>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eastAsia="仿宋_GB2312"/>
          <w:color w:val="000000"/>
          <w:spacing w:val="4"/>
          <w:szCs w:val="32"/>
        </w:rPr>
        <w:t>。</w:t>
      </w:r>
    </w:p>
    <w:p>
      <w:pPr>
        <w:pStyle w:val="2"/>
        <w:keepNext w:val="0"/>
        <w:keepLines w:val="0"/>
        <w:pageBreakBefore w:val="0"/>
        <w:numPr>
          <w:ilvl w:val="0"/>
          <w:numId w:val="0"/>
        </w:numPr>
        <w:kinsoku/>
        <w:wordWrap/>
        <w:topLinePunct w:val="0"/>
        <w:bidi w:val="0"/>
        <w:adjustRightInd/>
        <w:snapToGrid/>
        <w:spacing w:before="0" w:after="0" w:line="540" w:lineRule="exact"/>
        <w:ind w:firstLine="600" w:firstLineChars="200"/>
      </w:pPr>
    </w:p>
    <w:p>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ascii="仿宋_GB2312" w:eastAsia="仿宋_GB2312"/>
        </w:rPr>
      </w:pPr>
      <w:r>
        <w:rPr>
          <w:rFonts w:hint="eastAsia" w:ascii="仿宋_GB2312" w:eastAsia="仿宋_GB2312"/>
        </w:rPr>
        <w:t xml:space="preserve">                             益阳市生态环境局</w:t>
      </w:r>
    </w:p>
    <w:p>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eastAsia="仿宋_GB2312"/>
          <w:color w:val="auto"/>
        </w:rPr>
      </w:pPr>
      <w:r>
        <w:rPr>
          <w:rFonts w:hint="eastAsia" w:ascii="仿宋_GB2312" w:eastAsia="仿宋_GB2312"/>
          <w:color w:val="FF0000"/>
        </w:rPr>
        <w:t xml:space="preserve">                             </w:t>
      </w:r>
      <w:r>
        <w:rPr>
          <w:rFonts w:hint="eastAsia" w:ascii="仿宋_GB2312" w:eastAsia="仿宋_GB2312"/>
          <w:color w:val="FF0000"/>
          <w:lang w:val="en-US" w:eastAsia="zh-CN"/>
        </w:rPr>
        <w:t xml:space="preserve">    </w:t>
      </w:r>
      <w:r>
        <w:rPr>
          <w:rFonts w:hint="eastAsia" w:ascii="仿宋_GB2312" w:eastAsia="仿宋_GB2312"/>
          <w:color w:val="auto"/>
        </w:rPr>
        <w:t>2</w:t>
      </w:r>
      <w:r>
        <w:rPr>
          <w:rFonts w:hint="eastAsia" w:ascii="仿宋_GB2312" w:eastAsia="仿宋_GB2312"/>
          <w:color w:val="auto"/>
          <w:lang w:val="en-US" w:eastAsia="zh-CN"/>
        </w:rPr>
        <w:t>020</w:t>
      </w:r>
      <w:r>
        <w:rPr>
          <w:rFonts w:hint="eastAsia" w:ascii="仿宋_GB2312" w:eastAsia="仿宋_GB2312"/>
          <w:color w:val="auto"/>
        </w:rPr>
        <w:t>年</w:t>
      </w:r>
      <w:r>
        <w:rPr>
          <w:rFonts w:hint="eastAsia" w:ascii="仿宋_GB2312" w:eastAsia="仿宋_GB2312"/>
          <w:color w:val="auto"/>
          <w:lang w:val="en-US" w:eastAsia="zh-CN"/>
        </w:rPr>
        <w:t>2</w:t>
      </w:r>
      <w:r>
        <w:rPr>
          <w:rFonts w:hint="eastAsia" w:ascii="仿宋_GB2312" w:eastAsia="仿宋_GB2312"/>
          <w:color w:val="auto"/>
        </w:rPr>
        <w:t>月</w:t>
      </w:r>
      <w:r>
        <w:rPr>
          <w:rFonts w:hint="eastAsia" w:ascii="仿宋_GB2312" w:eastAsia="仿宋_GB2312"/>
          <w:color w:val="auto"/>
          <w:lang w:val="en-US" w:eastAsia="zh-CN"/>
        </w:rPr>
        <w:t>28</w:t>
      </w:r>
      <w:r>
        <w:rPr>
          <w:rFonts w:hint="eastAsia" w:ascii="仿宋_GB2312" w:eastAsia="仿宋_GB2312"/>
          <w:color w:val="auto"/>
        </w:rPr>
        <w:t>日</w:t>
      </w:r>
    </w:p>
    <w:p>
      <w:pPr>
        <w:pStyle w:val="2"/>
        <w:numPr>
          <w:ilvl w:val="0"/>
          <w:numId w:val="0"/>
        </w:numPr>
        <w:ind w:left="360" w:leftChars="0"/>
      </w:pPr>
      <w:bookmarkStart w:id="0" w:name="_GoBack"/>
      <w:bookmarkEnd w:id="0"/>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101" o:spid="_x0000_s4101" o:spt="202" type="#_x0000_t202" style="position:absolute;left:0pt;margin-top:0pt;height:144pt;width:144pt;mso-position-horizontal:outside;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6"/>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A15BEC6"/>
    <w:multiLevelType w:val="singleLevel"/>
    <w:tmpl w:val="4A15BEC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004B8"/>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254540"/>
    <w:rsid w:val="012F1ED0"/>
    <w:rsid w:val="01A423F6"/>
    <w:rsid w:val="01D03FEC"/>
    <w:rsid w:val="01D159D9"/>
    <w:rsid w:val="01ED35F8"/>
    <w:rsid w:val="02224966"/>
    <w:rsid w:val="033476DA"/>
    <w:rsid w:val="03B66C38"/>
    <w:rsid w:val="03FA6995"/>
    <w:rsid w:val="04E14F45"/>
    <w:rsid w:val="057A45B7"/>
    <w:rsid w:val="070865B3"/>
    <w:rsid w:val="07252D57"/>
    <w:rsid w:val="07D2436A"/>
    <w:rsid w:val="08342BC9"/>
    <w:rsid w:val="086B7063"/>
    <w:rsid w:val="08FA584B"/>
    <w:rsid w:val="091F1F58"/>
    <w:rsid w:val="09FA59E7"/>
    <w:rsid w:val="0A1205BE"/>
    <w:rsid w:val="0A9F631F"/>
    <w:rsid w:val="0B4F2D07"/>
    <w:rsid w:val="0B6E2FB5"/>
    <w:rsid w:val="0BF719CD"/>
    <w:rsid w:val="0C562ECC"/>
    <w:rsid w:val="0CAC20A1"/>
    <w:rsid w:val="0CDE6BA9"/>
    <w:rsid w:val="0E180AF7"/>
    <w:rsid w:val="0E75128A"/>
    <w:rsid w:val="0F4414C3"/>
    <w:rsid w:val="0FB361DB"/>
    <w:rsid w:val="101616EC"/>
    <w:rsid w:val="11474B1B"/>
    <w:rsid w:val="12170E2D"/>
    <w:rsid w:val="12C10FD4"/>
    <w:rsid w:val="13307205"/>
    <w:rsid w:val="13D47406"/>
    <w:rsid w:val="140D6837"/>
    <w:rsid w:val="142B4C69"/>
    <w:rsid w:val="14360E9D"/>
    <w:rsid w:val="158942BB"/>
    <w:rsid w:val="167429F4"/>
    <w:rsid w:val="16CC5B36"/>
    <w:rsid w:val="16E81710"/>
    <w:rsid w:val="18757D21"/>
    <w:rsid w:val="19F73D2A"/>
    <w:rsid w:val="1A1F4F6D"/>
    <w:rsid w:val="1A673E67"/>
    <w:rsid w:val="1AA715B6"/>
    <w:rsid w:val="1AEF5E31"/>
    <w:rsid w:val="1B5F06EB"/>
    <w:rsid w:val="1BAF3294"/>
    <w:rsid w:val="1C6700FC"/>
    <w:rsid w:val="1CF30268"/>
    <w:rsid w:val="1DDE1448"/>
    <w:rsid w:val="1E032CA0"/>
    <w:rsid w:val="1E3A67FD"/>
    <w:rsid w:val="1E7828B5"/>
    <w:rsid w:val="1F676DEF"/>
    <w:rsid w:val="20095B14"/>
    <w:rsid w:val="209F7161"/>
    <w:rsid w:val="21D23C17"/>
    <w:rsid w:val="23F32C81"/>
    <w:rsid w:val="24087DD7"/>
    <w:rsid w:val="24745DD6"/>
    <w:rsid w:val="24A54003"/>
    <w:rsid w:val="24B268B7"/>
    <w:rsid w:val="26356F94"/>
    <w:rsid w:val="26423EFF"/>
    <w:rsid w:val="26C7259C"/>
    <w:rsid w:val="27BA1B7C"/>
    <w:rsid w:val="27C03033"/>
    <w:rsid w:val="2A87033E"/>
    <w:rsid w:val="2AB21BCD"/>
    <w:rsid w:val="2ACD255C"/>
    <w:rsid w:val="2B6A5690"/>
    <w:rsid w:val="2BBC25A8"/>
    <w:rsid w:val="2C36248E"/>
    <w:rsid w:val="2C6C37D0"/>
    <w:rsid w:val="2C9A7D53"/>
    <w:rsid w:val="2DBA5F3A"/>
    <w:rsid w:val="2DCD7CC3"/>
    <w:rsid w:val="2E115D09"/>
    <w:rsid w:val="2E6629D9"/>
    <w:rsid w:val="2F384840"/>
    <w:rsid w:val="2FBE547D"/>
    <w:rsid w:val="302837E4"/>
    <w:rsid w:val="306D20D8"/>
    <w:rsid w:val="3073000C"/>
    <w:rsid w:val="3086058E"/>
    <w:rsid w:val="31A97CD1"/>
    <w:rsid w:val="31DF08BE"/>
    <w:rsid w:val="3268470C"/>
    <w:rsid w:val="331522FF"/>
    <w:rsid w:val="33741DC8"/>
    <w:rsid w:val="33B11EC4"/>
    <w:rsid w:val="340D3CF2"/>
    <w:rsid w:val="34270770"/>
    <w:rsid w:val="34711A93"/>
    <w:rsid w:val="35023E3F"/>
    <w:rsid w:val="35803A02"/>
    <w:rsid w:val="35B4328A"/>
    <w:rsid w:val="36226DC6"/>
    <w:rsid w:val="36823F75"/>
    <w:rsid w:val="36E44291"/>
    <w:rsid w:val="37230ACE"/>
    <w:rsid w:val="37454439"/>
    <w:rsid w:val="381C1FBC"/>
    <w:rsid w:val="38665F8D"/>
    <w:rsid w:val="388651BE"/>
    <w:rsid w:val="38B3783C"/>
    <w:rsid w:val="39733DE3"/>
    <w:rsid w:val="3A184343"/>
    <w:rsid w:val="3A8E5140"/>
    <w:rsid w:val="3AD45E5D"/>
    <w:rsid w:val="3B125EF8"/>
    <w:rsid w:val="3B3310B7"/>
    <w:rsid w:val="3CF43468"/>
    <w:rsid w:val="3D3341CB"/>
    <w:rsid w:val="3D492965"/>
    <w:rsid w:val="3D555E43"/>
    <w:rsid w:val="3D846BB7"/>
    <w:rsid w:val="3DD36518"/>
    <w:rsid w:val="3E237685"/>
    <w:rsid w:val="3F4E171F"/>
    <w:rsid w:val="3F8E67BE"/>
    <w:rsid w:val="400E464E"/>
    <w:rsid w:val="40D165C4"/>
    <w:rsid w:val="416C55EA"/>
    <w:rsid w:val="41E7032D"/>
    <w:rsid w:val="420A233B"/>
    <w:rsid w:val="43071885"/>
    <w:rsid w:val="430B2D1A"/>
    <w:rsid w:val="43286099"/>
    <w:rsid w:val="444D1AD2"/>
    <w:rsid w:val="45B32760"/>
    <w:rsid w:val="45E80663"/>
    <w:rsid w:val="47CE7777"/>
    <w:rsid w:val="484F7B35"/>
    <w:rsid w:val="485A6652"/>
    <w:rsid w:val="48AE3800"/>
    <w:rsid w:val="48C619D9"/>
    <w:rsid w:val="49076F41"/>
    <w:rsid w:val="4993613B"/>
    <w:rsid w:val="49B07B17"/>
    <w:rsid w:val="4A6E1DE0"/>
    <w:rsid w:val="4A9B4753"/>
    <w:rsid w:val="4AB744D3"/>
    <w:rsid w:val="4BE51D09"/>
    <w:rsid w:val="4C3A58DB"/>
    <w:rsid w:val="4D5A28EC"/>
    <w:rsid w:val="4D613625"/>
    <w:rsid w:val="4E634D76"/>
    <w:rsid w:val="4E6A7DDF"/>
    <w:rsid w:val="4F017E99"/>
    <w:rsid w:val="4F1E6B4A"/>
    <w:rsid w:val="4FAB43DC"/>
    <w:rsid w:val="501436A8"/>
    <w:rsid w:val="50C23E6D"/>
    <w:rsid w:val="50C25AB6"/>
    <w:rsid w:val="51044BAE"/>
    <w:rsid w:val="512A25ED"/>
    <w:rsid w:val="51894CFE"/>
    <w:rsid w:val="51DB6FAB"/>
    <w:rsid w:val="54952865"/>
    <w:rsid w:val="57025E4E"/>
    <w:rsid w:val="57C9470F"/>
    <w:rsid w:val="5919369C"/>
    <w:rsid w:val="599275AC"/>
    <w:rsid w:val="5A107B8D"/>
    <w:rsid w:val="5A42464D"/>
    <w:rsid w:val="5A4C4FD9"/>
    <w:rsid w:val="5AAE081A"/>
    <w:rsid w:val="5B2C0540"/>
    <w:rsid w:val="5B6E7A63"/>
    <w:rsid w:val="5C5E5523"/>
    <w:rsid w:val="5C9846E8"/>
    <w:rsid w:val="5CB31C83"/>
    <w:rsid w:val="5CCC3CFF"/>
    <w:rsid w:val="5D6E5F94"/>
    <w:rsid w:val="5DDE0037"/>
    <w:rsid w:val="5F010883"/>
    <w:rsid w:val="5F12535C"/>
    <w:rsid w:val="5F3A3FA5"/>
    <w:rsid w:val="5F3F5292"/>
    <w:rsid w:val="5F951A3D"/>
    <w:rsid w:val="5FBA4E4C"/>
    <w:rsid w:val="60E0450D"/>
    <w:rsid w:val="60E743E8"/>
    <w:rsid w:val="61040EA5"/>
    <w:rsid w:val="616854FA"/>
    <w:rsid w:val="62502683"/>
    <w:rsid w:val="641771D9"/>
    <w:rsid w:val="643C0C69"/>
    <w:rsid w:val="65535A30"/>
    <w:rsid w:val="657A6729"/>
    <w:rsid w:val="65C62AAF"/>
    <w:rsid w:val="662A715E"/>
    <w:rsid w:val="66C7051E"/>
    <w:rsid w:val="67951B7E"/>
    <w:rsid w:val="67990F2E"/>
    <w:rsid w:val="679E4A51"/>
    <w:rsid w:val="68B9344E"/>
    <w:rsid w:val="68EA26DC"/>
    <w:rsid w:val="6902221D"/>
    <w:rsid w:val="6A476406"/>
    <w:rsid w:val="6A737633"/>
    <w:rsid w:val="6BB53802"/>
    <w:rsid w:val="6C1131DA"/>
    <w:rsid w:val="6C943E39"/>
    <w:rsid w:val="6CA861E8"/>
    <w:rsid w:val="6DF731D4"/>
    <w:rsid w:val="6EAA0725"/>
    <w:rsid w:val="6EAC6525"/>
    <w:rsid w:val="6F0967A6"/>
    <w:rsid w:val="6FAB56DD"/>
    <w:rsid w:val="6FB93D8D"/>
    <w:rsid w:val="70B3373D"/>
    <w:rsid w:val="70C73800"/>
    <w:rsid w:val="710D3289"/>
    <w:rsid w:val="711235A4"/>
    <w:rsid w:val="71332ADA"/>
    <w:rsid w:val="725214D2"/>
    <w:rsid w:val="727048A6"/>
    <w:rsid w:val="72D17DDC"/>
    <w:rsid w:val="73256B04"/>
    <w:rsid w:val="7399174C"/>
    <w:rsid w:val="745147E9"/>
    <w:rsid w:val="74EA2C08"/>
    <w:rsid w:val="76184CB6"/>
    <w:rsid w:val="76440617"/>
    <w:rsid w:val="76556E2E"/>
    <w:rsid w:val="76BE2DF6"/>
    <w:rsid w:val="777273B5"/>
    <w:rsid w:val="77EA2D6D"/>
    <w:rsid w:val="78485F58"/>
    <w:rsid w:val="78970B8A"/>
    <w:rsid w:val="798D56F0"/>
    <w:rsid w:val="79AE1778"/>
    <w:rsid w:val="7AA95265"/>
    <w:rsid w:val="7B2619FD"/>
    <w:rsid w:val="7B3410E7"/>
    <w:rsid w:val="7B41207C"/>
    <w:rsid w:val="7B6205F0"/>
    <w:rsid w:val="7BA26CB2"/>
    <w:rsid w:val="7D7A2C5C"/>
    <w:rsid w:val="7DB17F91"/>
    <w:rsid w:val="7E567729"/>
    <w:rsid w:val="7EAE517A"/>
    <w:rsid w:val="7F5D1A38"/>
    <w:rsid w:val="7FAF2C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semiHidden/>
    <w:unhideWhenUsed/>
    <w:qFormat/>
    <w:uiPriority w:val="99"/>
    <w:rPr>
      <w:rFonts w:ascii="宋体" w:eastAsia="宋体"/>
      <w:sz w:val="18"/>
      <w:szCs w:val="18"/>
    </w:rPr>
  </w:style>
  <w:style w:type="paragraph" w:styleId="4">
    <w:name w:val="annotation text"/>
    <w:basedOn w:val="1"/>
    <w:link w:val="16"/>
    <w:unhideWhenUsed/>
    <w:qFormat/>
    <w:uiPriority w:val="0"/>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semiHidden/>
    <w:qFormat/>
    <w:uiPriority w:val="99"/>
    <w:rPr>
      <w:rFonts w:ascii="Times New Roman" w:hAnsi="Times New Roman" w:eastAsia="华文仿宋" w:cs="Times New Roman"/>
      <w:sz w:val="18"/>
      <w:szCs w:val="18"/>
    </w:rPr>
  </w:style>
  <w:style w:type="character" w:customStyle="1" w:styleId="13">
    <w:name w:val="页脚 Char"/>
    <w:basedOn w:val="10"/>
    <w:link w:val="6"/>
    <w:semiHidden/>
    <w:qFormat/>
    <w:uiPriority w:val="99"/>
    <w:rPr>
      <w:rFonts w:ascii="Times New Roman" w:hAnsi="Times New Roman" w:eastAsia="华文仿宋" w:cs="Times New Roman"/>
      <w:sz w:val="18"/>
      <w:szCs w:val="18"/>
    </w:rPr>
  </w:style>
  <w:style w:type="character" w:customStyle="1" w:styleId="14">
    <w:name w:val="文档结构图 Char"/>
    <w:basedOn w:val="10"/>
    <w:link w:val="3"/>
    <w:semiHidden/>
    <w:qFormat/>
    <w:uiPriority w:val="99"/>
    <w:rPr>
      <w:rFonts w:ascii="宋体" w:hAnsi="Times New Roman" w:eastAsia="宋体" w:cs="Times New Roman"/>
      <w:sz w:val="18"/>
      <w:szCs w:val="18"/>
    </w:rPr>
  </w:style>
  <w:style w:type="character" w:customStyle="1" w:styleId="15">
    <w:name w:val="批注框文本 Char"/>
    <w:basedOn w:val="10"/>
    <w:link w:val="5"/>
    <w:semiHidden/>
    <w:qFormat/>
    <w:uiPriority w:val="99"/>
    <w:rPr>
      <w:rFonts w:ascii="Times New Roman" w:hAnsi="Times New Roman" w:eastAsia="华文仿宋" w:cs="Times New Roman"/>
      <w:sz w:val="18"/>
      <w:szCs w:val="18"/>
    </w:rPr>
  </w:style>
  <w:style w:type="character" w:customStyle="1" w:styleId="16">
    <w:name w:val="批注文字 Char"/>
    <w:basedOn w:val="10"/>
    <w:link w:val="4"/>
    <w:qFormat/>
    <w:uiPriority w:val="0"/>
    <w:rPr>
      <w:rFonts w:ascii="Times New Roman" w:hAnsi="Times New Roman" w:eastAsia="华文仿宋" w:cs="Times New Roman"/>
      <w:sz w:val="32"/>
      <w:szCs w:val="24"/>
    </w:rPr>
  </w:style>
  <w:style w:type="character" w:customStyle="1" w:styleId="17">
    <w:name w:val="批注主题 Char"/>
    <w:basedOn w:val="16"/>
    <w:link w:val="8"/>
    <w:semiHidden/>
    <w:qFormat/>
    <w:uiPriority w:val="99"/>
    <w:rPr>
      <w:rFonts w:ascii="Times New Roman" w:hAnsi="Times New Roman" w:eastAsia="华文仿宋" w:cs="Times New Roman"/>
      <w:b/>
      <w:bCs/>
      <w:sz w:val="32"/>
      <w:szCs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5</TotalTime>
  <ScaleCrop>false</ScaleCrop>
  <LinksUpToDate>false</LinksUpToDate>
  <CharactersWithSpaces>1508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嘟嘟妈</cp:lastModifiedBy>
  <cp:lastPrinted>2020-03-12T08:52:00Z</cp:lastPrinted>
  <dcterms:modified xsi:type="dcterms:W3CDTF">2020-05-27T00:47:43Z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