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关于湖南仨鑫铁道工程设备有限公司铁道工程设备制造建设项目环境影响报告表的批复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Cs w:val="32"/>
        </w:rPr>
      </w:pPr>
      <w:r>
        <w:rPr>
          <w:rFonts w:hint="eastAsia" w:ascii="仿宋_GB2312" w:eastAsia="仿宋_GB2312"/>
          <w:bCs/>
          <w:szCs w:val="32"/>
        </w:rPr>
        <w:t>湖南仨鑫铁道工程设备有限公司</w:t>
      </w:r>
      <w:r>
        <w:rPr>
          <w:rFonts w:hint="eastAsia" w:ascii="仿宋_GB2312" w:eastAsia="仿宋_GB2312"/>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bCs/>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呈报的《湖南仨鑫铁道工程设备有限公司铁道工程设备制造建设项目环境影响报告表》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4"/>
          <w:szCs w:val="32"/>
        </w:rPr>
        <w:sectPr>
          <w:headerReference r:id="rId3" w:type="default"/>
          <w:pgSz w:w="11906" w:h="16838"/>
          <w:pgMar w:top="1701" w:right="1701" w:bottom="1701" w:left="1701" w:header="851" w:footer="992" w:gutter="0"/>
          <w:pgNumType w:fmt="numberInDash"/>
          <w:cols w:space="425" w:num="1"/>
          <w:docGrid w:type="lines" w:linePitch="312" w:charSpace="0"/>
        </w:sectPr>
      </w:pPr>
      <w:r>
        <w:rPr>
          <w:rFonts w:hint="eastAsia" w:ascii="仿宋_GB2312" w:eastAsia="仿宋_GB2312"/>
          <w:bCs/>
          <w:szCs w:val="32"/>
          <w:lang w:eastAsia="zh-CN"/>
        </w:rPr>
        <w:t>你</w:t>
      </w:r>
      <w:r>
        <w:rPr>
          <w:rFonts w:hint="eastAsia" w:ascii="仿宋_GB2312" w:eastAsia="仿宋_GB2312"/>
          <w:bCs/>
          <w:szCs w:val="32"/>
        </w:rPr>
        <w:t>公司</w:t>
      </w:r>
      <w:r>
        <w:rPr>
          <w:rFonts w:hint="eastAsia" w:ascii="仿宋_GB2312" w:eastAsia="仿宋_GB2312"/>
          <w:bCs/>
          <w:color w:val="000000"/>
          <w:spacing w:val="4"/>
          <w:szCs w:val="32"/>
        </w:rPr>
        <w:t>拟</w:t>
      </w:r>
      <w:r>
        <w:rPr>
          <w:rFonts w:hint="eastAsia" w:ascii="仿宋_GB2312" w:eastAsia="仿宋_GB2312"/>
          <w:color w:val="000000"/>
          <w:spacing w:val="4"/>
          <w:szCs w:val="32"/>
        </w:rPr>
        <w:t>投资</w:t>
      </w:r>
      <w:r>
        <w:rPr>
          <w:rFonts w:hint="eastAsia" w:ascii="仿宋_GB2312" w:eastAsia="仿宋_GB2312"/>
          <w:color w:val="000000"/>
          <w:spacing w:val="4"/>
          <w:szCs w:val="32"/>
          <w:lang w:val="en-US" w:eastAsia="zh-CN"/>
        </w:rPr>
        <w:t>500</w:t>
      </w:r>
      <w:r>
        <w:rPr>
          <w:rFonts w:hint="eastAsia" w:ascii="仿宋_GB2312" w:eastAsia="仿宋_GB2312"/>
          <w:color w:val="000000"/>
          <w:spacing w:val="4"/>
          <w:szCs w:val="32"/>
        </w:rPr>
        <w:t>万元</w:t>
      </w:r>
      <w:r>
        <w:rPr>
          <w:rFonts w:hint="eastAsia" w:ascii="仿宋_GB2312" w:eastAsia="仿宋_GB2312"/>
          <w:color w:val="000000"/>
          <w:spacing w:val="4"/>
          <w:szCs w:val="32"/>
          <w:lang w:eastAsia="zh-CN"/>
        </w:rPr>
        <w:t>在</w:t>
      </w:r>
      <w:r>
        <w:rPr>
          <w:rFonts w:hint="eastAsia" w:ascii="仿宋_GB2312" w:eastAsia="仿宋_GB2312"/>
          <w:color w:val="000000"/>
          <w:spacing w:val="4"/>
          <w:szCs w:val="32"/>
        </w:rPr>
        <w:t>益阳高新区</w:t>
      </w:r>
      <w:r>
        <w:rPr>
          <w:rFonts w:hint="eastAsia" w:ascii="仿宋_GB2312" w:hAnsi="仿宋_GB2312" w:eastAsia="仿宋_GB2312" w:cs="仿宋_GB2312"/>
          <w:color w:val="000000"/>
          <w:spacing w:val="0"/>
          <w:sz w:val="32"/>
          <w:szCs w:val="32"/>
          <w:lang w:val="en-US" w:eastAsia="zh-CN"/>
        </w:rPr>
        <w:t>朝阳产业园</w:t>
      </w:r>
      <w:r>
        <w:rPr>
          <w:rFonts w:hint="eastAsia" w:ascii="仿宋_GB2312" w:hAnsi="仿宋_GB2312" w:eastAsia="仿宋_GB2312" w:cs="仿宋_GB2312"/>
          <w:color w:val="000000"/>
          <w:spacing w:val="0"/>
          <w:sz w:val="32"/>
          <w:szCs w:val="32"/>
        </w:rPr>
        <w:t>租赁</w:t>
      </w:r>
      <w:r>
        <w:rPr>
          <w:rFonts w:hint="eastAsia" w:ascii="仿宋_GB2312" w:eastAsia="仿宋_GB2312"/>
          <w:color w:val="000000"/>
          <w:spacing w:val="4"/>
          <w:szCs w:val="32"/>
          <w:lang w:val="en-US" w:eastAsia="zh-CN"/>
        </w:rPr>
        <w:t>创业园</w:t>
      </w:r>
      <w:r>
        <w:rPr>
          <w:rFonts w:hint="eastAsia" w:ascii="仿宋_GB2312" w:hAnsi="仿宋_GB2312" w:eastAsia="仿宋_GB2312" w:cs="仿宋_GB2312"/>
          <w:color w:val="000000"/>
          <w:spacing w:val="0"/>
          <w:sz w:val="32"/>
          <w:szCs w:val="32"/>
          <w:lang w:val="en-US" w:eastAsia="zh-CN"/>
        </w:rPr>
        <w:t>A1栋</w:t>
      </w:r>
      <w:r>
        <w:rPr>
          <w:rFonts w:hint="eastAsia" w:ascii="仿宋_GB2312" w:hAnsi="仿宋_GB2312" w:eastAsia="仿宋_GB2312" w:cs="仿宋_GB2312"/>
          <w:color w:val="000000"/>
          <w:spacing w:val="0"/>
          <w:sz w:val="32"/>
          <w:szCs w:val="32"/>
        </w:rPr>
        <w:t>标准化厂房</w:t>
      </w:r>
      <w:r>
        <w:rPr>
          <w:rFonts w:hint="eastAsia" w:ascii="仿宋_GB2312" w:hAnsi="仿宋_GB2312" w:eastAsia="仿宋_GB2312" w:cs="仿宋_GB2312"/>
          <w:color w:val="000000"/>
          <w:spacing w:val="0"/>
          <w:sz w:val="32"/>
          <w:szCs w:val="32"/>
          <w:lang w:val="en-US" w:eastAsia="zh-CN"/>
        </w:rPr>
        <w:t>内的东侧</w:t>
      </w:r>
      <w:r>
        <w:rPr>
          <w:rFonts w:hint="eastAsia" w:ascii="仿宋_GB2312" w:hAnsi="仿宋_GB2312" w:eastAsia="仿宋_GB2312" w:cs="仿宋_GB2312"/>
          <w:color w:val="000000"/>
          <w:spacing w:val="0"/>
          <w:sz w:val="32"/>
          <w:szCs w:val="32"/>
          <w:lang w:eastAsia="zh-CN"/>
        </w:rPr>
        <w:t>车间，</w:t>
      </w:r>
      <w:r>
        <w:rPr>
          <w:rFonts w:hint="eastAsia" w:ascii="仿宋_GB2312" w:hAnsi="仿宋_GB2312" w:eastAsia="仿宋_GB2312" w:cs="仿宋_GB2312"/>
          <w:color w:val="000000"/>
          <w:spacing w:val="0"/>
          <w:sz w:val="32"/>
          <w:szCs w:val="32"/>
          <w:lang w:val="en-US" w:eastAsia="zh-CN"/>
        </w:rPr>
        <w:t>建设一条年产500台内燃单操镐生产线、一条年产100台便携式打磨机生产线和一条年产20套小型全自动龙门吊装设备生产线。</w:t>
      </w:r>
      <w:r>
        <w:rPr>
          <w:rFonts w:hint="eastAsia" w:ascii="仿宋_GB2312" w:hAnsi="仿宋_GB2312" w:eastAsia="仿宋_GB2312" w:cs="仿宋_GB2312"/>
          <w:color w:val="000000"/>
          <w:spacing w:val="0"/>
          <w:sz w:val="32"/>
          <w:szCs w:val="32"/>
        </w:rPr>
        <w:t>项目占地面积</w:t>
      </w:r>
      <w:r>
        <w:rPr>
          <w:rFonts w:hint="eastAsia" w:ascii="仿宋_GB2312" w:hAnsi="仿宋_GB2312" w:eastAsia="仿宋_GB2312" w:cs="仿宋_GB2312"/>
          <w:color w:val="000000"/>
          <w:spacing w:val="0"/>
          <w:sz w:val="32"/>
          <w:szCs w:val="32"/>
          <w:lang w:val="en-US" w:eastAsia="zh-CN"/>
        </w:rPr>
        <w:t>700</w:t>
      </w:r>
      <w:r>
        <w:rPr>
          <w:rFonts w:hint="eastAsia" w:ascii="仿宋_GB2312" w:hAnsi="仿宋_GB2312" w:eastAsia="仿宋_GB2312" w:cs="仿宋_GB2312"/>
          <w:color w:val="000000"/>
          <w:spacing w:val="0"/>
          <w:sz w:val="32"/>
          <w:szCs w:val="32"/>
        </w:rPr>
        <w:t>平方米，</w:t>
      </w:r>
      <w:r>
        <w:rPr>
          <w:rFonts w:hint="eastAsia" w:ascii="仿宋_GB2312" w:hAnsi="仿宋_GB2312" w:eastAsia="仿宋_GB2312" w:cs="仿宋_GB2312"/>
          <w:color w:val="000000"/>
          <w:spacing w:val="0"/>
          <w:sz w:val="32"/>
          <w:szCs w:val="32"/>
          <w:lang w:eastAsia="zh-CN"/>
        </w:rPr>
        <w:t>厂房内分区设置</w:t>
      </w:r>
      <w:r>
        <w:rPr>
          <w:rFonts w:hint="eastAsia" w:ascii="仿宋_GB2312" w:hAnsi="仿宋_GB2312" w:eastAsia="仿宋_GB2312" w:cs="仿宋_GB2312"/>
          <w:color w:val="000000"/>
          <w:spacing w:val="0"/>
          <w:sz w:val="32"/>
          <w:szCs w:val="32"/>
          <w:lang w:val="en-US" w:eastAsia="zh-CN"/>
        </w:rPr>
        <w:t>生产区、原料区、办公区</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给排水、供配电、环保等相关公用辅助工程。项目建设符合国家产业政策和</w:t>
      </w:r>
      <w:r>
        <w:rPr>
          <w:rFonts w:hint="eastAsia" w:ascii="仿宋_GB2312" w:hAnsi="仿宋_GB2312" w:eastAsia="仿宋_GB2312" w:cs="仿宋_GB2312"/>
          <w:color w:val="000000" w:themeColor="text1"/>
          <w:spacing w:val="0"/>
          <w:sz w:val="32"/>
          <w:szCs w:val="32"/>
          <w:lang w:val="en-US" w:eastAsia="zh-CN"/>
        </w:rPr>
        <w:t>益阳高新区朝阳产业园选</w:t>
      </w:r>
      <w:r>
        <w:rPr>
          <w:rFonts w:hint="eastAsia" w:ascii="仿宋_GB2312" w:hAnsi="仿宋_GB2312" w:eastAsia="仿宋_GB2312" w:cs="仿宋_GB2312"/>
          <w:color w:val="000000"/>
          <w:spacing w:val="0"/>
          <w:sz w:val="32"/>
          <w:szCs w:val="32"/>
          <w:lang w:val="en-US" w:eastAsia="zh-CN"/>
        </w:rPr>
        <w:t>址用地规划要求。根据湖南沐程生态环境工程有限公司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eastAsia="仿宋_GB2312"/>
          <w:color w:val="000000"/>
          <w:spacing w:val="4"/>
          <w:szCs w:val="32"/>
        </w:rPr>
      </w:pPr>
      <w:r>
        <w:rPr>
          <w:rFonts w:hint="eastAsia" w:ascii="仿宋_GB2312" w:hAnsi="仿宋_GB2312" w:eastAsia="仿宋_GB2312" w:cs="仿宋_GB2312"/>
          <w:color w:val="000000"/>
          <w:spacing w:val="0"/>
          <w:sz w:val="32"/>
          <w:szCs w:val="32"/>
          <w:lang w:val="en-US" w:eastAsia="zh-CN"/>
        </w:rPr>
        <w:t>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0"/>
          <w:sz w:val="32"/>
          <w:szCs w:val="32"/>
          <w:lang w:eastAsia="zh-CN"/>
        </w:rPr>
      </w:pPr>
      <w:r>
        <w:rPr>
          <w:rFonts w:hint="eastAsia" w:ascii="仿宋_GB2312" w:eastAsia="仿宋_GB2312"/>
          <w:color w:val="000000"/>
          <w:spacing w:val="4"/>
          <w:szCs w:val="32"/>
          <w:lang w:eastAsia="zh-CN"/>
        </w:rPr>
        <w:t>（一）</w:t>
      </w:r>
      <w:r>
        <w:rPr>
          <w:rFonts w:hint="eastAsia" w:ascii="仿宋_GB2312" w:eastAsia="仿宋_GB2312"/>
          <w:color w:val="000000"/>
          <w:spacing w:val="4"/>
          <w:szCs w:val="32"/>
        </w:rPr>
        <w:t>做好项目大气污染防治工作。机加工</w:t>
      </w:r>
      <w:r>
        <w:rPr>
          <w:rFonts w:hint="eastAsia" w:ascii="仿宋_GB2312" w:eastAsia="仿宋_GB2312"/>
          <w:color w:val="000000"/>
          <w:spacing w:val="4"/>
          <w:szCs w:val="32"/>
          <w:lang w:eastAsia="zh-CN"/>
        </w:rPr>
        <w:t>产生粉尘的工位应设置</w:t>
      </w:r>
      <w:r>
        <w:rPr>
          <w:rFonts w:hint="eastAsia" w:ascii="仿宋_GB2312" w:eastAsia="仿宋_GB2312"/>
          <w:color w:val="auto"/>
          <w:spacing w:val="4"/>
          <w:szCs w:val="32"/>
          <w:lang w:eastAsia="zh-CN"/>
        </w:rPr>
        <w:t>挡板、同时配备工业用集尘器进行处理</w:t>
      </w:r>
      <w:r>
        <w:rPr>
          <w:rFonts w:hint="eastAsia" w:ascii="仿宋_GB2312" w:eastAsia="仿宋_GB2312"/>
          <w:color w:val="auto"/>
          <w:spacing w:val="4"/>
          <w:szCs w:val="32"/>
        </w:rPr>
        <w:t>，</w:t>
      </w:r>
      <w:r>
        <w:rPr>
          <w:rFonts w:hint="eastAsia" w:ascii="仿宋_GB2312" w:eastAsia="仿宋_GB2312"/>
          <w:color w:val="auto"/>
          <w:spacing w:val="4"/>
          <w:szCs w:val="32"/>
          <w:lang w:eastAsia="zh-CN"/>
        </w:rPr>
        <w:t>机加工产生的</w:t>
      </w:r>
      <w:r>
        <w:rPr>
          <w:rFonts w:hint="eastAsia" w:ascii="仿宋_GB2312" w:eastAsia="仿宋_GB2312"/>
          <w:color w:val="000000"/>
          <w:spacing w:val="4"/>
          <w:szCs w:val="32"/>
        </w:rPr>
        <w:t>油雾经</w:t>
      </w:r>
      <w:r>
        <w:rPr>
          <w:rFonts w:hint="eastAsia" w:ascii="仿宋_GB2312" w:eastAsia="仿宋_GB2312"/>
          <w:color w:val="000000"/>
          <w:spacing w:val="4"/>
          <w:szCs w:val="32"/>
          <w:lang w:eastAsia="zh-CN"/>
        </w:rPr>
        <w:t>油雾收集</w:t>
      </w:r>
      <w:r>
        <w:rPr>
          <w:rFonts w:hint="eastAsia" w:ascii="仿宋_GB2312" w:hAnsi="Times New Roman" w:eastAsia="仿宋_GB2312" w:cs="Times New Roman"/>
          <w:color w:val="000000"/>
          <w:spacing w:val="4"/>
          <w:szCs w:val="32"/>
          <w:lang w:eastAsia="zh-CN"/>
        </w:rPr>
        <w:t>器处理，焊接烟气经移动式焊接烟尘净化器处理，</w:t>
      </w:r>
      <w:r>
        <w:rPr>
          <w:rFonts w:hint="eastAsia" w:ascii="仿宋_GB2312" w:eastAsia="仿宋_GB2312"/>
          <w:color w:val="auto"/>
          <w:spacing w:val="4"/>
          <w:szCs w:val="32"/>
        </w:rPr>
        <w:t>确保外排污染物满足《大气污染物综合排放标准》（GB16297-1996）表2中无组织排放</w:t>
      </w:r>
      <w:r>
        <w:rPr>
          <w:rFonts w:hint="eastAsia" w:ascii="仿宋_GB2312" w:eastAsia="仿宋_GB2312"/>
          <w:color w:val="auto"/>
          <w:spacing w:val="4"/>
          <w:szCs w:val="32"/>
          <w:lang w:eastAsia="zh-CN"/>
        </w:rPr>
        <w:t>监控</w:t>
      </w:r>
      <w:r>
        <w:rPr>
          <w:rFonts w:hint="eastAsia" w:ascii="仿宋_GB2312" w:eastAsia="仿宋_GB2312"/>
          <w:color w:val="auto"/>
          <w:spacing w:val="4"/>
          <w:szCs w:val="32"/>
        </w:rPr>
        <w:t>浓度限值要求；</w:t>
      </w:r>
      <w:r>
        <w:rPr>
          <w:rFonts w:hint="eastAsia" w:ascii="仿宋_GB2312" w:eastAsia="仿宋_GB2312"/>
          <w:color w:val="auto"/>
          <w:spacing w:val="4"/>
          <w:kern w:val="0"/>
          <w:szCs w:val="32"/>
        </w:rPr>
        <w:t>食堂油烟经油烟净化装置处理达到《饮食业油烟排放标准（试行）》（GB18483-2001）要求后高空排放</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油烟排气筒的高度、位置等具体要求按照</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饮食业环境保护技术规范</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HJ554-2010</w:t>
      </w:r>
      <w:r>
        <w:rPr>
          <w:rFonts w:hint="eastAsia" w:ascii="仿宋_GB2312" w:eastAsia="仿宋_GB2312"/>
          <w:color w:val="auto"/>
          <w:spacing w:val="4"/>
          <w:szCs w:val="32"/>
          <w:lang w:eastAsia="zh-CN"/>
        </w:rPr>
        <w:t>）</w:t>
      </w:r>
      <w:r>
        <w:rPr>
          <w:rFonts w:hint="eastAsia" w:ascii="仿宋_GB2312" w:eastAsia="仿宋_GB2312"/>
          <w:color w:val="auto"/>
          <w:spacing w:val="4"/>
          <w:szCs w:val="32"/>
        </w:rPr>
        <w:t>的规定执行。</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FF0000"/>
          <w:spacing w:val="4"/>
          <w:szCs w:val="32"/>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w:t>
      </w:r>
      <w:r>
        <w:rPr>
          <w:rFonts w:hint="eastAsia" w:ascii="宋体" w:hAnsi="宋体"/>
          <w:szCs w:val="21"/>
        </w:rPr>
        <w:t>本项目无生产废水产生</w:t>
      </w:r>
      <w:r>
        <w:rPr>
          <w:rFonts w:hint="eastAsia" w:ascii="宋体" w:hAnsi="宋体"/>
          <w:szCs w:val="21"/>
          <w:lang w:eastAsia="zh-CN"/>
        </w:rPr>
        <w:t>；</w:t>
      </w:r>
      <w:r>
        <w:rPr>
          <w:rFonts w:hint="eastAsia" w:ascii="仿宋_GB2312" w:eastAsia="仿宋_GB2312"/>
          <w:color w:val="000000"/>
          <w:spacing w:val="4"/>
          <w:szCs w:val="32"/>
        </w:rPr>
        <w:t>生活污水经隔油池、化粪池处理，达到《污水综合排放标准》（GB8978-1996）表4中三级标准后经园区污水管网排入益阳</w:t>
      </w:r>
      <w:r>
        <w:rPr>
          <w:rFonts w:hint="eastAsia" w:ascii="仿宋_GB2312" w:eastAsia="仿宋_GB2312"/>
          <w:color w:val="000000"/>
          <w:spacing w:val="4"/>
          <w:szCs w:val="32"/>
          <w:lang w:val="en-US" w:eastAsia="zh-CN"/>
        </w:rPr>
        <w:t>市团洲污水处理厂</w:t>
      </w:r>
      <w:r>
        <w:rPr>
          <w:rFonts w:hint="eastAsia" w:ascii="仿宋_GB2312" w:eastAsia="仿宋_GB2312"/>
          <w:color w:val="000000"/>
          <w:spacing w:val="4"/>
          <w:szCs w:val="32"/>
        </w:rPr>
        <w:t>进</w:t>
      </w:r>
      <w:r>
        <w:rPr>
          <w:rFonts w:hint="eastAsia" w:ascii="仿宋_GB2312" w:eastAsia="仿宋_GB2312"/>
          <w:color w:val="auto"/>
          <w:spacing w:val="4"/>
          <w:szCs w:val="32"/>
        </w:rPr>
        <w:t>行深度处理。</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eastAsia="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eastAsia="仿宋_GB2312"/>
          <w:color w:val="000000"/>
          <w:spacing w:val="4"/>
          <w:szCs w:val="32"/>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w:t>
      </w:r>
      <w:r>
        <w:rPr>
          <w:rFonts w:hint="eastAsia" w:ascii="仿宋_GB2312" w:hAnsi="仿宋_GB2312" w:eastAsia="仿宋_GB2312" w:cs="仿宋_GB2312"/>
          <w:color w:val="auto"/>
          <w:spacing w:val="0"/>
          <w:kern w:val="0"/>
          <w:sz w:val="32"/>
          <w:szCs w:val="32"/>
          <w:lang w:val="en-US" w:eastAsia="zh-CN" w:bidi="ar"/>
        </w:rPr>
        <w:t>处理；</w:t>
      </w:r>
      <w:r>
        <w:rPr>
          <w:rFonts w:hint="eastAsia" w:ascii="仿宋_GB2312" w:eastAsia="仿宋_GB2312"/>
          <w:color w:val="auto"/>
          <w:spacing w:val="4"/>
          <w:szCs w:val="32"/>
        </w:rPr>
        <w:t>废焊丝、焊渣、</w:t>
      </w:r>
      <w:r>
        <w:rPr>
          <w:rFonts w:hint="eastAsia" w:ascii="仿宋_GB2312" w:eastAsia="仿宋_GB2312"/>
          <w:color w:val="auto"/>
          <w:spacing w:val="4"/>
          <w:szCs w:val="32"/>
          <w:lang w:eastAsia="zh-CN"/>
        </w:rPr>
        <w:t>集</w:t>
      </w:r>
      <w:r>
        <w:rPr>
          <w:rFonts w:hint="eastAsia" w:ascii="仿宋_GB2312" w:eastAsia="仿宋_GB2312"/>
          <w:color w:val="auto"/>
          <w:spacing w:val="4"/>
          <w:szCs w:val="32"/>
        </w:rPr>
        <w:t>尘器</w:t>
      </w:r>
      <w:r>
        <w:rPr>
          <w:rFonts w:hint="eastAsia" w:ascii="仿宋_GB2312" w:eastAsia="仿宋_GB2312"/>
          <w:color w:val="000000"/>
          <w:spacing w:val="4"/>
          <w:szCs w:val="32"/>
        </w:rPr>
        <w:t>收集的粉</w:t>
      </w:r>
      <w:r>
        <w:rPr>
          <w:rFonts w:hint="eastAsia" w:ascii="仿宋_GB2312" w:eastAsia="仿宋_GB2312"/>
          <w:color w:val="000000"/>
          <w:spacing w:val="4"/>
          <w:szCs w:val="32"/>
          <w:lang w:eastAsia="zh-CN"/>
        </w:rPr>
        <w:t>尘</w:t>
      </w:r>
      <w:r>
        <w:rPr>
          <w:rFonts w:hint="eastAsia" w:ascii="仿宋_GB2312" w:eastAsia="仿宋_GB2312"/>
          <w:color w:val="000000"/>
          <w:spacing w:val="4"/>
          <w:szCs w:val="32"/>
        </w:rPr>
        <w:t>和钢屑</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eastAsia="仿宋_GB2312"/>
          <w:color w:val="000000"/>
          <w:spacing w:val="4"/>
          <w:szCs w:val="32"/>
          <w:lang w:eastAsia="zh-CN"/>
        </w:rPr>
        <w:t>乳化液</w:t>
      </w:r>
      <w:r>
        <w:rPr>
          <w:rFonts w:hint="eastAsia" w:ascii="仿宋_GB2312" w:eastAsia="仿宋_GB2312"/>
          <w:color w:val="000000"/>
          <w:spacing w:val="4"/>
          <w:szCs w:val="32"/>
        </w:rPr>
        <w:t>及润滑油的</w:t>
      </w:r>
      <w:r>
        <w:rPr>
          <w:rFonts w:hint="eastAsia" w:ascii="仿宋_GB2312" w:eastAsia="仿宋_GB2312"/>
          <w:color w:val="000000"/>
          <w:spacing w:val="4"/>
          <w:szCs w:val="32"/>
          <w:lang w:eastAsia="zh-CN"/>
        </w:rPr>
        <w:t>废弃</w:t>
      </w:r>
      <w:r>
        <w:rPr>
          <w:rFonts w:hint="eastAsia" w:ascii="仿宋_GB2312" w:eastAsia="仿宋_GB2312"/>
          <w:color w:val="000000"/>
          <w:spacing w:val="4"/>
          <w:szCs w:val="32"/>
        </w:rPr>
        <w:t>包装物、废</w:t>
      </w:r>
      <w:r>
        <w:rPr>
          <w:rFonts w:hint="eastAsia" w:ascii="仿宋_GB2312" w:eastAsia="仿宋_GB2312"/>
          <w:color w:val="000000"/>
          <w:spacing w:val="4"/>
          <w:szCs w:val="32"/>
          <w:lang w:eastAsia="zh-CN"/>
        </w:rPr>
        <w:t>乳化液</w:t>
      </w:r>
      <w:r>
        <w:rPr>
          <w:rFonts w:hint="eastAsia" w:ascii="仿宋_GB2312" w:eastAsia="仿宋_GB2312"/>
          <w:color w:val="000000"/>
          <w:spacing w:val="4"/>
          <w:szCs w:val="32"/>
        </w:rPr>
        <w:t>、废润滑</w:t>
      </w:r>
      <w:r>
        <w:rPr>
          <w:rFonts w:hint="eastAsia" w:ascii="仿宋_GB2312" w:eastAsia="仿宋_GB2312"/>
          <w:color w:val="auto"/>
          <w:spacing w:val="4"/>
          <w:szCs w:val="32"/>
        </w:rPr>
        <w:t>油、油泥</w:t>
      </w:r>
      <w:r>
        <w:rPr>
          <w:rFonts w:hint="eastAsia" w:ascii="仿宋_GB2312" w:eastAsia="仿宋_GB2312"/>
          <w:color w:val="auto"/>
          <w:spacing w:val="4"/>
          <w:szCs w:val="32"/>
          <w:lang w:val="en-US" w:eastAsia="zh-CN"/>
        </w:rPr>
        <w:t>及</w:t>
      </w:r>
      <w:r>
        <w:rPr>
          <w:rFonts w:hint="eastAsia" w:ascii="仿宋_GB2312" w:hAnsi="仿宋_GB2312" w:eastAsia="仿宋_GB2312" w:cs="仿宋_GB2312"/>
          <w:color w:val="auto"/>
          <w:spacing w:val="0"/>
          <w:sz w:val="32"/>
          <w:szCs w:val="32"/>
        </w:rPr>
        <w:t>含油</w:t>
      </w:r>
      <w:r>
        <w:rPr>
          <w:rFonts w:hint="eastAsia" w:ascii="仿宋_GB2312" w:hAnsi="仿宋_GB2312" w:eastAsia="仿宋_GB2312" w:cs="仿宋_GB2312"/>
          <w:spacing w:val="0"/>
          <w:sz w:val="32"/>
          <w:szCs w:val="32"/>
        </w:rPr>
        <w:t>废抹布</w:t>
      </w:r>
      <w:r>
        <w:rPr>
          <w:rFonts w:hint="eastAsia" w:ascii="仿宋_GB2312" w:hAnsi="仿宋_GB2312" w:eastAsia="仿宋_GB2312" w:cs="仿宋_GB2312"/>
          <w:spacing w:val="0"/>
          <w:sz w:val="32"/>
          <w:szCs w:val="32"/>
          <w:lang w:eastAsia="zh-CN"/>
        </w:rPr>
        <w:t>和废手套</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6"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FF0000"/>
          <w:lang w:val="en-US" w:eastAsia="zh-CN"/>
        </w:rPr>
        <w:t xml:space="preserve"> </w:t>
      </w:r>
      <w:r>
        <w:rPr>
          <w:rFonts w:hint="eastAsia" w:ascii="仿宋_GB2312" w:eastAsia="仿宋_GB2312"/>
          <w:color w:val="auto"/>
        </w:rPr>
        <w:t>2020年</w:t>
      </w:r>
      <w:r>
        <w:rPr>
          <w:rFonts w:hint="eastAsia" w:ascii="仿宋_GB2312" w:eastAsia="仿宋_GB2312"/>
          <w:color w:val="auto"/>
          <w:lang w:val="en-US" w:eastAsia="zh-CN"/>
        </w:rPr>
        <w:t>2</w:t>
      </w:r>
      <w:r>
        <w:rPr>
          <w:rFonts w:hint="eastAsia" w:ascii="仿宋_GB2312" w:eastAsia="仿宋_GB2312"/>
          <w:color w:val="auto"/>
        </w:rPr>
        <w:t>月</w:t>
      </w:r>
      <w:r>
        <w:rPr>
          <w:rFonts w:hint="eastAsia" w:ascii="仿宋_GB2312" w:eastAsia="仿宋_GB2312"/>
          <w:color w:val="auto"/>
          <w:lang w:val="en-US" w:eastAsia="zh-CN"/>
        </w:rPr>
        <w:t>28</w:t>
      </w:r>
      <w:bookmarkStart w:id="0" w:name="_GoBack"/>
      <w:bookmarkEnd w:id="0"/>
      <w:r>
        <w:rPr>
          <w:rFonts w:hint="eastAsia" w:ascii="仿宋_GB2312" w:eastAsia="仿宋_GB2312"/>
          <w:color w:val="auto"/>
        </w:rPr>
        <w:t>日</w:t>
      </w:r>
    </w:p>
    <w:sectPr>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B02"/>
    <w:multiLevelType w:val="singleLevel"/>
    <w:tmpl w:val="40FC4B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4530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35F8"/>
    <w:rsid w:val="02224966"/>
    <w:rsid w:val="029E3B84"/>
    <w:rsid w:val="033476DA"/>
    <w:rsid w:val="03DA560A"/>
    <w:rsid w:val="0638548F"/>
    <w:rsid w:val="070865B3"/>
    <w:rsid w:val="07511000"/>
    <w:rsid w:val="07702649"/>
    <w:rsid w:val="086B7063"/>
    <w:rsid w:val="088B2B53"/>
    <w:rsid w:val="089413C5"/>
    <w:rsid w:val="09415B9F"/>
    <w:rsid w:val="09FA59E7"/>
    <w:rsid w:val="0A9F631F"/>
    <w:rsid w:val="0BF719CD"/>
    <w:rsid w:val="0BFD72E7"/>
    <w:rsid w:val="0C562ECC"/>
    <w:rsid w:val="0E75128A"/>
    <w:rsid w:val="0F4815CC"/>
    <w:rsid w:val="101616EC"/>
    <w:rsid w:val="140D6837"/>
    <w:rsid w:val="14360E9D"/>
    <w:rsid w:val="158942BB"/>
    <w:rsid w:val="16414F1E"/>
    <w:rsid w:val="167429F4"/>
    <w:rsid w:val="16CC5B36"/>
    <w:rsid w:val="16E81710"/>
    <w:rsid w:val="176A2F62"/>
    <w:rsid w:val="18757D21"/>
    <w:rsid w:val="1A1F4F6D"/>
    <w:rsid w:val="1B5F06EB"/>
    <w:rsid w:val="1DDE1448"/>
    <w:rsid w:val="1E3A67FD"/>
    <w:rsid w:val="20095B14"/>
    <w:rsid w:val="202B0267"/>
    <w:rsid w:val="205C1174"/>
    <w:rsid w:val="21D23C17"/>
    <w:rsid w:val="229D1CE8"/>
    <w:rsid w:val="25EB3281"/>
    <w:rsid w:val="26423EFF"/>
    <w:rsid w:val="26C7259C"/>
    <w:rsid w:val="27BA1B7C"/>
    <w:rsid w:val="27C03033"/>
    <w:rsid w:val="2C36248E"/>
    <w:rsid w:val="2C9A7D53"/>
    <w:rsid w:val="2ED91A45"/>
    <w:rsid w:val="2FBE547D"/>
    <w:rsid w:val="302837E4"/>
    <w:rsid w:val="306D20D8"/>
    <w:rsid w:val="3073000C"/>
    <w:rsid w:val="33741DC8"/>
    <w:rsid w:val="33B11EC4"/>
    <w:rsid w:val="34711A93"/>
    <w:rsid w:val="35B4328A"/>
    <w:rsid w:val="36E44291"/>
    <w:rsid w:val="3A8E5140"/>
    <w:rsid w:val="3B125EF8"/>
    <w:rsid w:val="3DD36518"/>
    <w:rsid w:val="3DEE185B"/>
    <w:rsid w:val="3E237685"/>
    <w:rsid w:val="3F4E171F"/>
    <w:rsid w:val="45CF0E9E"/>
    <w:rsid w:val="45E80663"/>
    <w:rsid w:val="46926864"/>
    <w:rsid w:val="484F7B35"/>
    <w:rsid w:val="485A6652"/>
    <w:rsid w:val="48A069BA"/>
    <w:rsid w:val="48AE3800"/>
    <w:rsid w:val="4993613B"/>
    <w:rsid w:val="49B07B17"/>
    <w:rsid w:val="4A9B4753"/>
    <w:rsid w:val="4AB744D3"/>
    <w:rsid w:val="4BE51D09"/>
    <w:rsid w:val="4E6A7DDF"/>
    <w:rsid w:val="4F1E6B4A"/>
    <w:rsid w:val="51DB6FAB"/>
    <w:rsid w:val="53A91796"/>
    <w:rsid w:val="53D57E72"/>
    <w:rsid w:val="53F34F30"/>
    <w:rsid w:val="54952865"/>
    <w:rsid w:val="58B71C90"/>
    <w:rsid w:val="5A107B8D"/>
    <w:rsid w:val="5A42464D"/>
    <w:rsid w:val="5B2C0540"/>
    <w:rsid w:val="5F010883"/>
    <w:rsid w:val="5FBA4E4C"/>
    <w:rsid w:val="60E0450D"/>
    <w:rsid w:val="61040EA5"/>
    <w:rsid w:val="616854FA"/>
    <w:rsid w:val="657A6729"/>
    <w:rsid w:val="657F402D"/>
    <w:rsid w:val="65C62AAF"/>
    <w:rsid w:val="67990F2E"/>
    <w:rsid w:val="679E4A51"/>
    <w:rsid w:val="68EA26DC"/>
    <w:rsid w:val="69757189"/>
    <w:rsid w:val="6A476406"/>
    <w:rsid w:val="6A737633"/>
    <w:rsid w:val="6BB53802"/>
    <w:rsid w:val="6DF731D4"/>
    <w:rsid w:val="6FAB56DD"/>
    <w:rsid w:val="711235A4"/>
    <w:rsid w:val="71332ADA"/>
    <w:rsid w:val="72D17DDC"/>
    <w:rsid w:val="76184CB6"/>
    <w:rsid w:val="76440617"/>
    <w:rsid w:val="77E761FD"/>
    <w:rsid w:val="78485F58"/>
    <w:rsid w:val="798D56F0"/>
    <w:rsid w:val="7AA95265"/>
    <w:rsid w:val="7B41207C"/>
    <w:rsid w:val="7D7A2C5C"/>
    <w:rsid w:val="7F582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annotation text"/>
    <w:basedOn w:val="1"/>
    <w:link w:val="15"/>
    <w:unhideWhenUsed/>
    <w:qFormat/>
    <w:uiPriority w:val="0"/>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imes New Roman" w:hAnsi="Times New Roman" w:eastAsia="华文仿宋" w:cs="Times New Roman"/>
      <w:sz w:val="18"/>
      <w:szCs w:val="18"/>
    </w:rPr>
  </w:style>
  <w:style w:type="character" w:customStyle="1" w:styleId="12">
    <w:name w:val="页脚 Char"/>
    <w:basedOn w:val="9"/>
    <w:link w:val="5"/>
    <w:semiHidden/>
    <w:qFormat/>
    <w:uiPriority w:val="99"/>
    <w:rPr>
      <w:rFonts w:ascii="Times New Roman" w:hAnsi="Times New Roman" w:eastAsia="华文仿宋" w:cs="Times New Roman"/>
      <w:sz w:val="18"/>
      <w:szCs w:val="18"/>
    </w:rPr>
  </w:style>
  <w:style w:type="character" w:customStyle="1" w:styleId="13">
    <w:name w:val="文档结构图 Char"/>
    <w:basedOn w:val="9"/>
    <w:link w:val="2"/>
    <w:semiHidden/>
    <w:qFormat/>
    <w:uiPriority w:val="99"/>
    <w:rPr>
      <w:rFonts w:ascii="宋体"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华文仿宋" w:cs="Times New Roman"/>
      <w:sz w:val="18"/>
      <w:szCs w:val="18"/>
    </w:rPr>
  </w:style>
  <w:style w:type="character" w:customStyle="1" w:styleId="15">
    <w:name w:val="批注文字 Char"/>
    <w:basedOn w:val="9"/>
    <w:link w:val="3"/>
    <w:qFormat/>
    <w:uiPriority w:val="0"/>
    <w:rPr>
      <w:rFonts w:ascii="Times New Roman" w:hAnsi="Times New Roman" w:eastAsia="华文仿宋" w:cs="Times New Roman"/>
      <w:sz w:val="32"/>
      <w:szCs w:val="24"/>
    </w:rPr>
  </w:style>
  <w:style w:type="character" w:customStyle="1" w:styleId="16">
    <w:name w:val="批注主题 Char"/>
    <w:basedOn w:val="15"/>
    <w:link w:val="7"/>
    <w:semiHidden/>
    <w:qFormat/>
    <w:uiPriority w:val="99"/>
    <w:rPr>
      <w:rFonts w:ascii="Times New Roman" w:hAnsi="Times New Roman" w:eastAsia="华文仿宋" w:cs="Times New Roman"/>
      <w:b/>
      <w:bCs/>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14</TotalTime>
  <ScaleCrop>false</ScaleCrop>
  <LinksUpToDate>false</LinksUpToDate>
  <CharactersWithSpaces>1508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嘟嘟妈</cp:lastModifiedBy>
  <cp:lastPrinted>2020-02-14T08:29:00Z</cp:lastPrinted>
  <dcterms:modified xsi:type="dcterms:W3CDTF">2020-05-22T02:50:33Z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