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textAlignment w:val="auto"/>
        <w:rPr>
          <w:rFonts w:ascii="Times New Roman"/>
          <w:sz w:val="20"/>
          <w:u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textAlignment w:val="auto"/>
        <w:rPr>
          <w:rFonts w:ascii="Times New Roman"/>
          <w:sz w:val="20"/>
          <w:u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textAlignment w:val="auto"/>
        <w:rPr>
          <w:rFonts w:ascii="Times New Roman"/>
          <w:sz w:val="20"/>
          <w:u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textAlignment w:val="auto"/>
        <w:rPr>
          <w:rFonts w:ascii="Times New Roman"/>
          <w:sz w:val="20"/>
          <w:u w:val="none"/>
        </w:rPr>
      </w:pPr>
    </w:p>
    <w:p>
      <w:pPr>
        <w:spacing w:before="58"/>
        <w:ind w:left="4960" w:right="0" w:firstLine="0"/>
        <w:jc w:val="left"/>
        <w:rPr>
          <w:rFonts w:hint="eastAsia" w:ascii="宋体" w:eastAsia="宋体"/>
          <w:sz w:val="30"/>
          <w:u w:val="none"/>
        </w:rPr>
      </w:pPr>
      <w:r>
        <w:rPr>
          <w:rFonts w:hint="eastAsia" w:ascii="宋体" w:eastAsia="宋体"/>
          <w:sz w:val="30"/>
          <w:u w:val="none"/>
        </w:rPr>
        <w:t>益环审(表)[2020]</w:t>
      </w:r>
      <w:r>
        <w:rPr>
          <w:rFonts w:hint="eastAsia" w:ascii="宋体" w:eastAsia="宋体"/>
          <w:sz w:val="30"/>
          <w:u w:val="none"/>
          <w:lang w:val="en-US" w:eastAsia="zh-CN"/>
        </w:rPr>
        <w:t xml:space="preserve">  </w:t>
      </w:r>
      <w:r>
        <w:rPr>
          <w:rFonts w:hint="eastAsia" w:ascii="宋体" w:eastAsia="宋体"/>
          <w:sz w:val="30"/>
          <w:u w:val="none"/>
        </w:rPr>
        <w:t xml:space="preserve"> 号</w:t>
      </w:r>
    </w:p>
    <w:p>
      <w:pPr>
        <w:spacing w:before="227" w:line="292" w:lineRule="auto"/>
        <w:ind w:left="1864" w:right="414" w:hanging="1606"/>
        <w:jc w:val="left"/>
        <w:rPr>
          <w:rFonts w:hint="eastAsia" w:ascii="宋体" w:eastAsia="宋体"/>
          <w:b/>
          <w:sz w:val="32"/>
          <w:u w:val="none"/>
        </w:rPr>
      </w:pPr>
      <w:r>
        <w:rPr>
          <w:rFonts w:hint="eastAsia" w:ascii="宋体" w:eastAsia="宋体"/>
          <w:b/>
          <w:spacing w:val="-6"/>
          <w:sz w:val="32"/>
          <w:u w:val="none"/>
        </w:rPr>
        <w:t>关于《</w:t>
      </w:r>
      <w:r>
        <w:rPr>
          <w:rFonts w:hint="eastAsia" w:ascii="宋体" w:eastAsia="宋体"/>
          <w:b/>
          <w:spacing w:val="-6"/>
          <w:sz w:val="32"/>
          <w:u w:val="none"/>
          <w:lang w:eastAsia="zh-CN"/>
        </w:rPr>
        <w:t>湖南泰知香生态农业发展有限公司年处理9万吨稻谷生产线</w:t>
      </w:r>
      <w:r>
        <w:rPr>
          <w:rFonts w:hint="eastAsia" w:ascii="宋体" w:eastAsia="宋体"/>
          <w:b/>
          <w:spacing w:val="-13"/>
          <w:sz w:val="32"/>
          <w:u w:val="none"/>
        </w:rPr>
        <w:t>建设项目环境影响报告表》的批复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ind w:left="0" w:right="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湖南泰知香生态农业发展有限公司</w:t>
      </w:r>
      <w:r>
        <w:rPr>
          <w:rFonts w:hint="eastAsia" w:ascii="仿宋" w:hAnsi="仿宋" w:eastAsia="仿宋" w:cs="仿宋"/>
          <w:sz w:val="32"/>
          <w:szCs w:val="32"/>
          <w:u w:val="none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line="480" w:lineRule="exact"/>
        <w:ind w:left="0" w:right="0" w:firstLine="628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pacing w:val="5"/>
          <w:w w:val="95"/>
          <w:sz w:val="32"/>
          <w:szCs w:val="32"/>
          <w:u w:val="none"/>
        </w:rPr>
        <w:t>你公司呈报的《关于请求对&lt;</w:t>
      </w:r>
      <w:r>
        <w:rPr>
          <w:rFonts w:hint="eastAsia" w:ascii="仿宋" w:hAnsi="仿宋" w:eastAsia="仿宋" w:cs="仿宋"/>
          <w:spacing w:val="5"/>
          <w:w w:val="95"/>
          <w:sz w:val="32"/>
          <w:szCs w:val="32"/>
          <w:u w:val="none"/>
          <w:lang w:eastAsia="zh-CN"/>
        </w:rPr>
        <w:t>湖南泰知香生态农业发展有限公司</w:t>
      </w:r>
      <w:r>
        <w:rPr>
          <w:rFonts w:hint="eastAsia" w:ascii="仿宋" w:hAnsi="仿宋" w:eastAsia="仿宋" w:cs="仿宋"/>
          <w:spacing w:val="-27"/>
          <w:sz w:val="32"/>
          <w:szCs w:val="32"/>
          <w:u w:val="none"/>
          <w:lang w:eastAsia="zh-CN"/>
        </w:rPr>
        <w:t>年处理9万吨稻谷生产线</w:t>
      </w:r>
      <w:r>
        <w:rPr>
          <w:rFonts w:hint="eastAsia" w:ascii="仿宋" w:hAnsi="仿宋" w:eastAsia="仿宋" w:cs="仿宋"/>
          <w:spacing w:val="-4"/>
          <w:sz w:val="32"/>
          <w:szCs w:val="32"/>
          <w:u w:val="none"/>
        </w:rPr>
        <w:t>建设项目环境影响报告表&gt;进行审</w:t>
      </w:r>
      <w:r>
        <w:rPr>
          <w:rFonts w:hint="eastAsia" w:ascii="仿宋" w:hAnsi="仿宋" w:eastAsia="仿宋" w:cs="仿宋"/>
          <w:spacing w:val="11"/>
          <w:w w:val="95"/>
          <w:sz w:val="32"/>
          <w:szCs w:val="32"/>
          <w:u w:val="none"/>
        </w:rPr>
        <w:t>批的报告》及相</w:t>
      </w:r>
      <w:r>
        <w:rPr>
          <w:rFonts w:hint="eastAsia" w:ascii="仿宋" w:hAnsi="仿宋" w:eastAsia="仿宋" w:cs="仿宋"/>
          <w:spacing w:val="11"/>
          <w:sz w:val="32"/>
          <w:szCs w:val="32"/>
          <w:u w:val="none"/>
        </w:rPr>
        <w:t>关材料收悉。经审查、研究，批复如下：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一、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原则上同意《报告表》的基本内容、所作结论和建议以及专家组评审意见。从环境保护角度分析，同意该项目在益阳市赫山区兰溪粮食产业园的选址。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line="48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二、建设单位在工程设计、建设和运营管理中，应全面</w:t>
      </w:r>
      <w:r>
        <w:rPr>
          <w:rFonts w:hint="eastAsia" w:ascii="仿宋" w:hAnsi="仿宋" w:eastAsia="仿宋" w:cs="仿宋"/>
          <w:spacing w:val="-2"/>
          <w:sz w:val="32"/>
          <w:szCs w:val="32"/>
          <w:u w:val="none"/>
        </w:rPr>
        <w:t>执行环保“三同时”制度，逐条落实报告表提出的各项污染</w:t>
      </w:r>
      <w:r>
        <w:rPr>
          <w:rFonts w:hint="eastAsia" w:ascii="仿宋" w:hAnsi="仿宋" w:eastAsia="仿宋" w:cs="仿宋"/>
          <w:spacing w:val="-7"/>
          <w:sz w:val="32"/>
          <w:szCs w:val="32"/>
          <w:u w:val="none"/>
        </w:rPr>
        <w:t>防治和风险防范措施，并着重做好以下工作：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line="480" w:lineRule="exact"/>
        <w:ind w:left="0" w:right="0" w:firstLine="62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pacing w:val="-5"/>
          <w:sz w:val="32"/>
          <w:szCs w:val="32"/>
          <w:u w:val="none"/>
        </w:rPr>
        <w:t>（一</w:t>
      </w:r>
      <w:r>
        <w:rPr>
          <w:rFonts w:hint="eastAsia" w:ascii="仿宋" w:hAnsi="仿宋" w:eastAsia="仿宋" w:cs="仿宋"/>
          <w:spacing w:val="-7"/>
          <w:sz w:val="32"/>
          <w:szCs w:val="32"/>
          <w:u w:val="none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</w:rPr>
        <w:t>严格履行建设单位的生态环保主体责任，加强环</w:t>
      </w:r>
      <w:r>
        <w:rPr>
          <w:rFonts w:hint="eastAsia" w:ascii="仿宋" w:hAnsi="仿宋" w:eastAsia="仿宋" w:cs="仿宋"/>
          <w:spacing w:val="11"/>
          <w:w w:val="95"/>
          <w:sz w:val="32"/>
          <w:szCs w:val="32"/>
          <w:u w:val="none"/>
        </w:rPr>
        <w:t>境管理，建立环境管理机构，配备专职或兼职环保人员，完善环境管理制度，定期对“三废”处理设施进行检查和</w:t>
      </w:r>
      <w:r>
        <w:rPr>
          <w:rFonts w:hint="eastAsia" w:ascii="仿宋" w:hAnsi="仿宋" w:eastAsia="仿宋" w:cs="仿宋"/>
          <w:spacing w:val="11"/>
          <w:sz w:val="32"/>
          <w:szCs w:val="32"/>
          <w:u w:val="none"/>
        </w:rPr>
        <w:t>维护，严禁“三废”不经处理直接排放。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line="480" w:lineRule="exact"/>
        <w:ind w:left="0" w:right="0" w:firstLine="628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pacing w:val="5"/>
          <w:w w:val="95"/>
          <w:sz w:val="32"/>
          <w:szCs w:val="32"/>
          <w:u w:val="none"/>
        </w:rPr>
        <w:t>（</w:t>
      </w:r>
      <w:r>
        <w:rPr>
          <w:rFonts w:hint="eastAsia" w:ascii="仿宋" w:hAnsi="仿宋" w:eastAsia="仿宋" w:cs="仿宋"/>
          <w:spacing w:val="7"/>
          <w:w w:val="95"/>
          <w:sz w:val="32"/>
          <w:szCs w:val="32"/>
          <w:u w:val="none"/>
        </w:rPr>
        <w:t>二</w:t>
      </w:r>
      <w:r>
        <w:rPr>
          <w:rFonts w:hint="eastAsia" w:ascii="仿宋" w:hAnsi="仿宋" w:eastAsia="仿宋" w:cs="仿宋"/>
          <w:w w:val="95"/>
          <w:sz w:val="32"/>
          <w:szCs w:val="32"/>
          <w:u w:val="none"/>
        </w:rPr>
        <w:t>）</w:t>
      </w:r>
      <w:r>
        <w:rPr>
          <w:rFonts w:hint="eastAsia" w:ascii="仿宋" w:hAnsi="仿宋" w:eastAsia="仿宋" w:cs="仿宋"/>
          <w:spacing w:val="-3"/>
          <w:w w:val="95"/>
          <w:sz w:val="32"/>
          <w:szCs w:val="32"/>
          <w:u w:val="none"/>
        </w:rPr>
        <w:t>做好工程大气污染防治工作。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热风炉废气经布袋除尘器</w:t>
      </w:r>
      <w:r>
        <w:rPr>
          <w:rFonts w:hint="eastAsia" w:cs="仿宋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达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u w:val="none"/>
          <w:lang w:val="en-US" w:eastAsia="zh-CN"/>
        </w:rPr>
        <w:t>《锅炉大气污染物排放标准》（GB13271-2014）表3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大气污染物特别排放限值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u w:val="none"/>
          <w:lang w:val="en-US" w:eastAsia="zh-CN"/>
        </w:rPr>
        <w:t>中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燃煤锅炉标准限值后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经25m高2#排气筒</w:t>
      </w:r>
      <w:r>
        <w:rPr>
          <w:rFonts w:hint="eastAsia" w:cs="仿宋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排放；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eastAsia="zh-CN"/>
        </w:rPr>
        <w:t>烘干粉尘通入“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布袋除尘器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+车间沉降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val="en-US" w:eastAsia="zh-CN"/>
        </w:rPr>
        <w:t>”处理再以无组织形式</w:t>
      </w:r>
      <w:r>
        <w:rPr>
          <w:rFonts w:hint="eastAsia" w:cs="仿宋"/>
          <w:color w:val="000000"/>
          <w:sz w:val="32"/>
          <w:szCs w:val="32"/>
          <w:highlight w:val="none"/>
          <w:u w:val="none"/>
          <w:lang w:val="en-US" w:eastAsia="zh-CN"/>
        </w:rPr>
        <w:t>排放，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val="en-US" w:eastAsia="zh-CN"/>
        </w:rPr>
        <w:t>大米生产粉尘一部分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经“旋风除尘器+沉降室+布袋除尘器”处理后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val="en-US" w:eastAsia="zh-CN"/>
        </w:rPr>
        <w:t>以无组织形式</w:t>
      </w:r>
      <w:r>
        <w:rPr>
          <w:rFonts w:hint="eastAsia" w:cs="仿宋"/>
          <w:color w:val="000000"/>
          <w:sz w:val="32"/>
          <w:szCs w:val="32"/>
          <w:highlight w:val="none"/>
          <w:u w:val="none"/>
          <w:lang w:val="en-US" w:eastAsia="zh-CN"/>
        </w:rPr>
        <w:t>排放，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一部分经旋风除尘器处理后通过一根22m高排气筒排放</w:t>
      </w:r>
      <w:r>
        <w:rPr>
          <w:rFonts w:hint="eastAsia" w:cs="仿宋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副产品生产粉尘经“布袋除尘器+车间沉降”处理后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val="en-US" w:eastAsia="zh-CN"/>
        </w:rPr>
        <w:t>以无组织形式</w:t>
      </w:r>
      <w:r>
        <w:rPr>
          <w:rFonts w:hint="eastAsia" w:cs="仿宋"/>
          <w:color w:val="000000"/>
          <w:sz w:val="32"/>
          <w:szCs w:val="32"/>
          <w:highlight w:val="none"/>
          <w:u w:val="none"/>
          <w:lang w:val="en-US" w:eastAsia="zh-CN"/>
        </w:rPr>
        <w:t>排放</w:t>
      </w:r>
      <w:r>
        <w:rPr>
          <w:rFonts w:hint="eastAsia" w:cs="仿宋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，粉尘排放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满足</w:t>
      </w:r>
      <w:bookmarkStart w:id="0" w:name="OLE_LINK2"/>
      <w:r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《大气污染物综合排放标准》</w:t>
      </w:r>
      <w:r>
        <w:rPr>
          <w:rFonts w:hint="default" w:ascii="仿宋" w:hAnsi="仿宋" w:eastAsia="仿宋" w:cs="仿宋"/>
          <w:color w:val="000000"/>
          <w:sz w:val="32"/>
          <w:szCs w:val="32"/>
          <w:highlight w:val="none"/>
          <w:u w:val="none"/>
          <w:lang w:val="en-US" w:eastAsia="zh-CN" w:bidi="zh-CN"/>
        </w:rPr>
        <w:t>（GB16297-1996）表2</w:t>
      </w:r>
      <w:bookmarkEnd w:id="0"/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val="en-US" w:eastAsia="zh-CN" w:bidi="zh-CN"/>
        </w:rPr>
        <w:t>二级排放标准限值和无组织排放监控浓度限值；厨房油烟满足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val="zh-CN" w:eastAsia="zh-CN" w:bidi="zh-CN"/>
        </w:rPr>
        <w:t>《饮食业油烟排放标准（试行）》（GB18483-2001）中的最高允许排放浓度值（2mg/m3），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建议安装家庭式油烟净化装置；机动车尾气通过厂内地面硬化、限速等措施减少排放。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480" w:lineRule="exact"/>
        <w:ind w:left="0" w:right="0" w:firstLine="664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pacing w:val="14"/>
          <w:w w:val="95"/>
          <w:sz w:val="32"/>
          <w:szCs w:val="32"/>
          <w:u w:val="none"/>
        </w:rPr>
        <w:t>（三）</w:t>
      </w:r>
      <w:r>
        <w:rPr>
          <w:rFonts w:hint="eastAsia" w:ascii="仿宋" w:hAnsi="仿宋" w:eastAsia="仿宋" w:cs="仿宋"/>
          <w:spacing w:val="13"/>
          <w:w w:val="95"/>
          <w:sz w:val="32"/>
          <w:szCs w:val="32"/>
          <w:u w:val="none"/>
        </w:rPr>
        <w:t>按“雨污分流”的原则建设厂区的排水系统。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eastAsia="zh-CN"/>
        </w:rPr>
        <w:t>近期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</w:rPr>
        <w:t>生活污水经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eastAsia="zh-CN"/>
        </w:rPr>
        <w:t>隔油池、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</w:rPr>
        <w:t>化粪池处理后用作农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eastAsia="zh-CN"/>
        </w:rPr>
        <w:t>肥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</w:rPr>
        <w:t>，不外排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eastAsia="zh-CN"/>
        </w:rPr>
        <w:t>；远期待兰溪镇污水处理厂建成运行及配套管网接通项目后，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</w:rPr>
        <w:t>生活污水经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eastAsia="zh-CN"/>
        </w:rPr>
        <w:t>隔油池、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</w:rPr>
        <w:t>化粪池处理后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eastAsia="zh-CN"/>
        </w:rPr>
        <w:t>排经污水管网，排至兰溪镇污水处理厂进行深度处理</w:t>
      </w:r>
      <w:r>
        <w:rPr>
          <w:rFonts w:hint="eastAsia" w:cs="仿宋"/>
          <w:color w:val="000000"/>
          <w:sz w:val="32"/>
          <w:szCs w:val="32"/>
          <w:highlight w:val="none"/>
          <w:u w:val="none"/>
          <w:lang w:eastAsia="zh-CN"/>
        </w:rPr>
        <w:t>达标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eastAsia="zh-CN"/>
        </w:rPr>
        <w:t>后排至兰溪河。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line="480" w:lineRule="exact"/>
        <w:ind w:left="0" w:right="0" w:firstLine="66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pacing w:val="5"/>
          <w:sz w:val="32"/>
          <w:szCs w:val="32"/>
          <w:u w:val="none"/>
        </w:rPr>
        <w:t>（</w:t>
      </w:r>
      <w:r>
        <w:rPr>
          <w:rFonts w:hint="eastAsia" w:ascii="仿宋" w:hAnsi="仿宋" w:eastAsia="仿宋" w:cs="仿宋"/>
          <w:spacing w:val="7"/>
          <w:sz w:val="32"/>
          <w:szCs w:val="32"/>
          <w:u w:val="none"/>
        </w:rPr>
        <w:t>四</w:t>
      </w:r>
      <w:r>
        <w:rPr>
          <w:rFonts w:hint="eastAsia" w:ascii="仿宋" w:hAnsi="仿宋" w:eastAsia="仿宋" w:cs="仿宋"/>
          <w:sz w:val="32"/>
          <w:szCs w:val="32"/>
          <w:u w:val="none"/>
        </w:rPr>
        <w:t>）</w:t>
      </w:r>
      <w:r>
        <w:rPr>
          <w:rFonts w:hint="eastAsia" w:ascii="仿宋" w:hAnsi="仿宋" w:eastAsia="仿宋" w:cs="仿宋"/>
          <w:spacing w:val="-3"/>
          <w:sz w:val="32"/>
          <w:szCs w:val="32"/>
          <w:u w:val="none"/>
        </w:rPr>
        <w:t>本项目的噪声源主要是设备噪声和风机空气动力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u w:val="none"/>
        </w:rPr>
        <w:t>噪声，应合理布局、采取减振降噪措施、合理安排生产时间，</w:t>
      </w:r>
      <w:r>
        <w:rPr>
          <w:rFonts w:hint="eastAsia" w:ascii="仿宋" w:hAnsi="仿宋" w:eastAsia="仿宋" w:cs="仿宋"/>
          <w:spacing w:val="-7"/>
          <w:sz w:val="32"/>
          <w:szCs w:val="32"/>
          <w:u w:val="none"/>
        </w:rPr>
        <w:t>以减少噪声对周围环境的影响。</w:t>
      </w:r>
      <w:r>
        <w:rPr>
          <w:rFonts w:hint="eastAsia" w:ascii="仿宋" w:hAnsi="仿宋" w:eastAsia="仿宋" w:cs="仿宋"/>
          <w:spacing w:val="-1"/>
          <w:sz w:val="32"/>
          <w:szCs w:val="32"/>
          <w:u w:val="none"/>
        </w:rPr>
        <w:t>使场界噪声达到《工业企业厂界环境噪声排放</w:t>
      </w:r>
      <w:r>
        <w:rPr>
          <w:rFonts w:hint="eastAsia" w:ascii="仿宋" w:hAnsi="仿宋" w:eastAsia="仿宋" w:cs="仿宋"/>
          <w:spacing w:val="-6"/>
          <w:sz w:val="32"/>
          <w:szCs w:val="32"/>
          <w:u w:val="none"/>
        </w:rPr>
        <w:t>标准》(GB12348—2008</w:t>
      </w:r>
      <w:r>
        <w:rPr>
          <w:rFonts w:hint="eastAsia" w:ascii="仿宋" w:hAnsi="仿宋" w:eastAsia="仿宋" w:cs="仿宋"/>
          <w:spacing w:val="-26"/>
          <w:sz w:val="32"/>
          <w:szCs w:val="32"/>
          <w:u w:val="none"/>
        </w:rPr>
        <w:t>)中的</w:t>
      </w:r>
      <w:r>
        <w:rPr>
          <w:rFonts w:hint="eastAsia" w:ascii="仿宋" w:hAnsi="仿宋" w:eastAsia="仿宋" w:cs="仿宋"/>
          <w:spacing w:val="-26"/>
          <w:sz w:val="32"/>
          <w:szCs w:val="32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spacing w:val="-18"/>
          <w:sz w:val="32"/>
          <w:szCs w:val="32"/>
          <w:u w:val="none"/>
        </w:rPr>
        <w:t>类标准要求。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line="480" w:lineRule="exact"/>
        <w:ind w:left="0" w:right="0" w:firstLine="628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pacing w:val="5"/>
          <w:w w:val="95"/>
          <w:sz w:val="32"/>
          <w:szCs w:val="32"/>
          <w:u w:val="none"/>
        </w:rPr>
        <w:t>（</w:t>
      </w:r>
      <w:r>
        <w:rPr>
          <w:rFonts w:hint="eastAsia" w:ascii="仿宋" w:hAnsi="仿宋" w:eastAsia="仿宋" w:cs="仿宋"/>
          <w:w w:val="95"/>
          <w:sz w:val="32"/>
          <w:szCs w:val="32"/>
          <w:u w:val="none"/>
        </w:rPr>
        <w:t>五</w:t>
      </w:r>
      <w:r>
        <w:rPr>
          <w:rFonts w:hint="eastAsia" w:ascii="仿宋" w:hAnsi="仿宋" w:eastAsia="仿宋" w:cs="仿宋"/>
          <w:spacing w:val="5"/>
          <w:w w:val="95"/>
          <w:sz w:val="32"/>
          <w:szCs w:val="32"/>
          <w:u w:val="none"/>
        </w:rPr>
        <w:t>）</w:t>
      </w:r>
      <w:r>
        <w:rPr>
          <w:rFonts w:hint="eastAsia" w:ascii="仿宋" w:hAnsi="仿宋" w:eastAsia="仿宋" w:cs="仿宋"/>
          <w:spacing w:val="-3"/>
          <w:w w:val="95"/>
          <w:sz w:val="32"/>
          <w:szCs w:val="32"/>
          <w:u w:val="none"/>
        </w:rPr>
        <w:t>做好工程固废污染控制工作。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eastAsia="zh-CN"/>
        </w:rPr>
        <w:t>稻谷初加工时收集的杂质（草棒、稻叶、碎石等）、生活垃圾</w:t>
      </w:r>
      <w:r>
        <w:rPr>
          <w:rFonts w:hint="eastAsia" w:cs="仿宋"/>
          <w:color w:val="000000"/>
          <w:sz w:val="32"/>
          <w:szCs w:val="32"/>
          <w:highlight w:val="none"/>
          <w:u w:val="none"/>
          <w:lang w:val="en-US" w:eastAsia="zh-CN"/>
        </w:rPr>
        <w:t>由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u w:val="none"/>
          <w:lang w:eastAsia="zh-CN"/>
        </w:rPr>
        <w:t>厂内收集，再由环卫部门统一清运处理；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eastAsia="zh-CN"/>
        </w:rPr>
        <w:t>除尘系统收集的粉尘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u w:val="none"/>
          <w:lang w:eastAsia="zh-CN"/>
        </w:rPr>
        <w:t>用作成型生物质颗粒生产线的原料；废布袋外售给资源回收利用公司；炉渣外售用作农肥；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eastAsia="zh-CN"/>
        </w:rPr>
        <w:t>废包装桶及沾染油类物质的劳保用品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u w:val="none"/>
          <w:lang w:bidi="ar"/>
        </w:rPr>
        <w:t>暂存于危废暂存区，在委托有相关资质的单位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u w:val="none"/>
          <w:lang w:val="en-US" w:eastAsia="zh-CN" w:bidi="ar"/>
        </w:rPr>
        <w:t>处置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u w:val="none"/>
          <w:lang w:eastAsia="zh-CN" w:bidi="ar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line="480" w:lineRule="exact"/>
        <w:ind w:left="0" w:right="0" w:firstLine="664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pacing w:val="14"/>
          <w:w w:val="95"/>
          <w:sz w:val="32"/>
          <w:szCs w:val="32"/>
          <w:u w:val="none"/>
        </w:rPr>
        <w:t>（六）</w:t>
      </w:r>
      <w:r>
        <w:rPr>
          <w:rFonts w:hint="eastAsia" w:ascii="仿宋" w:hAnsi="仿宋" w:eastAsia="仿宋" w:cs="仿宋"/>
          <w:spacing w:val="13"/>
          <w:w w:val="95"/>
          <w:sz w:val="32"/>
          <w:szCs w:val="32"/>
          <w:u w:val="none"/>
        </w:rPr>
        <w:t>建立健全环境管理制度，落实各项环境风险防</w:t>
      </w:r>
      <w:r>
        <w:rPr>
          <w:rFonts w:hint="eastAsia" w:ascii="仿宋" w:hAnsi="仿宋" w:eastAsia="仿宋" w:cs="仿宋"/>
          <w:spacing w:val="11"/>
          <w:w w:val="95"/>
          <w:sz w:val="32"/>
          <w:szCs w:val="32"/>
          <w:u w:val="none"/>
        </w:rPr>
        <w:t>范措施，制定行之有效的环境风险事故应急预案和切实可</w:t>
      </w:r>
      <w:r>
        <w:rPr>
          <w:rFonts w:hint="eastAsia" w:ascii="仿宋" w:hAnsi="仿宋" w:eastAsia="仿宋" w:cs="仿宋"/>
          <w:spacing w:val="11"/>
          <w:sz w:val="32"/>
          <w:szCs w:val="32"/>
          <w:u w:val="none"/>
        </w:rPr>
        <w:t>行的应急措施。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ind w:leftChars="0" w:right="0" w:rightChars="0" w:firstLine="65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spacing w:val="11"/>
          <w:w w:val="95"/>
          <w:sz w:val="32"/>
          <w:szCs w:val="32"/>
          <w:u w:val="none"/>
        </w:rPr>
        <w:t>三、</w:t>
      </w:r>
      <w:r>
        <w:rPr>
          <w:rFonts w:hint="eastAsia" w:cs="仿宋"/>
          <w:spacing w:val="11"/>
          <w:w w:val="95"/>
          <w:sz w:val="32"/>
          <w:szCs w:val="32"/>
          <w:u w:val="none"/>
          <w:lang w:val="en-US" w:eastAsia="zh-CN"/>
        </w:rPr>
        <w:t>本项目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的性质、规模、地点或者污染防治措施等发生重大变化时，应当重新向环保部门进行环评报批。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>四、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在本次环评审批手续后，严格按照《报告表》的内容和批复落实各项污染防治措施，项目建成后，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应按规定程序及时进行竣工环境保护验收。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640" w:firstLineChars="200"/>
        <w:jc w:val="both"/>
        <w:textAlignment w:val="auto"/>
        <w:rPr>
          <w:u w:val="none"/>
        </w:rPr>
      </w:pPr>
      <w:bookmarkStart w:id="1" w:name="_GoBack"/>
      <w:bookmarkEnd w:id="1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ind w:left="0" w:firstLine="640" w:firstLineChars="200"/>
        <w:jc w:val="right"/>
        <w:textAlignment w:val="auto"/>
        <w:rPr>
          <w:u w:val="none"/>
        </w:rPr>
      </w:pPr>
      <w:r>
        <w:rPr>
          <w:u w:val="none"/>
        </w:rPr>
        <w:t>2020</w:t>
      </w:r>
      <w:r>
        <w:rPr>
          <w:spacing w:val="-55"/>
          <w:u w:val="none"/>
        </w:rPr>
        <w:t xml:space="preserve"> 年 </w:t>
      </w:r>
      <w:r>
        <w:rPr>
          <w:rFonts w:hint="eastAsia"/>
          <w:u w:val="none"/>
          <w:lang w:val="en-US" w:eastAsia="zh-CN"/>
        </w:rPr>
        <w:t>3</w:t>
      </w:r>
      <w:r>
        <w:rPr>
          <w:spacing w:val="-54"/>
          <w:u w:val="none"/>
        </w:rPr>
        <w:t xml:space="preserve"> 月 </w:t>
      </w:r>
      <w:r>
        <w:rPr>
          <w:rFonts w:hint="eastAsia"/>
          <w:u w:val="none"/>
          <w:lang w:val="en-US" w:eastAsia="zh-CN"/>
        </w:rPr>
        <w:t>31</w:t>
      </w:r>
      <w:r>
        <w:rPr>
          <w:spacing w:val="-41"/>
          <w:u w:val="none"/>
        </w:rPr>
        <w:t xml:space="preserve"> 日</w:t>
      </w:r>
    </w:p>
    <w:sectPr>
      <w:pgSz w:w="11910" w:h="16840"/>
      <w:pgMar w:top="1500" w:right="152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12756C89"/>
    <w:rsid w:val="59F24D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ScaleCrop>false</ScaleCrop>
  <LinksUpToDate>false</LinksUpToDate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2020-03-09T15:26:00Z</dcterms:created>
  <dc:creator>Administrator</dc:creator>
  <cp:lastModifiedBy>乙醇C2H5OH</cp:lastModifiedBy>
  <dcterms:modified xsi:type="dcterms:W3CDTF">2020-03-10T01:58:02Z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2020-03-09T00:00:00Z</vt:filetime>
  </property>
  <property fmtid="{D5CDD505-2E9C-101B-9397-08002B2CF9AE}" pid="5" name="KSOProductBuildVer">
    <vt:lpwstr>2052-11.1.0.9513</vt:lpwstr>
  </property>
</Properties>
</file>