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1" w:tblpY="2838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17"/>
        <w:gridCol w:w="7069"/>
        <w:gridCol w:w="2654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项目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考评内容与标准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牵头领导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706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近3年辖区内未发生重大环境污染和生态破坏事故。</w:t>
            </w:r>
          </w:p>
        </w:tc>
        <w:tc>
          <w:tcPr>
            <w:tcW w:w="26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胡安邦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市生态环境局，三区政府（管委会）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贯彻落实《中华人民共和国大气污染防治法》，环境空气质量指数（AQI）或空气污染指数（API）不超过100天数≥300天，环境空气主要污染物年均值达到国家《环境空气质量标准》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二级标准。贯彻落实《秸秆禁烧和综合利用管理办法》，秸秆综合利用率达到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100%，杜绝秸秆焚烧现象。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区域环境噪声平均值≤60分贝。</w:t>
            </w:r>
          </w:p>
        </w:tc>
        <w:tc>
          <w:tcPr>
            <w:tcW w:w="265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市住建局（人防办）、市公安局、市生态环境局、市农业农村局、市城管执法局，三区政府（管委会）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19.贯彻落实《中华人民共和国水法》、《功华人民共和国水污染防治法》等法律法规，集中式饮用水水源地一级保护区水质达标率100%，安全保障达标率100%，城区内水环境功能区达到要求，未划定功能区的无劣五类水体。</w:t>
            </w:r>
          </w:p>
        </w:tc>
        <w:tc>
          <w:tcPr>
            <w:tcW w:w="265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市水利局、市生态环境局、市住建局（人防办），三区政府（管委会）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医疗废弃物统一由有资质的医疗废弃物处置单位处置，无医疗机构自行处置医疗废物情况。医源性污水的处理排放符合国家有关要求。</w:t>
            </w:r>
          </w:p>
        </w:tc>
        <w:tc>
          <w:tcPr>
            <w:tcW w:w="265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市生态环境局、市卫健委，三区政府（管委会）</w:t>
            </w:r>
          </w:p>
        </w:tc>
      </w:tr>
    </w:tbl>
    <w:p>
      <w:pPr>
        <w:jc w:val="center"/>
        <w:rPr>
          <w:rFonts w:hint="eastAsia" w:eastAsia="宋体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2020年</w:t>
      </w:r>
      <w:r>
        <w:rPr>
          <w:rFonts w:hint="eastAsia"/>
          <w:sz w:val="44"/>
          <w:szCs w:val="44"/>
          <w:lang w:eastAsia="zh-CN"/>
        </w:rPr>
        <w:t>国家卫生城市标准及复审任务分解表</w:t>
      </w:r>
    </w:p>
    <w:bookmarkEnd w:id="0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F52E3"/>
    <w:rsid w:val="2E6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2020-04-13T06:55:00Z</dcterms:created>
  <dc:creator>Ss</dc:creator>
  <cp:lastModifiedBy>Ss</cp:lastModifiedBy>
  <dcterms:modified xsi:type="dcterms:W3CDTF">2020-04-13T07:11:00Z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