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华文仿宋" w:hAnsi="华文仿宋" w:eastAsia="华文仿宋" w:cs="华文仿宋"/>
          <w:b/>
          <w:color w:val="000000"/>
          <w:spacing w:val="20"/>
          <w:sz w:val="52"/>
          <w:szCs w:val="52"/>
        </w:rPr>
      </w:pPr>
      <w:r>
        <w:rPr>
          <w:rFonts w:hint="eastAsia" w:ascii="华文仿宋" w:hAnsi="华文仿宋" w:eastAsia="华文仿宋" w:cs="华文仿宋"/>
          <w:b/>
          <w:color w:val="000000"/>
          <w:spacing w:val="40"/>
          <w:sz w:val="52"/>
          <w:szCs w:val="52"/>
          <w:lang w:val="en-US" w:eastAsia="zh-CN"/>
        </w:rPr>
        <w:t>益阳康宁精神病专科医院建设项目</w:t>
      </w:r>
      <w:r>
        <w:rPr>
          <w:rFonts w:hint="eastAsia" w:ascii="华文仿宋" w:hAnsi="华文仿宋" w:eastAsia="华文仿宋" w:cs="华文仿宋"/>
          <w:b/>
          <w:color w:val="000000"/>
          <w:spacing w:val="40"/>
          <w:sz w:val="52"/>
          <w:szCs w:val="52"/>
        </w:rPr>
        <w:t>竣工环境保护</w:t>
      </w:r>
      <w:r>
        <w:rPr>
          <w:rFonts w:hint="eastAsia" w:ascii="华文仿宋" w:hAnsi="华文仿宋" w:eastAsia="华文仿宋" w:cs="华文仿宋"/>
          <w:b/>
          <w:color w:val="000000"/>
          <w:spacing w:val="20"/>
          <w:sz w:val="52"/>
          <w:szCs w:val="52"/>
        </w:rPr>
        <w:t>验收</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华文仿宋" w:hAnsi="华文仿宋" w:eastAsia="华文仿宋" w:cs="华文仿宋"/>
          <w:b/>
          <w:color w:val="000000"/>
          <w:spacing w:val="40"/>
          <w:sz w:val="52"/>
          <w:szCs w:val="52"/>
        </w:rPr>
      </w:pPr>
      <w:r>
        <w:rPr>
          <w:rFonts w:hint="eastAsia" w:ascii="华文仿宋" w:hAnsi="华文仿宋" w:eastAsia="华文仿宋" w:cs="华文仿宋"/>
          <w:b/>
          <w:color w:val="000000"/>
          <w:spacing w:val="40"/>
          <w:sz w:val="52"/>
          <w:szCs w:val="52"/>
        </w:rPr>
        <w:t>监测</w:t>
      </w:r>
      <w:bookmarkStart w:id="152" w:name="_GoBack"/>
      <w:bookmarkEnd w:id="152"/>
      <w:r>
        <w:rPr>
          <w:rFonts w:hint="eastAsia" w:ascii="华文仿宋" w:hAnsi="华文仿宋" w:eastAsia="华文仿宋" w:cs="华文仿宋"/>
          <w:b/>
          <w:color w:val="000000"/>
          <w:spacing w:val="40"/>
          <w:sz w:val="52"/>
          <w:szCs w:val="52"/>
        </w:rPr>
        <w:t>报告</w:t>
      </w:r>
    </w:p>
    <w:p>
      <w:pPr>
        <w:spacing w:beforeLines="100"/>
        <w:jc w:val="center"/>
        <w:rPr>
          <w:rFonts w:hint="default" w:ascii="Times New Roman" w:hAnsi="Times New Roman" w:eastAsia="华文仿宋" w:cs="Times New Roman"/>
          <w:sz w:val="28"/>
        </w:rPr>
      </w:pPr>
      <w:r>
        <w:rPr>
          <w:rFonts w:hint="default" w:ascii="Times New Roman" w:hAnsi="Times New Roman" w:eastAsia="华文仿宋" w:cs="Times New Roman"/>
          <w:sz w:val="28"/>
        </w:rPr>
        <w:t>精检竣监［20</w:t>
      </w:r>
      <w:r>
        <w:rPr>
          <w:rFonts w:hint="default" w:ascii="Times New Roman" w:hAnsi="Times New Roman" w:eastAsia="华文仿宋" w:cs="Times New Roman"/>
          <w:sz w:val="28"/>
          <w:lang w:val="en-US" w:eastAsia="zh-CN"/>
        </w:rPr>
        <w:t>18</w:t>
      </w:r>
      <w:r>
        <w:rPr>
          <w:rFonts w:hint="default" w:ascii="Times New Roman" w:hAnsi="Times New Roman" w:eastAsia="华文仿宋" w:cs="Times New Roman"/>
          <w:sz w:val="28"/>
        </w:rPr>
        <w:t>］</w:t>
      </w:r>
      <w:r>
        <w:rPr>
          <w:rFonts w:hint="default" w:ascii="Times New Roman" w:hAnsi="Times New Roman" w:eastAsia="华文仿宋" w:cs="Times New Roman"/>
          <w:sz w:val="28"/>
          <w:lang w:val="en-US" w:eastAsia="zh-CN"/>
        </w:rPr>
        <w:t>0</w:t>
      </w:r>
      <w:r>
        <w:rPr>
          <w:rFonts w:hint="default" w:ascii="Times New Roman" w:hAnsi="Times New Roman" w:eastAsia="华文仿宋" w:cs="Times New Roman"/>
          <w:sz w:val="28"/>
          <w:highlight w:val="none"/>
          <w:lang w:val="en-US" w:eastAsia="zh-CN"/>
        </w:rPr>
        <w:t>7</w:t>
      </w:r>
      <w:r>
        <w:rPr>
          <w:rFonts w:hint="eastAsia" w:eastAsia="华文仿宋" w:cs="Times New Roman"/>
          <w:sz w:val="28"/>
          <w:highlight w:val="none"/>
          <w:lang w:val="en-US" w:eastAsia="zh-CN"/>
        </w:rPr>
        <w:t>0</w:t>
      </w:r>
      <w:r>
        <w:rPr>
          <w:rFonts w:hint="default" w:ascii="Times New Roman" w:hAnsi="Times New Roman" w:eastAsia="华文仿宋" w:cs="Times New Roman"/>
          <w:sz w:val="28"/>
        </w:rPr>
        <w:t>号</w:t>
      </w:r>
    </w:p>
    <w:p>
      <w:pPr>
        <w:pStyle w:val="11"/>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24"/>
          <w:szCs w:val="24"/>
          <w:lang w:eastAsia="zh-CN"/>
        </w:rPr>
      </w:pPr>
      <w:r>
        <w:rPr>
          <w:rFonts w:hint="eastAsia" w:eastAsia="宋体"/>
          <w:sz w:val="24"/>
          <w:szCs w:val="24"/>
          <w:lang w:eastAsia="zh-CN"/>
        </w:rPr>
        <w:drawing>
          <wp:inline distT="0" distB="0" distL="114300" distR="114300">
            <wp:extent cx="5266055" cy="3949700"/>
            <wp:effectExtent l="0" t="0" r="10795" b="12700"/>
            <wp:docPr id="34" name="图片 1" descr="IMG_20180515_1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0180515_113926"/>
                    <pic:cNvPicPr>
                      <a:picLocks noChangeAspect="1"/>
                    </pic:cNvPicPr>
                  </pic:nvPicPr>
                  <pic:blipFill>
                    <a:blip r:embed="rId13"/>
                    <a:stretch>
                      <a:fillRect/>
                    </a:stretch>
                  </pic:blipFill>
                  <pic:spPr>
                    <a:xfrm>
                      <a:off x="0" y="0"/>
                      <a:ext cx="5266055" cy="39497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left="0" w:leftChars="0" w:right="0" w:rightChars="0" w:firstLine="1280" w:firstLineChars="400"/>
        <w:jc w:val="both"/>
        <w:textAlignment w:val="auto"/>
        <w:outlineLvl w:val="9"/>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eastAsia="zh-CN"/>
        </w:rPr>
        <w:t>委托单位：</w:t>
      </w:r>
      <w:r>
        <w:rPr>
          <w:rFonts w:hint="eastAsia" w:ascii="华文仿宋" w:hAnsi="华文仿宋" w:eastAsia="华文仿宋" w:cs="华文仿宋"/>
          <w:sz w:val="32"/>
          <w:szCs w:val="32"/>
          <w:lang w:val="en-US" w:eastAsia="zh-CN"/>
        </w:rPr>
        <w:t>益阳康宁精神病专科医院</w:t>
      </w:r>
    </w:p>
    <w:p>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right="0" w:rightChars="0" w:firstLine="1280" w:firstLineChars="400"/>
        <w:jc w:val="both"/>
        <w:textAlignment w:val="auto"/>
        <w:outlineLvl w:val="9"/>
        <w:rPr>
          <w:rFonts w:hint="eastAsia" w:ascii="华文仿宋" w:hAnsi="华文仿宋" w:eastAsia="华文仿宋" w:cs="华文仿宋"/>
          <w:color w:val="000000"/>
          <w:kern w:val="0"/>
          <w:sz w:val="32"/>
          <w:szCs w:val="32"/>
        </w:rPr>
      </w:pPr>
      <w:r>
        <w:rPr>
          <w:rFonts w:hint="eastAsia" w:ascii="华文仿宋" w:hAnsi="华文仿宋" w:eastAsia="华文仿宋" w:cs="华文仿宋"/>
          <w:sz w:val="32"/>
          <w:szCs w:val="32"/>
          <w:lang w:eastAsia="zh-CN"/>
        </w:rPr>
        <w:t>编制</w:t>
      </w:r>
      <w:r>
        <w:rPr>
          <w:rFonts w:hint="eastAsia" w:ascii="华文仿宋" w:hAnsi="华文仿宋" w:eastAsia="华文仿宋" w:cs="华文仿宋"/>
          <w:sz w:val="32"/>
          <w:szCs w:val="32"/>
        </w:rPr>
        <w:t>单位：</w:t>
      </w:r>
      <w:r>
        <w:rPr>
          <w:rFonts w:hint="eastAsia" w:ascii="华文仿宋" w:hAnsi="华文仿宋" w:eastAsia="华文仿宋" w:cs="华文仿宋"/>
          <w:color w:val="000000"/>
          <w:kern w:val="0"/>
          <w:sz w:val="32"/>
          <w:szCs w:val="32"/>
          <w:lang w:val="zh-CN"/>
        </w:rPr>
        <w:t>湖南精科检测有限公司</w:t>
      </w:r>
    </w:p>
    <w:p>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left="0" w:leftChars="0" w:right="0" w:rightChars="0"/>
        <w:jc w:val="center"/>
        <w:textAlignment w:val="auto"/>
        <w:outlineLvl w:val="9"/>
        <w:rPr>
          <w:color w:val="000000"/>
          <w:kern w:val="0"/>
          <w:sz w:val="32"/>
          <w:szCs w:val="32"/>
          <w:lang w:val="zh-CN"/>
        </w:rPr>
      </w:pPr>
      <w:r>
        <w:rPr>
          <w:rFonts w:hint="eastAsia" w:ascii="华文仿宋" w:hAnsi="华文仿宋" w:eastAsia="华文仿宋" w:cs="华文仿宋"/>
          <w:color w:val="000000"/>
          <w:kern w:val="0"/>
          <w:sz w:val="32"/>
          <w:szCs w:val="32"/>
          <w:lang w:val="zh-CN"/>
        </w:rPr>
        <w:t xml:space="preserve">二 </w:t>
      </w:r>
      <w:r>
        <w:rPr>
          <w:rFonts w:hint="eastAsia" w:ascii="华文仿宋" w:hAnsi="华文仿宋" w:eastAsia="华文仿宋" w:cs="华文仿宋"/>
          <w:color w:val="000000"/>
          <w:kern w:val="0"/>
          <w:sz w:val="32"/>
          <w:szCs w:val="32"/>
        </w:rPr>
        <w:t xml:space="preserve">O 一 </w:t>
      </w:r>
      <w:r>
        <w:rPr>
          <w:rFonts w:hint="eastAsia" w:ascii="华文仿宋" w:hAnsi="华文仿宋" w:eastAsia="华文仿宋" w:cs="华文仿宋"/>
          <w:color w:val="000000"/>
          <w:kern w:val="0"/>
          <w:sz w:val="32"/>
          <w:szCs w:val="32"/>
          <w:lang w:eastAsia="zh-CN"/>
        </w:rPr>
        <w:t>八</w:t>
      </w:r>
      <w:r>
        <w:rPr>
          <w:rFonts w:hint="eastAsia" w:ascii="华文仿宋" w:hAnsi="华文仿宋" w:eastAsia="华文仿宋" w:cs="华文仿宋"/>
          <w:color w:val="000000"/>
          <w:kern w:val="0"/>
          <w:sz w:val="32"/>
          <w:szCs w:val="32"/>
          <w:lang w:val="zh-CN"/>
        </w:rPr>
        <w:t xml:space="preserve"> 年 </w:t>
      </w:r>
      <w:r>
        <w:rPr>
          <w:rFonts w:hint="eastAsia" w:ascii="华文仿宋" w:hAnsi="华文仿宋" w:eastAsia="华文仿宋" w:cs="华文仿宋"/>
          <w:color w:val="000000"/>
          <w:kern w:val="0"/>
          <w:sz w:val="32"/>
          <w:szCs w:val="32"/>
          <w:lang w:val="en-US" w:eastAsia="zh-CN"/>
        </w:rPr>
        <w:t>五</w:t>
      </w:r>
      <w:r>
        <w:rPr>
          <w:rFonts w:hint="eastAsia" w:ascii="华文仿宋" w:hAnsi="华文仿宋" w:eastAsia="华文仿宋" w:cs="华文仿宋"/>
          <w:color w:val="000000"/>
          <w:kern w:val="0"/>
          <w:sz w:val="32"/>
          <w:szCs w:val="32"/>
        </w:rPr>
        <w:t xml:space="preserve"> </w:t>
      </w:r>
      <w:r>
        <w:rPr>
          <w:rFonts w:hint="eastAsia" w:ascii="华文仿宋" w:hAnsi="华文仿宋" w:eastAsia="华文仿宋" w:cs="华文仿宋"/>
          <w:color w:val="000000"/>
          <w:kern w:val="0"/>
          <w:sz w:val="32"/>
          <w:szCs w:val="32"/>
          <w:lang w:val="zh-CN"/>
        </w:rPr>
        <w:t>月</w:t>
      </w:r>
    </w:p>
    <w:p>
      <w:pPr>
        <w:pStyle w:val="11"/>
        <w:rPr>
          <w:lang w:val="zh-CN"/>
        </w:rPr>
        <w:sectPr>
          <w:headerReference r:id="rId4" w:type="first"/>
          <w:footerReference r:id="rId6" w:type="first"/>
          <w:headerReference r:id="rId3" w:type="default"/>
          <w:footerReference r:id="rId5" w:type="default"/>
          <w:pgSz w:w="11906" w:h="16838"/>
          <w:pgMar w:top="1418"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autoSpaceDE w:val="0"/>
        <w:autoSpaceDN w:val="0"/>
        <w:adjustRightInd w:val="0"/>
        <w:spacing w:line="360" w:lineRule="auto"/>
        <w:jc w:val="both"/>
        <w:rPr>
          <w:rFonts w:hint="default" w:ascii="Times New Roman" w:hAnsi="Times New Roman" w:eastAsia="华文仿宋" w:cs="Times New Roman"/>
          <w:color w:val="000000"/>
          <w:kern w:val="0"/>
          <w:sz w:val="32"/>
          <w:szCs w:val="32"/>
          <w:lang w:val="en-US" w:eastAsia="zh-CN"/>
        </w:rPr>
      </w:pPr>
      <w:r>
        <w:rPr>
          <w:rFonts w:hint="default" w:ascii="Times New Roman" w:hAnsi="Times New Roman" w:eastAsia="华文仿宋" w:cs="Times New Roman"/>
          <w:color w:val="000000"/>
          <w:kern w:val="0"/>
          <w:sz w:val="32"/>
          <w:szCs w:val="32"/>
          <w:lang w:val="en-US" w:eastAsia="zh-CN"/>
        </w:rPr>
        <w:t>建设单位：</w:t>
      </w:r>
      <w:r>
        <w:rPr>
          <w:rFonts w:hint="eastAsia" w:ascii="华文仿宋" w:hAnsi="华文仿宋" w:eastAsia="华文仿宋" w:cs="华文仿宋"/>
          <w:sz w:val="32"/>
          <w:szCs w:val="32"/>
          <w:lang w:val="en-US" w:eastAsia="zh-CN"/>
        </w:rPr>
        <w:t>益阳康宁精神病专科医院</w:t>
      </w:r>
    </w:p>
    <w:tbl>
      <w:tblPr>
        <w:tblStyle w:val="32"/>
        <w:tblpPr w:leftFromText="180" w:rightFromText="180" w:vertAnchor="page" w:horzAnchor="page" w:tblpX="1472" w:tblpY="11322"/>
        <w:tblW w:w="9150" w:type="dxa"/>
        <w:jc w:val="center"/>
        <w:tblInd w:w="0" w:type="dxa"/>
        <w:tblLayout w:type="fixed"/>
        <w:tblCellMar>
          <w:top w:w="0" w:type="dxa"/>
          <w:left w:w="108" w:type="dxa"/>
          <w:bottom w:w="0" w:type="dxa"/>
          <w:right w:w="108" w:type="dxa"/>
        </w:tblCellMar>
      </w:tblPr>
      <w:tblGrid>
        <w:gridCol w:w="1335"/>
        <w:gridCol w:w="3202"/>
        <w:gridCol w:w="1305"/>
        <w:gridCol w:w="3308"/>
      </w:tblGrid>
      <w:tr>
        <w:tblPrEx>
          <w:tblLayout w:type="fixed"/>
          <w:tblCellMar>
            <w:top w:w="0" w:type="dxa"/>
            <w:left w:w="108" w:type="dxa"/>
            <w:bottom w:w="0" w:type="dxa"/>
            <w:right w:w="108" w:type="dxa"/>
          </w:tblCellMar>
        </w:tblPrEx>
        <w:trPr>
          <w:trHeight w:val="510" w:hRule="atLeast"/>
          <w:jc w:val="center"/>
        </w:trPr>
        <w:tc>
          <w:tcPr>
            <w:tcW w:w="133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建设单位：</w:t>
            </w:r>
          </w:p>
        </w:tc>
        <w:tc>
          <w:tcPr>
            <w:tcW w:w="320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default" w:ascii="Times New Roman" w:hAnsi="Times New Roman" w:eastAsia="华文仿宋" w:cs="Times New Roman"/>
                <w:color w:val="auto"/>
                <w:sz w:val="21"/>
                <w:szCs w:val="21"/>
                <w:lang w:val="en-US" w:eastAsia="zh-CN"/>
              </w:rPr>
            </w:pPr>
            <w:r>
              <w:rPr>
                <w:rFonts w:hint="eastAsia" w:ascii="Times New Roman" w:hAnsi="Times New Roman" w:eastAsia="华文仿宋" w:cs="Times New Roman"/>
                <w:color w:val="auto"/>
                <w:sz w:val="21"/>
                <w:szCs w:val="21"/>
                <w:lang w:val="en-US" w:eastAsia="zh-CN"/>
              </w:rPr>
              <w:t>益阳康宁精神病专科医院</w:t>
            </w:r>
          </w:p>
        </w:tc>
        <w:tc>
          <w:tcPr>
            <w:tcW w:w="130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编制单位：</w:t>
            </w:r>
          </w:p>
        </w:tc>
        <w:tc>
          <w:tcPr>
            <w:tcW w:w="3308"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湖南精科检测有限公司</w:t>
            </w:r>
          </w:p>
        </w:tc>
      </w:tr>
      <w:tr>
        <w:tblPrEx>
          <w:tblLayout w:type="fixed"/>
          <w:tblCellMar>
            <w:top w:w="0" w:type="dxa"/>
            <w:left w:w="108" w:type="dxa"/>
            <w:bottom w:w="0" w:type="dxa"/>
            <w:right w:w="108" w:type="dxa"/>
          </w:tblCellMar>
        </w:tblPrEx>
        <w:trPr>
          <w:trHeight w:val="510" w:hRule="atLeast"/>
          <w:jc w:val="center"/>
        </w:trPr>
        <w:tc>
          <w:tcPr>
            <w:tcW w:w="133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电话：</w:t>
            </w:r>
          </w:p>
        </w:tc>
        <w:tc>
          <w:tcPr>
            <w:tcW w:w="3202"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eastAsia" w:eastAsia="华文仿宋" w:cs="Times New Roman"/>
                <w:color w:val="000000"/>
                <w:kern w:val="0"/>
                <w:sz w:val="21"/>
                <w:szCs w:val="21"/>
                <w:lang w:val="en-US" w:eastAsia="zh-CN"/>
              </w:rPr>
              <w:t>13807371237</w:t>
            </w:r>
          </w:p>
        </w:tc>
        <w:tc>
          <w:tcPr>
            <w:tcW w:w="130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电话：</w:t>
            </w:r>
          </w:p>
        </w:tc>
        <w:tc>
          <w:tcPr>
            <w:tcW w:w="3308"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0731-86953766</w:t>
            </w:r>
          </w:p>
        </w:tc>
      </w:tr>
      <w:tr>
        <w:tblPrEx>
          <w:tblLayout w:type="fixed"/>
          <w:tblCellMar>
            <w:top w:w="0" w:type="dxa"/>
            <w:left w:w="108" w:type="dxa"/>
            <w:bottom w:w="0" w:type="dxa"/>
            <w:right w:w="108" w:type="dxa"/>
          </w:tblCellMar>
        </w:tblPrEx>
        <w:trPr>
          <w:trHeight w:val="510" w:hRule="atLeast"/>
          <w:jc w:val="center"/>
        </w:trPr>
        <w:tc>
          <w:tcPr>
            <w:tcW w:w="133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传真：</w:t>
            </w:r>
          </w:p>
        </w:tc>
        <w:tc>
          <w:tcPr>
            <w:tcW w:w="3202"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w:t>
            </w:r>
          </w:p>
        </w:tc>
        <w:tc>
          <w:tcPr>
            <w:tcW w:w="130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传真：</w:t>
            </w:r>
          </w:p>
        </w:tc>
        <w:tc>
          <w:tcPr>
            <w:tcW w:w="3308"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0731-86953766</w:t>
            </w:r>
          </w:p>
        </w:tc>
      </w:tr>
      <w:tr>
        <w:tblPrEx>
          <w:tblLayout w:type="fixed"/>
          <w:tblCellMar>
            <w:top w:w="0" w:type="dxa"/>
            <w:left w:w="108" w:type="dxa"/>
            <w:bottom w:w="0" w:type="dxa"/>
            <w:right w:w="108" w:type="dxa"/>
          </w:tblCellMar>
        </w:tblPrEx>
        <w:trPr>
          <w:trHeight w:val="510" w:hRule="atLeast"/>
          <w:jc w:val="center"/>
        </w:trPr>
        <w:tc>
          <w:tcPr>
            <w:tcW w:w="133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邮编：</w:t>
            </w:r>
          </w:p>
        </w:tc>
        <w:tc>
          <w:tcPr>
            <w:tcW w:w="3202"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bCs/>
                <w:color w:val="auto"/>
                <w:spacing w:val="-8"/>
                <w:sz w:val="21"/>
                <w:szCs w:val="21"/>
                <w:lang w:val="en-US" w:eastAsia="zh-CN"/>
              </w:rPr>
              <w:t>4</w:t>
            </w:r>
            <w:r>
              <w:rPr>
                <w:rFonts w:hint="eastAsia" w:eastAsia="华文仿宋" w:cs="Times New Roman"/>
                <w:bCs/>
                <w:color w:val="auto"/>
                <w:spacing w:val="-8"/>
                <w:sz w:val="21"/>
                <w:szCs w:val="21"/>
                <w:lang w:val="en-US" w:eastAsia="zh-CN"/>
              </w:rPr>
              <w:t>9100</w:t>
            </w:r>
          </w:p>
        </w:tc>
        <w:tc>
          <w:tcPr>
            <w:tcW w:w="130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邮编：</w:t>
            </w:r>
          </w:p>
        </w:tc>
        <w:tc>
          <w:tcPr>
            <w:tcW w:w="3308"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410000</w:t>
            </w:r>
          </w:p>
        </w:tc>
      </w:tr>
      <w:tr>
        <w:tblPrEx>
          <w:tblLayout w:type="fixed"/>
          <w:tblCellMar>
            <w:top w:w="0" w:type="dxa"/>
            <w:left w:w="108" w:type="dxa"/>
            <w:bottom w:w="0" w:type="dxa"/>
            <w:right w:w="108" w:type="dxa"/>
          </w:tblCellMar>
        </w:tblPrEx>
        <w:trPr>
          <w:trHeight w:val="510" w:hRule="atLeast"/>
          <w:jc w:val="center"/>
        </w:trPr>
        <w:tc>
          <w:tcPr>
            <w:tcW w:w="133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地址：</w:t>
            </w:r>
          </w:p>
        </w:tc>
        <w:tc>
          <w:tcPr>
            <w:tcW w:w="320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default" w:ascii="Times New Roman" w:hAnsi="Times New Roman" w:eastAsia="华文仿宋" w:cs="Times New Roman"/>
                <w:color w:val="000000"/>
                <w:kern w:val="0"/>
                <w:sz w:val="21"/>
                <w:szCs w:val="21"/>
                <w:lang w:val="en-US" w:eastAsia="zh-CN"/>
              </w:rPr>
            </w:pPr>
            <w:r>
              <w:rPr>
                <w:rFonts w:hint="eastAsia" w:eastAsia="华文仿宋" w:cs="Times New Roman"/>
                <w:color w:val="auto"/>
                <w:sz w:val="21"/>
                <w:szCs w:val="21"/>
                <w:lang w:eastAsia="zh-CN"/>
              </w:rPr>
              <w:t>益阳市高新区谢林港镇电信楼旁</w:t>
            </w:r>
          </w:p>
        </w:tc>
        <w:tc>
          <w:tcPr>
            <w:tcW w:w="1305" w:type="dxa"/>
            <w:vAlign w:val="center"/>
          </w:tcPr>
          <w:p>
            <w:pPr>
              <w:autoSpaceDE w:val="0"/>
              <w:autoSpaceDN w:val="0"/>
              <w:adjustRightInd w:val="0"/>
              <w:spacing w:line="360" w:lineRule="auto"/>
              <w:jc w:val="both"/>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地址：</w:t>
            </w:r>
          </w:p>
        </w:tc>
        <w:tc>
          <w:tcPr>
            <w:tcW w:w="330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both"/>
              <w:textAlignment w:val="auto"/>
              <w:outlineLvl w:val="9"/>
              <w:rPr>
                <w:rFonts w:hint="default" w:ascii="Times New Roman" w:hAnsi="Times New Roman" w:eastAsia="华文仿宋" w:cs="Times New Roman"/>
                <w:color w:val="000000"/>
                <w:kern w:val="0"/>
                <w:sz w:val="21"/>
                <w:szCs w:val="21"/>
                <w:lang w:val="en-US" w:eastAsia="zh-CN"/>
              </w:rPr>
            </w:pPr>
            <w:r>
              <w:rPr>
                <w:rFonts w:hint="default" w:ascii="Times New Roman" w:hAnsi="Times New Roman" w:eastAsia="华文仿宋" w:cs="Times New Roman"/>
                <w:color w:val="000000"/>
                <w:kern w:val="0"/>
                <w:sz w:val="21"/>
                <w:szCs w:val="21"/>
                <w:lang w:val="en-US" w:eastAsia="zh-CN"/>
              </w:rPr>
              <w:t>长沙市雨花区长沙国际企业中心12栋</w:t>
            </w:r>
          </w:p>
        </w:tc>
      </w:tr>
    </w:tbl>
    <w:p>
      <w:pPr>
        <w:autoSpaceDE w:val="0"/>
        <w:autoSpaceDN w:val="0"/>
        <w:adjustRightInd w:val="0"/>
        <w:spacing w:line="360" w:lineRule="auto"/>
        <w:jc w:val="both"/>
        <w:rPr>
          <w:rFonts w:hint="eastAsia" w:ascii="华文仿宋" w:hAnsi="华文仿宋" w:eastAsia="华文仿宋" w:cs="华文仿宋"/>
          <w:color w:val="000000"/>
          <w:kern w:val="0"/>
          <w:sz w:val="32"/>
          <w:szCs w:val="32"/>
          <w:lang w:val="en-US" w:eastAsia="zh-CN"/>
        </w:rPr>
      </w:pPr>
      <w:r>
        <w:rPr>
          <w:rFonts w:hint="eastAsia" w:ascii="华文仿宋" w:hAnsi="华文仿宋" w:eastAsia="华文仿宋" w:cs="华文仿宋"/>
          <w:color w:val="000000"/>
          <w:kern w:val="0"/>
          <w:sz w:val="32"/>
          <w:szCs w:val="32"/>
          <w:lang w:val="en-US" w:eastAsia="zh-CN"/>
        </w:rPr>
        <w:t>法人代表：</w:t>
      </w:r>
      <w:r>
        <w:rPr>
          <w:rFonts w:hint="eastAsia" w:eastAsia="华文仿宋" w:cs="Times New Roman"/>
          <w:color w:val="000000"/>
          <w:kern w:val="0"/>
          <w:sz w:val="32"/>
          <w:szCs w:val="32"/>
          <w:lang w:val="en-US" w:eastAsia="zh-CN"/>
        </w:rPr>
        <w:t>李宇晨</w:t>
      </w:r>
    </w:p>
    <w:p>
      <w:pPr>
        <w:autoSpaceDE w:val="0"/>
        <w:autoSpaceDN w:val="0"/>
        <w:adjustRightInd w:val="0"/>
        <w:spacing w:line="360" w:lineRule="auto"/>
        <w:jc w:val="both"/>
        <w:rPr>
          <w:rFonts w:hint="eastAsia" w:ascii="华文仿宋" w:hAnsi="华文仿宋" w:eastAsia="华文仿宋" w:cs="华文仿宋"/>
          <w:color w:val="000000"/>
          <w:kern w:val="0"/>
          <w:sz w:val="32"/>
          <w:szCs w:val="32"/>
          <w:lang w:val="en-US" w:eastAsia="zh-CN"/>
        </w:rPr>
      </w:pPr>
    </w:p>
    <w:p>
      <w:pPr>
        <w:autoSpaceDE w:val="0"/>
        <w:autoSpaceDN w:val="0"/>
        <w:adjustRightInd w:val="0"/>
        <w:spacing w:line="360" w:lineRule="auto"/>
        <w:jc w:val="both"/>
        <w:rPr>
          <w:rFonts w:hint="eastAsia" w:ascii="华文仿宋" w:hAnsi="华文仿宋" w:eastAsia="华文仿宋" w:cs="华文仿宋"/>
          <w:color w:val="000000"/>
          <w:kern w:val="0"/>
          <w:sz w:val="32"/>
          <w:szCs w:val="32"/>
          <w:lang w:val="en-US" w:eastAsia="zh-CN"/>
        </w:rPr>
      </w:pPr>
    </w:p>
    <w:p>
      <w:pPr>
        <w:autoSpaceDE w:val="0"/>
        <w:autoSpaceDN w:val="0"/>
        <w:adjustRightInd w:val="0"/>
        <w:spacing w:line="360" w:lineRule="auto"/>
        <w:jc w:val="both"/>
        <w:rPr>
          <w:rFonts w:hint="eastAsia" w:ascii="华文仿宋" w:hAnsi="华文仿宋" w:eastAsia="华文仿宋" w:cs="华文仿宋"/>
          <w:color w:val="000000"/>
          <w:kern w:val="0"/>
          <w:sz w:val="32"/>
          <w:szCs w:val="32"/>
          <w:lang w:val="en-US" w:eastAsia="zh-CN"/>
        </w:rPr>
      </w:pPr>
      <w:r>
        <w:rPr>
          <w:rFonts w:hint="eastAsia" w:ascii="华文仿宋" w:hAnsi="华文仿宋" w:eastAsia="华文仿宋" w:cs="华文仿宋"/>
          <w:color w:val="000000"/>
          <w:kern w:val="0"/>
          <w:sz w:val="32"/>
          <w:szCs w:val="32"/>
          <w:lang w:val="en-US" w:eastAsia="zh-CN"/>
        </w:rPr>
        <w:t>编制单位：湖南精科检测有限公司</w:t>
      </w:r>
    </w:p>
    <w:p>
      <w:pPr>
        <w:autoSpaceDE w:val="0"/>
        <w:autoSpaceDN w:val="0"/>
        <w:adjustRightInd w:val="0"/>
        <w:spacing w:line="360" w:lineRule="auto"/>
        <w:jc w:val="both"/>
        <w:rPr>
          <w:rFonts w:hint="eastAsia" w:ascii="华文仿宋" w:hAnsi="华文仿宋" w:eastAsia="华文仿宋" w:cs="华文仿宋"/>
          <w:color w:val="000000"/>
          <w:kern w:val="0"/>
          <w:sz w:val="32"/>
          <w:szCs w:val="32"/>
          <w:lang w:val="en-US" w:eastAsia="zh-CN"/>
        </w:rPr>
      </w:pPr>
      <w:r>
        <w:rPr>
          <w:rFonts w:hint="eastAsia" w:ascii="华文仿宋" w:hAnsi="华文仿宋" w:eastAsia="华文仿宋" w:cs="华文仿宋"/>
          <w:color w:val="000000"/>
          <w:kern w:val="0"/>
          <w:sz w:val="32"/>
          <w:szCs w:val="32"/>
          <w:lang w:val="en-US" w:eastAsia="zh-CN"/>
        </w:rPr>
        <w:t>法人代表：昌小兵</w:t>
      </w:r>
    </w:p>
    <w:p>
      <w:pPr>
        <w:autoSpaceDE w:val="0"/>
        <w:autoSpaceDN w:val="0"/>
        <w:adjustRightInd w:val="0"/>
        <w:spacing w:line="360" w:lineRule="auto"/>
        <w:jc w:val="both"/>
        <w:rPr>
          <w:rFonts w:hint="eastAsia" w:ascii="华文仿宋" w:hAnsi="华文仿宋" w:eastAsia="华文仿宋" w:cs="华文仿宋"/>
          <w:color w:val="000000"/>
          <w:kern w:val="0"/>
          <w:sz w:val="32"/>
          <w:szCs w:val="32"/>
          <w:lang w:val="en-US" w:eastAsia="zh-CN"/>
        </w:rPr>
      </w:pPr>
      <w:r>
        <w:rPr>
          <w:rFonts w:hint="eastAsia" w:ascii="华文仿宋" w:hAnsi="华文仿宋" w:eastAsia="华文仿宋" w:cs="华文仿宋"/>
          <w:color w:val="000000"/>
          <w:kern w:val="0"/>
          <w:sz w:val="32"/>
          <w:szCs w:val="32"/>
          <w:lang w:val="en-US" w:eastAsia="zh-CN"/>
        </w:rPr>
        <w:t>项目负责人：胡强</w:t>
      </w:r>
    </w:p>
    <w:p>
      <w:pPr>
        <w:pStyle w:val="11"/>
        <w:rPr>
          <w:lang w:val="zh-CN"/>
        </w:rPr>
      </w:pPr>
    </w:p>
    <w:p>
      <w:pPr>
        <w:autoSpaceDE w:val="0"/>
        <w:autoSpaceDN w:val="0"/>
        <w:adjustRightInd w:val="0"/>
        <w:spacing w:line="360" w:lineRule="auto"/>
        <w:jc w:val="center"/>
        <w:rPr>
          <w:color w:val="000000"/>
          <w:kern w:val="0"/>
          <w:sz w:val="32"/>
          <w:szCs w:val="32"/>
          <w:lang w:val="zh-CN"/>
        </w:rPr>
      </w:pPr>
    </w:p>
    <w:p>
      <w:pPr>
        <w:autoSpaceDE w:val="0"/>
        <w:autoSpaceDN w:val="0"/>
        <w:adjustRightInd w:val="0"/>
        <w:spacing w:line="360" w:lineRule="auto"/>
        <w:jc w:val="center"/>
        <w:rPr>
          <w:color w:val="000000"/>
          <w:kern w:val="0"/>
          <w:sz w:val="32"/>
          <w:szCs w:val="32"/>
          <w:lang w:val="zh-CN"/>
        </w:rPr>
      </w:pPr>
    </w:p>
    <w:p>
      <w:pPr>
        <w:autoSpaceDE w:val="0"/>
        <w:autoSpaceDN w:val="0"/>
        <w:adjustRightInd w:val="0"/>
        <w:spacing w:line="360" w:lineRule="auto"/>
        <w:jc w:val="center"/>
        <w:rPr>
          <w:color w:val="000000"/>
          <w:kern w:val="0"/>
          <w:sz w:val="32"/>
          <w:szCs w:val="32"/>
          <w:lang w:val="zh-CN"/>
        </w:rPr>
      </w:pPr>
    </w:p>
    <w:p>
      <w:pPr>
        <w:pStyle w:val="31"/>
        <w:rPr>
          <w:color w:val="000000"/>
          <w:kern w:val="0"/>
          <w:sz w:val="32"/>
          <w:szCs w:val="32"/>
          <w:lang w:val="zh-CN"/>
        </w:rPr>
      </w:pPr>
    </w:p>
    <w:p>
      <w:pPr>
        <w:pStyle w:val="31"/>
        <w:rPr>
          <w:color w:val="000000"/>
          <w:kern w:val="0"/>
          <w:sz w:val="32"/>
          <w:szCs w:val="32"/>
          <w:lang w:val="zh-CN"/>
        </w:rPr>
      </w:pPr>
    </w:p>
    <w:p>
      <w:pPr>
        <w:pStyle w:val="11"/>
        <w:rPr>
          <w:color w:val="000000"/>
          <w:kern w:val="0"/>
          <w:sz w:val="32"/>
          <w:szCs w:val="32"/>
          <w:lang w:val="zh-CN"/>
        </w:rPr>
      </w:pPr>
    </w:p>
    <w:p>
      <w:pPr>
        <w:pStyle w:val="11"/>
        <w:rPr>
          <w:lang w:val="zh-CN"/>
        </w:rPr>
        <w:sectPr>
          <w:pgSz w:w="11906" w:h="16838"/>
          <w:pgMar w:top="1418"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r>
        <w:rPr>
          <w:sz w:val="21"/>
        </w:rPr>
        <w:pict>
          <v:shape id="艺术字 45" o:spid="_x0000_s2320" o:spt="136" type="#_x0000_t136" style="position:absolute;left:0pt;margin-left:-11.45pt;margin-top:242.75pt;height:29.5pt;width:439.65pt;rotation:-1310720f;z-index:251873280;mso-width-relative:page;mso-height-relative:page;" fillcolor="#336699" filled="t" stroked="f" coordsize="21600,21600" adj="10800">
            <v:path/>
            <v:fill on="t" color2="#FFFFFF" focussize="0,0"/>
            <v:stroke on="f"/>
            <v:imagedata o:title=""/>
            <o:lock v:ext="edit" aspectratio="f"/>
            <v:textpath on="t" fitshape="t" fitpath="t" trim="t" xscale="f" string="仅用于益阳康宁精神病专科医院建设项目竣工环境保护验收监测报告" style="font-family:宋体;font-size:36pt;v-text-align:center;"/>
            <v:shadow on="t" obscured="f" color="#B2B2B2" opacity="52428f" offset="0.000236220472440945pt,0pt" offset2="-2pt,-2pt" origin="0f,0f" matrix="65536f,0f,0f,65536f,0,0"/>
          </v:shape>
        </w:pict>
      </w:r>
      <w:r>
        <w:rPr>
          <w:rFonts w:ascii="宋体" w:hAnsi="宋体" w:eastAsia="宋体" w:cs="宋体"/>
          <w:sz w:val="24"/>
          <w:szCs w:val="24"/>
        </w:rPr>
        <w:fldChar w:fldCharType="begin"/>
      </w:r>
      <w:r>
        <w:rPr>
          <w:rFonts w:ascii="宋体" w:hAnsi="宋体" w:eastAsia="宋体" w:cs="宋体"/>
          <w:sz w:val="24"/>
          <w:szCs w:val="24"/>
        </w:rPr>
        <w:instrText xml:space="preserve">INCLUDEPICTURE \d "C:\\Users\\54080\\Documents\\WXWork\\1688851140341315\\Cache\\Image\\2019-04\\企业微信截图_155417343622(1).png"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30495" cy="7399655"/>
            <wp:effectExtent l="0" t="0" r="8255" b="1079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4"/>
                    <a:stretch>
                      <a:fillRect/>
                    </a:stretch>
                  </pic:blipFill>
                  <pic:spPr>
                    <a:xfrm>
                      <a:off x="0" y="0"/>
                      <a:ext cx="5230495" cy="7399655"/>
                    </a:xfrm>
                    <a:prstGeom prst="rect">
                      <a:avLst/>
                    </a:prstGeom>
                    <a:noFill/>
                    <a:ln>
                      <a:noFill/>
                    </a:ln>
                  </pic:spPr>
                </pic:pic>
              </a:graphicData>
            </a:graphic>
          </wp:inline>
        </w:drawing>
      </w:r>
      <w:r>
        <w:rPr>
          <w:rFonts w:ascii="宋体" w:hAnsi="宋体" w:eastAsia="宋体" w:cs="宋体"/>
          <w:sz w:val="24"/>
          <w:szCs w:val="24"/>
        </w:rPr>
        <w:fldChar w:fldCharType="end"/>
      </w:r>
    </w:p>
    <w:p>
      <w:pPr>
        <w:autoSpaceDE w:val="0"/>
        <w:autoSpaceDN w:val="0"/>
        <w:adjustRightInd w:val="0"/>
        <w:spacing w:line="360" w:lineRule="auto"/>
        <w:rPr>
          <w:color w:val="000000"/>
          <w:kern w:val="0"/>
          <w:sz w:val="32"/>
          <w:szCs w:val="32"/>
        </w:rPr>
      </w:pPr>
    </w:p>
    <w:p>
      <w:pPr>
        <w:autoSpaceDE w:val="0"/>
        <w:autoSpaceDN w:val="0"/>
        <w:adjustRightInd w:val="0"/>
        <w:spacing w:line="360" w:lineRule="auto"/>
        <w:jc w:val="center"/>
        <w:rPr>
          <w:sz w:val="28"/>
        </w:rPr>
      </w:pPr>
    </w:p>
    <w:p>
      <w:pPr>
        <w:pStyle w:val="11"/>
      </w:pPr>
    </w:p>
    <w:tbl>
      <w:tblPr>
        <w:tblStyle w:val="32"/>
        <w:tblpPr w:leftFromText="180" w:rightFromText="180" w:vertAnchor="page" w:horzAnchor="page" w:tblpX="1832" w:tblpY="2211"/>
        <w:tblW w:w="9180" w:type="dxa"/>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trPr>
        <w:tc>
          <w:tcPr>
            <w:tcW w:w="9180" w:type="dxa"/>
            <w:vAlign w:val="top"/>
          </w:tcPr>
          <w:p>
            <w:pPr>
              <w:spacing w:beforeLines="50" w:afterLines="50" w:line="400" w:lineRule="exact"/>
              <w:jc w:val="center"/>
              <w:rPr>
                <w:b/>
                <w:spacing w:val="40"/>
                <w:sz w:val="36"/>
                <w:szCs w:val="36"/>
              </w:rPr>
            </w:pPr>
            <w:r>
              <w:rPr>
                <w:b/>
                <w:spacing w:val="40"/>
                <w:sz w:val="36"/>
                <w:szCs w:val="36"/>
              </w:rPr>
              <w:t>报告说明</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rPr>
                <w:sz w:val="24"/>
              </w:rPr>
            </w:pPr>
            <w:r>
              <w:rPr>
                <w:sz w:val="24"/>
              </w:rPr>
              <w:t>1.本报告无湖南</w:t>
            </w:r>
            <w:r>
              <w:rPr>
                <w:rFonts w:hint="eastAsia"/>
                <w:sz w:val="24"/>
              </w:rPr>
              <w:t>精科检测</w:t>
            </w:r>
            <w:r>
              <w:rPr>
                <w:sz w:val="24"/>
              </w:rPr>
              <w:t>有限公司报告专用章、骑缝章无效。</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rPr>
                <w:sz w:val="24"/>
              </w:rPr>
            </w:pPr>
            <w:r>
              <w:rPr>
                <w:sz w:val="24"/>
              </w:rPr>
              <w:t>2.本报告不得涂改、增删。</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rPr>
                <w:sz w:val="24"/>
              </w:rPr>
            </w:pPr>
            <w:r>
              <w:rPr>
                <w:sz w:val="24"/>
              </w:rPr>
              <w:t>3.本报告只对采样样品监测结果负责。</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rPr>
                <w:sz w:val="24"/>
              </w:rPr>
            </w:pPr>
            <w:r>
              <w:rPr>
                <w:sz w:val="24"/>
              </w:rPr>
              <w:t>4.本报告未经同意不得作为商业广告使用。</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rPr>
                <w:sz w:val="24"/>
              </w:rPr>
            </w:pPr>
            <w:r>
              <w:rPr>
                <w:sz w:val="24"/>
              </w:rPr>
              <w:t>5.未经湖南</w:t>
            </w:r>
            <w:r>
              <w:rPr>
                <w:rFonts w:hint="eastAsia"/>
                <w:sz w:val="24"/>
              </w:rPr>
              <w:t>精科检测</w:t>
            </w:r>
            <w:r>
              <w:rPr>
                <w:sz w:val="24"/>
              </w:rPr>
              <w:t>有限公司书面批准，不得部分复制报告。</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rPr>
                <w:sz w:val="24"/>
              </w:rPr>
            </w:pPr>
            <w:r>
              <w:rPr>
                <w:sz w:val="24"/>
              </w:rPr>
              <w:t>6.对本报告有疑议，请在收到报告10天之内与本公司联系。</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rPr>
                <w:sz w:val="24"/>
              </w:rPr>
            </w:pPr>
            <w:r>
              <w:rPr>
                <w:sz w:val="24"/>
              </w:rPr>
              <w:t>7.除客户特别申明并支付样品管理费，所有样品超过标准规定的时效期均不再做留样。</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Lines="50" w:afterLines="50" w:line="360" w:lineRule="auto"/>
              <w:ind w:firstLine="240" w:firstLineChars="100"/>
              <w:rPr>
                <w:sz w:val="24"/>
              </w:rPr>
            </w:pPr>
          </w:p>
        </w:tc>
      </w:tr>
    </w:tbl>
    <w:p>
      <w:pPr>
        <w:spacing w:before="200" w:line="240" w:lineRule="exact"/>
        <w:rPr>
          <w:rFonts w:asciiTheme="minorEastAsia" w:hAnsiTheme="minorEastAsia" w:eastAsiaTheme="minorEastAsia" w:cstheme="minorEastAsia"/>
          <w:sz w:val="28"/>
        </w:rPr>
      </w:pPr>
    </w:p>
    <w:p>
      <w:pPr>
        <w:spacing w:before="200" w:line="240" w:lineRule="exact"/>
        <w:rPr>
          <w:rFonts w:asciiTheme="minorEastAsia" w:hAnsiTheme="minorEastAsia" w:eastAsiaTheme="minorEastAsia" w:cstheme="minorEastAsia"/>
          <w:sz w:val="28"/>
        </w:rPr>
      </w:pPr>
    </w:p>
    <w:p>
      <w:pPr>
        <w:spacing w:before="200" w:line="240" w:lineRule="exact"/>
        <w:rPr>
          <w:rFonts w:asciiTheme="minorEastAsia" w:hAnsiTheme="minorEastAsia" w:eastAsiaTheme="minorEastAsia" w:cstheme="minorEastAsia"/>
          <w:sz w:val="28"/>
        </w:rPr>
      </w:pPr>
    </w:p>
    <w:p>
      <w:pPr>
        <w:spacing w:before="200" w:line="240" w:lineRule="exact"/>
        <w:rPr>
          <w:rFonts w:asciiTheme="minorEastAsia" w:hAnsiTheme="minorEastAsia" w:eastAsiaTheme="minorEastAsia" w:cstheme="minorEastAsia"/>
          <w:sz w:val="28"/>
        </w:rPr>
      </w:pPr>
    </w:p>
    <w:p>
      <w:pPr>
        <w:rPr>
          <w:rFonts w:asciiTheme="minorEastAsia" w:hAnsiTheme="minorEastAsia" w:eastAsiaTheme="minorEastAsia" w:cstheme="minorEastAsia"/>
          <w:b/>
          <w:sz w:val="30"/>
          <w:szCs w:val="30"/>
        </w:rPr>
      </w:pPr>
    </w:p>
    <w:p>
      <w:pPr>
        <w:rPr>
          <w:rFonts w:asciiTheme="minorEastAsia" w:hAnsiTheme="minorEastAsia" w:eastAsiaTheme="minorEastAsia" w:cstheme="minorEastAsia"/>
          <w:b/>
          <w:sz w:val="30"/>
          <w:szCs w:val="30"/>
        </w:rPr>
      </w:pPr>
    </w:p>
    <w:p>
      <w:pPr>
        <w:rPr>
          <w:rFonts w:asciiTheme="minorEastAsia" w:hAnsiTheme="minorEastAsia" w:eastAsiaTheme="minorEastAsia" w:cstheme="minorEastAsia"/>
          <w:b/>
          <w:sz w:val="30"/>
          <w:szCs w:val="30"/>
        </w:rPr>
      </w:pPr>
    </w:p>
    <w:p>
      <w:pPr>
        <w:rPr>
          <w:rFonts w:asciiTheme="minorEastAsia" w:hAnsiTheme="minorEastAsia" w:eastAsiaTheme="minorEastAsia" w:cstheme="minorEastAsia"/>
          <w:b/>
          <w:sz w:val="30"/>
          <w:szCs w:val="30"/>
        </w:rPr>
      </w:pPr>
    </w:p>
    <w:p>
      <w:pPr>
        <w:rPr>
          <w:rFonts w:asciiTheme="minorEastAsia" w:hAnsiTheme="minorEastAsia" w:eastAsiaTheme="minorEastAsia" w:cstheme="minorEastAsia"/>
          <w:b/>
          <w:sz w:val="30"/>
          <w:szCs w:val="30"/>
        </w:rPr>
      </w:pPr>
    </w:p>
    <w:p>
      <w:pPr>
        <w:rPr>
          <w:rFonts w:asciiTheme="minorEastAsia" w:hAnsiTheme="minorEastAsia" w:eastAsiaTheme="minorEastAsia" w:cstheme="minorEastAsia"/>
          <w:b/>
          <w:sz w:val="30"/>
          <w:szCs w:val="30"/>
        </w:rPr>
      </w:pPr>
    </w:p>
    <w:p>
      <w:pPr>
        <w:sectPr>
          <w:footerReference r:id="rId7" w:type="default"/>
          <w:pgSz w:w="11906" w:h="16838"/>
          <w:pgMar w:top="1418"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b/>
          <w:sz w:val="30"/>
          <w:szCs w:val="30"/>
          <w:highlight w:val="yellow"/>
        </w:rPr>
        <w:t>声明：复制本报告中的部分内容无效。</w:t>
      </w:r>
    </w:p>
    <w:p>
      <w:pPr>
        <w:pStyle w:val="11"/>
      </w:pPr>
    </w:p>
    <w:p>
      <w:pPr>
        <w:autoSpaceDE w:val="0"/>
        <w:autoSpaceDN w:val="0"/>
        <w:adjustRightInd w:val="0"/>
        <w:spacing w:line="360" w:lineRule="auto"/>
        <w:jc w:val="center"/>
        <w:rPr>
          <w:rFonts w:eastAsia="楷体_GB2312"/>
          <w:color w:val="000000"/>
          <w:kern w:val="0"/>
          <w:sz w:val="32"/>
          <w:szCs w:val="32"/>
        </w:rPr>
      </w:pPr>
    </w:p>
    <w:p>
      <w:pPr>
        <w:autoSpaceDE w:val="0"/>
        <w:autoSpaceDN w:val="0"/>
        <w:adjustRightInd w:val="0"/>
        <w:spacing w:line="360" w:lineRule="auto"/>
        <w:rPr>
          <w:rFonts w:eastAsia="楷体_GB2312"/>
          <w:color w:val="000000"/>
          <w:kern w:val="0"/>
          <w:sz w:val="32"/>
          <w:szCs w:val="32"/>
        </w:rPr>
      </w:pPr>
    </w:p>
    <w:p>
      <w:pPr>
        <w:spacing w:before="200" w:line="240" w:lineRule="exact"/>
        <w:rPr>
          <w:sz w:val="28"/>
        </w:rPr>
      </w:pPr>
    </w:p>
    <w:p>
      <w:pPr>
        <w:rPr>
          <w:b/>
          <w:sz w:val="30"/>
          <w:szCs w:val="30"/>
        </w:rPr>
      </w:pPr>
    </w:p>
    <w:p>
      <w:pPr>
        <w:pStyle w:val="11"/>
        <w:rPr>
          <w:b/>
          <w:sz w:val="30"/>
          <w:szCs w:val="30"/>
        </w:rPr>
      </w:pPr>
    </w:p>
    <w:tbl>
      <w:tblPr>
        <w:tblStyle w:val="32"/>
        <w:tblpPr w:leftFromText="180" w:rightFromText="180" w:vertAnchor="page" w:horzAnchor="page" w:tblpX="1832" w:tblpY="2211"/>
        <w:tblW w:w="9180" w:type="dxa"/>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trPr>
        <w:tc>
          <w:tcPr>
            <w:tcW w:w="9180" w:type="dxa"/>
          </w:tcPr>
          <w:p>
            <w:pPr>
              <w:spacing w:beforeLines="50" w:afterLines="50" w:line="400" w:lineRule="exact"/>
              <w:jc w:val="center"/>
              <w:rPr>
                <w:b/>
                <w:spacing w:val="40"/>
                <w:sz w:val="36"/>
                <w:szCs w:val="36"/>
              </w:rPr>
            </w:pPr>
            <w:r>
              <w:rPr>
                <w:b/>
                <w:spacing w:val="40"/>
                <w:sz w:val="36"/>
                <w:szCs w:val="36"/>
              </w:rPr>
              <w:t>报告说明</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sz w:val="24"/>
              </w:rPr>
            </w:pPr>
            <w:r>
              <w:rPr>
                <w:sz w:val="24"/>
              </w:rPr>
              <w:t>1.本报告无湖南</w:t>
            </w:r>
            <w:r>
              <w:rPr>
                <w:rFonts w:hint="eastAsia"/>
                <w:sz w:val="24"/>
              </w:rPr>
              <w:t>精科检测</w:t>
            </w:r>
            <w:r>
              <w:rPr>
                <w:sz w:val="24"/>
              </w:rPr>
              <w:t>有限公司报告专用章、骑缝章无效。</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sz w:val="24"/>
              </w:rPr>
            </w:pPr>
            <w:r>
              <w:rPr>
                <w:sz w:val="24"/>
              </w:rPr>
              <w:t>2.本报告不得涂改、增删。</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sz w:val="24"/>
              </w:rPr>
            </w:pPr>
            <w:r>
              <w:rPr>
                <w:sz w:val="24"/>
              </w:rPr>
              <w:t>3.本报告只对采样样品监测结果负责。</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sz w:val="24"/>
              </w:rPr>
            </w:pPr>
            <w:r>
              <w:rPr>
                <w:sz w:val="24"/>
              </w:rPr>
              <w:t>4.本报告未经同意不得作为商业广告使用。</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sz w:val="24"/>
              </w:rPr>
            </w:pPr>
            <w:r>
              <w:rPr>
                <w:sz w:val="24"/>
              </w:rPr>
              <w:t>5.未经湖南</w:t>
            </w:r>
            <w:r>
              <w:rPr>
                <w:rFonts w:hint="eastAsia"/>
                <w:sz w:val="24"/>
              </w:rPr>
              <w:t>精科检测</w:t>
            </w:r>
            <w:r>
              <w:rPr>
                <w:sz w:val="24"/>
              </w:rPr>
              <w:t>有限公司书面批准，不得部分复制报告。</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sz w:val="24"/>
              </w:rPr>
            </w:pPr>
            <w:r>
              <w:rPr>
                <w:sz w:val="24"/>
              </w:rPr>
              <w:t>6.对本报告有疑议，请在收到报告10天之内与本公司联系。</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sz w:val="24"/>
              </w:rPr>
            </w:pPr>
            <w:r>
              <w:rPr>
                <w:sz w:val="24"/>
              </w:rPr>
              <w:t>7.除客户特别申明并支付样品管理费，所有样品超过标准规定的时效期均不再做留样。</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ind w:firstLine="240" w:firstLineChars="100"/>
              <w:rPr>
                <w:sz w:val="24"/>
              </w:rPr>
            </w:pPr>
          </w:p>
        </w:tc>
      </w:tr>
    </w:tbl>
    <w:p>
      <w:pPr>
        <w:spacing w:beforeLines="50" w:afterLines="50" w:line="360" w:lineRule="auto"/>
        <w:rPr>
          <w:b/>
          <w:sz w:val="24"/>
        </w:rPr>
      </w:pPr>
    </w:p>
    <w:tbl>
      <w:tblPr>
        <w:tblStyle w:val="32"/>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rPr>
          <w:trHeight w:val="340" w:hRule="atLeast"/>
        </w:trPr>
        <w:tc>
          <w:tcPr>
            <w:tcW w:w="8522" w:type="dxa"/>
            <w:vAlign w:val="center"/>
          </w:tcPr>
          <w:p>
            <w:pPr>
              <w:spacing w:beforeLines="50" w:afterLines="50"/>
              <w:rPr>
                <w:sz w:val="24"/>
              </w:rPr>
            </w:pPr>
            <w:r>
              <w:rPr>
                <w:sz w:val="24"/>
              </w:rPr>
              <w:t>地    址: 中国湖南省长沙市雨花区环保中路188号国际企业中心12栋501房</w:t>
            </w:r>
          </w:p>
        </w:tc>
      </w:tr>
      <w:tr>
        <w:tblPrEx>
          <w:tblLayout w:type="fixed"/>
          <w:tblCellMar>
            <w:top w:w="0" w:type="dxa"/>
            <w:left w:w="108" w:type="dxa"/>
            <w:bottom w:w="0" w:type="dxa"/>
            <w:right w:w="108" w:type="dxa"/>
          </w:tblCellMar>
        </w:tblPrEx>
        <w:trPr>
          <w:trHeight w:val="340" w:hRule="atLeast"/>
        </w:trPr>
        <w:tc>
          <w:tcPr>
            <w:tcW w:w="8522" w:type="dxa"/>
            <w:vAlign w:val="center"/>
          </w:tcPr>
          <w:p>
            <w:pPr>
              <w:spacing w:beforeLines="50" w:afterLines="50"/>
              <w:rPr>
                <w:sz w:val="24"/>
              </w:rPr>
            </w:pPr>
            <w:r>
              <w:rPr>
                <w:sz w:val="24"/>
              </w:rPr>
              <w:t>邮    编: 410000</w:t>
            </w:r>
          </w:p>
        </w:tc>
      </w:tr>
      <w:tr>
        <w:tblPrEx>
          <w:tblLayout w:type="fixed"/>
          <w:tblCellMar>
            <w:top w:w="0" w:type="dxa"/>
            <w:left w:w="108" w:type="dxa"/>
            <w:bottom w:w="0" w:type="dxa"/>
            <w:right w:w="108" w:type="dxa"/>
          </w:tblCellMar>
        </w:tblPrEx>
        <w:trPr>
          <w:trHeight w:val="340" w:hRule="atLeast"/>
        </w:trPr>
        <w:tc>
          <w:tcPr>
            <w:tcW w:w="8522" w:type="dxa"/>
            <w:vAlign w:val="center"/>
          </w:tcPr>
          <w:p>
            <w:pPr>
              <w:spacing w:beforeLines="50" w:afterLines="50"/>
              <w:rPr>
                <w:sz w:val="24"/>
              </w:rPr>
            </w:pPr>
            <w:r>
              <w:rPr>
                <w:sz w:val="24"/>
              </w:rPr>
              <w:t>电    话: 0731-86953</w:t>
            </w:r>
            <w:r>
              <w:rPr>
                <w:rFonts w:hint="eastAsia"/>
                <w:sz w:val="24"/>
              </w:rPr>
              <w:t>7</w:t>
            </w:r>
            <w:r>
              <w:rPr>
                <w:sz w:val="24"/>
              </w:rPr>
              <w:t>66</w:t>
            </w:r>
          </w:p>
        </w:tc>
      </w:tr>
      <w:tr>
        <w:tblPrEx>
          <w:tblLayout w:type="fixed"/>
          <w:tblCellMar>
            <w:top w:w="0" w:type="dxa"/>
            <w:left w:w="108" w:type="dxa"/>
            <w:bottom w:w="0" w:type="dxa"/>
            <w:right w:w="108" w:type="dxa"/>
          </w:tblCellMar>
        </w:tblPrEx>
        <w:trPr>
          <w:trHeight w:val="340" w:hRule="atLeast"/>
        </w:trPr>
        <w:tc>
          <w:tcPr>
            <w:tcW w:w="8522" w:type="dxa"/>
            <w:vAlign w:val="center"/>
          </w:tcPr>
          <w:p>
            <w:pPr>
              <w:spacing w:beforeLines="50" w:afterLines="50"/>
              <w:rPr>
                <w:sz w:val="24"/>
              </w:rPr>
            </w:pPr>
            <w:r>
              <w:rPr>
                <w:sz w:val="24"/>
              </w:rPr>
              <w:t>传    真: 0731-86953766</w:t>
            </w:r>
          </w:p>
        </w:tc>
      </w:tr>
    </w:tbl>
    <w:p>
      <w:pPr>
        <w:rPr>
          <w:b/>
          <w:sz w:val="30"/>
          <w:szCs w:val="30"/>
        </w:rPr>
        <w:sectPr>
          <w:pgSz w:w="11906" w:h="16838"/>
          <w:pgMar w:top="1418"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b/>
          <w:sz w:val="36"/>
          <w:szCs w:val="36"/>
        </w:rPr>
      </w:pPr>
      <w:r>
        <w:rPr>
          <w:b/>
          <w:sz w:val="36"/>
          <w:szCs w:val="36"/>
        </w:rPr>
        <w:t>目  录</w:t>
      </w:r>
    </w:p>
    <w:p>
      <w:pPr>
        <w:pStyle w:val="22"/>
        <w:tabs>
          <w:tab w:val="right" w:leader="dot" w:pos="8504"/>
          <w:tab w:val="clear" w:pos="8296"/>
        </w:tabs>
      </w:pPr>
      <w:r>
        <w:rPr>
          <w:rFonts w:hAnsi="宋体"/>
        </w:rPr>
        <w:fldChar w:fldCharType="begin"/>
      </w:r>
      <w:r>
        <w:rPr>
          <w:rStyle w:val="38"/>
          <w:rFonts w:hAnsi="宋体"/>
          <w:color w:val="auto"/>
          <w:u w:val="none"/>
        </w:rPr>
        <w:instrText xml:space="preserve">TOC \o "1-3" \h \u </w:instrText>
      </w:r>
      <w:r>
        <w:rPr>
          <w:rFonts w:hAnsi="宋体"/>
        </w:rPr>
        <w:fldChar w:fldCharType="separate"/>
      </w:r>
      <w:r>
        <w:rPr>
          <w:rFonts w:hAnsi="宋体"/>
        </w:rPr>
        <w:fldChar w:fldCharType="begin"/>
      </w:r>
      <w:r>
        <w:rPr>
          <w:rFonts w:hAnsi="宋体"/>
        </w:rPr>
        <w:instrText xml:space="preserve"> HYPERLINK \l _Toc22390 </w:instrText>
      </w:r>
      <w:r>
        <w:rPr>
          <w:rFonts w:hAnsi="宋体"/>
        </w:rPr>
        <w:fldChar w:fldCharType="separate"/>
      </w:r>
      <w:r>
        <w:rPr>
          <w:szCs w:val="32"/>
        </w:rPr>
        <w:t>1 前言</w:t>
      </w:r>
      <w:r>
        <w:tab/>
      </w:r>
      <w:r>
        <w:fldChar w:fldCharType="begin"/>
      </w:r>
      <w:r>
        <w:instrText xml:space="preserve"> PAGEREF _Toc22390 </w:instrText>
      </w:r>
      <w:r>
        <w:fldChar w:fldCharType="separate"/>
      </w:r>
      <w:r>
        <w:t>1</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_Toc21824 </w:instrText>
      </w:r>
      <w:r>
        <w:rPr>
          <w:rFonts w:hAnsi="宋体"/>
        </w:rPr>
        <w:fldChar w:fldCharType="separate"/>
      </w:r>
      <w:r>
        <w:rPr>
          <w:szCs w:val="32"/>
        </w:rPr>
        <w:t>2 验收监测依据</w:t>
      </w:r>
      <w:r>
        <w:tab/>
      </w:r>
      <w:r>
        <w:fldChar w:fldCharType="begin"/>
      </w:r>
      <w:r>
        <w:instrText xml:space="preserve"> PAGEREF _Toc21824 </w:instrText>
      </w:r>
      <w:r>
        <w:fldChar w:fldCharType="separate"/>
      </w:r>
      <w:r>
        <w:t>2</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_Toc26488 </w:instrText>
      </w:r>
      <w:r>
        <w:rPr>
          <w:rFonts w:hAnsi="宋体"/>
        </w:rPr>
        <w:fldChar w:fldCharType="separate"/>
      </w:r>
      <w:r>
        <w:rPr>
          <w:szCs w:val="32"/>
        </w:rPr>
        <w:t xml:space="preserve">3 </w:t>
      </w:r>
      <w:r>
        <w:rPr>
          <w:rFonts w:hint="eastAsia"/>
          <w:szCs w:val="32"/>
          <w:lang w:eastAsia="zh-CN"/>
        </w:rPr>
        <w:t>建设项目</w:t>
      </w:r>
      <w:r>
        <w:rPr>
          <w:szCs w:val="32"/>
        </w:rPr>
        <w:t>工程概况</w:t>
      </w:r>
      <w:r>
        <w:tab/>
      </w:r>
      <w:r>
        <w:fldChar w:fldCharType="begin"/>
      </w:r>
      <w:r>
        <w:instrText xml:space="preserve"> PAGEREF _Toc26488 </w:instrText>
      </w:r>
      <w:r>
        <w:fldChar w:fldCharType="separate"/>
      </w:r>
      <w:r>
        <w:t>3</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_Toc19451 </w:instrText>
      </w:r>
      <w:r>
        <w:rPr>
          <w:rFonts w:hAnsi="宋体"/>
        </w:rPr>
        <w:fldChar w:fldCharType="separate"/>
      </w:r>
      <w:r>
        <w:rPr>
          <w:rFonts w:ascii="Times New Roman" w:hAnsi="Times New Roman" w:eastAsia="宋体"/>
          <w:szCs w:val="28"/>
        </w:rPr>
        <w:t>3.1</w:t>
      </w:r>
      <w:r>
        <w:rPr>
          <w:rFonts w:hint="eastAsia" w:ascii="Times New Roman" w:hAnsi="Times New Roman" w:eastAsia="宋体"/>
          <w:szCs w:val="28"/>
        </w:rPr>
        <w:t xml:space="preserve"> </w:t>
      </w:r>
      <w:r>
        <w:rPr>
          <w:rFonts w:hint="eastAsia" w:ascii="Times New Roman" w:hAnsi="Times New Roman" w:eastAsia="宋体" w:cs="Times New Roman"/>
          <w:szCs w:val="30"/>
        </w:rPr>
        <w:t>地理位置及平面布置</w:t>
      </w:r>
      <w:r>
        <w:tab/>
      </w:r>
      <w:r>
        <w:fldChar w:fldCharType="begin"/>
      </w:r>
      <w:r>
        <w:instrText xml:space="preserve"> PAGEREF _Toc19451 </w:instrText>
      </w:r>
      <w:r>
        <w:fldChar w:fldCharType="separate"/>
      </w:r>
      <w:r>
        <w:t>3</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_Toc21279 </w:instrText>
      </w:r>
      <w:r>
        <w:rPr>
          <w:rFonts w:hAnsi="宋体"/>
        </w:rPr>
        <w:fldChar w:fldCharType="separate"/>
      </w:r>
      <w:r>
        <w:rPr>
          <w:rFonts w:ascii="Times New Roman" w:hAnsi="Times New Roman" w:eastAsia="宋体"/>
          <w:szCs w:val="28"/>
        </w:rPr>
        <w:t>3.</w:t>
      </w:r>
      <w:r>
        <w:rPr>
          <w:rFonts w:hint="eastAsia" w:ascii="Times New Roman" w:hAnsi="Times New Roman" w:eastAsia="宋体"/>
          <w:szCs w:val="28"/>
          <w:lang w:val="en-US" w:eastAsia="zh-CN"/>
        </w:rPr>
        <w:t>2</w:t>
      </w:r>
      <w:r>
        <w:rPr>
          <w:rFonts w:hint="eastAsia" w:ascii="Times New Roman" w:hAnsi="Times New Roman" w:eastAsia="宋体"/>
          <w:szCs w:val="28"/>
        </w:rPr>
        <w:t xml:space="preserve"> </w:t>
      </w:r>
      <w:r>
        <w:rPr>
          <w:rFonts w:hint="eastAsia" w:ascii="Times New Roman" w:hAnsi="Times New Roman" w:eastAsia="宋体" w:cs="Times New Roman"/>
          <w:szCs w:val="30"/>
        </w:rPr>
        <w:t>建设内容</w:t>
      </w:r>
      <w:r>
        <w:tab/>
      </w:r>
      <w:r>
        <w:fldChar w:fldCharType="begin"/>
      </w:r>
      <w:r>
        <w:instrText xml:space="preserve"> PAGEREF _Toc21279 </w:instrText>
      </w:r>
      <w:r>
        <w:fldChar w:fldCharType="separate"/>
      </w:r>
      <w:r>
        <w:t>4</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_Toc19740 </w:instrText>
      </w:r>
      <w:r>
        <w:rPr>
          <w:rFonts w:hAnsi="宋体"/>
        </w:rPr>
        <w:fldChar w:fldCharType="separate"/>
      </w:r>
      <w:r>
        <w:rPr>
          <w:rFonts w:hint="eastAsia" w:ascii="Times New Roman" w:hAnsi="Times New Roman" w:eastAsia="宋体"/>
          <w:szCs w:val="28"/>
        </w:rPr>
        <w:t xml:space="preserve">3.2 </w:t>
      </w:r>
      <w:r>
        <w:rPr>
          <w:rFonts w:hint="eastAsia" w:ascii="Times New Roman" w:hAnsi="Times New Roman" w:eastAsia="宋体"/>
          <w:szCs w:val="28"/>
          <w:lang w:val="en-US" w:eastAsia="zh-CN"/>
        </w:rPr>
        <w:t>诊疗工艺及产污环节</w:t>
      </w:r>
      <w:r>
        <w:tab/>
      </w:r>
      <w:r>
        <w:fldChar w:fldCharType="begin"/>
      </w:r>
      <w:r>
        <w:instrText xml:space="preserve"> PAGEREF _Toc19740 </w:instrText>
      </w:r>
      <w:r>
        <w:fldChar w:fldCharType="separate"/>
      </w:r>
      <w:r>
        <w:t>5</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_Toc26776 </w:instrText>
      </w:r>
      <w:r>
        <w:rPr>
          <w:rFonts w:hAnsi="宋体"/>
        </w:rPr>
        <w:fldChar w:fldCharType="separate"/>
      </w:r>
      <w:r>
        <w:rPr>
          <w:rFonts w:ascii="Times New Roman" w:hAnsi="Times New Roman" w:eastAsia="宋体"/>
          <w:szCs w:val="28"/>
        </w:rPr>
        <w:t>3.</w:t>
      </w:r>
      <w:r>
        <w:rPr>
          <w:rFonts w:hint="eastAsia" w:ascii="Times New Roman" w:hAnsi="Times New Roman" w:eastAsia="宋体"/>
          <w:szCs w:val="28"/>
        </w:rPr>
        <w:t xml:space="preserve">3 </w:t>
      </w:r>
      <w:r>
        <w:rPr>
          <w:rFonts w:hint="eastAsia" w:ascii="宋体" w:hAnsi="宋体" w:eastAsia="宋体"/>
          <w:szCs w:val="28"/>
        </w:rPr>
        <w:t>污水处理工艺流程图</w:t>
      </w:r>
      <w:r>
        <w:tab/>
      </w:r>
      <w:r>
        <w:fldChar w:fldCharType="begin"/>
      </w:r>
      <w:r>
        <w:instrText xml:space="preserve"> PAGEREF _Toc26776 </w:instrText>
      </w:r>
      <w:r>
        <w:fldChar w:fldCharType="separate"/>
      </w:r>
      <w:r>
        <w:t>6</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_Toc4798 </w:instrText>
      </w:r>
      <w:r>
        <w:rPr>
          <w:rFonts w:hAnsi="宋体"/>
        </w:rPr>
        <w:fldChar w:fldCharType="separate"/>
      </w:r>
      <w:r>
        <w:rPr>
          <w:rFonts w:ascii="Times New Roman" w:hAnsi="Times New Roman" w:eastAsia="宋体"/>
          <w:szCs w:val="28"/>
        </w:rPr>
        <w:t>3.</w:t>
      </w:r>
      <w:r>
        <w:rPr>
          <w:rFonts w:hint="eastAsia" w:ascii="Times New Roman" w:hAnsi="Times New Roman" w:eastAsia="宋体"/>
          <w:szCs w:val="28"/>
        </w:rPr>
        <w:t xml:space="preserve">4 </w:t>
      </w:r>
      <w:r>
        <w:rPr>
          <w:rFonts w:hint="eastAsia" w:ascii="Times New Roman" w:hAnsi="Times New Roman" w:eastAsia="宋体"/>
          <w:szCs w:val="28"/>
          <w:lang w:val="zh-CN"/>
        </w:rPr>
        <w:t>水源及水平衡</w:t>
      </w:r>
      <w:r>
        <w:tab/>
      </w:r>
      <w:r>
        <w:fldChar w:fldCharType="begin"/>
      </w:r>
      <w:r>
        <w:instrText xml:space="preserve"> PAGEREF _Toc4798 </w:instrText>
      </w:r>
      <w:r>
        <w:fldChar w:fldCharType="separate"/>
      </w:r>
      <w:r>
        <w:t>6</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_Toc5033 </w:instrText>
      </w:r>
      <w:r>
        <w:rPr>
          <w:rFonts w:hAnsi="宋体"/>
        </w:rPr>
        <w:fldChar w:fldCharType="separate"/>
      </w:r>
      <w:r>
        <w:rPr>
          <w:rFonts w:ascii="Times New Roman" w:hAnsi="Times New Roman" w:eastAsia="宋体"/>
          <w:szCs w:val="28"/>
        </w:rPr>
        <w:t>3.</w:t>
      </w:r>
      <w:r>
        <w:rPr>
          <w:rFonts w:hint="eastAsia" w:ascii="Times New Roman" w:hAnsi="Times New Roman" w:eastAsia="宋体"/>
          <w:szCs w:val="28"/>
          <w:lang w:val="en-US" w:eastAsia="zh-CN"/>
        </w:rPr>
        <w:t>5</w:t>
      </w:r>
      <w:r>
        <w:rPr>
          <w:rFonts w:hint="eastAsia" w:ascii="Times New Roman" w:hAnsi="Times New Roman" w:eastAsia="宋体"/>
          <w:szCs w:val="28"/>
        </w:rPr>
        <w:t xml:space="preserve"> </w:t>
      </w:r>
      <w:r>
        <w:rPr>
          <w:rFonts w:hint="default" w:ascii="Times New Roman" w:hAnsi="Times New Roman" w:eastAsia="宋体" w:cs="Times New Roman"/>
          <w:szCs w:val="28"/>
        </w:rPr>
        <w:t>污染物总量核算</w:t>
      </w:r>
      <w:r>
        <w:tab/>
      </w:r>
      <w:r>
        <w:fldChar w:fldCharType="begin"/>
      </w:r>
      <w:r>
        <w:instrText xml:space="preserve"> PAGEREF _Toc5033 </w:instrText>
      </w:r>
      <w:r>
        <w:fldChar w:fldCharType="separate"/>
      </w:r>
      <w:r>
        <w:t>7</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_Toc29504 </w:instrText>
      </w:r>
      <w:r>
        <w:rPr>
          <w:rFonts w:hAnsi="宋体"/>
        </w:rPr>
        <w:fldChar w:fldCharType="separate"/>
      </w:r>
      <w:r>
        <w:rPr>
          <w:rFonts w:ascii="Times New Roman" w:hAnsi="Times New Roman" w:eastAsia="宋体"/>
          <w:szCs w:val="28"/>
        </w:rPr>
        <w:t>3.</w:t>
      </w:r>
      <w:r>
        <w:rPr>
          <w:rFonts w:hint="eastAsia" w:ascii="Times New Roman" w:hAnsi="Times New Roman" w:eastAsia="宋体"/>
          <w:szCs w:val="28"/>
          <w:lang w:val="en-US" w:eastAsia="zh-CN"/>
        </w:rPr>
        <w:t>6</w:t>
      </w:r>
      <w:r>
        <w:rPr>
          <w:rFonts w:hint="eastAsia" w:ascii="Times New Roman" w:hAnsi="Times New Roman" w:eastAsia="宋体"/>
          <w:szCs w:val="28"/>
        </w:rPr>
        <w:t xml:space="preserve"> </w:t>
      </w:r>
      <w:r>
        <w:rPr>
          <w:rFonts w:hint="default" w:ascii="Times New Roman" w:hAnsi="Times New Roman" w:eastAsia="宋体" w:cs="Times New Roman"/>
          <w:bCs/>
          <w:szCs w:val="28"/>
        </w:rPr>
        <w:t>项目变动情况</w:t>
      </w:r>
      <w:r>
        <w:tab/>
      </w:r>
      <w:r>
        <w:fldChar w:fldCharType="begin"/>
      </w:r>
      <w:r>
        <w:instrText xml:space="preserve"> PAGEREF _Toc29504 </w:instrText>
      </w:r>
      <w:r>
        <w:fldChar w:fldCharType="separate"/>
      </w:r>
      <w:r>
        <w:t>7</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_Toc19492 </w:instrText>
      </w:r>
      <w:r>
        <w:rPr>
          <w:rFonts w:hAnsi="宋体"/>
        </w:rPr>
        <w:fldChar w:fldCharType="separate"/>
      </w:r>
      <w:r>
        <w:rPr>
          <w:rFonts w:hint="eastAsia"/>
          <w:szCs w:val="32"/>
          <w:lang w:val="en-US" w:eastAsia="zh-CN"/>
        </w:rPr>
        <w:t>4</w:t>
      </w:r>
      <w:r>
        <w:rPr>
          <w:rFonts w:hint="eastAsia"/>
          <w:szCs w:val="32"/>
        </w:rPr>
        <w:t xml:space="preserve"> </w:t>
      </w:r>
      <w:r>
        <w:rPr>
          <w:szCs w:val="32"/>
        </w:rPr>
        <w:t>环境</w:t>
      </w:r>
      <w:r>
        <w:rPr>
          <w:rFonts w:hint="eastAsia"/>
          <w:szCs w:val="32"/>
        </w:rPr>
        <w:t>保护设施</w:t>
      </w:r>
      <w:r>
        <w:tab/>
      </w:r>
      <w:r>
        <w:fldChar w:fldCharType="begin"/>
      </w:r>
      <w:r>
        <w:instrText xml:space="preserve"> PAGEREF _Toc19492 </w:instrText>
      </w:r>
      <w:r>
        <w:fldChar w:fldCharType="separate"/>
      </w:r>
      <w:r>
        <w:t>8</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_Toc15985 </w:instrText>
      </w:r>
      <w:r>
        <w:rPr>
          <w:rFonts w:hAnsi="宋体"/>
        </w:rPr>
        <w:fldChar w:fldCharType="separate"/>
      </w:r>
      <w:r>
        <w:rPr>
          <w:rFonts w:hint="eastAsia" w:ascii="Times New Roman" w:hAnsi="Times New Roman" w:eastAsia="宋体"/>
          <w:szCs w:val="28"/>
        </w:rPr>
        <w:t>4</w:t>
      </w:r>
      <w:r>
        <w:rPr>
          <w:rFonts w:ascii="Times New Roman" w:hAnsi="Times New Roman" w:eastAsia="宋体"/>
          <w:szCs w:val="28"/>
        </w:rPr>
        <w:t>.</w:t>
      </w:r>
      <w:r>
        <w:rPr>
          <w:rFonts w:hint="eastAsia" w:ascii="Times New Roman" w:hAnsi="Times New Roman" w:eastAsia="宋体"/>
          <w:szCs w:val="28"/>
        </w:rPr>
        <w:t>1</w:t>
      </w:r>
      <w:r>
        <w:rPr>
          <w:rFonts w:ascii="Times New Roman" w:hAnsi="Times New Roman" w:eastAsia="宋体"/>
          <w:szCs w:val="28"/>
        </w:rPr>
        <w:t>污染</w:t>
      </w:r>
      <w:r>
        <w:rPr>
          <w:rFonts w:hint="eastAsia" w:ascii="Times New Roman" w:hAnsi="Times New Roman" w:eastAsia="宋体"/>
          <w:szCs w:val="28"/>
        </w:rPr>
        <w:t>物治理/处置设施</w:t>
      </w:r>
      <w:r>
        <w:tab/>
      </w:r>
      <w:r>
        <w:fldChar w:fldCharType="begin"/>
      </w:r>
      <w:r>
        <w:instrText xml:space="preserve"> PAGEREF _Toc15985 </w:instrText>
      </w:r>
      <w:r>
        <w:fldChar w:fldCharType="separate"/>
      </w:r>
      <w:r>
        <w:t>8</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_Toc1235 </w:instrText>
      </w:r>
      <w:r>
        <w:rPr>
          <w:rFonts w:hAnsi="宋体"/>
        </w:rPr>
        <w:fldChar w:fldCharType="separate"/>
      </w:r>
      <w:r>
        <w:rPr>
          <w:rFonts w:hint="eastAsia" w:ascii="Times New Roman" w:hAnsi="Times New Roman" w:eastAsia="宋体"/>
          <w:szCs w:val="28"/>
        </w:rPr>
        <w:t>4.2环保设施投资及“三同时”落实情况</w:t>
      </w:r>
      <w:r>
        <w:tab/>
      </w:r>
      <w:r>
        <w:fldChar w:fldCharType="begin"/>
      </w:r>
      <w:r>
        <w:instrText xml:space="preserve"> PAGEREF _Toc1235 </w:instrText>
      </w:r>
      <w:r>
        <w:fldChar w:fldCharType="separate"/>
      </w:r>
      <w:r>
        <w:t>9</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_Toc23869 </w:instrText>
      </w:r>
      <w:r>
        <w:rPr>
          <w:rFonts w:hAnsi="宋体"/>
        </w:rPr>
        <w:fldChar w:fldCharType="separate"/>
      </w:r>
      <w:r>
        <w:rPr>
          <w:rFonts w:hint="eastAsia" w:ascii="Times New Roman" w:hAnsi="Times New Roman" w:eastAsia="宋体"/>
          <w:szCs w:val="28"/>
          <w:lang w:val="en-US" w:eastAsia="zh-CN"/>
        </w:rPr>
        <w:t>4</w:t>
      </w:r>
      <w:r>
        <w:rPr>
          <w:rFonts w:hint="eastAsia" w:ascii="Times New Roman" w:hAnsi="Times New Roman" w:eastAsia="宋体"/>
          <w:szCs w:val="28"/>
        </w:rPr>
        <w:t>.3 环保设施安装及运行情况</w:t>
      </w:r>
      <w:r>
        <w:tab/>
      </w:r>
      <w:r>
        <w:fldChar w:fldCharType="begin"/>
      </w:r>
      <w:r>
        <w:instrText xml:space="preserve"> PAGEREF _Toc23869 </w:instrText>
      </w:r>
      <w:r>
        <w:fldChar w:fldCharType="separate"/>
      </w:r>
      <w:r>
        <w:t>10</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_Toc1786 </w:instrText>
      </w:r>
      <w:r>
        <w:rPr>
          <w:rFonts w:hAnsi="宋体"/>
        </w:rPr>
        <w:fldChar w:fldCharType="separate"/>
      </w:r>
      <w:r>
        <w:rPr>
          <w:rFonts w:hint="eastAsia"/>
          <w:szCs w:val="32"/>
          <w:lang w:val="en-US" w:eastAsia="zh-CN"/>
        </w:rPr>
        <w:t>5</w:t>
      </w:r>
      <w:r>
        <w:rPr>
          <w:szCs w:val="32"/>
        </w:rPr>
        <w:t xml:space="preserve"> 环境影响评价结论、建议及环评批复意见</w:t>
      </w:r>
      <w:r>
        <w:tab/>
      </w:r>
      <w:r>
        <w:fldChar w:fldCharType="begin"/>
      </w:r>
      <w:r>
        <w:instrText xml:space="preserve"> PAGEREF _Toc1786 </w:instrText>
      </w:r>
      <w:r>
        <w:fldChar w:fldCharType="separate"/>
      </w:r>
      <w:r>
        <w:t>11</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_Toc4035 </w:instrText>
      </w:r>
      <w:r>
        <w:rPr>
          <w:rFonts w:hAnsi="宋体"/>
        </w:rPr>
        <w:fldChar w:fldCharType="separate"/>
      </w:r>
      <w:r>
        <w:rPr>
          <w:rFonts w:hint="eastAsia" w:ascii="Times New Roman" w:hAnsi="Times New Roman" w:eastAsia="宋体"/>
          <w:szCs w:val="28"/>
          <w:lang w:val="en-US" w:eastAsia="zh-CN"/>
        </w:rPr>
        <w:t>5</w:t>
      </w:r>
      <w:r>
        <w:rPr>
          <w:rFonts w:ascii="Times New Roman" w:hAnsi="Times New Roman" w:eastAsia="宋体"/>
          <w:szCs w:val="28"/>
        </w:rPr>
        <w:t>.1</w:t>
      </w:r>
      <w:r>
        <w:rPr>
          <w:rFonts w:hint="eastAsia" w:ascii="Times New Roman" w:hAnsi="Times New Roman" w:eastAsia="宋体"/>
          <w:szCs w:val="28"/>
        </w:rPr>
        <w:t xml:space="preserve"> </w:t>
      </w:r>
      <w:r>
        <w:rPr>
          <w:rFonts w:ascii="Times New Roman" w:hAnsi="Times New Roman" w:eastAsia="宋体"/>
          <w:szCs w:val="28"/>
        </w:rPr>
        <w:t>环评主要结论</w:t>
      </w:r>
      <w:r>
        <w:tab/>
      </w:r>
      <w:r>
        <w:fldChar w:fldCharType="begin"/>
      </w:r>
      <w:r>
        <w:instrText xml:space="preserve"> PAGEREF _Toc4035 </w:instrText>
      </w:r>
      <w:r>
        <w:fldChar w:fldCharType="separate"/>
      </w:r>
      <w:r>
        <w:t>11</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_Toc18074 </w:instrText>
      </w:r>
      <w:r>
        <w:rPr>
          <w:rFonts w:hAnsi="宋体"/>
        </w:rPr>
        <w:fldChar w:fldCharType="separate"/>
      </w:r>
      <w:r>
        <w:rPr>
          <w:rFonts w:hint="eastAsia" w:ascii="Times New Roman" w:hAnsi="Times New Roman" w:eastAsia="宋体"/>
          <w:szCs w:val="28"/>
          <w:lang w:val="en-US" w:eastAsia="zh-CN"/>
        </w:rPr>
        <w:t>5</w:t>
      </w:r>
      <w:r>
        <w:rPr>
          <w:rFonts w:ascii="Times New Roman" w:hAnsi="Times New Roman" w:eastAsia="宋体"/>
          <w:szCs w:val="28"/>
        </w:rPr>
        <w:t>.2</w:t>
      </w:r>
      <w:r>
        <w:rPr>
          <w:rFonts w:hint="eastAsia" w:ascii="Times New Roman" w:hAnsi="Times New Roman" w:eastAsia="宋体"/>
          <w:szCs w:val="28"/>
        </w:rPr>
        <w:t xml:space="preserve"> </w:t>
      </w:r>
      <w:r>
        <w:rPr>
          <w:rFonts w:ascii="Times New Roman" w:hAnsi="Times New Roman" w:eastAsia="宋体"/>
          <w:szCs w:val="28"/>
        </w:rPr>
        <w:t>环评建议</w:t>
      </w:r>
      <w:r>
        <w:rPr>
          <w:rFonts w:hint="eastAsia" w:ascii="Times New Roman" w:hAnsi="Times New Roman" w:eastAsia="宋体"/>
          <w:szCs w:val="28"/>
        </w:rPr>
        <w:t>及要求</w:t>
      </w:r>
      <w:r>
        <w:tab/>
      </w:r>
      <w:r>
        <w:fldChar w:fldCharType="begin"/>
      </w:r>
      <w:r>
        <w:instrText xml:space="preserve"> PAGEREF _Toc18074 </w:instrText>
      </w:r>
      <w:r>
        <w:fldChar w:fldCharType="separate"/>
      </w:r>
      <w:r>
        <w:t>11</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_Toc17647 </w:instrText>
      </w:r>
      <w:r>
        <w:rPr>
          <w:rFonts w:hAnsi="宋体"/>
        </w:rPr>
        <w:fldChar w:fldCharType="separate"/>
      </w:r>
      <w:r>
        <w:rPr>
          <w:rFonts w:hint="eastAsia" w:ascii="Times New Roman" w:hAnsi="Times New Roman" w:eastAsia="宋体"/>
          <w:szCs w:val="28"/>
          <w:lang w:val="en-US" w:eastAsia="zh-CN"/>
        </w:rPr>
        <w:t>5</w:t>
      </w:r>
      <w:r>
        <w:rPr>
          <w:rFonts w:ascii="Times New Roman" w:hAnsi="Times New Roman" w:eastAsia="宋体"/>
          <w:szCs w:val="28"/>
        </w:rPr>
        <w:t>.</w:t>
      </w:r>
      <w:r>
        <w:rPr>
          <w:rFonts w:hint="eastAsia" w:ascii="Times New Roman" w:hAnsi="Times New Roman" w:eastAsia="宋体"/>
          <w:szCs w:val="28"/>
          <w:lang w:val="en-US" w:eastAsia="zh-CN"/>
        </w:rPr>
        <w:t>3</w:t>
      </w:r>
      <w:r>
        <w:rPr>
          <w:rFonts w:hint="eastAsia" w:ascii="Times New Roman" w:hAnsi="Times New Roman" w:eastAsia="宋体"/>
          <w:szCs w:val="28"/>
        </w:rPr>
        <w:t xml:space="preserve"> 审批部门审批决定</w:t>
      </w:r>
      <w:r>
        <w:tab/>
      </w:r>
      <w:r>
        <w:fldChar w:fldCharType="begin"/>
      </w:r>
      <w:r>
        <w:instrText xml:space="preserve"> PAGEREF _Toc17647 </w:instrText>
      </w:r>
      <w:r>
        <w:fldChar w:fldCharType="separate"/>
      </w:r>
      <w:r>
        <w:t>12</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_Toc24089 </w:instrText>
      </w:r>
      <w:r>
        <w:rPr>
          <w:rFonts w:hAnsi="宋体"/>
        </w:rPr>
        <w:fldChar w:fldCharType="separate"/>
      </w:r>
      <w:r>
        <w:rPr>
          <w:rFonts w:hint="eastAsia" w:ascii="Times New Roman" w:hAnsi="Times New Roman" w:eastAsia="宋体"/>
          <w:szCs w:val="28"/>
          <w:lang w:val="en-US" w:eastAsia="zh-CN"/>
        </w:rPr>
        <w:t>5</w:t>
      </w:r>
      <w:r>
        <w:rPr>
          <w:rFonts w:ascii="Times New Roman" w:hAnsi="Times New Roman" w:eastAsia="宋体"/>
          <w:szCs w:val="28"/>
        </w:rPr>
        <w:t>.</w:t>
      </w:r>
      <w:r>
        <w:rPr>
          <w:rFonts w:hint="eastAsia" w:ascii="Times New Roman" w:hAnsi="Times New Roman" w:eastAsia="宋体"/>
          <w:szCs w:val="28"/>
          <w:lang w:val="en-US" w:eastAsia="zh-CN"/>
        </w:rPr>
        <w:t>4</w:t>
      </w:r>
      <w:r>
        <w:rPr>
          <w:rFonts w:hint="eastAsia" w:ascii="Times New Roman" w:hAnsi="Times New Roman" w:eastAsia="宋体"/>
          <w:szCs w:val="28"/>
        </w:rPr>
        <w:t xml:space="preserve"> </w:t>
      </w:r>
      <w:r>
        <w:rPr>
          <w:rFonts w:ascii="Times New Roman" w:hAnsi="Times New Roman" w:eastAsia="宋体"/>
          <w:szCs w:val="28"/>
        </w:rPr>
        <w:t>环评批复意见</w:t>
      </w:r>
      <w:r>
        <w:tab/>
      </w:r>
      <w:r>
        <w:fldChar w:fldCharType="begin"/>
      </w:r>
      <w:r>
        <w:instrText xml:space="preserve"> PAGEREF _Toc24089 </w:instrText>
      </w:r>
      <w:r>
        <w:fldChar w:fldCharType="separate"/>
      </w:r>
      <w:r>
        <w:t>13</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_Toc8205 </w:instrText>
      </w:r>
      <w:r>
        <w:rPr>
          <w:rFonts w:hAnsi="宋体"/>
        </w:rPr>
        <w:fldChar w:fldCharType="separate"/>
      </w:r>
      <w:r>
        <w:rPr>
          <w:rFonts w:hint="eastAsia"/>
          <w:szCs w:val="32"/>
          <w:lang w:val="en-US" w:eastAsia="zh-CN"/>
        </w:rPr>
        <w:t>6</w:t>
      </w:r>
      <w:r>
        <w:rPr>
          <w:szCs w:val="32"/>
        </w:rPr>
        <w:t xml:space="preserve"> 验收监测评价标准</w:t>
      </w:r>
      <w:r>
        <w:tab/>
      </w:r>
      <w:r>
        <w:fldChar w:fldCharType="begin"/>
      </w:r>
      <w:r>
        <w:instrText xml:space="preserve"> PAGEREF _Toc8205 </w:instrText>
      </w:r>
      <w:r>
        <w:fldChar w:fldCharType="separate"/>
      </w:r>
      <w:r>
        <w:t>13</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_Toc5129 </w:instrText>
      </w:r>
      <w:r>
        <w:rPr>
          <w:rFonts w:hAnsi="宋体"/>
        </w:rPr>
        <w:fldChar w:fldCharType="separate"/>
      </w:r>
      <w:r>
        <w:rPr>
          <w:rFonts w:hint="eastAsia" w:ascii="Times New Roman" w:hAnsi="Times New Roman" w:eastAsia="宋体"/>
          <w:szCs w:val="28"/>
          <w:lang w:val="en-US" w:eastAsia="zh-CN"/>
        </w:rPr>
        <w:t>6</w:t>
      </w:r>
      <w:r>
        <w:rPr>
          <w:rFonts w:ascii="Times New Roman" w:hAnsi="Times New Roman" w:eastAsia="宋体"/>
          <w:szCs w:val="28"/>
        </w:rPr>
        <w:t>.</w:t>
      </w:r>
      <w:r>
        <w:rPr>
          <w:rFonts w:hint="eastAsia" w:ascii="Times New Roman" w:hAnsi="Times New Roman" w:eastAsia="宋体"/>
          <w:szCs w:val="28"/>
        </w:rPr>
        <w:t>1</w:t>
      </w:r>
      <w:r>
        <w:rPr>
          <w:rFonts w:ascii="Times New Roman" w:hAnsi="Times New Roman" w:eastAsia="宋体"/>
          <w:szCs w:val="28"/>
        </w:rPr>
        <w:t xml:space="preserve"> 废</w:t>
      </w:r>
      <w:r>
        <w:rPr>
          <w:rFonts w:hint="eastAsia" w:ascii="Times New Roman" w:hAnsi="Times New Roman" w:eastAsia="宋体"/>
          <w:szCs w:val="28"/>
        </w:rPr>
        <w:t>气</w:t>
      </w:r>
      <w:r>
        <w:rPr>
          <w:rFonts w:ascii="Times New Roman" w:hAnsi="Times New Roman" w:eastAsia="宋体"/>
          <w:szCs w:val="28"/>
        </w:rPr>
        <w:t>验收执行标准</w:t>
      </w:r>
      <w:r>
        <w:tab/>
      </w:r>
      <w:r>
        <w:fldChar w:fldCharType="begin"/>
      </w:r>
      <w:r>
        <w:instrText xml:space="preserve"> PAGEREF _Toc5129 </w:instrText>
      </w:r>
      <w:r>
        <w:fldChar w:fldCharType="separate"/>
      </w:r>
      <w:r>
        <w:t>13</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_Toc9215 </w:instrText>
      </w:r>
      <w:r>
        <w:rPr>
          <w:rFonts w:hAnsi="宋体"/>
        </w:rPr>
        <w:fldChar w:fldCharType="separate"/>
      </w:r>
      <w:r>
        <w:rPr>
          <w:rFonts w:hint="eastAsia" w:ascii="Times New Roman" w:hAnsi="Times New Roman" w:eastAsia="宋体"/>
          <w:szCs w:val="28"/>
          <w:lang w:val="en-US" w:eastAsia="zh-CN"/>
        </w:rPr>
        <w:t>6</w:t>
      </w:r>
      <w:r>
        <w:rPr>
          <w:rFonts w:ascii="Times New Roman" w:hAnsi="Times New Roman" w:eastAsia="宋体"/>
          <w:szCs w:val="28"/>
        </w:rPr>
        <w:t>.</w:t>
      </w:r>
      <w:r>
        <w:rPr>
          <w:rFonts w:hint="eastAsia" w:ascii="Times New Roman" w:hAnsi="Times New Roman" w:eastAsia="宋体"/>
          <w:szCs w:val="28"/>
        </w:rPr>
        <w:t>2 废水</w:t>
      </w:r>
      <w:r>
        <w:rPr>
          <w:rFonts w:ascii="Times New Roman" w:hAnsi="Times New Roman" w:eastAsia="宋体"/>
          <w:szCs w:val="28"/>
        </w:rPr>
        <w:t>验收执行标准</w:t>
      </w:r>
      <w:r>
        <w:tab/>
      </w:r>
      <w:r>
        <w:fldChar w:fldCharType="begin"/>
      </w:r>
      <w:r>
        <w:instrText xml:space="preserve"> PAGEREF _Toc9215 </w:instrText>
      </w:r>
      <w:r>
        <w:fldChar w:fldCharType="separate"/>
      </w:r>
      <w:r>
        <w:t>14</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_Toc9233 </w:instrText>
      </w:r>
      <w:r>
        <w:rPr>
          <w:rFonts w:hAnsi="宋体"/>
        </w:rPr>
        <w:fldChar w:fldCharType="separate"/>
      </w:r>
      <w:r>
        <w:rPr>
          <w:rFonts w:hint="eastAsia" w:ascii="Times New Roman" w:hAnsi="Times New Roman" w:eastAsia="宋体"/>
          <w:szCs w:val="28"/>
          <w:lang w:val="en-US" w:eastAsia="zh-CN"/>
        </w:rPr>
        <w:t>6</w:t>
      </w:r>
      <w:r>
        <w:rPr>
          <w:rFonts w:ascii="Times New Roman" w:hAnsi="Times New Roman" w:eastAsia="宋体"/>
          <w:szCs w:val="28"/>
        </w:rPr>
        <w:t>.</w:t>
      </w:r>
      <w:r>
        <w:rPr>
          <w:rFonts w:hint="eastAsia" w:ascii="Times New Roman" w:hAnsi="Times New Roman" w:eastAsia="宋体"/>
          <w:szCs w:val="28"/>
        </w:rPr>
        <w:t>3 噪声</w:t>
      </w:r>
      <w:r>
        <w:rPr>
          <w:rFonts w:ascii="Times New Roman" w:hAnsi="Times New Roman" w:eastAsia="宋体"/>
          <w:szCs w:val="28"/>
        </w:rPr>
        <w:t>验收执行标准</w:t>
      </w:r>
      <w:r>
        <w:tab/>
      </w:r>
      <w:r>
        <w:fldChar w:fldCharType="begin"/>
      </w:r>
      <w:r>
        <w:instrText xml:space="preserve"> PAGEREF _Toc9233 </w:instrText>
      </w:r>
      <w:r>
        <w:fldChar w:fldCharType="separate"/>
      </w:r>
      <w:r>
        <w:t>14</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_Toc30957 </w:instrText>
      </w:r>
      <w:r>
        <w:rPr>
          <w:rFonts w:hAnsi="宋体"/>
        </w:rPr>
        <w:fldChar w:fldCharType="separate"/>
      </w:r>
      <w:r>
        <w:rPr>
          <w:rFonts w:hint="eastAsia"/>
          <w:szCs w:val="32"/>
          <w:lang w:val="en-US" w:eastAsia="zh-CN"/>
        </w:rPr>
        <w:t>7</w:t>
      </w:r>
      <w:r>
        <w:rPr>
          <w:rFonts w:hint="eastAsia"/>
          <w:szCs w:val="32"/>
        </w:rPr>
        <w:t xml:space="preserve"> </w:t>
      </w:r>
      <w:r>
        <w:rPr>
          <w:szCs w:val="32"/>
        </w:rPr>
        <w:t>验收监测工作内容</w:t>
      </w:r>
      <w:r>
        <w:tab/>
      </w:r>
      <w:r>
        <w:fldChar w:fldCharType="begin"/>
      </w:r>
      <w:r>
        <w:instrText xml:space="preserve"> PAGEREF _Toc30957 </w:instrText>
      </w:r>
      <w:r>
        <w:fldChar w:fldCharType="separate"/>
      </w:r>
      <w:r>
        <w:t>15</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_Toc3153 </w:instrText>
      </w:r>
      <w:r>
        <w:rPr>
          <w:rFonts w:hAnsi="宋体"/>
        </w:rPr>
        <w:fldChar w:fldCharType="separate"/>
      </w:r>
      <w:r>
        <w:rPr>
          <w:rFonts w:hint="eastAsia" w:ascii="Times New Roman" w:hAnsi="Times New Roman" w:eastAsia="宋体"/>
          <w:szCs w:val="28"/>
          <w:lang w:val="en-US" w:eastAsia="zh-CN"/>
        </w:rPr>
        <w:t>7</w:t>
      </w:r>
      <w:r>
        <w:rPr>
          <w:rFonts w:ascii="Times New Roman" w:hAnsi="Times New Roman" w:eastAsia="宋体"/>
          <w:szCs w:val="28"/>
        </w:rPr>
        <w:t>.1 验收监测要求</w:t>
      </w:r>
      <w:r>
        <w:tab/>
      </w:r>
      <w:r>
        <w:fldChar w:fldCharType="begin"/>
      </w:r>
      <w:r>
        <w:instrText xml:space="preserve"> PAGEREF _Toc3153 </w:instrText>
      </w:r>
      <w:r>
        <w:fldChar w:fldCharType="separate"/>
      </w:r>
      <w:r>
        <w:t>15</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_Toc10411 </w:instrText>
      </w:r>
      <w:r>
        <w:rPr>
          <w:rFonts w:hAnsi="宋体"/>
        </w:rPr>
        <w:fldChar w:fldCharType="separate"/>
      </w:r>
      <w:r>
        <w:rPr>
          <w:rFonts w:hint="eastAsia" w:ascii="Times New Roman" w:hAnsi="Times New Roman" w:eastAsia="宋体"/>
          <w:szCs w:val="28"/>
          <w:lang w:val="en-US" w:eastAsia="zh-CN"/>
        </w:rPr>
        <w:t>7</w:t>
      </w:r>
      <w:r>
        <w:rPr>
          <w:rFonts w:ascii="Times New Roman" w:hAnsi="Times New Roman" w:eastAsia="宋体"/>
          <w:szCs w:val="28"/>
        </w:rPr>
        <w:t>.</w:t>
      </w:r>
      <w:r>
        <w:rPr>
          <w:rFonts w:hint="eastAsia" w:ascii="Times New Roman" w:hAnsi="Times New Roman" w:eastAsia="宋体"/>
          <w:szCs w:val="28"/>
          <w:lang w:val="en-US" w:eastAsia="zh-CN"/>
        </w:rPr>
        <w:t>2</w:t>
      </w:r>
      <w:r>
        <w:rPr>
          <w:rFonts w:hint="eastAsia" w:ascii="Times New Roman" w:hAnsi="Times New Roman" w:eastAsia="宋体"/>
          <w:szCs w:val="28"/>
        </w:rPr>
        <w:t xml:space="preserve"> </w:t>
      </w:r>
      <w:r>
        <w:rPr>
          <w:rFonts w:ascii="Times New Roman" w:hAnsi="Times New Roman" w:eastAsia="宋体"/>
          <w:szCs w:val="28"/>
        </w:rPr>
        <w:t>监测内容</w:t>
      </w:r>
      <w:r>
        <w:tab/>
      </w:r>
      <w:r>
        <w:fldChar w:fldCharType="begin"/>
      </w:r>
      <w:r>
        <w:instrText xml:space="preserve"> PAGEREF _Toc10411 </w:instrText>
      </w:r>
      <w:r>
        <w:fldChar w:fldCharType="separate"/>
      </w:r>
      <w:r>
        <w:t>15</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_Toc27320 </w:instrText>
      </w:r>
      <w:r>
        <w:rPr>
          <w:rFonts w:hAnsi="宋体"/>
        </w:rPr>
        <w:fldChar w:fldCharType="separate"/>
      </w:r>
      <w:r>
        <w:rPr>
          <w:rFonts w:hint="eastAsia" w:ascii="Times New Roman" w:hAnsi="Times New Roman" w:eastAsia="宋体"/>
          <w:szCs w:val="28"/>
          <w:lang w:val="en-US" w:eastAsia="zh-CN"/>
        </w:rPr>
        <w:t>7</w:t>
      </w:r>
      <w:r>
        <w:rPr>
          <w:rFonts w:ascii="Times New Roman" w:hAnsi="Times New Roman" w:eastAsia="宋体"/>
          <w:szCs w:val="28"/>
        </w:rPr>
        <w:t>.</w:t>
      </w:r>
      <w:r>
        <w:rPr>
          <w:rFonts w:hint="eastAsia" w:ascii="Times New Roman" w:hAnsi="Times New Roman" w:eastAsia="宋体"/>
          <w:szCs w:val="28"/>
          <w:lang w:val="en-US" w:eastAsia="zh-CN"/>
        </w:rPr>
        <w:t>2.1</w:t>
      </w:r>
      <w:r>
        <w:rPr>
          <w:rFonts w:hint="eastAsia" w:ascii="Times New Roman" w:hAnsi="Times New Roman" w:eastAsia="宋体"/>
          <w:szCs w:val="28"/>
        </w:rPr>
        <w:t xml:space="preserve"> </w:t>
      </w:r>
      <w:r>
        <w:rPr>
          <w:rFonts w:hint="eastAsia" w:ascii="Times New Roman" w:hAnsi="Times New Roman" w:eastAsia="宋体"/>
          <w:szCs w:val="28"/>
          <w:lang w:val="en-US" w:eastAsia="zh-CN"/>
        </w:rPr>
        <w:t>废水</w:t>
      </w:r>
      <w:r>
        <w:tab/>
      </w:r>
      <w:r>
        <w:fldChar w:fldCharType="begin"/>
      </w:r>
      <w:r>
        <w:instrText xml:space="preserve"> PAGEREF _Toc27320 </w:instrText>
      </w:r>
      <w:r>
        <w:fldChar w:fldCharType="separate"/>
      </w:r>
      <w:r>
        <w:t>15</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_Toc20272 </w:instrText>
      </w:r>
      <w:r>
        <w:rPr>
          <w:rFonts w:hAnsi="宋体"/>
        </w:rPr>
        <w:fldChar w:fldCharType="separate"/>
      </w:r>
      <w:r>
        <w:rPr>
          <w:rFonts w:hint="eastAsia" w:ascii="Times New Roman" w:hAnsi="Times New Roman" w:eastAsia="宋体"/>
          <w:szCs w:val="28"/>
          <w:lang w:val="en-US" w:eastAsia="zh-CN"/>
        </w:rPr>
        <w:t>7</w:t>
      </w:r>
      <w:r>
        <w:rPr>
          <w:rFonts w:ascii="Times New Roman" w:hAnsi="Times New Roman" w:eastAsia="宋体"/>
          <w:szCs w:val="28"/>
        </w:rPr>
        <w:t>.</w:t>
      </w:r>
      <w:r>
        <w:rPr>
          <w:rFonts w:hint="eastAsia" w:ascii="Times New Roman" w:hAnsi="Times New Roman" w:eastAsia="宋体"/>
          <w:szCs w:val="28"/>
          <w:lang w:val="en-US" w:eastAsia="zh-CN"/>
        </w:rPr>
        <w:t>2.2</w:t>
      </w:r>
      <w:r>
        <w:rPr>
          <w:rFonts w:hint="eastAsia" w:ascii="Times New Roman" w:hAnsi="Times New Roman" w:eastAsia="宋体"/>
          <w:szCs w:val="28"/>
        </w:rPr>
        <w:t xml:space="preserve"> </w:t>
      </w:r>
      <w:r>
        <w:rPr>
          <w:rFonts w:hint="eastAsia" w:ascii="Times New Roman" w:hAnsi="Times New Roman" w:eastAsia="宋体"/>
          <w:szCs w:val="28"/>
          <w:lang w:val="en-US" w:eastAsia="zh-CN"/>
        </w:rPr>
        <w:t>废气</w:t>
      </w:r>
      <w:r>
        <w:tab/>
      </w:r>
      <w:r>
        <w:fldChar w:fldCharType="begin"/>
      </w:r>
      <w:r>
        <w:instrText xml:space="preserve"> PAGEREF _Toc20272 </w:instrText>
      </w:r>
      <w:r>
        <w:fldChar w:fldCharType="separate"/>
      </w:r>
      <w:r>
        <w:t>15</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_Toc4636 </w:instrText>
      </w:r>
      <w:r>
        <w:rPr>
          <w:rFonts w:hAnsi="宋体"/>
        </w:rPr>
        <w:fldChar w:fldCharType="separate"/>
      </w:r>
      <w:r>
        <w:rPr>
          <w:rFonts w:hint="eastAsia" w:ascii="Times New Roman" w:hAnsi="Times New Roman" w:eastAsia="宋体"/>
          <w:szCs w:val="28"/>
          <w:lang w:val="en-US" w:eastAsia="zh-CN"/>
        </w:rPr>
        <w:t>7</w:t>
      </w:r>
      <w:r>
        <w:rPr>
          <w:rFonts w:ascii="Times New Roman" w:hAnsi="Times New Roman" w:eastAsia="宋体"/>
          <w:szCs w:val="28"/>
        </w:rPr>
        <w:t>.</w:t>
      </w:r>
      <w:r>
        <w:rPr>
          <w:rFonts w:hint="eastAsia" w:ascii="Times New Roman" w:hAnsi="Times New Roman" w:eastAsia="宋体"/>
          <w:szCs w:val="28"/>
          <w:lang w:val="en-US" w:eastAsia="zh-CN"/>
        </w:rPr>
        <w:t>2.2</w:t>
      </w:r>
      <w:r>
        <w:rPr>
          <w:rFonts w:hint="eastAsia" w:ascii="Times New Roman" w:hAnsi="Times New Roman" w:eastAsia="宋体"/>
          <w:szCs w:val="28"/>
        </w:rPr>
        <w:t xml:space="preserve"> </w:t>
      </w:r>
      <w:r>
        <w:rPr>
          <w:rFonts w:hint="eastAsia" w:ascii="Times New Roman" w:hAnsi="Times New Roman" w:eastAsia="宋体"/>
          <w:szCs w:val="28"/>
          <w:lang w:val="en-US" w:eastAsia="zh-CN"/>
        </w:rPr>
        <w:t>噪声</w:t>
      </w:r>
      <w:r>
        <w:tab/>
      </w:r>
      <w:r>
        <w:fldChar w:fldCharType="begin"/>
      </w:r>
      <w:r>
        <w:instrText xml:space="preserve"> PAGEREF _Toc4636 </w:instrText>
      </w:r>
      <w:r>
        <w:fldChar w:fldCharType="separate"/>
      </w:r>
      <w:r>
        <w:t>16</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_Toc26570 </w:instrText>
      </w:r>
      <w:r>
        <w:rPr>
          <w:rFonts w:hAnsi="宋体"/>
        </w:rPr>
        <w:fldChar w:fldCharType="separate"/>
      </w:r>
      <w:r>
        <w:rPr>
          <w:rFonts w:hint="eastAsia"/>
          <w:szCs w:val="32"/>
          <w:lang w:val="en-US" w:eastAsia="zh-CN"/>
        </w:rPr>
        <w:t>8 质量保证及质量控制</w:t>
      </w:r>
      <w:r>
        <w:tab/>
      </w:r>
      <w:r>
        <w:fldChar w:fldCharType="begin"/>
      </w:r>
      <w:r>
        <w:instrText xml:space="preserve"> PAGEREF _Toc26570 </w:instrText>
      </w:r>
      <w:r>
        <w:fldChar w:fldCharType="separate"/>
      </w:r>
      <w:r>
        <w:t>16</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_Toc32031 </w:instrText>
      </w:r>
      <w:r>
        <w:rPr>
          <w:rFonts w:hAnsi="宋体"/>
        </w:rPr>
        <w:fldChar w:fldCharType="separate"/>
      </w:r>
      <w:r>
        <w:rPr>
          <w:rFonts w:hint="eastAsia" w:ascii="Times New Roman" w:hAnsi="Times New Roman" w:eastAsia="宋体"/>
          <w:szCs w:val="28"/>
          <w:lang w:val="en-US" w:eastAsia="zh-CN"/>
        </w:rPr>
        <w:t>8</w:t>
      </w:r>
      <w:r>
        <w:rPr>
          <w:rFonts w:ascii="Times New Roman" w:hAnsi="Times New Roman" w:eastAsia="宋体"/>
          <w:szCs w:val="28"/>
        </w:rPr>
        <w:t>.</w:t>
      </w:r>
      <w:r>
        <w:rPr>
          <w:rFonts w:hint="eastAsia" w:ascii="Times New Roman" w:hAnsi="Times New Roman" w:eastAsia="宋体"/>
          <w:szCs w:val="28"/>
          <w:lang w:val="en-US" w:eastAsia="zh-CN"/>
        </w:rPr>
        <w:t>2</w:t>
      </w:r>
      <w:r>
        <w:rPr>
          <w:rFonts w:ascii="Times New Roman" w:hAnsi="Times New Roman" w:eastAsia="宋体"/>
          <w:szCs w:val="28"/>
        </w:rPr>
        <w:t xml:space="preserve"> 监测分析方法</w:t>
      </w:r>
      <w:r>
        <w:tab/>
      </w:r>
      <w:r>
        <w:fldChar w:fldCharType="begin"/>
      </w:r>
      <w:r>
        <w:instrText xml:space="preserve"> PAGEREF _Toc32031 </w:instrText>
      </w:r>
      <w:r>
        <w:fldChar w:fldCharType="separate"/>
      </w:r>
      <w:r>
        <w:t>17</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_Toc25846 </w:instrText>
      </w:r>
      <w:r>
        <w:rPr>
          <w:rFonts w:hAnsi="宋体"/>
        </w:rPr>
        <w:fldChar w:fldCharType="separate"/>
      </w:r>
      <w:r>
        <w:rPr>
          <w:rFonts w:hint="eastAsia" w:ascii="Times New Roman" w:hAnsi="Times New Roman" w:eastAsia="宋体"/>
          <w:szCs w:val="28"/>
        </w:rPr>
        <w:t>8.</w:t>
      </w:r>
      <w:r>
        <w:rPr>
          <w:rFonts w:hint="eastAsia" w:ascii="Times New Roman" w:hAnsi="Times New Roman" w:eastAsia="宋体"/>
          <w:szCs w:val="28"/>
          <w:lang w:val="en-US" w:eastAsia="zh-CN"/>
        </w:rPr>
        <w:t>3</w:t>
      </w:r>
      <w:r>
        <w:rPr>
          <w:rFonts w:hint="eastAsia" w:ascii="Times New Roman" w:hAnsi="Times New Roman" w:eastAsia="宋体"/>
          <w:szCs w:val="28"/>
        </w:rPr>
        <w:t xml:space="preserve"> 水质监测分析过程中的质量保证和质量控制</w:t>
      </w:r>
      <w:r>
        <w:tab/>
      </w:r>
      <w:r>
        <w:fldChar w:fldCharType="begin"/>
      </w:r>
      <w:r>
        <w:instrText xml:space="preserve"> PAGEREF _Toc25846 </w:instrText>
      </w:r>
      <w:r>
        <w:fldChar w:fldCharType="separate"/>
      </w:r>
      <w:r>
        <w:t>18</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_Toc13599 </w:instrText>
      </w:r>
      <w:r>
        <w:rPr>
          <w:rFonts w:hAnsi="宋体"/>
        </w:rPr>
        <w:fldChar w:fldCharType="separate"/>
      </w:r>
      <w:r>
        <w:rPr>
          <w:rFonts w:hint="eastAsia" w:ascii="Times New Roman" w:hAnsi="Times New Roman" w:eastAsia="宋体"/>
          <w:szCs w:val="28"/>
        </w:rPr>
        <w:t>8.</w:t>
      </w:r>
      <w:r>
        <w:rPr>
          <w:rFonts w:hint="eastAsia" w:ascii="Times New Roman" w:hAnsi="Times New Roman" w:eastAsia="宋体"/>
          <w:szCs w:val="28"/>
          <w:lang w:val="en-US" w:eastAsia="zh-CN"/>
        </w:rPr>
        <w:t>4</w:t>
      </w:r>
      <w:r>
        <w:rPr>
          <w:rFonts w:hint="eastAsia" w:ascii="Times New Roman" w:hAnsi="Times New Roman" w:eastAsia="宋体"/>
          <w:szCs w:val="28"/>
        </w:rPr>
        <w:t xml:space="preserve"> 气体监测分析过程中的质量保证和质量控制</w:t>
      </w:r>
      <w:r>
        <w:tab/>
      </w:r>
      <w:r>
        <w:fldChar w:fldCharType="begin"/>
      </w:r>
      <w:r>
        <w:instrText xml:space="preserve"> PAGEREF _Toc13599 </w:instrText>
      </w:r>
      <w:r>
        <w:fldChar w:fldCharType="separate"/>
      </w:r>
      <w:r>
        <w:t>18</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_Toc28682 </w:instrText>
      </w:r>
      <w:r>
        <w:rPr>
          <w:rFonts w:hAnsi="宋体"/>
        </w:rPr>
        <w:fldChar w:fldCharType="separate"/>
      </w:r>
      <w:r>
        <w:rPr>
          <w:rFonts w:hint="eastAsia" w:ascii="Times New Roman" w:hAnsi="Times New Roman" w:eastAsia="宋体"/>
          <w:szCs w:val="28"/>
        </w:rPr>
        <w:t>8.</w:t>
      </w:r>
      <w:r>
        <w:rPr>
          <w:rFonts w:hint="eastAsia" w:ascii="Times New Roman" w:hAnsi="Times New Roman" w:eastAsia="宋体"/>
          <w:szCs w:val="28"/>
          <w:lang w:val="en-US" w:eastAsia="zh-CN"/>
        </w:rPr>
        <w:t>5</w:t>
      </w:r>
      <w:r>
        <w:rPr>
          <w:rFonts w:hint="eastAsia" w:ascii="Times New Roman" w:hAnsi="Times New Roman" w:eastAsia="宋体"/>
          <w:szCs w:val="28"/>
        </w:rPr>
        <w:t xml:space="preserve"> 噪声监测分析过程中的质量保证和质量控制</w:t>
      </w:r>
      <w:r>
        <w:tab/>
      </w:r>
      <w:r>
        <w:fldChar w:fldCharType="begin"/>
      </w:r>
      <w:r>
        <w:instrText xml:space="preserve"> PAGEREF _Toc28682 </w:instrText>
      </w:r>
      <w:r>
        <w:fldChar w:fldCharType="separate"/>
      </w:r>
      <w:r>
        <w:t>18</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_Toc13764 </w:instrText>
      </w:r>
      <w:r>
        <w:rPr>
          <w:rFonts w:hAnsi="宋体"/>
        </w:rPr>
        <w:fldChar w:fldCharType="separate"/>
      </w:r>
      <w:r>
        <w:rPr>
          <w:rFonts w:hint="eastAsia"/>
          <w:szCs w:val="32"/>
          <w:lang w:val="en-US" w:eastAsia="zh-CN"/>
        </w:rPr>
        <w:t>9</w:t>
      </w:r>
      <w:r>
        <w:rPr>
          <w:szCs w:val="32"/>
        </w:rPr>
        <w:t xml:space="preserve"> 验收监测结果与评价</w:t>
      </w:r>
      <w:r>
        <w:tab/>
      </w:r>
      <w:r>
        <w:fldChar w:fldCharType="begin"/>
      </w:r>
      <w:r>
        <w:instrText xml:space="preserve"> PAGEREF _Toc13764 </w:instrText>
      </w:r>
      <w:r>
        <w:fldChar w:fldCharType="separate"/>
      </w:r>
      <w:r>
        <w:t>19</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_Toc22288 </w:instrText>
      </w:r>
      <w:r>
        <w:rPr>
          <w:rFonts w:hAnsi="宋体"/>
        </w:rPr>
        <w:fldChar w:fldCharType="separate"/>
      </w:r>
      <w:r>
        <w:rPr>
          <w:rFonts w:hint="eastAsia" w:ascii="Times New Roman" w:hAnsi="Times New Roman" w:eastAsia="宋体"/>
          <w:szCs w:val="28"/>
          <w:lang w:val="en-US" w:eastAsia="zh-CN"/>
        </w:rPr>
        <w:t>9</w:t>
      </w:r>
      <w:r>
        <w:rPr>
          <w:rFonts w:ascii="Times New Roman" w:hAnsi="Times New Roman" w:eastAsia="宋体"/>
          <w:szCs w:val="28"/>
        </w:rPr>
        <w:t>.1</w:t>
      </w:r>
      <w:r>
        <w:rPr>
          <w:rFonts w:hint="eastAsia" w:ascii="Times New Roman" w:hAnsi="Times New Roman" w:eastAsia="宋体"/>
          <w:szCs w:val="28"/>
        </w:rPr>
        <w:t xml:space="preserve"> </w:t>
      </w:r>
      <w:r>
        <w:rPr>
          <w:rFonts w:ascii="Times New Roman" w:hAnsi="Times New Roman" w:eastAsia="宋体"/>
          <w:szCs w:val="28"/>
        </w:rPr>
        <w:t>验收监测期间工况分析</w:t>
      </w:r>
      <w:r>
        <w:tab/>
      </w:r>
      <w:r>
        <w:fldChar w:fldCharType="begin"/>
      </w:r>
      <w:r>
        <w:instrText xml:space="preserve"> PAGEREF _Toc22288 </w:instrText>
      </w:r>
      <w:r>
        <w:fldChar w:fldCharType="separate"/>
      </w:r>
      <w:r>
        <w:t>19</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_Toc23022 </w:instrText>
      </w:r>
      <w:r>
        <w:rPr>
          <w:rFonts w:hAnsi="宋体"/>
        </w:rPr>
        <w:fldChar w:fldCharType="separate"/>
      </w:r>
      <w:r>
        <w:rPr>
          <w:rFonts w:hint="eastAsia" w:ascii="Times New Roman" w:hAnsi="Times New Roman" w:eastAsia="宋体"/>
          <w:szCs w:val="28"/>
          <w:lang w:val="en-US" w:eastAsia="zh-CN"/>
        </w:rPr>
        <w:t>9</w:t>
      </w:r>
      <w:r>
        <w:rPr>
          <w:rFonts w:hint="eastAsia" w:ascii="Times New Roman" w:hAnsi="Times New Roman" w:eastAsia="宋体"/>
          <w:szCs w:val="28"/>
        </w:rPr>
        <w:t>.2 废气监测结果及评价</w:t>
      </w:r>
      <w:r>
        <w:tab/>
      </w:r>
      <w:r>
        <w:fldChar w:fldCharType="begin"/>
      </w:r>
      <w:r>
        <w:instrText xml:space="preserve"> PAGEREF _Toc23022 </w:instrText>
      </w:r>
      <w:r>
        <w:fldChar w:fldCharType="separate"/>
      </w:r>
      <w:r>
        <w:t>19</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_Toc8829 </w:instrText>
      </w:r>
      <w:r>
        <w:rPr>
          <w:rFonts w:hAnsi="宋体"/>
        </w:rPr>
        <w:fldChar w:fldCharType="separate"/>
      </w:r>
      <w:r>
        <w:rPr>
          <w:rFonts w:hint="eastAsia" w:ascii="Times New Roman" w:hAnsi="Times New Roman" w:eastAsia="宋体"/>
          <w:szCs w:val="28"/>
          <w:lang w:val="en-US" w:eastAsia="zh-CN"/>
        </w:rPr>
        <w:t>9</w:t>
      </w:r>
      <w:r>
        <w:rPr>
          <w:rFonts w:hint="eastAsia" w:ascii="Times New Roman" w:hAnsi="Times New Roman" w:eastAsia="宋体"/>
          <w:szCs w:val="28"/>
        </w:rPr>
        <w:t>.3 废水监测结果及评价</w:t>
      </w:r>
      <w:r>
        <w:tab/>
      </w:r>
      <w:r>
        <w:fldChar w:fldCharType="begin"/>
      </w:r>
      <w:r>
        <w:instrText xml:space="preserve"> PAGEREF _Toc8829 </w:instrText>
      </w:r>
      <w:r>
        <w:fldChar w:fldCharType="separate"/>
      </w:r>
      <w:r>
        <w:t>21</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_Toc1289 </w:instrText>
      </w:r>
      <w:r>
        <w:rPr>
          <w:rFonts w:hAnsi="宋体"/>
        </w:rPr>
        <w:fldChar w:fldCharType="separate"/>
      </w:r>
      <w:r>
        <w:rPr>
          <w:rFonts w:hint="eastAsia" w:ascii="Times New Roman" w:hAnsi="Times New Roman" w:eastAsia="宋体"/>
          <w:szCs w:val="28"/>
          <w:lang w:val="en-US" w:eastAsia="zh-CN"/>
        </w:rPr>
        <w:t>9</w:t>
      </w:r>
      <w:r>
        <w:rPr>
          <w:rFonts w:hint="eastAsia" w:ascii="Times New Roman" w:hAnsi="Times New Roman" w:eastAsia="宋体"/>
          <w:szCs w:val="28"/>
        </w:rPr>
        <w:t>.</w:t>
      </w:r>
      <w:r>
        <w:rPr>
          <w:rFonts w:hint="eastAsia" w:ascii="Times New Roman" w:hAnsi="Times New Roman" w:eastAsia="宋体"/>
          <w:szCs w:val="28"/>
          <w:lang w:val="en-US" w:eastAsia="zh-CN"/>
        </w:rPr>
        <w:t>5</w:t>
      </w:r>
      <w:r>
        <w:rPr>
          <w:rFonts w:hint="eastAsia" w:ascii="Times New Roman" w:hAnsi="Times New Roman" w:eastAsia="宋体"/>
          <w:szCs w:val="28"/>
        </w:rPr>
        <w:t xml:space="preserve"> 总量控制指标</w:t>
      </w:r>
      <w:r>
        <w:tab/>
      </w:r>
      <w:r>
        <w:fldChar w:fldCharType="begin"/>
      </w:r>
      <w:r>
        <w:instrText xml:space="preserve"> PAGEREF _Toc1289 </w:instrText>
      </w:r>
      <w:r>
        <w:fldChar w:fldCharType="separate"/>
      </w:r>
      <w:r>
        <w:t>23</w:t>
      </w:r>
      <w:r>
        <w:fldChar w:fldCharType="end"/>
      </w:r>
      <w:r>
        <w:rPr>
          <w:rFonts w:hAnsi="宋体"/>
        </w:rPr>
        <w:fldChar w:fldCharType="end"/>
      </w:r>
    </w:p>
    <w:p>
      <w:pPr>
        <w:pStyle w:val="22"/>
        <w:tabs>
          <w:tab w:val="right" w:leader="dot" w:pos="8504"/>
          <w:tab w:val="clear" w:pos="8296"/>
        </w:tabs>
      </w:pPr>
      <w:r>
        <w:rPr>
          <w:rFonts w:hAnsi="宋体"/>
        </w:rPr>
        <w:fldChar w:fldCharType="begin"/>
      </w:r>
      <w:r>
        <w:rPr>
          <w:rFonts w:hAnsi="宋体"/>
        </w:rPr>
        <w:instrText xml:space="preserve"> HYPERLINK \l _Toc22957 </w:instrText>
      </w:r>
      <w:r>
        <w:rPr>
          <w:rFonts w:hAnsi="宋体"/>
        </w:rPr>
        <w:fldChar w:fldCharType="separate"/>
      </w:r>
      <w:r>
        <w:rPr>
          <w:rFonts w:hint="eastAsia"/>
          <w:szCs w:val="30"/>
          <w:lang w:val="en-US" w:eastAsia="zh-CN"/>
        </w:rPr>
        <w:t>11</w:t>
      </w:r>
      <w:r>
        <w:rPr>
          <w:szCs w:val="30"/>
        </w:rPr>
        <w:t xml:space="preserve"> 验收监测结论及建议</w:t>
      </w:r>
      <w:r>
        <w:tab/>
      </w:r>
      <w:r>
        <w:fldChar w:fldCharType="begin"/>
      </w:r>
      <w:r>
        <w:instrText xml:space="preserve"> PAGEREF _Toc22957 </w:instrText>
      </w:r>
      <w:r>
        <w:fldChar w:fldCharType="separate"/>
      </w:r>
      <w:r>
        <w:t>24</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_Toc5141 </w:instrText>
      </w:r>
      <w:r>
        <w:rPr>
          <w:rFonts w:hAnsi="宋体"/>
        </w:rPr>
        <w:fldChar w:fldCharType="separate"/>
      </w:r>
      <w:r>
        <w:rPr>
          <w:rFonts w:hint="eastAsia" w:ascii="Times New Roman" w:hAnsi="Times New Roman" w:eastAsia="宋体"/>
          <w:szCs w:val="28"/>
          <w:lang w:val="en-US" w:eastAsia="zh-CN"/>
        </w:rPr>
        <w:t>11</w:t>
      </w:r>
      <w:r>
        <w:rPr>
          <w:rFonts w:ascii="Times New Roman" w:hAnsi="Times New Roman" w:eastAsia="宋体"/>
          <w:szCs w:val="28"/>
        </w:rPr>
        <w:t>.1</w:t>
      </w:r>
      <w:r>
        <w:rPr>
          <w:rFonts w:hint="eastAsia" w:ascii="Times New Roman" w:hAnsi="Times New Roman" w:eastAsia="宋体"/>
          <w:szCs w:val="28"/>
        </w:rPr>
        <w:t xml:space="preserve"> </w:t>
      </w:r>
      <w:r>
        <w:rPr>
          <w:rFonts w:ascii="Times New Roman" w:hAnsi="Times New Roman" w:eastAsia="宋体"/>
          <w:szCs w:val="28"/>
        </w:rPr>
        <w:t>验收监测及检查结论</w:t>
      </w:r>
      <w:r>
        <w:tab/>
      </w:r>
      <w:r>
        <w:fldChar w:fldCharType="begin"/>
      </w:r>
      <w:r>
        <w:instrText xml:space="preserve"> PAGEREF _Toc5141 </w:instrText>
      </w:r>
      <w:r>
        <w:fldChar w:fldCharType="separate"/>
      </w:r>
      <w:r>
        <w:t>24</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_Toc29780 </w:instrText>
      </w:r>
      <w:r>
        <w:rPr>
          <w:rFonts w:hAnsi="宋体"/>
        </w:rPr>
        <w:fldChar w:fldCharType="separate"/>
      </w:r>
      <w:r>
        <w:rPr>
          <w:rFonts w:hint="eastAsia" w:ascii="Times New Roman" w:hAnsi="Times New Roman" w:eastAsia="宋体"/>
          <w:szCs w:val="28"/>
          <w:lang w:val="en-US" w:eastAsia="zh-CN"/>
        </w:rPr>
        <w:t>11</w:t>
      </w:r>
      <w:r>
        <w:rPr>
          <w:rFonts w:ascii="Times New Roman" w:hAnsi="Times New Roman" w:eastAsia="宋体"/>
          <w:szCs w:val="28"/>
        </w:rPr>
        <w:t>.2</w:t>
      </w:r>
      <w:r>
        <w:rPr>
          <w:rFonts w:hint="eastAsia" w:ascii="Times New Roman" w:hAnsi="Times New Roman" w:eastAsia="宋体"/>
          <w:szCs w:val="28"/>
        </w:rPr>
        <w:t xml:space="preserve"> </w:t>
      </w:r>
      <w:r>
        <w:rPr>
          <w:rFonts w:ascii="Times New Roman" w:hAnsi="Times New Roman" w:eastAsia="宋体"/>
          <w:szCs w:val="28"/>
        </w:rPr>
        <w:t>环境管理检查结论</w:t>
      </w:r>
      <w:r>
        <w:tab/>
      </w:r>
      <w:r>
        <w:fldChar w:fldCharType="begin"/>
      </w:r>
      <w:r>
        <w:instrText xml:space="preserve"> PAGEREF _Toc29780 </w:instrText>
      </w:r>
      <w:r>
        <w:fldChar w:fldCharType="separate"/>
      </w:r>
      <w:r>
        <w:t>24</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_Toc15333 </w:instrText>
      </w:r>
      <w:r>
        <w:rPr>
          <w:rFonts w:hAnsi="宋体"/>
        </w:rPr>
        <w:fldChar w:fldCharType="separate"/>
      </w:r>
      <w:r>
        <w:rPr>
          <w:rFonts w:hint="eastAsia" w:ascii="Times New Roman" w:hAnsi="Times New Roman" w:eastAsia="宋体"/>
          <w:szCs w:val="28"/>
          <w:lang w:val="en-US" w:eastAsia="zh-CN"/>
        </w:rPr>
        <w:t>11</w:t>
      </w:r>
      <w:r>
        <w:rPr>
          <w:rFonts w:ascii="Times New Roman" w:hAnsi="Times New Roman" w:eastAsia="宋体"/>
          <w:szCs w:val="28"/>
        </w:rPr>
        <w:t>.3</w:t>
      </w:r>
      <w:r>
        <w:rPr>
          <w:rFonts w:hint="eastAsia" w:ascii="Times New Roman" w:hAnsi="Times New Roman" w:eastAsia="宋体"/>
          <w:szCs w:val="28"/>
        </w:rPr>
        <w:t xml:space="preserve"> </w:t>
      </w:r>
      <w:r>
        <w:rPr>
          <w:rFonts w:ascii="Times New Roman" w:hAnsi="Times New Roman" w:eastAsia="宋体"/>
          <w:szCs w:val="28"/>
        </w:rPr>
        <w:t>总体结论</w:t>
      </w:r>
      <w:r>
        <w:tab/>
      </w:r>
      <w:r>
        <w:fldChar w:fldCharType="begin"/>
      </w:r>
      <w:r>
        <w:instrText xml:space="preserve"> PAGEREF _Toc15333 </w:instrText>
      </w:r>
      <w:r>
        <w:fldChar w:fldCharType="separate"/>
      </w:r>
      <w:r>
        <w:t>25</w:t>
      </w:r>
      <w:r>
        <w:fldChar w:fldCharType="end"/>
      </w:r>
      <w:r>
        <w:rPr>
          <w:rFonts w:hAnsi="宋体"/>
        </w:rPr>
        <w:fldChar w:fldCharType="end"/>
      </w:r>
    </w:p>
    <w:p>
      <w:pPr>
        <w:pStyle w:val="2"/>
        <w:tabs>
          <w:tab w:val="right" w:leader="dot" w:pos="8504"/>
          <w:tab w:val="clear" w:pos="8296"/>
        </w:tabs>
      </w:pPr>
      <w:r>
        <w:rPr>
          <w:rFonts w:hAnsi="宋体"/>
        </w:rPr>
        <w:fldChar w:fldCharType="begin"/>
      </w:r>
      <w:r>
        <w:rPr>
          <w:rFonts w:hAnsi="宋体"/>
        </w:rPr>
        <w:instrText xml:space="preserve"> HYPERLINK \l _Toc10294 </w:instrText>
      </w:r>
      <w:r>
        <w:rPr>
          <w:rFonts w:hAnsi="宋体"/>
        </w:rPr>
        <w:fldChar w:fldCharType="separate"/>
      </w:r>
      <w:r>
        <w:rPr>
          <w:rFonts w:hint="eastAsia" w:ascii="Times New Roman" w:hAnsi="Times New Roman" w:eastAsia="宋体"/>
          <w:szCs w:val="28"/>
          <w:lang w:val="en-US" w:eastAsia="zh-CN"/>
        </w:rPr>
        <w:t>11</w:t>
      </w:r>
      <w:r>
        <w:rPr>
          <w:rFonts w:ascii="Times New Roman" w:hAnsi="Times New Roman" w:eastAsia="宋体"/>
          <w:szCs w:val="28"/>
        </w:rPr>
        <w:t>.4</w:t>
      </w:r>
      <w:r>
        <w:rPr>
          <w:rFonts w:hint="eastAsia" w:ascii="Times New Roman" w:hAnsi="Times New Roman" w:eastAsia="宋体"/>
          <w:szCs w:val="28"/>
        </w:rPr>
        <w:t xml:space="preserve"> </w:t>
      </w:r>
      <w:r>
        <w:rPr>
          <w:rFonts w:ascii="Times New Roman" w:hAnsi="Times New Roman" w:eastAsia="宋体"/>
          <w:szCs w:val="28"/>
        </w:rPr>
        <w:t>建议</w:t>
      </w:r>
      <w:r>
        <w:tab/>
      </w:r>
      <w:r>
        <w:fldChar w:fldCharType="begin"/>
      </w:r>
      <w:r>
        <w:instrText xml:space="preserve"> PAGEREF _Toc10294 </w:instrText>
      </w:r>
      <w:r>
        <w:fldChar w:fldCharType="separate"/>
      </w:r>
      <w:r>
        <w:t>25</w:t>
      </w:r>
      <w:r>
        <w:fldChar w:fldCharType="end"/>
      </w:r>
      <w:r>
        <w:rPr>
          <w:rFonts w:hAnsi="宋体"/>
        </w:rPr>
        <w:fldChar w:fldCharType="end"/>
      </w:r>
    </w:p>
    <w:p>
      <w:pPr>
        <w:pStyle w:val="22"/>
        <w:rPr>
          <w:rFonts w:hAnsi="宋体"/>
        </w:rPr>
      </w:pPr>
      <w:r>
        <w:rPr>
          <w:rFonts w:hAnsi="宋体"/>
        </w:rPr>
        <w:fldChar w:fldCharType="end"/>
      </w:r>
      <w:r>
        <w:rPr>
          <w:rFonts w:hint="eastAsia" w:hAnsi="宋体"/>
        </w:rPr>
        <w:t>附件：</w:t>
      </w:r>
    </w:p>
    <w:p>
      <w:pPr>
        <w:spacing w:line="480" w:lineRule="auto"/>
        <w:ind w:left="720" w:hanging="720" w:hangingChars="300"/>
        <w:jc w:val="left"/>
        <w:rPr>
          <w:rFonts w:hAnsi="宋体"/>
          <w:color w:val="auto"/>
          <w:sz w:val="24"/>
        </w:rPr>
      </w:pPr>
      <w:r>
        <w:rPr>
          <w:rFonts w:hint="eastAsia" w:hAnsi="宋体"/>
          <w:color w:val="auto"/>
          <w:sz w:val="24"/>
        </w:rPr>
        <w:t>附件1 益阳市环境保护局</w:t>
      </w:r>
      <w:r>
        <w:rPr>
          <w:rFonts w:hint="eastAsia" w:hAnsi="宋体"/>
          <w:color w:val="auto"/>
          <w:sz w:val="24"/>
          <w:lang w:eastAsia="zh-CN"/>
        </w:rPr>
        <w:t>益环髙审（</w:t>
      </w:r>
      <w:r>
        <w:rPr>
          <w:rFonts w:hint="eastAsia" w:hAnsi="宋体"/>
          <w:color w:val="auto"/>
          <w:sz w:val="24"/>
          <w:lang w:val="en-US" w:eastAsia="zh-CN"/>
        </w:rPr>
        <w:t>表</w:t>
      </w:r>
      <w:r>
        <w:rPr>
          <w:rFonts w:hint="eastAsia" w:hAnsi="宋体"/>
          <w:color w:val="auto"/>
          <w:sz w:val="24"/>
          <w:lang w:eastAsia="zh-CN"/>
        </w:rPr>
        <w:t>）[2017]38号</w:t>
      </w:r>
      <w:r>
        <w:rPr>
          <w:rFonts w:hint="eastAsia" w:hAnsi="宋体"/>
          <w:color w:val="auto"/>
          <w:sz w:val="24"/>
        </w:rPr>
        <w:t>文关于《</w:t>
      </w:r>
      <w:r>
        <w:rPr>
          <w:rFonts w:hint="eastAsia" w:hAnsi="宋体"/>
          <w:color w:val="auto"/>
          <w:sz w:val="24"/>
          <w:lang w:eastAsia="zh-CN"/>
        </w:rPr>
        <w:t>益阳康宁精神病专科医院建设项目</w:t>
      </w:r>
      <w:r>
        <w:rPr>
          <w:rFonts w:hint="eastAsia" w:hAnsi="宋体"/>
          <w:color w:val="auto"/>
          <w:sz w:val="24"/>
        </w:rPr>
        <w:t>环境影响报告表》的批复</w:t>
      </w:r>
    </w:p>
    <w:p>
      <w:pPr>
        <w:spacing w:line="480" w:lineRule="auto"/>
        <w:jc w:val="left"/>
        <w:rPr>
          <w:rFonts w:hint="eastAsia" w:hAnsi="宋体" w:eastAsia="宋体"/>
          <w:color w:val="auto"/>
          <w:sz w:val="24"/>
          <w:lang w:val="en-US" w:eastAsia="zh-CN"/>
        </w:rPr>
      </w:pPr>
      <w:r>
        <w:rPr>
          <w:rFonts w:hint="eastAsia" w:hAnsi="宋体"/>
          <w:color w:val="auto"/>
          <w:sz w:val="24"/>
        </w:rPr>
        <w:t xml:space="preserve">附件2 </w:t>
      </w:r>
      <w:r>
        <w:rPr>
          <w:rFonts w:hint="eastAsia" w:hAnsi="宋体"/>
          <w:color w:val="auto"/>
          <w:sz w:val="24"/>
          <w:lang w:val="en-US" w:eastAsia="zh-CN"/>
        </w:rPr>
        <w:t>委托函</w:t>
      </w:r>
    </w:p>
    <w:p>
      <w:pPr>
        <w:spacing w:line="480" w:lineRule="auto"/>
        <w:jc w:val="left"/>
        <w:rPr>
          <w:rFonts w:hAnsi="宋体"/>
          <w:color w:val="auto"/>
          <w:sz w:val="24"/>
        </w:rPr>
      </w:pPr>
      <w:r>
        <w:rPr>
          <w:rFonts w:hint="eastAsia" w:hAnsi="宋体"/>
          <w:color w:val="auto"/>
          <w:sz w:val="24"/>
        </w:rPr>
        <w:t>附件3 租赁合同</w:t>
      </w:r>
    </w:p>
    <w:p>
      <w:pPr>
        <w:spacing w:line="480" w:lineRule="auto"/>
        <w:jc w:val="left"/>
        <w:rPr>
          <w:rFonts w:hAnsi="宋体"/>
          <w:color w:val="auto"/>
          <w:sz w:val="24"/>
        </w:rPr>
      </w:pPr>
      <w:r>
        <w:rPr>
          <w:rFonts w:hint="eastAsia" w:hAnsi="宋体"/>
          <w:color w:val="auto"/>
          <w:sz w:val="24"/>
        </w:rPr>
        <w:t xml:space="preserve">附件4 </w:t>
      </w:r>
      <w:r>
        <w:rPr>
          <w:rFonts w:ascii="宋体" w:hAnsi="宋体" w:eastAsia="宋体" w:cs="宋体"/>
          <w:color w:val="auto"/>
          <w:sz w:val="24"/>
          <w:szCs w:val="24"/>
        </w:rPr>
        <w:t>医院污水处理应急预案</w:t>
      </w:r>
    </w:p>
    <w:p>
      <w:pPr>
        <w:spacing w:line="480" w:lineRule="auto"/>
        <w:jc w:val="left"/>
        <w:rPr>
          <w:rFonts w:hint="eastAsia" w:hAnsi="宋体"/>
          <w:color w:val="auto"/>
          <w:sz w:val="24"/>
        </w:rPr>
      </w:pPr>
      <w:r>
        <w:rPr>
          <w:rFonts w:hint="eastAsia" w:hAnsi="宋体"/>
          <w:color w:val="auto"/>
          <w:sz w:val="24"/>
        </w:rPr>
        <w:t>附件</w:t>
      </w:r>
      <w:r>
        <w:rPr>
          <w:rFonts w:hint="eastAsia" w:hAnsi="宋体"/>
          <w:color w:val="auto"/>
          <w:sz w:val="24"/>
          <w:lang w:val="en-US" w:eastAsia="zh-CN"/>
        </w:rPr>
        <w:t>5</w:t>
      </w:r>
      <w:r>
        <w:rPr>
          <w:rFonts w:hint="eastAsia" w:hAnsi="宋体"/>
          <w:color w:val="auto"/>
          <w:sz w:val="24"/>
        </w:rPr>
        <w:t xml:space="preserve"> </w:t>
      </w:r>
      <w:r>
        <w:rPr>
          <w:rFonts w:ascii="宋体" w:hAnsi="宋体" w:eastAsia="宋体" w:cs="宋体"/>
          <w:color w:val="auto"/>
          <w:sz w:val="24"/>
          <w:szCs w:val="24"/>
        </w:rPr>
        <w:t>医疗废物集中处理处置合同</w:t>
      </w:r>
    </w:p>
    <w:p>
      <w:pPr>
        <w:spacing w:line="480" w:lineRule="auto"/>
        <w:jc w:val="left"/>
        <w:rPr>
          <w:rFonts w:ascii="宋体" w:hAnsi="宋体" w:eastAsia="宋体" w:cs="宋体"/>
          <w:color w:val="auto"/>
          <w:sz w:val="24"/>
          <w:szCs w:val="24"/>
        </w:rPr>
      </w:pPr>
      <w:r>
        <w:rPr>
          <w:rFonts w:hint="eastAsia" w:hAnsi="宋体"/>
          <w:color w:val="auto"/>
          <w:sz w:val="24"/>
        </w:rPr>
        <w:t>附件</w:t>
      </w:r>
      <w:r>
        <w:rPr>
          <w:rFonts w:hint="eastAsia" w:hAnsi="宋体"/>
          <w:color w:val="auto"/>
          <w:sz w:val="24"/>
          <w:lang w:val="en-US" w:eastAsia="zh-CN"/>
        </w:rPr>
        <w:t>6</w:t>
      </w:r>
      <w:r>
        <w:rPr>
          <w:rFonts w:hint="eastAsia" w:hAnsi="宋体"/>
          <w:color w:val="auto"/>
          <w:sz w:val="24"/>
        </w:rPr>
        <w:t xml:space="preserve"> </w:t>
      </w:r>
      <w:r>
        <w:rPr>
          <w:rFonts w:ascii="宋体" w:hAnsi="宋体" w:eastAsia="宋体" w:cs="宋体"/>
          <w:color w:val="auto"/>
          <w:sz w:val="24"/>
          <w:szCs w:val="24"/>
        </w:rPr>
        <w:t>危险废物处置单位资质</w:t>
      </w:r>
    </w:p>
    <w:p>
      <w:pPr>
        <w:pStyle w:val="2"/>
        <w:rPr>
          <w:rFonts w:hint="default"/>
          <w:lang w:val="en-US"/>
        </w:rPr>
      </w:pPr>
      <w:r>
        <w:rPr>
          <w:rFonts w:hint="eastAsia" w:hAnsi="宋体"/>
          <w:color w:val="auto"/>
          <w:sz w:val="24"/>
        </w:rPr>
        <w:t>附件</w:t>
      </w:r>
      <w:r>
        <w:rPr>
          <w:rFonts w:hint="eastAsia" w:hAnsi="宋体"/>
          <w:color w:val="auto"/>
          <w:sz w:val="24"/>
          <w:lang w:val="en-US" w:eastAsia="zh-CN"/>
        </w:rPr>
        <w:t>7 验收意见及签到表</w:t>
      </w:r>
    </w:p>
    <w:p>
      <w:pPr>
        <w:spacing w:line="560" w:lineRule="exact"/>
        <w:jc w:val="left"/>
        <w:rPr>
          <w:rFonts w:hint="eastAsia" w:hAnsi="宋体" w:eastAsia="宋体"/>
          <w:b/>
          <w:sz w:val="24"/>
          <w:lang w:val="en-US" w:eastAsia="zh-CN"/>
        </w:rPr>
      </w:pPr>
      <w:r>
        <w:rPr>
          <w:rFonts w:hint="eastAsia" w:hAnsi="宋体"/>
          <w:color w:val="auto"/>
          <w:sz w:val="24"/>
        </w:rPr>
        <w:t>附件</w:t>
      </w:r>
      <w:r>
        <w:rPr>
          <w:rFonts w:hint="eastAsia" w:hAnsi="宋体"/>
          <w:color w:val="auto"/>
          <w:sz w:val="24"/>
          <w:lang w:val="en-US" w:eastAsia="zh-CN"/>
        </w:rPr>
        <w:t xml:space="preserve">8 </w:t>
      </w:r>
      <w:r>
        <w:rPr>
          <w:rFonts w:hint="eastAsia" w:hAnsi="宋体"/>
          <w:color w:val="auto"/>
          <w:sz w:val="24"/>
        </w:rPr>
        <w:t>建设项目“三同时”验收登记表</w:t>
      </w:r>
    </w:p>
    <w:p>
      <w:pPr>
        <w:spacing w:line="560" w:lineRule="exact"/>
        <w:jc w:val="left"/>
        <w:rPr>
          <w:b/>
          <w:sz w:val="24"/>
        </w:rPr>
      </w:pPr>
      <w:r>
        <w:rPr>
          <w:rFonts w:hAnsi="宋体"/>
          <w:b/>
          <w:sz w:val="24"/>
        </w:rPr>
        <w:t>附图：</w:t>
      </w:r>
    </w:p>
    <w:p>
      <w:pPr>
        <w:spacing w:line="560" w:lineRule="exact"/>
        <w:ind w:left="480" w:hanging="480" w:hangingChars="200"/>
        <w:jc w:val="left"/>
        <w:rPr>
          <w:rFonts w:hAnsi="宋体"/>
          <w:sz w:val="24"/>
        </w:rPr>
      </w:pPr>
      <w:r>
        <w:rPr>
          <w:rFonts w:hAnsi="宋体"/>
          <w:sz w:val="24"/>
        </w:rPr>
        <w:t>附图</w:t>
      </w:r>
      <w:r>
        <w:rPr>
          <w:rFonts w:hint="eastAsia" w:hAnsi="宋体"/>
          <w:sz w:val="24"/>
        </w:rPr>
        <w:t>1</w:t>
      </w:r>
      <w:r>
        <w:rPr>
          <w:rFonts w:hAnsi="宋体"/>
          <w:sz w:val="24"/>
        </w:rPr>
        <w:t xml:space="preserve">  </w:t>
      </w:r>
      <w:r>
        <w:rPr>
          <w:rFonts w:hint="eastAsia" w:hAnsi="宋体"/>
          <w:sz w:val="24"/>
        </w:rPr>
        <w:t>地理位置图</w:t>
      </w:r>
    </w:p>
    <w:p>
      <w:pPr>
        <w:spacing w:line="560" w:lineRule="exact"/>
        <w:ind w:left="480" w:hanging="480" w:hangingChars="200"/>
        <w:jc w:val="left"/>
        <w:rPr>
          <w:rFonts w:hAnsi="宋体"/>
          <w:sz w:val="24"/>
        </w:rPr>
      </w:pPr>
      <w:r>
        <w:rPr>
          <w:rFonts w:hint="eastAsia" w:hAnsi="宋体"/>
          <w:sz w:val="24"/>
        </w:rPr>
        <w:t xml:space="preserve">附图2  </w:t>
      </w:r>
      <w:r>
        <w:rPr>
          <w:rFonts w:hAnsi="宋体"/>
          <w:sz w:val="24"/>
        </w:rPr>
        <w:t>现场照片</w:t>
      </w:r>
    </w:p>
    <w:p>
      <w:pPr>
        <w:spacing w:line="560" w:lineRule="exact"/>
        <w:ind w:left="480" w:hanging="480" w:hangingChars="200"/>
        <w:jc w:val="left"/>
        <w:rPr>
          <w:rFonts w:hAnsi="宋体"/>
          <w:sz w:val="24"/>
        </w:rPr>
      </w:pPr>
      <w:r>
        <w:rPr>
          <w:rFonts w:hint="eastAsia" w:hAnsi="宋体"/>
          <w:sz w:val="24"/>
        </w:rPr>
        <w:t>附图3  现场监测布点图</w:t>
      </w:r>
    </w:p>
    <w:p>
      <w:pPr>
        <w:spacing w:line="560" w:lineRule="exact"/>
        <w:ind w:left="480" w:hanging="480" w:hangingChars="200"/>
        <w:jc w:val="left"/>
        <w:rPr>
          <w:rFonts w:hAnsi="宋体"/>
          <w:sz w:val="24"/>
        </w:rPr>
        <w:sectPr>
          <w:headerReference r:id="rId8" w:type="default"/>
          <w:footerReference r:id="rId9" w:type="default"/>
          <w:pgSz w:w="11906" w:h="16838"/>
          <w:pgMar w:top="1701" w:right="1588" w:bottom="1560" w:left="1814" w:header="1021" w:footer="794" w:gutter="0"/>
          <w:pgBorders>
            <w:top w:val="none" w:sz="0" w:space="0"/>
            <w:left w:val="none" w:sz="0" w:space="0"/>
            <w:bottom w:val="none" w:sz="0" w:space="0"/>
            <w:right w:val="none" w:sz="0" w:space="0"/>
          </w:pgBorders>
          <w:cols w:space="720" w:num="1"/>
          <w:docGrid w:type="lines" w:linePitch="312" w:charSpace="0"/>
        </w:sectPr>
      </w:pPr>
    </w:p>
    <w:p>
      <w:pPr>
        <w:pStyle w:val="3"/>
        <w:spacing w:beforeLines="50" w:afterLines="50" w:line="640" w:lineRule="exact"/>
        <w:rPr>
          <w:sz w:val="32"/>
          <w:szCs w:val="32"/>
        </w:rPr>
      </w:pPr>
      <w:bookmarkStart w:id="0" w:name="_Toc443817993"/>
      <w:bookmarkStart w:id="1" w:name="_Toc211096925"/>
      <w:bookmarkStart w:id="2" w:name="_Toc23312"/>
      <w:bookmarkStart w:id="3" w:name="_Toc22390"/>
      <w:r>
        <w:rPr>
          <w:sz w:val="32"/>
          <w:szCs w:val="32"/>
        </w:rPr>
        <w:t>1 前言</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spacing w:before="157" w:beforeLines="50" w:after="157" w:afterLines="50" w:line="640" w:lineRule="exact"/>
        <w:ind w:left="0" w:leftChars="0" w:right="0" w:rightChars="0" w:firstLine="480" w:firstLineChars="200"/>
        <w:jc w:val="left"/>
        <w:textAlignment w:val="auto"/>
        <w:outlineLvl w:val="9"/>
        <w:rPr>
          <w:rFonts w:hint="eastAsia"/>
          <w:color w:val="FF0000"/>
          <w:sz w:val="24"/>
        </w:rPr>
      </w:pPr>
      <w:bookmarkStart w:id="4" w:name="_Toc211096926"/>
      <w:bookmarkStart w:id="5" w:name="_Toc103233812"/>
      <w:r>
        <w:rPr>
          <w:rFonts w:hint="eastAsia"/>
          <w:sz w:val="24"/>
        </w:rPr>
        <w:t>益阳</w:t>
      </w:r>
      <w:r>
        <w:rPr>
          <w:rFonts w:hint="eastAsia"/>
          <w:sz w:val="24"/>
          <w:lang w:val="en-US" w:eastAsia="zh-CN"/>
        </w:rPr>
        <w:t>康宁精神病专科医院</w:t>
      </w:r>
      <w:r>
        <w:rPr>
          <w:rFonts w:hint="eastAsia"/>
          <w:sz w:val="24"/>
        </w:rPr>
        <w:t>是一所营利性的私人专科医院，为居民提供公共卫生服务</w:t>
      </w:r>
      <w:r>
        <w:rPr>
          <w:rFonts w:hint="eastAsia"/>
          <w:sz w:val="24"/>
          <w:lang w:eastAsia="zh-CN"/>
        </w:rPr>
        <w:t>，</w:t>
      </w:r>
      <w:r>
        <w:rPr>
          <w:rFonts w:hint="eastAsia"/>
          <w:sz w:val="24"/>
        </w:rPr>
        <w:t>益阳</w:t>
      </w:r>
      <w:r>
        <w:rPr>
          <w:rFonts w:hint="eastAsia"/>
          <w:sz w:val="24"/>
          <w:lang w:val="en-US" w:eastAsia="zh-CN"/>
        </w:rPr>
        <w:t>康宁精神病专科医院租用</w:t>
      </w:r>
      <w:r>
        <w:rPr>
          <w:rFonts w:hint="eastAsia"/>
          <w:sz w:val="24"/>
        </w:rPr>
        <w:t>益阳市谢林港镇桃益公路南侧一栋5层建筑及附近场地进行建设</w:t>
      </w:r>
      <w:r>
        <w:rPr>
          <w:rFonts w:hint="eastAsia"/>
          <w:sz w:val="24"/>
          <w:lang w:eastAsia="zh-CN"/>
        </w:rPr>
        <w:t>（租赁合同详见附件</w:t>
      </w:r>
      <w:r>
        <w:rPr>
          <w:rFonts w:hint="eastAsia"/>
          <w:sz w:val="24"/>
          <w:lang w:val="en-US" w:eastAsia="zh-CN"/>
        </w:rPr>
        <w:t>2</w:t>
      </w:r>
      <w:r>
        <w:rPr>
          <w:rFonts w:hint="eastAsia"/>
          <w:sz w:val="24"/>
          <w:lang w:eastAsia="zh-CN"/>
        </w:rPr>
        <w:t>）</w:t>
      </w:r>
      <w:r>
        <w:rPr>
          <w:rFonts w:hint="eastAsia"/>
          <w:sz w:val="24"/>
        </w:rPr>
        <w:t>。医院设立门诊部、住院部（69张病床）、放射室（用来颅内检测，为临床诊断提供依据）、化验室、药房，以及食堂、办公室、病员活动场所（布置健身器材，用于病员健身活动）。医院拥有</w:t>
      </w:r>
      <w:r>
        <w:rPr>
          <w:rFonts w:hint="eastAsia"/>
          <w:sz w:val="24"/>
          <w:lang w:val="en-US" w:eastAsia="zh-CN"/>
        </w:rPr>
        <w:t>DR机、心电图机、血液分析仪、生化分析仪</w:t>
      </w:r>
      <w:r>
        <w:rPr>
          <w:rFonts w:hint="eastAsia"/>
          <w:sz w:val="24"/>
        </w:rPr>
        <w:t>等医疗设备。</w:t>
      </w:r>
    </w:p>
    <w:p>
      <w:pPr>
        <w:keepNext w:val="0"/>
        <w:keepLines w:val="0"/>
        <w:pageBreakBefore w:val="0"/>
        <w:widowControl w:val="0"/>
        <w:kinsoku/>
        <w:wordWrap/>
        <w:overflowPunct/>
        <w:topLinePunct w:val="0"/>
        <w:autoSpaceDE/>
        <w:autoSpaceDN/>
        <w:bidi w:val="0"/>
        <w:adjustRightInd/>
        <w:snapToGrid/>
        <w:spacing w:before="157" w:beforeLines="50" w:after="157" w:afterLines="50" w:line="640" w:lineRule="exact"/>
        <w:ind w:left="0" w:leftChars="0" w:right="0" w:rightChars="0" w:firstLine="480" w:firstLineChars="200"/>
        <w:jc w:val="left"/>
        <w:textAlignment w:val="auto"/>
        <w:outlineLvl w:val="9"/>
        <w:rPr>
          <w:sz w:val="24"/>
        </w:rPr>
      </w:pPr>
      <w:r>
        <w:rPr>
          <w:rFonts w:hint="eastAsia"/>
          <w:sz w:val="24"/>
        </w:rPr>
        <w:t>益阳</w:t>
      </w:r>
      <w:r>
        <w:rPr>
          <w:rFonts w:hint="eastAsia"/>
          <w:sz w:val="24"/>
          <w:lang w:val="en-US" w:eastAsia="zh-CN"/>
        </w:rPr>
        <w:t>康宁精神病专科医院</w:t>
      </w:r>
      <w:r>
        <w:rPr>
          <w:rFonts w:hint="eastAsia"/>
          <w:sz w:val="24"/>
        </w:rPr>
        <w:t>建设项目于2017年</w:t>
      </w:r>
      <w:r>
        <w:rPr>
          <w:rFonts w:hint="eastAsia"/>
          <w:sz w:val="24"/>
          <w:lang w:val="en-US" w:eastAsia="zh-CN"/>
        </w:rPr>
        <w:t>12</w:t>
      </w:r>
      <w:r>
        <w:rPr>
          <w:rFonts w:hint="eastAsia"/>
          <w:sz w:val="24"/>
        </w:rPr>
        <w:t>月</w:t>
      </w:r>
      <w:r>
        <w:rPr>
          <w:sz w:val="24"/>
        </w:rPr>
        <w:t>由</w:t>
      </w:r>
      <w:r>
        <w:rPr>
          <w:rFonts w:hint="eastAsia"/>
          <w:sz w:val="24"/>
          <w:lang w:val="en-US" w:eastAsia="zh-CN"/>
        </w:rPr>
        <w:t>湖南景玺环保科技有限公司完成其环境影响评价报告表并通过评审，益阳市环境保护局</w:t>
      </w:r>
      <w:r>
        <w:rPr>
          <w:rFonts w:hint="eastAsia"/>
          <w:sz w:val="24"/>
        </w:rPr>
        <w:t>于2017年</w:t>
      </w:r>
      <w:r>
        <w:rPr>
          <w:rFonts w:hint="eastAsia"/>
          <w:sz w:val="24"/>
          <w:lang w:val="en-US" w:eastAsia="zh-CN"/>
        </w:rPr>
        <w:t>12</w:t>
      </w:r>
      <w:r>
        <w:rPr>
          <w:rFonts w:hint="eastAsia"/>
          <w:sz w:val="24"/>
        </w:rPr>
        <w:t>月</w:t>
      </w:r>
      <w:r>
        <w:rPr>
          <w:rFonts w:hint="eastAsia"/>
          <w:sz w:val="24"/>
          <w:lang w:val="en-US" w:eastAsia="zh-CN"/>
        </w:rPr>
        <w:t>11</w:t>
      </w:r>
      <w:r>
        <w:rPr>
          <w:rFonts w:hint="eastAsia"/>
          <w:sz w:val="24"/>
        </w:rPr>
        <w:t>日以益环</w:t>
      </w:r>
      <w:r>
        <w:rPr>
          <w:rFonts w:hint="eastAsia"/>
          <w:sz w:val="24"/>
          <w:lang w:val="en-US" w:eastAsia="zh-CN"/>
        </w:rPr>
        <w:t>高</w:t>
      </w:r>
      <w:r>
        <w:rPr>
          <w:rFonts w:hint="eastAsia"/>
          <w:sz w:val="24"/>
        </w:rPr>
        <w:t>审[2017]</w:t>
      </w:r>
      <w:r>
        <w:rPr>
          <w:rFonts w:hint="eastAsia"/>
          <w:sz w:val="24"/>
          <w:lang w:val="en-US" w:eastAsia="zh-CN"/>
        </w:rPr>
        <w:t>38</w:t>
      </w:r>
      <w:r>
        <w:rPr>
          <w:rFonts w:hint="eastAsia"/>
          <w:sz w:val="24"/>
        </w:rPr>
        <w:t>号</w:t>
      </w:r>
      <w:r>
        <w:rPr>
          <w:sz w:val="24"/>
        </w:rPr>
        <w:t>文予以批复。</w:t>
      </w:r>
    </w:p>
    <w:p>
      <w:pPr>
        <w:keepNext w:val="0"/>
        <w:keepLines w:val="0"/>
        <w:pageBreakBefore w:val="0"/>
        <w:widowControl w:val="0"/>
        <w:kinsoku/>
        <w:wordWrap/>
        <w:overflowPunct/>
        <w:topLinePunct w:val="0"/>
        <w:autoSpaceDE/>
        <w:autoSpaceDN/>
        <w:bidi w:val="0"/>
        <w:adjustRightInd/>
        <w:snapToGrid/>
        <w:spacing w:before="157" w:beforeLines="50" w:after="157" w:afterLines="50" w:line="640" w:lineRule="exact"/>
        <w:ind w:left="0" w:leftChars="0" w:right="0" w:rightChars="0" w:firstLine="480" w:firstLineChars="200"/>
        <w:jc w:val="left"/>
        <w:textAlignment w:val="auto"/>
        <w:outlineLvl w:val="9"/>
        <w:rPr>
          <w:sz w:val="24"/>
        </w:rPr>
        <w:sectPr>
          <w:footerReference r:id="rId11" w:type="first"/>
          <w:footerReference r:id="rId10" w:type="default"/>
          <w:pgSz w:w="11906" w:h="16838"/>
          <w:pgMar w:top="1418" w:right="1474" w:bottom="993" w:left="1474" w:header="851" w:footer="624" w:gutter="0"/>
          <w:pgBorders>
            <w:top w:val="none" w:sz="0" w:space="0"/>
            <w:left w:val="none" w:sz="0" w:space="0"/>
            <w:bottom w:val="none" w:sz="0" w:space="0"/>
            <w:right w:val="none" w:sz="0" w:space="0"/>
          </w:pgBorders>
          <w:pgNumType w:fmt="decimal" w:start="1"/>
          <w:cols w:space="720" w:num="1"/>
          <w:titlePg/>
          <w:docGrid w:type="lines" w:linePitch="312" w:charSpace="0"/>
        </w:sectPr>
      </w:pPr>
      <w:r>
        <w:rPr>
          <w:sz w:val="24"/>
        </w:rPr>
        <w:t>根据建设项目竣工环境保护验收管理办法的相关要求和规定，</w:t>
      </w:r>
      <w:r>
        <w:rPr>
          <w:rFonts w:hint="eastAsia"/>
          <w:sz w:val="24"/>
          <w:lang w:eastAsia="zh-CN"/>
        </w:rPr>
        <w:t>本</w:t>
      </w:r>
      <w:r>
        <w:rPr>
          <w:sz w:val="24"/>
        </w:rPr>
        <w:t>公司</w:t>
      </w:r>
      <w:r>
        <w:rPr>
          <w:rFonts w:hint="eastAsia"/>
          <w:sz w:val="24"/>
          <w:lang w:val="en-US" w:eastAsia="zh-CN"/>
        </w:rPr>
        <w:t>受</w:t>
      </w:r>
      <w:r>
        <w:rPr>
          <w:rFonts w:hint="eastAsia"/>
          <w:sz w:val="24"/>
        </w:rPr>
        <w:t>益阳</w:t>
      </w:r>
      <w:r>
        <w:rPr>
          <w:rFonts w:hint="eastAsia"/>
          <w:sz w:val="24"/>
          <w:lang w:val="en-US" w:eastAsia="zh-CN"/>
        </w:rPr>
        <w:t>康宁精神病专科医院</w:t>
      </w:r>
      <w:r>
        <w:rPr>
          <w:sz w:val="24"/>
        </w:rPr>
        <w:t>委托，负责其“</w:t>
      </w:r>
      <w:r>
        <w:rPr>
          <w:rFonts w:hint="eastAsia"/>
          <w:sz w:val="24"/>
        </w:rPr>
        <w:t>益阳</w:t>
      </w:r>
      <w:r>
        <w:rPr>
          <w:rFonts w:hint="eastAsia"/>
          <w:sz w:val="24"/>
          <w:lang w:val="en-US" w:eastAsia="zh-CN"/>
        </w:rPr>
        <w:t>康宁精神病专科医院</w:t>
      </w:r>
      <w:r>
        <w:rPr>
          <w:rFonts w:hint="eastAsia"/>
          <w:sz w:val="24"/>
        </w:rPr>
        <w:t>建设项目</w:t>
      </w:r>
      <w:r>
        <w:rPr>
          <w:sz w:val="24"/>
        </w:rPr>
        <w:t>”竣工环境保护验收监测工作，201</w:t>
      </w:r>
      <w:r>
        <w:rPr>
          <w:rFonts w:hint="eastAsia"/>
          <w:sz w:val="24"/>
          <w:lang w:val="en-US" w:eastAsia="zh-CN"/>
        </w:rPr>
        <w:t>8</w:t>
      </w:r>
      <w:r>
        <w:rPr>
          <w:sz w:val="24"/>
        </w:rPr>
        <w:t>年</w:t>
      </w:r>
      <w:r>
        <w:rPr>
          <w:rFonts w:hint="eastAsia"/>
          <w:sz w:val="24"/>
          <w:lang w:val="en-US" w:eastAsia="zh-CN"/>
        </w:rPr>
        <w:t>5</w:t>
      </w:r>
      <w:r>
        <w:rPr>
          <w:sz w:val="24"/>
        </w:rPr>
        <w:t>月</w:t>
      </w:r>
      <w:r>
        <w:rPr>
          <w:rFonts w:hint="eastAsia"/>
          <w:sz w:val="24"/>
          <w:lang w:val="en-US" w:eastAsia="zh-CN"/>
        </w:rPr>
        <w:t>10</w:t>
      </w:r>
      <w:r>
        <w:rPr>
          <w:sz w:val="24"/>
        </w:rPr>
        <w:t>日，公司组织技术人员对本项目进行了现场勘查。201</w:t>
      </w:r>
      <w:r>
        <w:rPr>
          <w:rFonts w:hint="eastAsia"/>
          <w:sz w:val="24"/>
          <w:lang w:val="en-US" w:eastAsia="zh-CN"/>
        </w:rPr>
        <w:t>8</w:t>
      </w:r>
      <w:r>
        <w:rPr>
          <w:sz w:val="24"/>
        </w:rPr>
        <w:t>年</w:t>
      </w:r>
      <w:r>
        <w:rPr>
          <w:rFonts w:hint="eastAsia"/>
          <w:sz w:val="24"/>
          <w:lang w:val="en-US" w:eastAsia="zh-CN"/>
        </w:rPr>
        <w:t>5</w:t>
      </w:r>
      <w:r>
        <w:rPr>
          <w:rFonts w:hint="eastAsia"/>
          <w:sz w:val="24"/>
        </w:rPr>
        <w:t>月</w:t>
      </w:r>
      <w:r>
        <w:rPr>
          <w:rFonts w:hint="eastAsia"/>
          <w:sz w:val="24"/>
          <w:lang w:val="en-US" w:eastAsia="zh-CN"/>
        </w:rPr>
        <w:t>15</w:t>
      </w:r>
      <w:r>
        <w:rPr>
          <w:rFonts w:hint="eastAsia"/>
          <w:sz w:val="24"/>
        </w:rPr>
        <w:t>日至</w:t>
      </w:r>
      <w:r>
        <w:rPr>
          <w:rFonts w:hint="eastAsia"/>
          <w:sz w:val="24"/>
          <w:lang w:val="en-US" w:eastAsia="zh-CN"/>
        </w:rPr>
        <w:t>5</w:t>
      </w:r>
      <w:r>
        <w:rPr>
          <w:rFonts w:hint="eastAsia"/>
          <w:sz w:val="24"/>
        </w:rPr>
        <w:t>月</w:t>
      </w:r>
      <w:r>
        <w:rPr>
          <w:rFonts w:hint="eastAsia"/>
          <w:sz w:val="24"/>
          <w:lang w:val="en-US" w:eastAsia="zh-CN"/>
        </w:rPr>
        <w:t>16</w:t>
      </w:r>
      <w:r>
        <w:rPr>
          <w:rFonts w:hint="eastAsia"/>
          <w:sz w:val="24"/>
        </w:rPr>
        <w:t>日</w:t>
      </w:r>
      <w:r>
        <w:rPr>
          <w:rFonts w:hint="eastAsia"/>
          <w:sz w:val="24"/>
          <w:lang w:eastAsia="zh-CN"/>
        </w:rPr>
        <w:t>、</w:t>
      </w:r>
      <w:r>
        <w:rPr>
          <w:rFonts w:hint="eastAsia"/>
          <w:sz w:val="24"/>
          <w:lang w:val="en-US" w:eastAsia="zh-CN"/>
        </w:rPr>
        <w:t>2019年5月13</w:t>
      </w:r>
      <w:r>
        <w:rPr>
          <w:rFonts w:hint="eastAsia"/>
          <w:sz w:val="24"/>
        </w:rPr>
        <w:t>至</w:t>
      </w:r>
      <w:r>
        <w:rPr>
          <w:rFonts w:hint="eastAsia"/>
          <w:sz w:val="24"/>
          <w:lang w:val="en-US" w:eastAsia="zh-CN"/>
        </w:rPr>
        <w:t>5</w:t>
      </w:r>
      <w:r>
        <w:rPr>
          <w:sz w:val="24"/>
        </w:rPr>
        <w:t>月</w:t>
      </w:r>
      <w:r>
        <w:rPr>
          <w:rFonts w:hint="eastAsia"/>
          <w:sz w:val="24"/>
          <w:lang w:val="en-US" w:eastAsia="zh-CN"/>
        </w:rPr>
        <w:t>14</w:t>
      </w:r>
      <w:r>
        <w:rPr>
          <w:sz w:val="24"/>
        </w:rPr>
        <w:t>日，对本项目进行了竣工环境保护验收监测和现场管理检查。依据验收监测结果和建设单位提供资料，编制完成《</w:t>
      </w:r>
      <w:r>
        <w:rPr>
          <w:rFonts w:hint="eastAsia"/>
          <w:sz w:val="24"/>
        </w:rPr>
        <w:t>益阳</w:t>
      </w:r>
      <w:r>
        <w:rPr>
          <w:rFonts w:hint="eastAsia"/>
          <w:sz w:val="24"/>
          <w:lang w:val="en-US" w:eastAsia="zh-CN"/>
        </w:rPr>
        <w:t>康宁精神病专科医院</w:t>
      </w:r>
      <w:r>
        <w:rPr>
          <w:sz w:val="24"/>
        </w:rPr>
        <w:t>竣工环境保护验收监测报告</w:t>
      </w:r>
      <w:r>
        <w:rPr>
          <w:rFonts w:hint="eastAsia"/>
          <w:sz w:val="24"/>
          <w:lang w:eastAsia="zh-CN"/>
        </w:rPr>
        <w:t>表</w:t>
      </w:r>
      <w:r>
        <w:rPr>
          <w:sz w:val="24"/>
        </w:rPr>
        <w:t>》</w:t>
      </w:r>
      <w:r>
        <w:rPr>
          <w:rFonts w:hint="eastAsia"/>
          <w:sz w:val="24"/>
        </w:rPr>
        <w:t>。</w:t>
      </w:r>
    </w:p>
    <w:p>
      <w:pPr>
        <w:spacing w:line="340" w:lineRule="exact"/>
        <w:jc w:val="center"/>
        <w:rPr>
          <w:b/>
          <w:kern w:val="0"/>
          <w:szCs w:val="21"/>
          <w:lang w:val="zh-CN"/>
        </w:rPr>
      </w:pPr>
      <w:r>
        <w:rPr>
          <w:b/>
          <w:kern w:val="0"/>
          <w:szCs w:val="21"/>
          <w:lang w:val="zh-CN"/>
        </w:rPr>
        <w:t xml:space="preserve">表1-1 </w:t>
      </w:r>
      <w:r>
        <w:rPr>
          <w:rFonts w:hint="eastAsia"/>
          <w:b/>
          <w:kern w:val="0"/>
          <w:szCs w:val="21"/>
          <w:lang w:val="zh-CN"/>
        </w:rPr>
        <w:t>项目基本情况一览表</w:t>
      </w:r>
    </w:p>
    <w:tbl>
      <w:tblPr>
        <w:tblStyle w:val="32"/>
        <w:tblW w:w="9005" w:type="dxa"/>
        <w:jc w:val="center"/>
        <w:tblInd w:w="66"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49"/>
        <w:gridCol w:w="1454"/>
        <w:gridCol w:w="142"/>
        <w:gridCol w:w="1250"/>
        <w:gridCol w:w="1513"/>
        <w:gridCol w:w="1585"/>
        <w:gridCol w:w="13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7256" w:type="dxa"/>
            <w:gridSpan w:val="6"/>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益阳</w:t>
            </w:r>
            <w:r>
              <w:rPr>
                <w:rFonts w:hint="eastAsia" w:ascii="Times New Roman" w:hAnsi="Times New Roman" w:eastAsia="宋体" w:cs="Times New Roman"/>
                <w:sz w:val="21"/>
                <w:szCs w:val="21"/>
                <w:lang w:val="en-US" w:eastAsia="zh-CN"/>
              </w:rPr>
              <w:t>康宁精神病专科医院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7256" w:type="dxa"/>
            <w:gridSpan w:val="6"/>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益阳</w:t>
            </w:r>
            <w:r>
              <w:rPr>
                <w:rFonts w:hint="eastAsia" w:ascii="Times New Roman" w:hAnsi="Times New Roman" w:eastAsia="宋体" w:cs="Times New Roman"/>
                <w:sz w:val="21"/>
                <w:szCs w:val="21"/>
                <w:lang w:val="en-US" w:eastAsia="zh-CN"/>
              </w:rPr>
              <w:t>康宁精神病专科医院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2846" w:type="dxa"/>
            <w:gridSpan w:val="3"/>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color w:val="000000" w:themeColor="text1"/>
                <w:sz w:val="21"/>
                <w:szCs w:val="21"/>
              </w:rPr>
            </w:pPr>
            <w:r>
              <w:rPr>
                <w:rFonts w:hint="eastAsia" w:eastAsiaTheme="minorEastAsia"/>
                <w:kern w:val="0"/>
                <w:sz w:val="21"/>
                <w:szCs w:val="21"/>
                <w:lang w:val="en-US" w:eastAsia="zh-CN"/>
              </w:rPr>
              <w:t>李宇晨</w:t>
            </w:r>
          </w:p>
        </w:tc>
        <w:tc>
          <w:tcPr>
            <w:tcW w:w="1513" w:type="dxa"/>
            <w:tcBorders>
              <w:tl2br w:val="nil"/>
              <w:tr2bl w:val="nil"/>
            </w:tcBorders>
            <w:vAlign w:val="center"/>
          </w:tcPr>
          <w:p>
            <w:pPr>
              <w:pStyle w:val="24"/>
              <w:widowControl/>
              <w:spacing w:line="360" w:lineRule="auto"/>
              <w:ind w:left="420" w:hanging="42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联系人</w:t>
            </w:r>
          </w:p>
        </w:tc>
        <w:tc>
          <w:tcPr>
            <w:tcW w:w="2897" w:type="dxa"/>
            <w:gridSpan w:val="2"/>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color w:val="000000" w:themeColor="text1"/>
                <w:sz w:val="21"/>
                <w:szCs w:val="21"/>
              </w:rPr>
            </w:pPr>
            <w:r>
              <w:rPr>
                <w:rFonts w:hint="eastAsia" w:eastAsiaTheme="minorEastAsia"/>
                <w:kern w:val="0"/>
                <w:sz w:val="21"/>
                <w:szCs w:val="21"/>
                <w:lang w:val="en-US" w:eastAsia="zh-CN"/>
              </w:rPr>
              <w:t>李宇晨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通讯地址</w:t>
            </w:r>
          </w:p>
        </w:tc>
        <w:tc>
          <w:tcPr>
            <w:tcW w:w="7256" w:type="dxa"/>
            <w:gridSpan w:val="6"/>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color w:val="000000" w:themeColor="text1"/>
                <w:sz w:val="21"/>
                <w:szCs w:val="21"/>
              </w:rPr>
            </w:pPr>
            <w:r>
              <w:rPr>
                <w:rFonts w:hint="eastAsia" w:eastAsiaTheme="minorEastAsia"/>
                <w:kern w:val="0"/>
                <w:sz w:val="21"/>
                <w:szCs w:val="21"/>
                <w:lang w:val="en-US" w:eastAsia="zh-CN"/>
              </w:rPr>
              <w:t>益阳市高新区谢林港镇电信楼旁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1596" w:type="dxa"/>
            <w:gridSpan w:val="2"/>
            <w:tcBorders>
              <w:tl2br w:val="nil"/>
              <w:tr2bl w:val="nil"/>
            </w:tcBorders>
            <w:vAlign w:val="center"/>
          </w:tcPr>
          <w:p>
            <w:pPr>
              <w:pStyle w:val="24"/>
              <w:widowControl/>
              <w:spacing w:line="360" w:lineRule="auto"/>
              <w:ind w:left="420" w:hanging="420"/>
              <w:jc w:val="center"/>
              <w:rPr>
                <w:rFonts w:hint="default" w:ascii="Times New Roman" w:hAnsi="Times New Roman" w:eastAsia="宋体" w:cs="Times New Roman"/>
                <w:color w:val="000000" w:themeColor="text1"/>
                <w:sz w:val="21"/>
                <w:szCs w:val="21"/>
                <w:lang w:val="en-US"/>
              </w:rPr>
            </w:pPr>
            <w:r>
              <w:rPr>
                <w:rFonts w:hint="eastAsia" w:cs="Times New Roman"/>
                <w:sz w:val="21"/>
                <w:szCs w:val="21"/>
                <w:lang w:val="en-US" w:eastAsia="zh-CN"/>
              </w:rPr>
              <w:t>13807371237</w:t>
            </w:r>
          </w:p>
        </w:tc>
        <w:tc>
          <w:tcPr>
            <w:tcW w:w="1250" w:type="dxa"/>
            <w:tcBorders>
              <w:tl2br w:val="nil"/>
              <w:tr2bl w:val="nil"/>
            </w:tcBorders>
            <w:vAlign w:val="center"/>
          </w:tcPr>
          <w:p>
            <w:pPr>
              <w:pStyle w:val="24"/>
              <w:widowControl/>
              <w:spacing w:line="360" w:lineRule="auto"/>
              <w:ind w:left="420" w:hanging="42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传真</w:t>
            </w:r>
          </w:p>
        </w:tc>
        <w:tc>
          <w:tcPr>
            <w:tcW w:w="1513" w:type="dxa"/>
            <w:tcBorders>
              <w:tl2br w:val="nil"/>
              <w:tr2bl w:val="nil"/>
            </w:tcBorders>
            <w:vAlign w:val="center"/>
          </w:tcPr>
          <w:p>
            <w:pPr>
              <w:pStyle w:val="24"/>
              <w:widowControl/>
              <w:spacing w:line="360" w:lineRule="auto"/>
              <w:ind w:left="420" w:hanging="42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585" w:type="dxa"/>
            <w:tcBorders>
              <w:tl2br w:val="nil"/>
              <w:tr2bl w:val="nil"/>
            </w:tcBorders>
            <w:vAlign w:val="center"/>
          </w:tcPr>
          <w:p>
            <w:pPr>
              <w:pStyle w:val="24"/>
              <w:widowControl/>
              <w:spacing w:line="360" w:lineRule="auto"/>
              <w:ind w:left="420" w:hanging="42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邮政编码</w:t>
            </w:r>
          </w:p>
        </w:tc>
        <w:tc>
          <w:tcPr>
            <w:tcW w:w="1312" w:type="dxa"/>
            <w:tcBorders>
              <w:tl2br w:val="nil"/>
              <w:tr2bl w:val="nil"/>
            </w:tcBorders>
            <w:vAlign w:val="center"/>
          </w:tcPr>
          <w:p>
            <w:pPr>
              <w:pStyle w:val="24"/>
              <w:widowControl/>
              <w:spacing w:line="360" w:lineRule="auto"/>
              <w:ind w:left="420" w:hanging="42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auto"/>
                <w:sz w:val="21"/>
                <w:szCs w:val="21"/>
                <w:lang w:val="en-US" w:eastAsia="zh-CN"/>
              </w:rPr>
              <w:t>413057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建设地点</w:t>
            </w:r>
          </w:p>
        </w:tc>
        <w:tc>
          <w:tcPr>
            <w:tcW w:w="7256" w:type="dxa"/>
            <w:gridSpan w:val="6"/>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lang w:val="en-US"/>
              </w:rPr>
            </w:pPr>
            <w:r>
              <w:rPr>
                <w:rFonts w:hint="eastAsia" w:eastAsiaTheme="minorEastAsia"/>
                <w:kern w:val="0"/>
                <w:sz w:val="21"/>
                <w:szCs w:val="21"/>
                <w:lang w:val="en-US" w:eastAsia="zh-CN"/>
              </w:rPr>
              <w:t>益阳市高新区谢林港镇桃益公路南侧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立项审批部门</w:t>
            </w:r>
          </w:p>
        </w:tc>
        <w:tc>
          <w:tcPr>
            <w:tcW w:w="2846" w:type="dxa"/>
            <w:gridSpan w:val="3"/>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益阳市环境保护局</w:t>
            </w:r>
          </w:p>
        </w:tc>
        <w:tc>
          <w:tcPr>
            <w:tcW w:w="1513" w:type="dxa"/>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批准文号</w:t>
            </w:r>
          </w:p>
        </w:tc>
        <w:tc>
          <w:tcPr>
            <w:tcW w:w="2897" w:type="dxa"/>
            <w:gridSpan w:val="2"/>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益环</w:t>
            </w:r>
            <w:r>
              <w:rPr>
                <w:rFonts w:hint="eastAsia" w:cs="Times New Roman"/>
                <w:sz w:val="21"/>
                <w:szCs w:val="21"/>
                <w:lang w:val="en-US" w:eastAsia="zh-CN"/>
              </w:rPr>
              <w:t>高</w:t>
            </w:r>
            <w:r>
              <w:rPr>
                <w:rFonts w:hint="default" w:ascii="Times New Roman" w:hAnsi="Times New Roman" w:eastAsia="宋体" w:cs="Times New Roman"/>
                <w:sz w:val="21"/>
                <w:szCs w:val="21"/>
              </w:rPr>
              <w:t>审[2017]</w:t>
            </w:r>
            <w:r>
              <w:rPr>
                <w:rFonts w:hint="eastAsia" w:cs="Times New Roman"/>
                <w:sz w:val="21"/>
                <w:szCs w:val="21"/>
                <w:lang w:val="en-US" w:eastAsia="zh-CN"/>
              </w:rPr>
              <w:t>38</w:t>
            </w:r>
            <w:r>
              <w:rPr>
                <w:rFonts w:hint="default" w:ascii="Times New Roman" w:hAnsi="Times New Roman" w:eastAsia="宋体" w:cs="Times New Roman"/>
                <w:sz w:val="21"/>
                <w:szCs w:val="21"/>
              </w:rPr>
              <w:t>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建设性质</w:t>
            </w:r>
          </w:p>
        </w:tc>
        <w:tc>
          <w:tcPr>
            <w:tcW w:w="2846" w:type="dxa"/>
            <w:gridSpan w:val="3"/>
            <w:tcBorders>
              <w:tl2br w:val="nil"/>
              <w:tr2bl w:val="nil"/>
            </w:tcBorders>
            <w:vAlign w:val="center"/>
          </w:tcPr>
          <w:p>
            <w:pPr>
              <w:pStyle w:val="24"/>
              <w:spacing w:line="360" w:lineRule="auto"/>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w:t>
            </w:r>
          </w:p>
        </w:tc>
        <w:tc>
          <w:tcPr>
            <w:tcW w:w="1513" w:type="dxa"/>
            <w:tcBorders>
              <w:tl2br w:val="nil"/>
              <w:tr2bl w:val="nil"/>
            </w:tcBorders>
            <w:vAlign w:val="center"/>
          </w:tcPr>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行业类别</w:t>
            </w:r>
          </w:p>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及代码</w:t>
            </w:r>
          </w:p>
        </w:tc>
        <w:tc>
          <w:tcPr>
            <w:tcW w:w="2897" w:type="dxa"/>
            <w:gridSpan w:val="2"/>
            <w:tcBorders>
              <w:tl2br w:val="nil"/>
              <w:tr2bl w:val="nil"/>
            </w:tcBorders>
            <w:vAlign w:val="center"/>
          </w:tcPr>
          <w:p>
            <w:pPr>
              <w:pStyle w:val="24"/>
              <w:spacing w:line="360" w:lineRule="auto"/>
              <w:ind w:left="420" w:hanging="420"/>
              <w:jc w:val="center"/>
              <w:rPr>
                <w:rFonts w:hint="eastAsia" w:ascii="Times New Roman" w:hAnsi="Times New Roman" w:eastAsia="宋体" w:cs="Times New Roman"/>
                <w:snapToGrid w:val="0"/>
                <w:sz w:val="21"/>
                <w:szCs w:val="21"/>
                <w:lang w:val="en-US" w:eastAsia="zh-CN"/>
              </w:rPr>
            </w:pPr>
            <w:r>
              <w:rPr>
                <w:rFonts w:hint="default" w:ascii="Times New Roman" w:hAnsi="Times New Roman" w:eastAsia="宋体" w:cs="Times New Roman"/>
                <w:color w:val="auto"/>
                <w:sz w:val="21"/>
                <w:szCs w:val="21"/>
              </w:rPr>
              <w:t>Q83</w:t>
            </w:r>
            <w:r>
              <w:rPr>
                <w:rFonts w:hint="eastAsia" w:cs="Times New Roman"/>
                <w:color w:val="auto"/>
                <w:sz w:val="21"/>
                <w:szCs w:val="21"/>
                <w:lang w:val="en-US" w:eastAsia="zh-CN"/>
              </w:rPr>
              <w:t>15 专科医院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p>
            <w:pPr>
              <w:pStyle w:val="84"/>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（平方米）</w:t>
            </w:r>
          </w:p>
        </w:tc>
        <w:tc>
          <w:tcPr>
            <w:tcW w:w="2846" w:type="dxa"/>
            <w:gridSpan w:val="3"/>
            <w:tcBorders>
              <w:tl2br w:val="nil"/>
              <w:tr2bl w:val="nil"/>
            </w:tcBorders>
            <w:vAlign w:val="center"/>
          </w:tcPr>
          <w:p>
            <w:pPr>
              <w:pStyle w:val="24"/>
              <w:ind w:left="420" w:hanging="42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3393.35</w:t>
            </w:r>
          </w:p>
        </w:tc>
        <w:tc>
          <w:tcPr>
            <w:tcW w:w="1513" w:type="dxa"/>
            <w:tcBorders>
              <w:tl2br w:val="nil"/>
              <w:tr2bl w:val="nil"/>
            </w:tcBorders>
            <w:vAlign w:val="center"/>
          </w:tcPr>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绿化面积</w:t>
            </w:r>
          </w:p>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（平方米）</w:t>
            </w:r>
          </w:p>
        </w:tc>
        <w:tc>
          <w:tcPr>
            <w:tcW w:w="2897" w:type="dxa"/>
            <w:gridSpan w:val="2"/>
            <w:tcBorders>
              <w:tl2br w:val="nil"/>
              <w:tr2bl w:val="nil"/>
            </w:tcBorders>
            <w:vAlign w:val="center"/>
          </w:tcPr>
          <w:p>
            <w:pPr>
              <w:pStyle w:val="24"/>
              <w:ind w:left="420" w:hanging="42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总投资</w:t>
            </w:r>
          </w:p>
          <w:p>
            <w:pPr>
              <w:pStyle w:val="24"/>
              <w:ind w:left="420" w:hanging="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（万元）</w:t>
            </w:r>
          </w:p>
        </w:tc>
        <w:tc>
          <w:tcPr>
            <w:tcW w:w="1454" w:type="dxa"/>
            <w:tcBorders>
              <w:tl2br w:val="nil"/>
              <w:tr2bl w:val="nil"/>
            </w:tcBorders>
            <w:vAlign w:val="center"/>
          </w:tcPr>
          <w:p>
            <w:pPr>
              <w:pStyle w:val="24"/>
              <w:ind w:left="420" w:hanging="42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1392" w:type="dxa"/>
            <w:gridSpan w:val="2"/>
            <w:tcBorders>
              <w:tl2br w:val="nil"/>
              <w:tr2bl w:val="nil"/>
            </w:tcBorders>
            <w:vAlign w:val="center"/>
          </w:tcPr>
          <w:p>
            <w:pPr>
              <w:pStyle w:val="8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其中：环保投资（万元）</w:t>
            </w:r>
          </w:p>
        </w:tc>
        <w:tc>
          <w:tcPr>
            <w:tcW w:w="1513" w:type="dxa"/>
            <w:tcBorders>
              <w:tl2br w:val="nil"/>
              <w:tr2bl w:val="nil"/>
            </w:tcBorders>
            <w:vAlign w:val="center"/>
          </w:tcPr>
          <w:p>
            <w:pPr>
              <w:pStyle w:val="24"/>
              <w:ind w:left="420" w:hanging="42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585" w:type="dxa"/>
            <w:tcBorders>
              <w:tl2br w:val="nil"/>
              <w:tr2bl w:val="nil"/>
            </w:tcBorders>
            <w:vAlign w:val="center"/>
          </w:tcPr>
          <w:p>
            <w:pPr>
              <w:pStyle w:val="8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环保投资占总</w:t>
            </w:r>
          </w:p>
          <w:p>
            <w:pPr>
              <w:pStyle w:val="8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投资比例</w:t>
            </w:r>
          </w:p>
        </w:tc>
        <w:tc>
          <w:tcPr>
            <w:tcW w:w="1312" w:type="dxa"/>
            <w:tcBorders>
              <w:tl2br w:val="nil"/>
              <w:tr2bl w:val="nil"/>
            </w:tcBorders>
            <w:vAlign w:val="center"/>
          </w:tcPr>
          <w:p>
            <w:pPr>
              <w:pStyle w:val="24"/>
              <w:ind w:left="420" w:hanging="42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ind w:left="420" w:hanging="420"/>
              <w:jc w:val="center"/>
              <w:rPr>
                <w:rFonts w:hint="default" w:cs="Times New Roman"/>
                <w:color w:val="auto"/>
                <w:sz w:val="21"/>
                <w:szCs w:val="21"/>
                <w:lang w:val="en-US" w:eastAsia="zh-CN"/>
              </w:rPr>
            </w:pPr>
            <w:r>
              <w:rPr>
                <w:rFonts w:hint="eastAsia" w:cs="Times New Roman"/>
                <w:color w:val="auto"/>
                <w:sz w:val="21"/>
                <w:szCs w:val="21"/>
                <w:lang w:val="en-US" w:eastAsia="zh-CN"/>
              </w:rPr>
              <w:t>建设</w:t>
            </w:r>
            <w:r>
              <w:rPr>
                <w:rFonts w:hint="default" w:cs="Times New Roman"/>
                <w:color w:val="auto"/>
                <w:sz w:val="21"/>
                <w:szCs w:val="21"/>
                <w:lang w:val="en-US" w:eastAsia="zh-CN"/>
              </w:rPr>
              <w:t>日期</w:t>
            </w:r>
          </w:p>
        </w:tc>
        <w:tc>
          <w:tcPr>
            <w:tcW w:w="2846" w:type="dxa"/>
            <w:gridSpan w:val="3"/>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eastAsia" w:cs="Times New Roman"/>
                <w:color w:val="auto"/>
                <w:sz w:val="21"/>
                <w:szCs w:val="21"/>
                <w:lang w:val="en-US" w:eastAsia="zh-CN"/>
              </w:rPr>
              <w:t>2017年11月</w:t>
            </w:r>
          </w:p>
        </w:tc>
        <w:tc>
          <w:tcPr>
            <w:tcW w:w="1513" w:type="dxa"/>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eastAsia" w:cs="Times New Roman"/>
                <w:color w:val="auto"/>
                <w:sz w:val="21"/>
                <w:szCs w:val="21"/>
                <w:lang w:val="en-US" w:eastAsia="zh-CN"/>
              </w:rPr>
              <w:t>竣工日期</w:t>
            </w:r>
          </w:p>
        </w:tc>
        <w:tc>
          <w:tcPr>
            <w:tcW w:w="2897" w:type="dxa"/>
            <w:gridSpan w:val="2"/>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eastAsia" w:cs="Times New Roman"/>
                <w:color w:val="auto"/>
                <w:sz w:val="21"/>
                <w:szCs w:val="21"/>
                <w:lang w:val="en-US" w:eastAsia="zh-CN"/>
              </w:rPr>
              <w:t>2018年4月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default" w:cs="Times New Roman"/>
                <w:color w:val="auto"/>
                <w:sz w:val="21"/>
                <w:szCs w:val="21"/>
                <w:lang w:val="en-US" w:eastAsia="zh-CN"/>
              </w:rPr>
              <w:t>投产日期</w:t>
            </w:r>
          </w:p>
        </w:tc>
        <w:tc>
          <w:tcPr>
            <w:tcW w:w="7256" w:type="dxa"/>
            <w:gridSpan w:val="6"/>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default" w:cs="Times New Roman"/>
                <w:color w:val="auto"/>
                <w:sz w:val="21"/>
                <w:szCs w:val="21"/>
                <w:lang w:val="en-US" w:eastAsia="zh-CN"/>
              </w:rPr>
              <w:t>201</w:t>
            </w:r>
            <w:r>
              <w:rPr>
                <w:rFonts w:hint="eastAsia" w:cs="Times New Roman"/>
                <w:color w:val="auto"/>
                <w:sz w:val="21"/>
                <w:szCs w:val="21"/>
                <w:lang w:val="en-US" w:eastAsia="zh-CN"/>
              </w:rPr>
              <w:t>8</w:t>
            </w:r>
            <w:r>
              <w:rPr>
                <w:rFonts w:hint="default" w:cs="Times New Roman"/>
                <w:color w:val="auto"/>
                <w:sz w:val="21"/>
                <w:szCs w:val="21"/>
                <w:lang w:val="en-US" w:eastAsia="zh-CN"/>
              </w:rPr>
              <w:t>年</w:t>
            </w:r>
            <w:r>
              <w:rPr>
                <w:rFonts w:hint="eastAsia" w:cs="Times New Roman"/>
                <w:color w:val="auto"/>
                <w:sz w:val="21"/>
                <w:szCs w:val="21"/>
                <w:lang w:val="en-US" w:eastAsia="zh-CN"/>
              </w:rPr>
              <w:t>5</w:t>
            </w:r>
            <w:r>
              <w:rPr>
                <w:rFonts w:hint="default" w:cs="Times New Roman"/>
                <w:color w:val="auto"/>
                <w:sz w:val="21"/>
                <w:szCs w:val="21"/>
                <w:lang w:val="en-US" w:eastAsia="zh-CN"/>
              </w:rPr>
              <w:t>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749" w:type="dxa"/>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eastAsia" w:cs="Times New Roman"/>
                <w:color w:val="auto"/>
                <w:sz w:val="21"/>
                <w:szCs w:val="21"/>
                <w:lang w:val="en-US" w:eastAsia="zh-CN"/>
              </w:rPr>
              <w:t>现场勘察</w:t>
            </w:r>
            <w:r>
              <w:rPr>
                <w:rFonts w:hint="default" w:cs="Times New Roman"/>
                <w:color w:val="auto"/>
                <w:sz w:val="21"/>
                <w:szCs w:val="21"/>
                <w:lang w:val="en-US" w:eastAsia="zh-CN"/>
              </w:rPr>
              <w:t>日期</w:t>
            </w:r>
          </w:p>
        </w:tc>
        <w:tc>
          <w:tcPr>
            <w:tcW w:w="2846" w:type="dxa"/>
            <w:gridSpan w:val="3"/>
            <w:tcBorders>
              <w:tl2br w:val="nil"/>
              <w:tr2bl w:val="nil"/>
            </w:tcBorders>
            <w:vAlign w:val="center"/>
          </w:tcPr>
          <w:p>
            <w:pPr>
              <w:pStyle w:val="24"/>
              <w:ind w:left="420" w:hanging="420"/>
              <w:jc w:val="center"/>
              <w:rPr>
                <w:rFonts w:hint="default" w:cs="Times New Roman"/>
                <w:color w:val="auto"/>
                <w:sz w:val="21"/>
                <w:szCs w:val="21"/>
                <w:lang w:val="en-US" w:eastAsia="zh-CN"/>
              </w:rPr>
            </w:pPr>
            <w:r>
              <w:rPr>
                <w:rFonts w:hint="eastAsia" w:cs="Times New Roman"/>
                <w:color w:val="auto"/>
                <w:sz w:val="21"/>
                <w:szCs w:val="21"/>
                <w:lang w:val="en-US" w:eastAsia="zh-CN"/>
              </w:rPr>
              <w:t>2018年5月15日</w:t>
            </w:r>
          </w:p>
        </w:tc>
        <w:tc>
          <w:tcPr>
            <w:tcW w:w="1513" w:type="dxa"/>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eastAsia" w:cs="Times New Roman"/>
                <w:color w:val="auto"/>
                <w:sz w:val="21"/>
                <w:szCs w:val="21"/>
                <w:lang w:val="en-US" w:eastAsia="zh-CN"/>
              </w:rPr>
              <w:t>现场监测</w:t>
            </w:r>
            <w:r>
              <w:rPr>
                <w:rFonts w:hint="default" w:cs="Times New Roman"/>
                <w:color w:val="auto"/>
                <w:sz w:val="21"/>
                <w:szCs w:val="21"/>
                <w:lang w:val="en-US" w:eastAsia="zh-CN"/>
              </w:rPr>
              <w:t>日期</w:t>
            </w:r>
          </w:p>
        </w:tc>
        <w:tc>
          <w:tcPr>
            <w:tcW w:w="2897" w:type="dxa"/>
            <w:gridSpan w:val="2"/>
            <w:tcBorders>
              <w:tl2br w:val="nil"/>
              <w:tr2bl w:val="nil"/>
            </w:tcBorders>
            <w:vAlign w:val="center"/>
          </w:tcPr>
          <w:p>
            <w:pPr>
              <w:pStyle w:val="24"/>
              <w:ind w:left="420" w:hanging="420"/>
              <w:jc w:val="center"/>
              <w:rPr>
                <w:rFonts w:hint="eastAsia" w:cs="Times New Roman"/>
                <w:color w:val="auto"/>
                <w:sz w:val="21"/>
                <w:szCs w:val="21"/>
                <w:lang w:val="en-US" w:eastAsia="zh-CN"/>
              </w:rPr>
            </w:pPr>
            <w:r>
              <w:rPr>
                <w:rFonts w:hint="eastAsia" w:cs="Times New Roman"/>
                <w:color w:val="auto"/>
                <w:sz w:val="21"/>
                <w:szCs w:val="21"/>
                <w:lang w:val="en-US" w:eastAsia="zh-CN"/>
              </w:rPr>
              <w:t>2018年5月15日至5月16日、2019年5月13日至</w:t>
            </w:r>
          </w:p>
          <w:p>
            <w:pPr>
              <w:pStyle w:val="24"/>
              <w:ind w:left="420" w:hanging="420"/>
              <w:jc w:val="center"/>
              <w:rPr>
                <w:rFonts w:hint="eastAsia" w:cs="Times New Roman"/>
                <w:color w:val="auto"/>
                <w:sz w:val="21"/>
                <w:szCs w:val="21"/>
                <w:lang w:val="en-US" w:eastAsia="zh-CN"/>
              </w:rPr>
            </w:pPr>
            <w:r>
              <w:rPr>
                <w:rFonts w:hint="eastAsia" w:cs="Times New Roman"/>
                <w:color w:val="auto"/>
                <w:sz w:val="21"/>
                <w:szCs w:val="21"/>
                <w:lang w:val="en-US" w:eastAsia="zh-CN"/>
              </w:rPr>
              <w:t>5月14日</w:t>
            </w:r>
          </w:p>
        </w:tc>
      </w:tr>
    </w:tbl>
    <w:p>
      <w:pPr>
        <w:pStyle w:val="3"/>
        <w:spacing w:beforeLines="50" w:afterLines="50" w:line="570" w:lineRule="exact"/>
        <w:rPr>
          <w:sz w:val="32"/>
          <w:szCs w:val="32"/>
        </w:rPr>
      </w:pPr>
      <w:bookmarkStart w:id="6" w:name="_Toc21824"/>
      <w:bookmarkStart w:id="7" w:name="_Toc6848"/>
      <w:r>
        <w:rPr>
          <w:sz w:val="32"/>
          <w:szCs w:val="32"/>
        </w:rPr>
        <w:t>2 验收监测依据</w:t>
      </w:r>
      <w:bookmarkEnd w:id="4"/>
      <w:bookmarkEnd w:id="5"/>
      <w:bookmarkEnd w:id="6"/>
      <w:bookmarkEnd w:id="7"/>
      <w:r>
        <w:rPr>
          <w:sz w:val="32"/>
          <w:szCs w:val="32"/>
        </w:rPr>
        <w:t xml:space="preserve"> </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bookmarkStart w:id="8" w:name="_Toc211096927"/>
      <w:bookmarkStart w:id="9" w:name="_Toc103233813"/>
      <w:bookmarkStart w:id="10" w:name="_Toc20103"/>
      <w:r>
        <w:rPr>
          <w:rFonts w:hint="default" w:ascii="Times New Roman" w:hAnsi="Times New Roman" w:eastAsia="宋体" w:cs="Times New Roman"/>
          <w:sz w:val="24"/>
          <w:szCs w:val="24"/>
        </w:rPr>
        <w:t>《中华人民共和国环境保护法</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》，2014年4月24日修正，2015年1月1日起施行；</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《建设项目环境保护管理条例》中华人民共和国国务院令第682号，2017年6月21日修订，2017年10月1日起施行；</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《中华人民共和国大气污染防治法》2018</w:t>
      </w:r>
      <w:r>
        <w:rPr>
          <w:rFonts w:hint="eastAsia" w:ascii="Times New Roman" w:hAnsi="Times New Roman" w:eastAsia="宋体" w:cs="Times New Roman"/>
          <w:sz w:val="24"/>
          <w:szCs w:val="24"/>
        </w:rPr>
        <w:t>年</w:t>
      </w:r>
      <w:r>
        <w:rPr>
          <w:rFonts w:hint="default" w:ascii="Times New Roman" w:hAnsi="Times New Roman" w:eastAsia="宋体" w:cs="Times New Roman"/>
          <w:sz w:val="24"/>
          <w:szCs w:val="24"/>
        </w:rPr>
        <w:t>10</w:t>
      </w:r>
      <w:r>
        <w:rPr>
          <w:rFonts w:hint="eastAsia" w:ascii="Times New Roman" w:hAnsi="Times New Roman" w:eastAsia="宋体" w:cs="Times New Roman"/>
          <w:sz w:val="24"/>
          <w:szCs w:val="24"/>
        </w:rPr>
        <w:t>月</w:t>
      </w:r>
      <w:r>
        <w:rPr>
          <w:rFonts w:hint="default" w:ascii="Times New Roman" w:hAnsi="Times New Roman" w:eastAsia="宋体" w:cs="Times New Roman"/>
          <w:sz w:val="24"/>
          <w:szCs w:val="24"/>
        </w:rPr>
        <w:t>26</w:t>
      </w:r>
      <w:r>
        <w:rPr>
          <w:rFonts w:hint="eastAsia" w:ascii="Times New Roman" w:hAnsi="Times New Roman" w:eastAsia="宋体" w:cs="Times New Roman"/>
          <w:sz w:val="24"/>
          <w:szCs w:val="24"/>
        </w:rPr>
        <w:t>日修正</w:t>
      </w:r>
      <w:r>
        <w:rPr>
          <w:rFonts w:hint="default" w:ascii="Times New Roman" w:hAnsi="Times New Roman" w:eastAsia="宋体" w:cs="Times New Roman"/>
          <w:sz w:val="24"/>
          <w:szCs w:val="24"/>
        </w:rPr>
        <w:t>；</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《中华人民共和国水污染防治法》，2017年6月27日修正，2018年1月1日起施行；</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《中华人民共和国环境噪声污染防治法》，1996年10月29日通过，201</w:t>
      </w:r>
      <w:r>
        <w:rPr>
          <w:rFonts w:hint="eastAsia" w:ascii="Times New Roman" w:hAnsi="Times New Roman" w:eastAsia="宋体" w:cs="Times New Roman"/>
          <w:sz w:val="24"/>
          <w:szCs w:val="24"/>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rPr>
        <w:t>12</w:t>
      </w:r>
      <w:r>
        <w:rPr>
          <w:rFonts w:hint="default" w:ascii="Times New Roman" w:hAnsi="Times New Roman" w:eastAsia="宋体" w:cs="Times New Roman"/>
          <w:sz w:val="24"/>
          <w:szCs w:val="24"/>
        </w:rPr>
        <w:t>月29日修正；</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《中华人民共和国固体废物污染环境防治法》，2016年11月7日修正；</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《关于发布&lt;建设项目竣工环境保护验收暂行办法&gt;的公告》，国环规环评[2017]4号，2017年11月20日施行；</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《环境保护部建设项目“三同时”监督检查和竣工环境保护验收管理规程（试行）》，环发［2009］150号，2009年12月17日；</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《关于加强建设项目竣工环境保护验收监测工作中污染事故防范环境管理检查工作的通知》，中国环境监测总站验字[2005]188号，2005年12月；</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《关于建设项目环境管理监测工作有关问题的通知》，湘环发［2004］42号，2004年5月。</w:t>
      </w:r>
    </w:p>
    <w:p>
      <w:pPr>
        <w:pStyle w:val="13"/>
        <w:keepNext w:val="0"/>
        <w:keepLines w:val="0"/>
        <w:pageBreakBefore w:val="0"/>
        <w:widowControl/>
        <w:numPr>
          <w:ilvl w:val="0"/>
          <w:numId w:val="2"/>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《建设项目竣工环境保护验收技术指南污染影响类》，生态环境部公告2018年第9号，2018年5月16日印发；</w:t>
      </w:r>
    </w:p>
    <w:p>
      <w:pPr>
        <w:spacing w:line="600" w:lineRule="exact"/>
        <w:ind w:left="600" w:hanging="600" w:hangingChars="250"/>
        <w:rPr>
          <w:sz w:val="24"/>
        </w:rPr>
      </w:pPr>
      <w:r>
        <w:rPr>
          <w:rFonts w:hint="eastAsia"/>
          <w:sz w:val="24"/>
          <w:lang w:val="en-US" w:eastAsia="zh-CN"/>
        </w:rPr>
        <w:t>12湖南景玺环保科技有限公司</w:t>
      </w:r>
      <w:r>
        <w:rPr>
          <w:sz w:val="24"/>
        </w:rPr>
        <w:t>《</w:t>
      </w:r>
      <w:r>
        <w:rPr>
          <w:rFonts w:hint="eastAsia"/>
          <w:sz w:val="24"/>
          <w:lang w:val="en-US" w:eastAsia="zh-CN"/>
        </w:rPr>
        <w:t>益阳康宁精神病专科医院建设项目环境</w:t>
      </w:r>
      <w:r>
        <w:rPr>
          <w:sz w:val="24"/>
        </w:rPr>
        <w:t>影响报告表》，2017年</w:t>
      </w:r>
      <w:r>
        <w:rPr>
          <w:rFonts w:hint="eastAsia"/>
          <w:sz w:val="24"/>
          <w:lang w:val="en-US" w:eastAsia="zh-CN"/>
        </w:rPr>
        <w:t>12</w:t>
      </w:r>
      <w:r>
        <w:rPr>
          <w:sz w:val="24"/>
        </w:rPr>
        <w:t>月；</w:t>
      </w:r>
    </w:p>
    <w:p>
      <w:pPr>
        <w:spacing w:line="600" w:lineRule="exact"/>
        <w:ind w:left="600" w:hanging="600" w:hangingChars="250"/>
        <w:rPr>
          <w:sz w:val="24"/>
        </w:rPr>
      </w:pPr>
      <w:r>
        <w:rPr>
          <w:rFonts w:hint="eastAsia"/>
          <w:sz w:val="24"/>
          <w:lang w:val="en-US" w:eastAsia="zh-CN"/>
        </w:rPr>
        <w:t>13</w:t>
      </w:r>
      <w:r>
        <w:rPr>
          <w:rFonts w:hint="eastAsia"/>
          <w:sz w:val="24"/>
        </w:rPr>
        <w:t>益阳市环境保护局</w:t>
      </w:r>
      <w:r>
        <w:rPr>
          <w:sz w:val="24"/>
        </w:rPr>
        <w:t>以</w:t>
      </w:r>
      <w:r>
        <w:rPr>
          <w:rFonts w:hint="eastAsia"/>
          <w:sz w:val="24"/>
          <w:lang w:eastAsia="zh-CN"/>
        </w:rPr>
        <w:t>益环髙审[2017]38号</w:t>
      </w:r>
      <w:r>
        <w:rPr>
          <w:sz w:val="24"/>
        </w:rPr>
        <w:t>文关于《</w:t>
      </w:r>
      <w:r>
        <w:rPr>
          <w:rFonts w:hint="eastAsia"/>
          <w:sz w:val="24"/>
          <w:lang w:val="en-US" w:eastAsia="zh-CN"/>
        </w:rPr>
        <w:t>益阳康宁精神病专科医院建设项目</w:t>
      </w:r>
      <w:r>
        <w:rPr>
          <w:sz w:val="24"/>
        </w:rPr>
        <w:t>环境影响报告表》的批复，201</w:t>
      </w:r>
      <w:r>
        <w:rPr>
          <w:rFonts w:hint="eastAsia"/>
          <w:sz w:val="24"/>
          <w:lang w:val="en-US" w:eastAsia="zh-CN"/>
        </w:rPr>
        <w:t>7</w:t>
      </w:r>
      <w:r>
        <w:rPr>
          <w:sz w:val="24"/>
        </w:rPr>
        <w:t>年</w:t>
      </w:r>
      <w:r>
        <w:rPr>
          <w:rFonts w:hint="eastAsia"/>
          <w:sz w:val="24"/>
          <w:lang w:val="en-US" w:eastAsia="zh-CN"/>
        </w:rPr>
        <w:t>12</w:t>
      </w:r>
      <w:r>
        <w:rPr>
          <w:sz w:val="24"/>
        </w:rPr>
        <w:t>月</w:t>
      </w:r>
      <w:r>
        <w:rPr>
          <w:rFonts w:hint="eastAsia"/>
          <w:sz w:val="24"/>
          <w:lang w:val="en-US" w:eastAsia="zh-CN"/>
        </w:rPr>
        <w:t>11</w:t>
      </w:r>
      <w:r>
        <w:rPr>
          <w:sz w:val="24"/>
        </w:rPr>
        <w:t>日</w:t>
      </w:r>
      <w:r>
        <w:rPr>
          <w:rFonts w:hint="eastAsia"/>
          <w:sz w:val="24"/>
        </w:rPr>
        <w:t>；</w:t>
      </w:r>
    </w:p>
    <w:p>
      <w:pPr>
        <w:pStyle w:val="11"/>
        <w:spacing w:line="600" w:lineRule="exact"/>
      </w:pPr>
      <w:r>
        <w:rPr>
          <w:rFonts w:hint="eastAsia"/>
          <w:sz w:val="24"/>
          <w:lang w:val="en-US" w:eastAsia="zh-CN"/>
        </w:rPr>
        <w:t>14</w:t>
      </w:r>
      <w:r>
        <w:rPr>
          <w:rFonts w:hint="eastAsia"/>
          <w:sz w:val="24"/>
        </w:rPr>
        <w:t>建设单位提供的相关资料。</w:t>
      </w:r>
    </w:p>
    <w:p>
      <w:pPr>
        <w:pStyle w:val="3"/>
        <w:spacing w:before="0" w:after="0" w:line="520" w:lineRule="exact"/>
        <w:rPr>
          <w:sz w:val="32"/>
          <w:szCs w:val="32"/>
        </w:rPr>
      </w:pPr>
    </w:p>
    <w:p>
      <w:pPr>
        <w:pStyle w:val="3"/>
        <w:spacing w:before="0" w:after="0" w:line="520" w:lineRule="exact"/>
        <w:rPr>
          <w:sz w:val="32"/>
          <w:szCs w:val="32"/>
        </w:rPr>
      </w:pPr>
      <w:bookmarkStart w:id="11" w:name="_Toc26488"/>
      <w:r>
        <w:rPr>
          <w:sz w:val="32"/>
          <w:szCs w:val="32"/>
        </w:rPr>
        <w:t xml:space="preserve">3 </w:t>
      </w:r>
      <w:bookmarkEnd w:id="8"/>
      <w:bookmarkEnd w:id="9"/>
      <w:bookmarkEnd w:id="10"/>
      <w:r>
        <w:rPr>
          <w:rFonts w:hint="eastAsia"/>
          <w:sz w:val="32"/>
          <w:szCs w:val="32"/>
          <w:lang w:eastAsia="zh-CN"/>
        </w:rPr>
        <w:t>建设项目</w:t>
      </w:r>
      <w:r>
        <w:rPr>
          <w:sz w:val="32"/>
          <w:szCs w:val="32"/>
        </w:rPr>
        <w:t>工程概况</w:t>
      </w:r>
      <w:bookmarkEnd w:id="11"/>
    </w:p>
    <w:p>
      <w:pPr>
        <w:pStyle w:val="4"/>
        <w:spacing w:before="0" w:afterLines="50" w:line="520" w:lineRule="exact"/>
        <w:rPr>
          <w:rFonts w:ascii="Times New Roman" w:hAnsi="Times New Roman" w:eastAsia="宋体"/>
          <w:sz w:val="28"/>
          <w:szCs w:val="28"/>
        </w:rPr>
      </w:pPr>
      <w:bookmarkStart w:id="12" w:name="_Toc30368"/>
      <w:bookmarkStart w:id="13" w:name="_Toc211096928"/>
      <w:bookmarkStart w:id="14" w:name="_Toc19451"/>
      <w:r>
        <w:rPr>
          <w:rFonts w:ascii="Times New Roman" w:hAnsi="Times New Roman" w:eastAsia="宋体"/>
          <w:sz w:val="28"/>
          <w:szCs w:val="28"/>
        </w:rPr>
        <w:t>3.1</w:t>
      </w:r>
      <w:r>
        <w:rPr>
          <w:rFonts w:hint="eastAsia" w:ascii="Times New Roman" w:hAnsi="Times New Roman" w:eastAsia="宋体"/>
          <w:sz w:val="28"/>
          <w:szCs w:val="28"/>
        </w:rPr>
        <w:t xml:space="preserve"> </w:t>
      </w:r>
      <w:bookmarkEnd w:id="12"/>
      <w:bookmarkEnd w:id="13"/>
      <w:r>
        <w:rPr>
          <w:rFonts w:hint="eastAsia" w:ascii="Times New Roman" w:hAnsi="Times New Roman" w:eastAsia="宋体" w:cs="Times New Roman"/>
          <w:sz w:val="30"/>
          <w:szCs w:val="30"/>
        </w:rPr>
        <w:t>地理位置及平面布置</w:t>
      </w:r>
      <w:bookmarkEnd w:id="14"/>
    </w:p>
    <w:p>
      <w:pPr>
        <w:snapToGrid w:val="0"/>
        <w:spacing w:line="640" w:lineRule="exact"/>
        <w:ind w:firstLine="470" w:firstLineChars="196"/>
        <w:rPr>
          <w:rFonts w:eastAsiaTheme="minorEastAsia"/>
          <w:kern w:val="0"/>
          <w:sz w:val="24"/>
          <w:lang w:val="zh-CN"/>
        </w:rPr>
      </w:pPr>
      <w:r>
        <w:rPr>
          <w:rFonts w:eastAsiaTheme="minorEastAsia"/>
          <w:kern w:val="0"/>
          <w:sz w:val="24"/>
          <w:lang w:val="zh-CN"/>
        </w:rPr>
        <w:t>本项目</w:t>
      </w:r>
      <w:r>
        <w:rPr>
          <w:rFonts w:hint="eastAsia" w:eastAsiaTheme="minorEastAsia"/>
          <w:kern w:val="0"/>
          <w:sz w:val="24"/>
          <w:lang w:val="en-US" w:eastAsia="zh-CN"/>
        </w:rPr>
        <w:t>位于益阳市谢林港镇桃益公路南侧，项目租赁</w:t>
      </w:r>
      <w:r>
        <w:rPr>
          <w:rFonts w:hint="eastAsia" w:ascii="Times New Roman" w:hAnsi="Times New Roman" w:cs="Times New Roman"/>
          <w:b/>
          <w:color w:val="000000"/>
        </w:rPr>
        <w:t>一</w:t>
      </w:r>
      <w:r>
        <w:rPr>
          <w:rFonts w:hint="eastAsia" w:eastAsiaTheme="minorEastAsia"/>
          <w:kern w:val="0"/>
          <w:sz w:val="24"/>
          <w:lang w:val="zh-CN"/>
        </w:rPr>
        <w:t>栋5层建筑及附近场地进行</w:t>
      </w:r>
      <w:r>
        <w:rPr>
          <w:rFonts w:eastAsiaTheme="minorEastAsia"/>
          <w:kern w:val="0"/>
          <w:sz w:val="24"/>
          <w:lang w:val="zh-CN"/>
        </w:rPr>
        <w:t>建设</w:t>
      </w:r>
      <w:r>
        <w:rPr>
          <w:rFonts w:hint="eastAsia" w:eastAsiaTheme="minorEastAsia"/>
          <w:kern w:val="0"/>
          <w:sz w:val="24"/>
          <w:lang w:val="en-US" w:eastAsia="zh-CN"/>
        </w:rPr>
        <w:t>，项目</w:t>
      </w:r>
      <w:r>
        <w:rPr>
          <w:rFonts w:eastAsiaTheme="minorEastAsia"/>
          <w:kern w:val="0"/>
          <w:sz w:val="24"/>
          <w:lang w:val="zh-CN"/>
        </w:rPr>
        <w:t xml:space="preserve">占地面积约 </w:t>
      </w:r>
      <w:r>
        <w:rPr>
          <w:rFonts w:hint="eastAsia" w:eastAsiaTheme="minorEastAsia"/>
          <w:kern w:val="0"/>
          <w:sz w:val="24"/>
          <w:lang w:val="en-US" w:eastAsia="zh-CN"/>
        </w:rPr>
        <w:t>3393.35</w:t>
      </w:r>
      <w:r>
        <w:rPr>
          <w:rFonts w:eastAsiaTheme="minorEastAsia"/>
          <w:kern w:val="0"/>
          <w:sz w:val="24"/>
          <w:lang w:val="zh-CN"/>
        </w:rPr>
        <w:t>m</w:t>
      </w:r>
      <w:r>
        <w:rPr>
          <w:rFonts w:eastAsiaTheme="minorEastAsia"/>
          <w:kern w:val="0"/>
          <w:sz w:val="24"/>
          <w:vertAlign w:val="superscript"/>
          <w:lang w:val="zh-CN"/>
        </w:rPr>
        <w:t>2</w:t>
      </w:r>
      <w:r>
        <w:rPr>
          <w:rFonts w:eastAsiaTheme="minorEastAsia"/>
          <w:kern w:val="0"/>
          <w:sz w:val="24"/>
          <w:lang w:val="zh-CN"/>
        </w:rPr>
        <w:t xml:space="preserve">，总建筑面积 </w:t>
      </w:r>
      <w:r>
        <w:rPr>
          <w:rFonts w:hint="eastAsia" w:eastAsiaTheme="minorEastAsia"/>
          <w:color w:val="auto"/>
          <w:kern w:val="0"/>
          <w:sz w:val="24"/>
          <w:lang w:val="en-US" w:eastAsia="zh-CN"/>
        </w:rPr>
        <w:t>4900.7</w:t>
      </w:r>
      <w:r>
        <w:rPr>
          <w:rFonts w:eastAsiaTheme="minorEastAsia"/>
          <w:kern w:val="0"/>
          <w:sz w:val="24"/>
          <w:lang w:val="zh-CN"/>
        </w:rPr>
        <w:t>m</w:t>
      </w:r>
      <w:r>
        <w:rPr>
          <w:rFonts w:eastAsiaTheme="minorEastAsia"/>
          <w:kern w:val="0"/>
          <w:sz w:val="24"/>
          <w:vertAlign w:val="superscript"/>
          <w:lang w:val="zh-CN"/>
        </w:rPr>
        <w:t>2</w:t>
      </w:r>
      <w:r>
        <w:rPr>
          <w:rFonts w:eastAsiaTheme="minorEastAsia"/>
          <w:kern w:val="0"/>
          <w:sz w:val="24"/>
          <w:lang w:val="zh-CN"/>
        </w:rPr>
        <w:t>。医院床位</w:t>
      </w:r>
      <w:r>
        <w:rPr>
          <w:rFonts w:eastAsiaTheme="minorEastAsia"/>
          <w:color w:val="auto"/>
          <w:kern w:val="0"/>
          <w:sz w:val="24"/>
          <w:lang w:val="zh-CN"/>
        </w:rPr>
        <w:t xml:space="preserve"> </w:t>
      </w:r>
      <w:r>
        <w:rPr>
          <w:rFonts w:hint="eastAsia" w:eastAsiaTheme="minorEastAsia"/>
          <w:color w:val="auto"/>
          <w:kern w:val="0"/>
          <w:sz w:val="24"/>
          <w:lang w:val="en-US" w:eastAsia="zh-CN"/>
        </w:rPr>
        <w:t>69</w:t>
      </w:r>
      <w:r>
        <w:rPr>
          <w:rFonts w:eastAsiaTheme="minorEastAsia"/>
          <w:color w:val="auto"/>
          <w:kern w:val="0"/>
          <w:sz w:val="24"/>
          <w:lang w:val="zh-CN"/>
        </w:rPr>
        <w:t xml:space="preserve"> 张</w:t>
      </w:r>
      <w:r>
        <w:rPr>
          <w:rFonts w:eastAsiaTheme="minorEastAsia"/>
          <w:kern w:val="0"/>
          <w:sz w:val="24"/>
          <w:lang w:val="zh-CN"/>
        </w:rPr>
        <w:t xml:space="preserve">，职工 </w:t>
      </w:r>
      <w:r>
        <w:rPr>
          <w:rFonts w:hint="eastAsia" w:eastAsiaTheme="minorEastAsia"/>
          <w:kern w:val="0"/>
          <w:sz w:val="24"/>
          <w:lang w:val="en-US" w:eastAsia="zh-CN"/>
        </w:rPr>
        <w:t>17</w:t>
      </w:r>
      <w:r>
        <w:rPr>
          <w:rFonts w:eastAsiaTheme="minorEastAsia"/>
          <w:kern w:val="0"/>
          <w:sz w:val="24"/>
          <w:lang w:val="zh-CN"/>
        </w:rPr>
        <w:t xml:space="preserve"> 人。</w:t>
      </w:r>
    </w:p>
    <w:p>
      <w:pPr>
        <w:pStyle w:val="4"/>
        <w:spacing w:before="0" w:afterLines="50" w:line="520" w:lineRule="exact"/>
        <w:rPr>
          <w:rFonts w:ascii="Times New Roman" w:hAnsi="Times New Roman" w:eastAsia="宋体"/>
          <w:sz w:val="28"/>
          <w:szCs w:val="28"/>
        </w:rPr>
      </w:pPr>
      <w:bookmarkStart w:id="15" w:name="_Toc21279"/>
      <w:r>
        <w:rPr>
          <w:rFonts w:ascii="Times New Roman" w:hAnsi="Times New Roman" w:eastAsia="宋体"/>
          <w:sz w:val="28"/>
          <w:szCs w:val="28"/>
        </w:rPr>
        <w:t>3.</w:t>
      </w:r>
      <w:r>
        <w:rPr>
          <w:rFonts w:hint="eastAsia" w:ascii="Times New Roman" w:hAnsi="Times New Roman" w:eastAsia="宋体"/>
          <w:sz w:val="28"/>
          <w:szCs w:val="28"/>
          <w:lang w:val="en-US" w:eastAsia="zh-CN"/>
        </w:rPr>
        <w:t>2</w:t>
      </w:r>
      <w:r>
        <w:rPr>
          <w:rFonts w:hint="eastAsia" w:ascii="Times New Roman" w:hAnsi="Times New Roman" w:eastAsia="宋体"/>
          <w:sz w:val="28"/>
          <w:szCs w:val="28"/>
        </w:rPr>
        <w:t xml:space="preserve"> </w:t>
      </w:r>
      <w:r>
        <w:rPr>
          <w:rFonts w:hint="eastAsia" w:ascii="Times New Roman" w:hAnsi="Times New Roman" w:eastAsia="宋体" w:cs="Times New Roman"/>
          <w:sz w:val="30"/>
          <w:szCs w:val="30"/>
        </w:rPr>
        <w:t>建设内容</w:t>
      </w:r>
      <w:bookmarkEnd w:id="15"/>
    </w:p>
    <w:p>
      <w:pPr>
        <w:snapToGrid w:val="0"/>
        <w:spacing w:line="640" w:lineRule="exact"/>
        <w:ind w:firstLine="470" w:firstLineChars="196"/>
        <w:rPr>
          <w:rFonts w:hint="eastAsia" w:eastAsiaTheme="minorEastAsia"/>
          <w:kern w:val="0"/>
          <w:sz w:val="24"/>
        </w:rPr>
      </w:pPr>
      <w:r>
        <w:rPr>
          <w:rFonts w:eastAsiaTheme="minorEastAsia"/>
          <w:kern w:val="0"/>
          <w:sz w:val="24"/>
          <w:lang w:val="zh-CN"/>
        </w:rPr>
        <w:t>项目</w:t>
      </w:r>
      <w:r>
        <w:rPr>
          <w:rFonts w:eastAsiaTheme="minorEastAsia"/>
          <w:kern w:val="0"/>
          <w:sz w:val="24"/>
        </w:rPr>
        <w:t>主要</w:t>
      </w:r>
      <w:r>
        <w:rPr>
          <w:rFonts w:eastAsiaTheme="minorEastAsia"/>
          <w:kern w:val="0"/>
          <w:sz w:val="24"/>
          <w:lang w:val="zh-CN"/>
        </w:rPr>
        <w:t>建设内容</w:t>
      </w:r>
      <w:r>
        <w:rPr>
          <w:rFonts w:hint="eastAsia" w:eastAsiaTheme="minorEastAsia"/>
          <w:kern w:val="0"/>
          <w:sz w:val="24"/>
        </w:rPr>
        <w:t>及变更情况</w:t>
      </w:r>
      <w:r>
        <w:rPr>
          <w:rFonts w:eastAsiaTheme="minorEastAsia"/>
          <w:kern w:val="0"/>
          <w:sz w:val="24"/>
          <w:lang w:val="zh-CN"/>
        </w:rPr>
        <w:t>详见表</w:t>
      </w:r>
      <w:r>
        <w:rPr>
          <w:rFonts w:eastAsiaTheme="minorEastAsia"/>
          <w:kern w:val="0"/>
          <w:sz w:val="24"/>
        </w:rPr>
        <w:t>3-1</w:t>
      </w:r>
      <w:r>
        <w:rPr>
          <w:rFonts w:eastAsiaTheme="minorEastAsia"/>
          <w:kern w:val="0"/>
          <w:sz w:val="24"/>
          <w:lang w:val="zh-CN"/>
        </w:rPr>
        <w:t>；</w:t>
      </w:r>
      <w:r>
        <w:rPr>
          <w:rFonts w:eastAsiaTheme="minorEastAsia"/>
          <w:kern w:val="0"/>
          <w:sz w:val="24"/>
        </w:rPr>
        <w:t>项目主要设备</w:t>
      </w:r>
      <w:r>
        <w:rPr>
          <w:rFonts w:eastAsiaTheme="minorEastAsia"/>
          <w:kern w:val="0"/>
          <w:sz w:val="24"/>
          <w:lang w:val="zh-CN"/>
        </w:rPr>
        <w:t>见</w:t>
      </w:r>
      <w:r>
        <w:rPr>
          <w:rFonts w:eastAsiaTheme="minorEastAsia"/>
          <w:kern w:val="0"/>
          <w:sz w:val="24"/>
        </w:rPr>
        <w:t>表3-2；主要</w:t>
      </w:r>
      <w:r>
        <w:rPr>
          <w:rFonts w:hint="eastAsia" w:eastAsiaTheme="minorEastAsia"/>
          <w:kern w:val="0"/>
          <w:sz w:val="24"/>
          <w:lang w:val="en-US" w:eastAsia="zh-CN"/>
        </w:rPr>
        <w:t>使用药剂</w:t>
      </w:r>
      <w:r>
        <w:rPr>
          <w:rFonts w:eastAsiaTheme="minorEastAsia"/>
          <w:kern w:val="0"/>
          <w:sz w:val="24"/>
        </w:rPr>
        <w:t>见表3-3</w:t>
      </w:r>
      <w:r>
        <w:rPr>
          <w:rFonts w:hint="eastAsia" w:eastAsiaTheme="minorEastAsia"/>
          <w:kern w:val="0"/>
          <w:sz w:val="24"/>
        </w:rPr>
        <w:t>。</w:t>
      </w:r>
    </w:p>
    <w:p>
      <w:pPr>
        <w:spacing w:line="520" w:lineRule="exact"/>
        <w:jc w:val="center"/>
        <w:rPr>
          <w:b/>
          <w:kern w:val="0"/>
          <w:szCs w:val="21"/>
          <w:lang w:val="zh-CN"/>
        </w:rPr>
      </w:pPr>
      <w:bookmarkStart w:id="16" w:name="_Toc23619"/>
      <w:r>
        <w:rPr>
          <w:b/>
          <w:kern w:val="0"/>
          <w:szCs w:val="21"/>
          <w:lang w:val="zh-CN"/>
        </w:rPr>
        <w:t>表</w:t>
      </w:r>
      <w:r>
        <w:rPr>
          <w:rFonts w:hint="eastAsia"/>
          <w:b/>
          <w:kern w:val="0"/>
          <w:szCs w:val="21"/>
          <w:lang w:val="zh-CN"/>
        </w:rPr>
        <w:t>3-1</w:t>
      </w:r>
      <w:r>
        <w:rPr>
          <w:rFonts w:hint="eastAsia"/>
          <w:b/>
          <w:kern w:val="0"/>
          <w:szCs w:val="21"/>
        </w:rPr>
        <w:t xml:space="preserve"> </w:t>
      </w:r>
      <w:bookmarkEnd w:id="16"/>
      <w:r>
        <w:rPr>
          <w:rFonts w:hint="eastAsia"/>
          <w:b/>
          <w:kern w:val="0"/>
          <w:szCs w:val="21"/>
          <w:lang w:val="zh-CN"/>
        </w:rPr>
        <w:t>项目</w:t>
      </w:r>
      <w:r>
        <w:rPr>
          <w:rFonts w:hint="eastAsia"/>
          <w:b/>
          <w:kern w:val="0"/>
          <w:szCs w:val="21"/>
        </w:rPr>
        <w:t>建设内容及变更情况</w:t>
      </w:r>
      <w:r>
        <w:rPr>
          <w:rFonts w:hint="eastAsia"/>
          <w:b/>
          <w:kern w:val="0"/>
          <w:szCs w:val="21"/>
          <w:lang w:val="zh-CN"/>
        </w:rPr>
        <w:t>一览表</w:t>
      </w:r>
    </w:p>
    <w:tbl>
      <w:tblPr>
        <w:tblStyle w:val="32"/>
        <w:tblW w:w="9071" w:type="dxa"/>
        <w:jc w:val="center"/>
        <w:tblInd w:w="561"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77"/>
        <w:gridCol w:w="945"/>
        <w:gridCol w:w="1819"/>
        <w:gridCol w:w="4046"/>
        <w:gridCol w:w="158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sz w:val="21"/>
              </w:rPr>
            </w:pPr>
            <w:r>
              <w:rPr>
                <w:b/>
                <w:bCs/>
                <w:w w:val="100"/>
                <w:sz w:val="21"/>
              </w:rPr>
              <w:t>序号</w:t>
            </w:r>
          </w:p>
        </w:tc>
        <w:tc>
          <w:tcPr>
            <w:tcW w:w="945"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sz w:val="21"/>
              </w:rPr>
            </w:pPr>
            <w:r>
              <w:rPr>
                <w:b/>
                <w:bCs/>
                <w:sz w:val="21"/>
              </w:rPr>
              <w:t>工程</w:t>
            </w: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sz w:val="21"/>
              </w:rPr>
            </w:pPr>
            <w:r>
              <w:rPr>
                <w:b/>
                <w:bCs/>
                <w:sz w:val="21"/>
              </w:rPr>
              <w:t>建（构）筑物名称</w:t>
            </w:r>
          </w:p>
        </w:tc>
        <w:tc>
          <w:tcPr>
            <w:tcW w:w="40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bCs/>
                <w:sz w:val="21"/>
              </w:rPr>
            </w:pPr>
            <w:r>
              <w:rPr>
                <w:rFonts w:hint="eastAsia" w:cs="Times New Roman"/>
                <w:b/>
                <w:sz w:val="21"/>
                <w:szCs w:val="21"/>
                <w:lang w:val="en-US" w:eastAsia="zh-CN"/>
              </w:rPr>
              <w:t>环评建设内容</w:t>
            </w:r>
          </w:p>
        </w:tc>
        <w:tc>
          <w:tcPr>
            <w:tcW w:w="1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sz w:val="21"/>
              </w:rPr>
            </w:pPr>
            <w:r>
              <w:rPr>
                <w:rFonts w:hint="default" w:ascii="Times New Roman" w:hAnsi="Times New Roman" w:eastAsia="宋体" w:cs="Times New Roman"/>
                <w:b/>
                <w:bCs/>
                <w:color w:val="000000"/>
                <w:kern w:val="0"/>
                <w:sz w:val="21"/>
                <w:szCs w:val="21"/>
              </w:rPr>
              <w:t>实际建设情况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restart"/>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ascii="Times New Roman"/>
                <w:sz w:val="21"/>
              </w:rPr>
            </w:pPr>
            <w:r>
              <w:rPr>
                <w:rFonts w:ascii="Times New Roman"/>
                <w:w w:val="100"/>
                <w:sz w:val="21"/>
              </w:rPr>
              <w:t>1</w:t>
            </w:r>
          </w:p>
        </w:tc>
        <w:tc>
          <w:tcPr>
            <w:tcW w:w="945" w:type="dxa"/>
            <w:vMerge w:val="restart"/>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sz w:val="21"/>
              </w:rPr>
              <w:t>主体工程</w:t>
            </w: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sz w:val="21"/>
              </w:rPr>
              <w:t>一楼综合区</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vertAlign w:val="baseline"/>
                <w:lang w:val="en-US" w:eastAsia="zh-CN"/>
              </w:rPr>
            </w:pPr>
            <w:r>
              <w:rPr>
                <w:sz w:val="21"/>
              </w:rPr>
              <w:t xml:space="preserve">租赁，建筑面积 </w:t>
            </w:r>
            <w:r>
              <w:rPr>
                <w:rFonts w:hint="eastAsia" w:ascii="Times New Roman" w:eastAsia="宋体"/>
                <w:sz w:val="21"/>
                <w:lang w:val="en-US" w:eastAsia="zh-CN"/>
              </w:rPr>
              <w:t>980</w:t>
            </w:r>
            <w:r>
              <w:rPr>
                <w:rFonts w:ascii="Times New Roman" w:eastAsia="Times New Roman"/>
                <w:sz w:val="21"/>
              </w:rPr>
              <w:t>m</w:t>
            </w:r>
            <w:r>
              <w:rPr>
                <w:rFonts w:ascii="Times New Roman" w:eastAsia="Times New Roman"/>
                <w:sz w:val="21"/>
                <w:vertAlign w:val="superscript"/>
              </w:rPr>
              <w:t>2</w:t>
            </w:r>
            <w:r>
              <w:rPr>
                <w:sz w:val="21"/>
                <w:vertAlign w:val="baseline"/>
              </w:rPr>
              <w:t>，设置有</w:t>
            </w:r>
            <w:r>
              <w:rPr>
                <w:rFonts w:hint="eastAsia" w:eastAsia="宋体"/>
                <w:sz w:val="21"/>
                <w:vertAlign w:val="baseline"/>
                <w:lang w:val="en-US" w:eastAsia="zh-CN"/>
              </w:rPr>
              <w:t>门诊部、</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vertAlign w:val="baseline"/>
                <w:lang w:val="en-US" w:eastAsia="zh-CN"/>
              </w:rPr>
              <w:t>放射室、化验室、药房</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vertAlign w:val="baseline"/>
                <w:lang w:val="en-US" w:eastAsia="zh-CN"/>
              </w:rPr>
            </w:pPr>
            <w:r>
              <w:rPr>
                <w:rFonts w:hint="eastAsia" w:eastAsia="宋体"/>
                <w:sz w:val="21"/>
                <w:vertAlign w:val="baseline"/>
                <w:lang w:val="en-US" w:eastAsia="zh-CN"/>
              </w:rPr>
              <w:t>门诊部、放射室、化验室、药房、</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cs="Times New Roman"/>
                <w:sz w:val="21"/>
                <w:szCs w:val="21"/>
                <w:lang w:val="en-US" w:eastAsia="zh-CN"/>
              </w:rPr>
              <w:t>收费室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lang w:val="en-US" w:eastAsia="zh-CN"/>
              </w:rPr>
              <w:t>二楼行政区、休息区</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sz w:val="21"/>
              </w:rPr>
              <w:t xml:space="preserve">租赁，建筑面积 </w:t>
            </w:r>
            <w:r>
              <w:rPr>
                <w:rFonts w:hint="eastAsia" w:ascii="Times New Roman" w:eastAsia="宋体"/>
                <w:sz w:val="21"/>
                <w:lang w:val="en-US" w:eastAsia="zh-CN"/>
              </w:rPr>
              <w:t>980</w:t>
            </w:r>
            <w:r>
              <w:rPr>
                <w:rFonts w:ascii="Times New Roman" w:eastAsia="Times New Roman"/>
                <w:sz w:val="21"/>
              </w:rPr>
              <w:t>m</w:t>
            </w:r>
            <w:r>
              <w:rPr>
                <w:rFonts w:ascii="Times New Roman" w:eastAsia="Times New Roman"/>
                <w:sz w:val="21"/>
                <w:vertAlign w:val="superscript"/>
              </w:rPr>
              <w:t>2</w:t>
            </w:r>
            <w:r>
              <w:rPr>
                <w:sz w:val="21"/>
                <w:vertAlign w:val="baseline"/>
              </w:rPr>
              <w:t>，设置有</w:t>
            </w:r>
            <w:r>
              <w:rPr>
                <w:rFonts w:hint="eastAsia" w:eastAsia="宋体"/>
                <w:sz w:val="21"/>
                <w:vertAlign w:val="baseline"/>
                <w:lang w:val="en-US" w:eastAsia="zh-CN"/>
              </w:rPr>
              <w:t>住院区</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资料室、库房、</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宿舍、办公室、</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cs="Times New Roman"/>
                <w:sz w:val="21"/>
                <w:szCs w:val="21"/>
                <w:lang w:val="en-US" w:eastAsia="zh-CN"/>
              </w:rPr>
              <w:t>档案室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eastAsia="zh-CN"/>
              </w:rPr>
            </w:pPr>
            <w:r>
              <w:rPr>
                <w:rFonts w:hint="eastAsia" w:eastAsia="宋体"/>
                <w:sz w:val="21"/>
                <w:lang w:val="en-US" w:eastAsia="zh-CN"/>
              </w:rPr>
              <w:t>三</w:t>
            </w:r>
            <w:r>
              <w:rPr>
                <w:sz w:val="21"/>
              </w:rPr>
              <w:t>楼</w:t>
            </w:r>
            <w:r>
              <w:rPr>
                <w:rFonts w:hint="eastAsia" w:eastAsia="宋体"/>
                <w:sz w:val="21"/>
                <w:lang w:val="en-US" w:eastAsia="zh-CN"/>
              </w:rPr>
              <w:t>住院区</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sz w:val="21"/>
              </w:rPr>
              <w:t xml:space="preserve">租赁，建筑面积 </w:t>
            </w:r>
            <w:r>
              <w:rPr>
                <w:rFonts w:hint="eastAsia" w:ascii="Times New Roman" w:eastAsia="宋体"/>
                <w:sz w:val="21"/>
                <w:lang w:val="en-US" w:eastAsia="zh-CN"/>
              </w:rPr>
              <w:t>980</w:t>
            </w:r>
            <w:r>
              <w:rPr>
                <w:rFonts w:ascii="Times New Roman" w:eastAsia="Times New Roman"/>
                <w:sz w:val="21"/>
              </w:rPr>
              <w:t>m</w:t>
            </w:r>
            <w:r>
              <w:rPr>
                <w:rFonts w:ascii="Times New Roman" w:eastAsia="Times New Roman"/>
                <w:sz w:val="21"/>
                <w:vertAlign w:val="superscript"/>
              </w:rPr>
              <w:t>2</w:t>
            </w:r>
            <w:r>
              <w:rPr>
                <w:sz w:val="21"/>
                <w:vertAlign w:val="baseline"/>
              </w:rPr>
              <w:t>，设置有</w:t>
            </w:r>
            <w:r>
              <w:rPr>
                <w:rFonts w:hint="eastAsia" w:eastAsia="宋体"/>
                <w:sz w:val="21"/>
                <w:vertAlign w:val="baseline"/>
                <w:lang w:val="en-US" w:eastAsia="zh-CN"/>
              </w:rPr>
              <w:t>住院区</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cs="Times New Roman"/>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eastAsia="宋体"/>
                <w:sz w:val="21"/>
                <w:lang w:val="en-US" w:eastAsia="zh-CN"/>
              </w:rPr>
              <w:t>四</w:t>
            </w:r>
            <w:r>
              <w:rPr>
                <w:sz w:val="21"/>
              </w:rPr>
              <w:t>楼</w:t>
            </w:r>
            <w:r>
              <w:rPr>
                <w:rFonts w:hint="eastAsia" w:eastAsia="宋体"/>
                <w:sz w:val="21"/>
                <w:lang w:val="en-US" w:eastAsia="zh-CN"/>
              </w:rPr>
              <w:t>住院区</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sz w:val="21"/>
              </w:rPr>
              <w:t xml:space="preserve">租赁，建筑面积 </w:t>
            </w:r>
            <w:r>
              <w:rPr>
                <w:rFonts w:hint="eastAsia" w:ascii="Times New Roman" w:eastAsia="宋体"/>
                <w:sz w:val="21"/>
                <w:lang w:val="en-US" w:eastAsia="zh-CN"/>
              </w:rPr>
              <w:t>980</w:t>
            </w:r>
            <w:r>
              <w:rPr>
                <w:rFonts w:ascii="Times New Roman" w:eastAsia="Times New Roman"/>
                <w:sz w:val="21"/>
              </w:rPr>
              <w:t>m</w:t>
            </w:r>
            <w:r>
              <w:rPr>
                <w:rFonts w:ascii="Times New Roman" w:eastAsia="Times New Roman"/>
                <w:sz w:val="21"/>
                <w:vertAlign w:val="superscript"/>
              </w:rPr>
              <w:t>2</w:t>
            </w:r>
            <w:r>
              <w:rPr>
                <w:sz w:val="21"/>
                <w:vertAlign w:val="baseline"/>
              </w:rPr>
              <w:t>，设置</w:t>
            </w:r>
            <w:r>
              <w:rPr>
                <w:rFonts w:hint="eastAsia" w:eastAsia="宋体"/>
                <w:sz w:val="21"/>
                <w:vertAlign w:val="baseline"/>
                <w:lang w:val="en-US" w:eastAsia="zh-CN"/>
              </w:rPr>
              <w:t>住院区</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cs="Times New Roman"/>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sz w:val="21"/>
                <w:szCs w:val="21"/>
                <w:lang w:val="en-US" w:eastAsia="zh-CN"/>
              </w:rPr>
            </w:pP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sz w:val="21"/>
                <w:szCs w:val="21"/>
                <w:lang w:val="en-US" w:eastAsia="zh-CN"/>
              </w:rPr>
            </w:pPr>
            <w:r>
              <w:rPr>
                <w:rFonts w:hint="eastAsia"/>
                <w:sz w:val="21"/>
                <w:szCs w:val="21"/>
                <w:lang w:val="en-US" w:eastAsia="zh-CN"/>
              </w:rPr>
              <w:t>辅助工程</w:t>
            </w: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lang w:val="en-US" w:eastAsia="zh-CN"/>
              </w:rPr>
              <w:t>负一楼</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Times New Roman" w:eastAsia="宋体"/>
                <w:sz w:val="21"/>
                <w:vertAlign w:val="baseline"/>
                <w:lang w:val="en-US" w:eastAsia="zh-CN"/>
              </w:rPr>
            </w:pPr>
            <w:r>
              <w:rPr>
                <w:rFonts w:hint="eastAsia" w:ascii="Times New Roman" w:eastAsia="宋体"/>
                <w:sz w:val="21"/>
                <w:vertAlign w:val="baseline"/>
                <w:lang w:val="en-US" w:eastAsia="zh-CN"/>
              </w:rPr>
              <w:t>租赁，建筑面积 980</w:t>
            </w:r>
            <w:r>
              <w:rPr>
                <w:rFonts w:ascii="Times New Roman" w:eastAsia="Times New Roman"/>
                <w:sz w:val="21"/>
              </w:rPr>
              <w:t>m</w:t>
            </w:r>
            <w:r>
              <w:rPr>
                <w:rFonts w:ascii="Times New Roman" w:eastAsia="Times New Roman"/>
                <w:sz w:val="21"/>
                <w:vertAlign w:val="superscript"/>
              </w:rPr>
              <w:t>2</w:t>
            </w:r>
            <w:r>
              <w:rPr>
                <w:rFonts w:hint="eastAsia" w:ascii="Times New Roman" w:eastAsia="宋体"/>
                <w:sz w:val="21"/>
                <w:vertAlign w:val="baseline"/>
                <w:lang w:eastAsia="zh-CN"/>
              </w:rPr>
              <w:t>，</w:t>
            </w:r>
            <w:r>
              <w:rPr>
                <w:rFonts w:hint="eastAsia" w:ascii="Times New Roman" w:eastAsia="宋体"/>
                <w:sz w:val="21"/>
                <w:vertAlign w:val="baseline"/>
                <w:lang w:val="en-US" w:eastAsia="zh-CN"/>
              </w:rPr>
              <w:t>停车区</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停车区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restart"/>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Times New Roman" w:eastAsia="宋体"/>
                <w:sz w:val="21"/>
                <w:lang w:eastAsia="zh-CN"/>
              </w:rPr>
            </w:pPr>
            <w:r>
              <w:rPr>
                <w:rFonts w:hint="eastAsia" w:ascii="Times New Roman" w:eastAsia="宋体"/>
                <w:w w:val="100"/>
                <w:sz w:val="21"/>
                <w:lang w:val="en-US" w:eastAsia="zh-CN"/>
              </w:rPr>
              <w:t>3</w:t>
            </w:r>
          </w:p>
        </w:tc>
        <w:tc>
          <w:tcPr>
            <w:tcW w:w="945" w:type="dxa"/>
            <w:vMerge w:val="restart"/>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sz w:val="21"/>
              </w:rPr>
              <w:t>公用工程</w:t>
            </w: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eastAsia="zh-CN"/>
              </w:rPr>
            </w:pPr>
            <w:r>
              <w:rPr>
                <w:rFonts w:hint="eastAsia" w:eastAsia="宋体"/>
                <w:sz w:val="21"/>
                <w:lang w:val="en-US" w:eastAsia="zh-CN"/>
              </w:rPr>
              <w:t>供水</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lang w:val="en-US" w:eastAsia="zh-CN"/>
              </w:rPr>
              <w:t>由市政供水管网供应</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cs="Times New Roman"/>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218"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eastAsia="zh-CN"/>
              </w:rPr>
            </w:pPr>
            <w:r>
              <w:rPr>
                <w:rFonts w:hint="eastAsia" w:eastAsia="宋体"/>
                <w:sz w:val="21"/>
                <w:lang w:val="en-US" w:eastAsia="zh-CN"/>
              </w:rPr>
              <w:t>排水</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Times New Roman" w:hAnsi="Times New Roman"/>
                <w:bCs/>
              </w:rPr>
            </w:pPr>
            <w:r>
              <w:rPr>
                <w:rFonts w:ascii="Times New Roman" w:hAnsi="Times New Roman"/>
                <w:szCs w:val="21"/>
              </w:rPr>
              <w:t>项目排水采用雨污分流制，雨水经雨水管网收集</w:t>
            </w:r>
            <w:r>
              <w:rPr>
                <w:rFonts w:hint="eastAsia" w:ascii="Times New Roman" w:hAnsi="Times New Roman"/>
                <w:szCs w:val="21"/>
              </w:rPr>
              <w:t>后进入周边农灌渠；废水</w:t>
            </w:r>
            <w:r>
              <w:rPr>
                <w:rFonts w:ascii="Times New Roman" w:hAnsi="Times New Roman"/>
                <w:bCs/>
              </w:rPr>
              <w:t>经污水处理设施处理</w:t>
            </w:r>
            <w:r>
              <w:rPr>
                <w:rFonts w:hint="eastAsia" w:ascii="Times New Roman" w:hAnsi="Times New Roman"/>
                <w:bCs/>
              </w:rPr>
              <w:t>达标</w:t>
            </w:r>
            <w:r>
              <w:rPr>
                <w:rFonts w:ascii="Times New Roman" w:hAnsi="Times New Roman"/>
                <w:bCs/>
              </w:rPr>
              <w:t>后</w:t>
            </w:r>
            <w:r>
              <w:rPr>
                <w:rFonts w:hint="eastAsia" w:ascii="Times New Roman" w:hAnsi="Times New Roman"/>
                <w:bCs/>
              </w:rPr>
              <w:t>经西侧排污渠进谢林港镇</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ascii="Times New Roman" w:hAnsi="Times New Roman"/>
                <w:bCs/>
              </w:rPr>
              <w:t>排水系统排入志溪河</w:t>
            </w:r>
            <w:r>
              <w:rPr>
                <w:rFonts w:hint="eastAsia" w:ascii="Times New Roman" w:hAnsi="Times New Roman" w:eastAsia="宋体"/>
                <w:bCs/>
                <w:lang w:eastAsia="zh-CN"/>
              </w:rPr>
              <w:t>。</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cs="Times New Roman"/>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eastAsia="zh-CN"/>
              </w:rPr>
            </w:pPr>
            <w:r>
              <w:rPr>
                <w:rFonts w:hint="eastAsia" w:eastAsia="宋体"/>
                <w:sz w:val="21"/>
                <w:lang w:val="en-US" w:eastAsia="zh-CN"/>
              </w:rPr>
              <w:t>供电</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lang w:val="en-US" w:eastAsia="zh-CN"/>
              </w:rPr>
              <w:t>由谢林港镇供电系统统一供电</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cs="Times New Roman"/>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eastAsia="zh-CN"/>
              </w:rPr>
            </w:pPr>
            <w:r>
              <w:rPr>
                <w:rFonts w:hint="eastAsia" w:eastAsia="宋体"/>
                <w:sz w:val="21"/>
                <w:lang w:val="en-US" w:eastAsia="zh-CN"/>
              </w:rPr>
              <w:t>供热</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eastAsia="zh-CN"/>
              </w:rPr>
            </w:pPr>
            <w:r>
              <w:rPr>
                <w:rFonts w:hint="eastAsia" w:eastAsia="宋体"/>
                <w:sz w:val="21"/>
                <w:lang w:val="en-US" w:eastAsia="zh-CN"/>
              </w:rPr>
              <w:t>电供热（空调供暖、电热水器供应热水）</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cs="Times New Roman"/>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restart"/>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Times New Roman" w:eastAsia="宋体"/>
                <w:sz w:val="21"/>
                <w:lang w:eastAsia="zh-CN"/>
              </w:rPr>
            </w:pPr>
            <w:r>
              <w:rPr>
                <w:rFonts w:hint="eastAsia" w:ascii="Times New Roman" w:eastAsia="宋体"/>
                <w:w w:val="100"/>
                <w:sz w:val="21"/>
                <w:lang w:val="en-US" w:eastAsia="zh-CN"/>
              </w:rPr>
              <w:t>4</w:t>
            </w:r>
          </w:p>
        </w:tc>
        <w:tc>
          <w:tcPr>
            <w:tcW w:w="945" w:type="dxa"/>
            <w:vMerge w:val="restart"/>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sz w:val="21"/>
              </w:rPr>
              <w:t>环保工程</w:t>
            </w: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lang w:val="en-US" w:eastAsia="zh-CN"/>
              </w:rPr>
              <w:t>废气治理</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ascii="Times New Roman" w:hAnsi="Times New Roman"/>
                <w:szCs w:val="21"/>
              </w:rPr>
              <w:t>食堂油烟废气</w:t>
            </w:r>
            <w:r>
              <w:rPr>
                <w:rFonts w:hint="eastAsia" w:ascii="Times New Roman" w:hAnsi="Times New Roman"/>
                <w:szCs w:val="21"/>
              </w:rPr>
              <w:t>经过高效油烟净化器净化处理后通过烟囱屋顶排出，</w:t>
            </w:r>
            <w:r>
              <w:rPr>
                <w:rFonts w:ascii="Times New Roman" w:hAnsi="Times New Roman"/>
                <w:szCs w:val="21"/>
              </w:rPr>
              <w:t>备用发电废气</w:t>
            </w:r>
            <w:r>
              <w:rPr>
                <w:rFonts w:hint="eastAsia" w:ascii="Times New Roman" w:hAnsi="Times New Roman"/>
                <w:szCs w:val="21"/>
              </w:rPr>
              <w:t>经过通风系统由烟囱引至屋顶排出，污水处理装置采用密闭设计减少恶臭气体排放量</w:t>
            </w:r>
            <w:r>
              <w:rPr>
                <w:rFonts w:hint="eastAsia" w:ascii="Times New Roman" w:hAnsi="Times New Roman" w:eastAsia="宋体"/>
                <w:szCs w:val="21"/>
                <w:lang w:eastAsia="zh-CN"/>
              </w:rPr>
              <w:t>。</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lang w:val="en-US"/>
              </w:rPr>
            </w:pPr>
            <w:r>
              <w:rPr>
                <w:rFonts w:hint="eastAsia" w:cs="Times New Roman"/>
                <w:sz w:val="21"/>
                <w:szCs w:val="21"/>
                <w:lang w:val="en-US" w:eastAsia="zh-CN"/>
              </w:rPr>
              <w:t>集气罩收集，排气筒高于屋顶排放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ascii="Times New Roman" w:hAnsi="Times New Roman"/>
              </w:rPr>
              <w:t>废水治理</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ascii="Times New Roman" w:hAnsi="Times New Roman"/>
                <w:bCs/>
              </w:rPr>
            </w:pPr>
            <w:r>
              <w:rPr>
                <w:rFonts w:hint="eastAsia" w:ascii="Times New Roman" w:hAnsi="Times New Roman"/>
                <w:color w:val="000000"/>
                <w:szCs w:val="21"/>
              </w:rPr>
              <w:t>化验废水经预处理，食堂废水经隔油池处理后与医院污水经化粪池处理后一起排入污水处理站处理，处理</w:t>
            </w:r>
            <w:r>
              <w:rPr>
                <w:rFonts w:ascii="Times New Roman" w:hAnsi="Times New Roman"/>
                <w:bCs/>
              </w:rPr>
              <w:t>达《医疗机构水污染物排放标准》</w:t>
            </w:r>
            <w:r>
              <w:rPr>
                <w:rFonts w:ascii="Times New Roman" w:hAnsi="Times New Roman"/>
                <w:szCs w:val="21"/>
              </w:rPr>
              <w:t>（GB1</w:t>
            </w:r>
            <w:r>
              <w:rPr>
                <w:rFonts w:hint="eastAsia" w:ascii="Times New Roman" w:hAnsi="Times New Roman"/>
                <w:szCs w:val="21"/>
              </w:rPr>
              <w:t>8466</w:t>
            </w:r>
            <w:r>
              <w:rPr>
                <w:rFonts w:ascii="Times New Roman" w:hAnsi="Times New Roman"/>
                <w:szCs w:val="21"/>
              </w:rPr>
              <w:t>-20</w:t>
            </w:r>
            <w:r>
              <w:rPr>
                <w:rFonts w:hint="eastAsia" w:ascii="Times New Roman" w:hAnsi="Times New Roman"/>
                <w:szCs w:val="21"/>
              </w:rPr>
              <w:t>05</w:t>
            </w:r>
            <w:r>
              <w:rPr>
                <w:rFonts w:ascii="Times New Roman" w:hAnsi="Times New Roman"/>
                <w:szCs w:val="21"/>
              </w:rPr>
              <w:t>）</w:t>
            </w:r>
            <w:r>
              <w:rPr>
                <w:rFonts w:ascii="Times New Roman" w:hAnsi="Times New Roman"/>
                <w:bCs/>
              </w:rPr>
              <w:t>表2中</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hint="eastAsia" w:ascii="Times New Roman" w:hAnsi="Times New Roman"/>
                <w:bCs/>
              </w:rPr>
              <w:t>排放</w:t>
            </w:r>
            <w:r>
              <w:rPr>
                <w:rFonts w:ascii="Times New Roman" w:hAnsi="Times New Roman"/>
                <w:bCs/>
              </w:rPr>
              <w:t>标准后</w:t>
            </w:r>
            <w:r>
              <w:rPr>
                <w:rFonts w:hint="eastAsia" w:ascii="Times New Roman" w:hAnsi="Times New Roman"/>
                <w:bCs/>
              </w:rPr>
              <w:t>外排</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lang w:val="en-US" w:eastAsia="zh-CN"/>
              </w:rPr>
              <w:t>未建设隔油池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1"/>
              </w:rPr>
            </w:pPr>
            <w:r>
              <w:rPr>
                <w:rFonts w:ascii="Times New Roman" w:hAnsi="Times New Roman"/>
                <w:szCs w:val="21"/>
              </w:rPr>
              <w:t>固废处理处置</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eastAsia="zh-CN"/>
              </w:rPr>
            </w:pPr>
            <w:r>
              <w:rPr>
                <w:rFonts w:ascii="Times New Roman" w:hAnsi="Times New Roman"/>
                <w:szCs w:val="21"/>
              </w:rPr>
              <w:t>生活垃圾统一收集后由当地环卫部门定时</w:t>
            </w:r>
            <w:r>
              <w:rPr>
                <w:rFonts w:hint="eastAsia" w:ascii="Times New Roman" w:hAnsi="Times New Roman"/>
                <w:szCs w:val="21"/>
              </w:rPr>
              <w:t>清运；医疗废物</w:t>
            </w:r>
            <w:r>
              <w:rPr>
                <w:rFonts w:ascii="Times New Roman" w:hAnsi="Times New Roman"/>
                <w:szCs w:val="21"/>
              </w:rPr>
              <w:t>统一收集于</w:t>
            </w:r>
            <w:r>
              <w:rPr>
                <w:rFonts w:hint="eastAsia" w:ascii="Times New Roman" w:hAnsi="Times New Roman"/>
                <w:szCs w:val="21"/>
              </w:rPr>
              <w:t>医疗废物</w:t>
            </w:r>
            <w:r>
              <w:rPr>
                <w:rFonts w:ascii="Times New Roman" w:hAnsi="Times New Roman"/>
                <w:szCs w:val="21"/>
              </w:rPr>
              <w:t>暂存间，并及时交益阳市特许医疗废物集中处理有限公司处理</w:t>
            </w:r>
            <w:r>
              <w:rPr>
                <w:rFonts w:hint="eastAsia" w:ascii="Times New Roman" w:hAnsi="Times New Roman"/>
                <w:szCs w:val="21"/>
              </w:rPr>
              <w:t>；</w:t>
            </w:r>
            <w:r>
              <w:rPr>
                <w:rFonts w:hint="eastAsia"/>
              </w:rPr>
              <w:t>污水</w:t>
            </w:r>
            <w:r>
              <w:t>处理</w:t>
            </w:r>
            <w:r>
              <w:rPr>
                <w:rFonts w:hint="eastAsia"/>
              </w:rPr>
              <w:t>站</w:t>
            </w:r>
            <w:r>
              <w:t>污泥经院区暂存后</w:t>
            </w:r>
            <w:r>
              <w:rPr>
                <w:rFonts w:hint="eastAsia"/>
              </w:rPr>
              <w:t>交由有危废处置资的质单位处理</w:t>
            </w:r>
            <w:r>
              <w:rPr>
                <w:rFonts w:hint="eastAsia" w:eastAsia="宋体"/>
                <w:lang w:eastAsia="zh-CN"/>
              </w:rPr>
              <w:t>。</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w w:val="100"/>
                <w:sz w:val="21"/>
              </w:rPr>
            </w:pPr>
            <w:r>
              <w:rPr>
                <w:rFonts w:hint="eastAsia" w:cs="Times New Roman"/>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jc w:val="center"/>
        </w:trPr>
        <w:tc>
          <w:tcPr>
            <w:tcW w:w="6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sz w:val="2"/>
                <w:szCs w:val="2"/>
              </w:rPr>
            </w:pPr>
          </w:p>
        </w:tc>
        <w:tc>
          <w:tcPr>
            <w:tcW w:w="1819"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ascii="Times New Roman" w:hAnsi="Times New Roman"/>
                <w:szCs w:val="21"/>
              </w:rPr>
            </w:pPr>
            <w:r>
              <w:rPr>
                <w:rFonts w:ascii="Times New Roman" w:hAnsi="Times New Roman"/>
              </w:rPr>
              <w:t>噪声治理</w:t>
            </w:r>
          </w:p>
        </w:tc>
        <w:tc>
          <w:tcPr>
            <w:tcW w:w="4046"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Times New Roman" w:hAnsi="Times New Roman" w:eastAsia="宋体"/>
                <w:szCs w:val="21"/>
                <w:lang w:eastAsia="zh-CN"/>
              </w:rPr>
            </w:pPr>
            <w:r>
              <w:rPr>
                <w:rFonts w:ascii="Times New Roman" w:hAnsi="Times New Roman"/>
                <w:szCs w:val="21"/>
              </w:rPr>
              <w:t>合理布局，对噪声较大的设备采取单独隔离布置及其他各种消声降噪措施</w:t>
            </w:r>
            <w:r>
              <w:rPr>
                <w:rFonts w:hint="eastAsia" w:ascii="Times New Roman" w:hAnsi="Times New Roman" w:eastAsia="宋体"/>
                <w:szCs w:val="21"/>
                <w:lang w:eastAsia="zh-CN"/>
              </w:rPr>
              <w:t>。</w:t>
            </w:r>
          </w:p>
        </w:tc>
        <w:tc>
          <w:tcPr>
            <w:tcW w:w="1584" w:type="dxa"/>
            <w:tcBorders>
              <w:tl2br w:val="nil"/>
              <w:tr2bl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与环评一致</w:t>
            </w:r>
          </w:p>
        </w:tc>
      </w:tr>
    </w:tbl>
    <w:p>
      <w:pPr>
        <w:spacing w:line="520" w:lineRule="exact"/>
        <w:jc w:val="center"/>
        <w:rPr>
          <w:b/>
          <w:kern w:val="0"/>
          <w:szCs w:val="21"/>
          <w:lang w:val="zh-CN"/>
        </w:rPr>
      </w:pPr>
      <w:r>
        <w:rPr>
          <w:b/>
          <w:kern w:val="0"/>
          <w:szCs w:val="21"/>
          <w:lang w:val="zh-CN"/>
        </w:rPr>
        <w:t>表</w:t>
      </w:r>
      <w:r>
        <w:rPr>
          <w:rFonts w:hint="eastAsia"/>
          <w:b/>
          <w:kern w:val="0"/>
          <w:szCs w:val="21"/>
          <w:lang w:val="zh-CN"/>
        </w:rPr>
        <w:t>3-</w:t>
      </w:r>
      <w:r>
        <w:rPr>
          <w:rFonts w:hint="eastAsia"/>
          <w:b/>
          <w:kern w:val="0"/>
          <w:szCs w:val="21"/>
        </w:rPr>
        <w:t xml:space="preserve">2 </w:t>
      </w:r>
      <w:r>
        <w:rPr>
          <w:rFonts w:hint="eastAsia"/>
          <w:b/>
          <w:kern w:val="0"/>
          <w:szCs w:val="21"/>
          <w:lang w:val="zh-CN"/>
        </w:rPr>
        <w:t>项目</w:t>
      </w:r>
      <w:r>
        <w:rPr>
          <w:rFonts w:hint="eastAsia"/>
          <w:b/>
          <w:kern w:val="0"/>
          <w:szCs w:val="21"/>
        </w:rPr>
        <w:t>主要设备</w:t>
      </w:r>
      <w:r>
        <w:rPr>
          <w:rFonts w:hint="eastAsia"/>
          <w:b/>
          <w:kern w:val="0"/>
          <w:szCs w:val="21"/>
          <w:lang w:val="zh-CN"/>
        </w:rPr>
        <w:t>一览表</w:t>
      </w:r>
    </w:p>
    <w:tbl>
      <w:tblPr>
        <w:tblStyle w:val="32"/>
        <w:tblW w:w="890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781"/>
        <w:gridCol w:w="1780"/>
        <w:gridCol w:w="1780"/>
        <w:gridCol w:w="1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ascii="Times New Roman" w:hAnsi="Times New Roman"/>
                <w:b/>
              </w:rPr>
            </w:pPr>
            <w:r>
              <w:rPr>
                <w:rFonts w:ascii="Times New Roman" w:hAnsi="Times New Roman"/>
                <w:b/>
              </w:rPr>
              <w:t>序号</w:t>
            </w:r>
          </w:p>
        </w:tc>
        <w:tc>
          <w:tcPr>
            <w:tcW w:w="1781" w:type="dxa"/>
            <w:tcBorders>
              <w:tl2br w:val="nil"/>
              <w:tr2bl w:val="nil"/>
            </w:tcBorders>
            <w:vAlign w:val="center"/>
          </w:tcPr>
          <w:p>
            <w:pPr>
              <w:jc w:val="center"/>
              <w:rPr>
                <w:rFonts w:ascii="Times New Roman" w:hAnsi="Times New Roman"/>
                <w:b/>
              </w:rPr>
            </w:pPr>
            <w:r>
              <w:rPr>
                <w:rFonts w:ascii="Times New Roman" w:hAnsi="Times New Roman"/>
                <w:b/>
              </w:rPr>
              <w:t>名称</w:t>
            </w:r>
          </w:p>
        </w:tc>
        <w:tc>
          <w:tcPr>
            <w:tcW w:w="1780" w:type="dxa"/>
            <w:tcBorders>
              <w:tl2br w:val="nil"/>
              <w:tr2bl w:val="nil"/>
            </w:tcBorders>
            <w:vAlign w:val="center"/>
          </w:tcPr>
          <w:p>
            <w:pPr>
              <w:jc w:val="center"/>
              <w:rPr>
                <w:rFonts w:ascii="Times New Roman" w:hAnsi="Times New Roman"/>
                <w:b/>
              </w:rPr>
            </w:pPr>
            <w:r>
              <w:rPr>
                <w:rFonts w:ascii="Times New Roman" w:hAnsi="Times New Roman"/>
                <w:b/>
              </w:rPr>
              <w:t>单位</w:t>
            </w:r>
          </w:p>
        </w:tc>
        <w:tc>
          <w:tcPr>
            <w:tcW w:w="1780" w:type="dxa"/>
            <w:tcBorders>
              <w:tl2br w:val="nil"/>
              <w:tr2bl w:val="nil"/>
            </w:tcBorders>
            <w:vAlign w:val="center"/>
          </w:tcPr>
          <w:p>
            <w:pPr>
              <w:jc w:val="center"/>
              <w:rPr>
                <w:rFonts w:ascii="Times New Roman" w:hAnsi="Times New Roman"/>
                <w:b/>
              </w:rPr>
            </w:pPr>
            <w:r>
              <w:rPr>
                <w:rFonts w:ascii="Times New Roman" w:hAnsi="Times New Roman"/>
                <w:b/>
              </w:rPr>
              <w:t>数量</w:t>
            </w:r>
          </w:p>
        </w:tc>
        <w:tc>
          <w:tcPr>
            <w:tcW w:w="1780" w:type="dxa"/>
            <w:tcBorders>
              <w:tl2br w:val="nil"/>
              <w:tr2bl w:val="nil"/>
            </w:tcBorders>
            <w:vAlign w:val="center"/>
          </w:tcPr>
          <w:p>
            <w:pPr>
              <w:jc w:val="center"/>
              <w:rPr>
                <w:rFonts w:ascii="Times New Roman" w:hAnsi="Times New Roman"/>
                <w:b/>
              </w:rPr>
            </w:pPr>
            <w:r>
              <w:rPr>
                <w:rFonts w:ascii="Times New Roman" w:hAnsi="Times New Roman"/>
                <w: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ascii="Times New Roman" w:hAnsi="Times New Roman"/>
              </w:rPr>
            </w:pPr>
            <w:r>
              <w:rPr>
                <w:rFonts w:ascii="Times New Roman" w:hAnsi="Times New Roman"/>
              </w:rPr>
              <w:t>1</w:t>
            </w:r>
          </w:p>
        </w:tc>
        <w:tc>
          <w:tcPr>
            <w:tcW w:w="1781" w:type="dxa"/>
            <w:tcBorders>
              <w:tl2br w:val="nil"/>
              <w:tr2bl w:val="nil"/>
            </w:tcBorders>
            <w:vAlign w:val="center"/>
          </w:tcPr>
          <w:p>
            <w:pPr>
              <w:jc w:val="center"/>
              <w:rPr>
                <w:rFonts w:ascii="Times New Roman" w:hAnsi="Times New Roman"/>
              </w:rPr>
            </w:pPr>
            <w:r>
              <w:rPr>
                <w:rFonts w:ascii="Times New Roman" w:hAnsi="Times New Roman"/>
              </w:rPr>
              <w:t>DR</w:t>
            </w:r>
            <w:r>
              <w:rPr>
                <w:rFonts w:hint="eastAsia" w:ascii="Times New Roman" w:hAnsi="Times New Roman"/>
              </w:rPr>
              <w:t>机</w:t>
            </w:r>
          </w:p>
        </w:tc>
        <w:tc>
          <w:tcPr>
            <w:tcW w:w="1780" w:type="dxa"/>
            <w:tcBorders>
              <w:tl2br w:val="nil"/>
              <w:tr2bl w:val="nil"/>
            </w:tcBorders>
            <w:vAlign w:val="center"/>
          </w:tcPr>
          <w:p>
            <w:pPr>
              <w:jc w:val="center"/>
              <w:rPr>
                <w:rFonts w:ascii="Times New Roman" w:hAnsi="Times New Roman"/>
              </w:rPr>
            </w:pPr>
            <w:r>
              <w:rPr>
                <w:rFonts w:ascii="Times New Roman" w:hAnsi="Times New Roman"/>
              </w:rPr>
              <w:t>台</w:t>
            </w:r>
          </w:p>
        </w:tc>
        <w:tc>
          <w:tcPr>
            <w:tcW w:w="1780" w:type="dxa"/>
            <w:tcBorders>
              <w:tl2br w:val="nil"/>
              <w:tr2bl w:val="nil"/>
            </w:tcBorders>
            <w:vAlign w:val="center"/>
          </w:tcPr>
          <w:p>
            <w:pPr>
              <w:jc w:val="center"/>
              <w:rPr>
                <w:rFonts w:ascii="Times New Roman" w:hAnsi="Times New Roman"/>
              </w:rPr>
            </w:pPr>
            <w:r>
              <w:rPr>
                <w:rFonts w:ascii="Times New Roman" w:hAnsi="Times New Roman"/>
              </w:rPr>
              <w:t>1</w:t>
            </w:r>
          </w:p>
        </w:tc>
        <w:tc>
          <w:tcPr>
            <w:tcW w:w="1780" w:type="dxa"/>
            <w:tcBorders>
              <w:tl2br w:val="nil"/>
              <w:tr2bl w:val="nil"/>
            </w:tcBorders>
            <w:vAlign w:val="center"/>
          </w:tcPr>
          <w:p>
            <w:pPr>
              <w:jc w:val="center"/>
              <w:rPr>
                <w:rFonts w:hint="eastAsia" w:ascii="Times New Roman" w:hAnsi="Times New Roman" w:eastAsia="宋体"/>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hint="eastAsia" w:ascii="Times New Roman" w:hAnsi="Times New Roman" w:eastAsia="宋体"/>
                <w:lang w:eastAsia="zh-CN"/>
              </w:rPr>
            </w:pPr>
            <w:r>
              <w:rPr>
                <w:rFonts w:hint="eastAsia" w:ascii="Times New Roman" w:hAnsi="Times New Roman"/>
                <w:lang w:eastAsia="zh-CN"/>
              </w:rPr>
              <w:t>2</w:t>
            </w:r>
          </w:p>
        </w:tc>
        <w:tc>
          <w:tcPr>
            <w:tcW w:w="1781" w:type="dxa"/>
            <w:tcBorders>
              <w:tl2br w:val="nil"/>
              <w:tr2bl w:val="nil"/>
            </w:tcBorders>
            <w:vAlign w:val="center"/>
          </w:tcPr>
          <w:p>
            <w:pPr>
              <w:jc w:val="center"/>
              <w:rPr>
                <w:rFonts w:ascii="Times New Roman" w:hAnsi="Times New Roman"/>
              </w:rPr>
            </w:pPr>
            <w:r>
              <w:rPr>
                <w:rFonts w:ascii="Times New Roman" w:hAnsi="Times New Roman"/>
              </w:rPr>
              <w:t>心电图机</w:t>
            </w:r>
          </w:p>
        </w:tc>
        <w:tc>
          <w:tcPr>
            <w:tcW w:w="1780" w:type="dxa"/>
            <w:tcBorders>
              <w:tl2br w:val="nil"/>
              <w:tr2bl w:val="nil"/>
            </w:tcBorders>
            <w:vAlign w:val="center"/>
          </w:tcPr>
          <w:p>
            <w:pPr>
              <w:jc w:val="center"/>
              <w:rPr>
                <w:rFonts w:ascii="Times New Roman" w:hAnsi="Times New Roman"/>
              </w:rPr>
            </w:pPr>
            <w:r>
              <w:rPr>
                <w:rFonts w:ascii="Times New Roman" w:hAnsi="Times New Roman"/>
              </w:rPr>
              <w:t>台</w:t>
            </w:r>
          </w:p>
        </w:tc>
        <w:tc>
          <w:tcPr>
            <w:tcW w:w="1780" w:type="dxa"/>
            <w:tcBorders>
              <w:tl2br w:val="nil"/>
              <w:tr2bl w:val="nil"/>
            </w:tcBorders>
            <w:vAlign w:val="center"/>
          </w:tcPr>
          <w:p>
            <w:pPr>
              <w:jc w:val="center"/>
              <w:rPr>
                <w:rFonts w:ascii="Times New Roman" w:hAnsi="Times New Roman"/>
              </w:rPr>
            </w:pPr>
            <w:r>
              <w:rPr>
                <w:rFonts w:ascii="Times New Roman" w:hAnsi="Times New Roman"/>
              </w:rPr>
              <w:t>2</w:t>
            </w:r>
          </w:p>
        </w:tc>
        <w:tc>
          <w:tcPr>
            <w:tcW w:w="1780" w:type="dxa"/>
            <w:tcBorders>
              <w:tl2br w:val="nil"/>
              <w:tr2bl w:val="nil"/>
            </w:tcBorders>
            <w:vAlign w:val="center"/>
          </w:tcPr>
          <w:p>
            <w:pPr>
              <w:jc w:val="center"/>
              <w:rPr>
                <w:rFonts w:ascii="Times New Roman" w:hAnsi="Times New Roma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hint="eastAsia" w:ascii="Times New Roman" w:hAnsi="Times New Roman" w:eastAsia="宋体"/>
                <w:lang w:eastAsia="zh-CN"/>
              </w:rPr>
            </w:pPr>
            <w:r>
              <w:rPr>
                <w:rFonts w:hint="eastAsia" w:ascii="Times New Roman" w:hAnsi="Times New Roman"/>
                <w:lang w:eastAsia="zh-CN"/>
              </w:rPr>
              <w:t>3</w:t>
            </w:r>
          </w:p>
        </w:tc>
        <w:tc>
          <w:tcPr>
            <w:tcW w:w="1781" w:type="dxa"/>
            <w:tcBorders>
              <w:tl2br w:val="nil"/>
              <w:tr2bl w:val="nil"/>
            </w:tcBorders>
            <w:vAlign w:val="center"/>
          </w:tcPr>
          <w:p>
            <w:pPr>
              <w:jc w:val="center"/>
              <w:rPr>
                <w:rFonts w:ascii="Times New Roman" w:hAnsi="Times New Roman"/>
              </w:rPr>
            </w:pPr>
            <w:r>
              <w:rPr>
                <w:rFonts w:hint="eastAsia" w:ascii="Times New Roman" w:hAnsi="Times New Roman"/>
              </w:rPr>
              <w:t>血液分析仪</w:t>
            </w:r>
          </w:p>
        </w:tc>
        <w:tc>
          <w:tcPr>
            <w:tcW w:w="1780" w:type="dxa"/>
            <w:tcBorders>
              <w:tl2br w:val="nil"/>
              <w:tr2bl w:val="nil"/>
            </w:tcBorders>
            <w:vAlign w:val="center"/>
          </w:tcPr>
          <w:p>
            <w:pPr>
              <w:jc w:val="center"/>
              <w:rPr>
                <w:rFonts w:ascii="Times New Roman" w:hAnsi="Times New Roman"/>
              </w:rPr>
            </w:pPr>
            <w:r>
              <w:rPr>
                <w:rFonts w:ascii="Times New Roman" w:hAnsi="Times New Roman"/>
              </w:rPr>
              <w:t>台</w:t>
            </w:r>
          </w:p>
        </w:tc>
        <w:tc>
          <w:tcPr>
            <w:tcW w:w="1780" w:type="dxa"/>
            <w:tcBorders>
              <w:tl2br w:val="nil"/>
              <w:tr2bl w:val="nil"/>
            </w:tcBorders>
            <w:vAlign w:val="center"/>
          </w:tcPr>
          <w:p>
            <w:pPr>
              <w:jc w:val="center"/>
              <w:rPr>
                <w:rFonts w:ascii="Times New Roman" w:hAnsi="Times New Roman"/>
              </w:rPr>
            </w:pPr>
            <w:r>
              <w:rPr>
                <w:rFonts w:ascii="Times New Roman" w:hAnsi="Times New Roman"/>
              </w:rPr>
              <w:t>1</w:t>
            </w:r>
          </w:p>
        </w:tc>
        <w:tc>
          <w:tcPr>
            <w:tcW w:w="1780" w:type="dxa"/>
            <w:tcBorders>
              <w:tl2br w:val="nil"/>
              <w:tr2bl w:val="nil"/>
            </w:tcBorders>
            <w:vAlign w:val="center"/>
          </w:tcPr>
          <w:p>
            <w:pPr>
              <w:jc w:val="center"/>
              <w:rPr>
                <w:rFonts w:ascii="Times New Roman" w:hAnsi="Times New Roma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hint="eastAsia" w:ascii="Times New Roman" w:hAnsi="Times New Roman" w:eastAsia="宋体"/>
                <w:lang w:eastAsia="zh-CN"/>
              </w:rPr>
            </w:pPr>
            <w:r>
              <w:rPr>
                <w:rFonts w:hint="eastAsia" w:ascii="Times New Roman" w:hAnsi="Times New Roman"/>
                <w:lang w:eastAsia="zh-CN"/>
              </w:rPr>
              <w:t>4</w:t>
            </w:r>
          </w:p>
        </w:tc>
        <w:tc>
          <w:tcPr>
            <w:tcW w:w="1781" w:type="dxa"/>
            <w:tcBorders>
              <w:tl2br w:val="nil"/>
              <w:tr2bl w:val="nil"/>
            </w:tcBorders>
            <w:vAlign w:val="center"/>
          </w:tcPr>
          <w:p>
            <w:pPr>
              <w:jc w:val="center"/>
              <w:rPr>
                <w:rFonts w:ascii="Times New Roman" w:hAnsi="Times New Roman"/>
              </w:rPr>
            </w:pPr>
            <w:r>
              <w:rPr>
                <w:rFonts w:hint="eastAsia" w:ascii="Times New Roman" w:hAnsi="Times New Roman"/>
              </w:rPr>
              <w:t>生化分析仪</w:t>
            </w:r>
          </w:p>
        </w:tc>
        <w:tc>
          <w:tcPr>
            <w:tcW w:w="1780" w:type="dxa"/>
            <w:tcBorders>
              <w:tl2br w:val="nil"/>
              <w:tr2bl w:val="nil"/>
            </w:tcBorders>
            <w:vAlign w:val="center"/>
          </w:tcPr>
          <w:p>
            <w:pPr>
              <w:jc w:val="center"/>
              <w:rPr>
                <w:rFonts w:ascii="Times New Roman" w:hAnsi="Times New Roman"/>
              </w:rPr>
            </w:pPr>
            <w:r>
              <w:rPr>
                <w:rFonts w:ascii="Times New Roman" w:hAnsi="Times New Roman"/>
              </w:rPr>
              <w:t>台</w:t>
            </w:r>
          </w:p>
        </w:tc>
        <w:tc>
          <w:tcPr>
            <w:tcW w:w="1780" w:type="dxa"/>
            <w:tcBorders>
              <w:tl2br w:val="nil"/>
              <w:tr2bl w:val="nil"/>
            </w:tcBorders>
            <w:vAlign w:val="center"/>
          </w:tcPr>
          <w:p>
            <w:pPr>
              <w:jc w:val="center"/>
              <w:rPr>
                <w:rFonts w:ascii="Times New Roman" w:hAnsi="Times New Roman"/>
              </w:rPr>
            </w:pPr>
            <w:r>
              <w:rPr>
                <w:rFonts w:ascii="Times New Roman" w:hAnsi="Times New Roman"/>
              </w:rPr>
              <w:t>1</w:t>
            </w:r>
          </w:p>
        </w:tc>
        <w:tc>
          <w:tcPr>
            <w:tcW w:w="1780" w:type="dxa"/>
            <w:tcBorders>
              <w:tl2br w:val="nil"/>
              <w:tr2bl w:val="nil"/>
            </w:tcBorders>
            <w:vAlign w:val="center"/>
          </w:tcPr>
          <w:p>
            <w:pPr>
              <w:jc w:val="center"/>
              <w:rPr>
                <w:rFonts w:ascii="Times New Roman" w:hAnsi="Times New Roma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hint="eastAsia" w:ascii="Times New Roman" w:hAnsi="Times New Roman" w:eastAsia="宋体"/>
                <w:lang w:eastAsia="zh-CN"/>
              </w:rPr>
            </w:pPr>
            <w:r>
              <w:rPr>
                <w:rFonts w:hint="eastAsia" w:ascii="Times New Roman" w:hAnsi="Times New Roman"/>
                <w:lang w:eastAsia="zh-CN"/>
              </w:rPr>
              <w:t>5</w:t>
            </w:r>
          </w:p>
        </w:tc>
        <w:tc>
          <w:tcPr>
            <w:tcW w:w="1781" w:type="dxa"/>
            <w:tcBorders>
              <w:tl2br w:val="nil"/>
              <w:tr2bl w:val="nil"/>
            </w:tcBorders>
            <w:vAlign w:val="center"/>
          </w:tcPr>
          <w:p>
            <w:pPr>
              <w:jc w:val="center"/>
              <w:rPr>
                <w:rFonts w:ascii="Times New Roman" w:hAnsi="Times New Roman"/>
              </w:rPr>
            </w:pPr>
            <w:r>
              <w:rPr>
                <w:rFonts w:ascii="Times New Roman" w:hAnsi="Times New Roman"/>
              </w:rPr>
              <w:t>心电监护仪</w:t>
            </w:r>
          </w:p>
        </w:tc>
        <w:tc>
          <w:tcPr>
            <w:tcW w:w="1780" w:type="dxa"/>
            <w:tcBorders>
              <w:tl2br w:val="nil"/>
              <w:tr2bl w:val="nil"/>
            </w:tcBorders>
            <w:vAlign w:val="center"/>
          </w:tcPr>
          <w:p>
            <w:pPr>
              <w:jc w:val="center"/>
              <w:rPr>
                <w:rFonts w:ascii="Times New Roman" w:hAnsi="Times New Roman"/>
              </w:rPr>
            </w:pPr>
            <w:r>
              <w:rPr>
                <w:rFonts w:ascii="Times New Roman" w:hAnsi="Times New Roman"/>
              </w:rPr>
              <w:t>台</w:t>
            </w:r>
          </w:p>
        </w:tc>
        <w:tc>
          <w:tcPr>
            <w:tcW w:w="1780" w:type="dxa"/>
            <w:tcBorders>
              <w:tl2br w:val="nil"/>
              <w:tr2bl w:val="nil"/>
            </w:tcBorders>
            <w:vAlign w:val="center"/>
          </w:tcPr>
          <w:p>
            <w:pPr>
              <w:jc w:val="center"/>
              <w:rPr>
                <w:rFonts w:ascii="Times New Roman" w:hAnsi="Times New Roman"/>
              </w:rPr>
            </w:pPr>
            <w:r>
              <w:rPr>
                <w:rFonts w:ascii="Times New Roman" w:hAnsi="Times New Roman"/>
              </w:rPr>
              <w:t>1</w:t>
            </w:r>
          </w:p>
        </w:tc>
        <w:tc>
          <w:tcPr>
            <w:tcW w:w="1780" w:type="dxa"/>
            <w:tcBorders>
              <w:tl2br w:val="nil"/>
              <w:tr2bl w:val="nil"/>
            </w:tcBorders>
            <w:vAlign w:val="center"/>
          </w:tcPr>
          <w:p>
            <w:pPr>
              <w:jc w:val="center"/>
              <w:rPr>
                <w:rFonts w:ascii="Times New Roman" w:hAnsi="Times New Roma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hint="eastAsia" w:ascii="Times New Roman" w:hAnsi="Times New Roman" w:eastAsia="宋体"/>
                <w:lang w:eastAsia="zh-CN"/>
              </w:rPr>
            </w:pPr>
            <w:r>
              <w:rPr>
                <w:rFonts w:hint="eastAsia" w:ascii="Times New Roman" w:hAnsi="Times New Roman"/>
                <w:lang w:eastAsia="zh-CN"/>
              </w:rPr>
              <w:t>6</w:t>
            </w:r>
          </w:p>
        </w:tc>
        <w:tc>
          <w:tcPr>
            <w:tcW w:w="1781" w:type="dxa"/>
            <w:tcBorders>
              <w:tl2br w:val="nil"/>
              <w:tr2bl w:val="nil"/>
            </w:tcBorders>
            <w:vAlign w:val="center"/>
          </w:tcPr>
          <w:p>
            <w:pPr>
              <w:jc w:val="center"/>
              <w:rPr>
                <w:rFonts w:ascii="Times New Roman" w:hAnsi="Times New Roman"/>
              </w:rPr>
            </w:pPr>
            <w:r>
              <w:rPr>
                <w:rFonts w:hint="eastAsia" w:ascii="Times New Roman" w:hAnsi="Times New Roman"/>
              </w:rPr>
              <w:t>尿液分析仪</w:t>
            </w:r>
          </w:p>
        </w:tc>
        <w:tc>
          <w:tcPr>
            <w:tcW w:w="1780" w:type="dxa"/>
            <w:tcBorders>
              <w:tl2br w:val="nil"/>
              <w:tr2bl w:val="nil"/>
            </w:tcBorders>
            <w:vAlign w:val="center"/>
          </w:tcPr>
          <w:p>
            <w:pPr>
              <w:jc w:val="center"/>
              <w:rPr>
                <w:rFonts w:ascii="Times New Roman" w:hAnsi="Times New Roman"/>
              </w:rPr>
            </w:pPr>
            <w:r>
              <w:rPr>
                <w:rFonts w:ascii="Times New Roman" w:hAnsi="Times New Roman"/>
              </w:rPr>
              <w:t>台</w:t>
            </w:r>
          </w:p>
        </w:tc>
        <w:tc>
          <w:tcPr>
            <w:tcW w:w="1780" w:type="dxa"/>
            <w:tcBorders>
              <w:tl2br w:val="nil"/>
              <w:tr2bl w:val="nil"/>
            </w:tcBorders>
            <w:vAlign w:val="center"/>
          </w:tcPr>
          <w:p>
            <w:pPr>
              <w:jc w:val="center"/>
              <w:rPr>
                <w:rFonts w:ascii="Times New Roman" w:hAnsi="Times New Roman"/>
              </w:rPr>
            </w:pPr>
            <w:r>
              <w:rPr>
                <w:rFonts w:ascii="Times New Roman" w:hAnsi="Times New Roman"/>
              </w:rPr>
              <w:t>1</w:t>
            </w:r>
          </w:p>
        </w:tc>
        <w:tc>
          <w:tcPr>
            <w:tcW w:w="1780" w:type="dxa"/>
            <w:tcBorders>
              <w:tl2br w:val="nil"/>
              <w:tr2bl w:val="nil"/>
            </w:tcBorders>
            <w:vAlign w:val="center"/>
          </w:tcPr>
          <w:p>
            <w:pPr>
              <w:jc w:val="center"/>
              <w:rPr>
                <w:rFonts w:ascii="Times New Roman" w:hAnsi="Times New Roma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781" w:type="dxa"/>
            <w:tcBorders>
              <w:tl2br w:val="nil"/>
              <w:tr2bl w:val="nil"/>
            </w:tcBorders>
            <w:vAlign w:val="center"/>
          </w:tcPr>
          <w:p>
            <w:pPr>
              <w:jc w:val="center"/>
              <w:rPr>
                <w:rFonts w:hint="eastAsia" w:ascii="Times New Roman" w:hAnsi="Times New Roman" w:eastAsia="宋体"/>
                <w:lang w:val="en-US" w:eastAsia="zh-CN"/>
              </w:rPr>
            </w:pPr>
            <w:r>
              <w:rPr>
                <w:rFonts w:hint="eastAsia" w:ascii="Times New Roman" w:hAnsi="Times New Roman"/>
                <w:lang w:val="en-US" w:eastAsia="zh-CN"/>
              </w:rPr>
              <w:t>7</w:t>
            </w:r>
          </w:p>
        </w:tc>
        <w:tc>
          <w:tcPr>
            <w:tcW w:w="1781" w:type="dxa"/>
            <w:tcBorders>
              <w:tl2br w:val="nil"/>
              <w:tr2bl w:val="nil"/>
            </w:tcBorders>
            <w:vAlign w:val="center"/>
          </w:tcPr>
          <w:p>
            <w:pPr>
              <w:jc w:val="center"/>
              <w:rPr>
                <w:rFonts w:ascii="Times New Roman" w:hAnsi="Times New Roman"/>
              </w:rPr>
            </w:pPr>
            <w:r>
              <w:rPr>
                <w:rFonts w:hint="eastAsia" w:ascii="Times New Roman" w:hAnsi="Times New Roman"/>
              </w:rPr>
              <w:t>加氯机</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台</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1</w:t>
            </w:r>
          </w:p>
        </w:tc>
        <w:tc>
          <w:tcPr>
            <w:tcW w:w="1780" w:type="dxa"/>
            <w:tcBorders>
              <w:tl2br w:val="nil"/>
              <w:tr2bl w:val="nil"/>
            </w:tcBorders>
            <w:vAlign w:val="center"/>
          </w:tcPr>
          <w:p>
            <w:pPr>
              <w:jc w:val="center"/>
              <w:rPr>
                <w:rFonts w:ascii="Times New Roman" w:hAnsi="Times New Roman"/>
              </w:rPr>
            </w:pPr>
            <w:r>
              <w:rPr>
                <w:rFonts w:hint="eastAsia"/>
                <w:lang w:val="en-US" w:eastAsia="zh-CN"/>
              </w:rPr>
              <w:t>/</w:t>
            </w:r>
          </w:p>
        </w:tc>
      </w:tr>
    </w:tbl>
    <w:p>
      <w:pPr>
        <w:spacing w:line="500" w:lineRule="exact"/>
        <w:jc w:val="center"/>
        <w:rPr>
          <w:rFonts w:hint="eastAsia"/>
          <w:b/>
          <w:kern w:val="0"/>
          <w:szCs w:val="21"/>
        </w:rPr>
      </w:pPr>
      <w:r>
        <w:rPr>
          <w:b/>
          <w:kern w:val="0"/>
          <w:szCs w:val="21"/>
          <w:lang w:val="zh-CN"/>
        </w:rPr>
        <w:t>表</w:t>
      </w:r>
      <w:r>
        <w:rPr>
          <w:rFonts w:hint="eastAsia"/>
          <w:b/>
          <w:kern w:val="0"/>
          <w:szCs w:val="21"/>
          <w:lang w:val="zh-CN"/>
        </w:rPr>
        <w:t>3-</w:t>
      </w:r>
      <w:r>
        <w:rPr>
          <w:rFonts w:hint="eastAsia"/>
          <w:b/>
          <w:kern w:val="0"/>
          <w:szCs w:val="21"/>
        </w:rPr>
        <w:t>3 主要</w:t>
      </w:r>
      <w:r>
        <w:rPr>
          <w:rFonts w:hint="eastAsia"/>
          <w:b/>
          <w:kern w:val="0"/>
          <w:szCs w:val="21"/>
          <w:lang w:val="en-US" w:eastAsia="zh-CN"/>
        </w:rPr>
        <w:t>使用药剂</w:t>
      </w:r>
      <w:r>
        <w:rPr>
          <w:rFonts w:hint="eastAsia"/>
          <w:b/>
          <w:kern w:val="0"/>
          <w:szCs w:val="21"/>
        </w:rPr>
        <w:t>一览表</w:t>
      </w:r>
    </w:p>
    <w:tbl>
      <w:tblPr>
        <w:tblStyle w:val="32"/>
        <w:tblW w:w="890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512"/>
        <w:gridCol w:w="1780"/>
        <w:gridCol w:w="1780"/>
        <w:gridCol w:w="1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50" w:type="dxa"/>
            <w:tcBorders>
              <w:tl2br w:val="nil"/>
              <w:tr2bl w:val="nil"/>
            </w:tcBorders>
            <w:vAlign w:val="center"/>
          </w:tcPr>
          <w:p>
            <w:pPr>
              <w:jc w:val="center"/>
              <w:rPr>
                <w:rFonts w:ascii="Times New Roman" w:hAnsi="Times New Roman"/>
                <w:b/>
              </w:rPr>
            </w:pPr>
            <w:r>
              <w:rPr>
                <w:rFonts w:hint="eastAsia" w:ascii="Times New Roman" w:hAnsi="Times New Roman"/>
                <w:b/>
              </w:rPr>
              <w:t>序号</w:t>
            </w:r>
          </w:p>
        </w:tc>
        <w:tc>
          <w:tcPr>
            <w:tcW w:w="2512" w:type="dxa"/>
            <w:tcBorders>
              <w:tl2br w:val="nil"/>
              <w:tr2bl w:val="nil"/>
            </w:tcBorders>
            <w:vAlign w:val="center"/>
          </w:tcPr>
          <w:p>
            <w:pPr>
              <w:jc w:val="center"/>
              <w:rPr>
                <w:rFonts w:ascii="Times New Roman" w:hAnsi="Times New Roman"/>
                <w:b/>
              </w:rPr>
            </w:pPr>
            <w:r>
              <w:rPr>
                <w:rFonts w:hint="eastAsia" w:ascii="Times New Roman" w:hAnsi="Times New Roman"/>
                <w:b/>
              </w:rPr>
              <w:t>名称</w:t>
            </w:r>
          </w:p>
        </w:tc>
        <w:tc>
          <w:tcPr>
            <w:tcW w:w="1780" w:type="dxa"/>
            <w:tcBorders>
              <w:tl2br w:val="nil"/>
              <w:tr2bl w:val="nil"/>
            </w:tcBorders>
            <w:vAlign w:val="center"/>
          </w:tcPr>
          <w:p>
            <w:pPr>
              <w:jc w:val="center"/>
              <w:rPr>
                <w:rFonts w:ascii="Times New Roman" w:hAnsi="Times New Roman"/>
                <w:b/>
              </w:rPr>
            </w:pPr>
            <w:r>
              <w:rPr>
                <w:rFonts w:hint="eastAsia" w:ascii="Times New Roman" w:hAnsi="Times New Roman"/>
                <w:b/>
              </w:rPr>
              <w:t>单位</w:t>
            </w:r>
          </w:p>
        </w:tc>
        <w:tc>
          <w:tcPr>
            <w:tcW w:w="1780" w:type="dxa"/>
            <w:tcBorders>
              <w:tl2br w:val="nil"/>
              <w:tr2bl w:val="nil"/>
            </w:tcBorders>
            <w:vAlign w:val="center"/>
          </w:tcPr>
          <w:p>
            <w:pPr>
              <w:jc w:val="center"/>
              <w:rPr>
                <w:rFonts w:ascii="Times New Roman" w:hAnsi="Times New Roman"/>
                <w:b/>
              </w:rPr>
            </w:pPr>
            <w:r>
              <w:rPr>
                <w:rFonts w:hint="eastAsia" w:ascii="Times New Roman" w:hAnsi="Times New Roman"/>
                <w:b/>
              </w:rPr>
              <w:t>年用量</w:t>
            </w:r>
          </w:p>
        </w:tc>
        <w:tc>
          <w:tcPr>
            <w:tcW w:w="1780" w:type="dxa"/>
            <w:tcBorders>
              <w:tl2br w:val="nil"/>
              <w:tr2bl w:val="nil"/>
            </w:tcBorders>
            <w:vAlign w:val="center"/>
          </w:tcPr>
          <w:p>
            <w:pPr>
              <w:jc w:val="center"/>
              <w:rPr>
                <w:rFonts w:ascii="Times New Roman" w:hAnsi="Times New Roman"/>
                <w:b/>
              </w:rPr>
            </w:pPr>
            <w:r>
              <w:rPr>
                <w:rFonts w:hint="eastAsia" w:ascii="Times New Roman" w:hAnsi="Times New Roman"/>
                <w: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50" w:type="dxa"/>
            <w:tcBorders>
              <w:tl2br w:val="nil"/>
              <w:tr2bl w:val="nil"/>
            </w:tcBorders>
            <w:vAlign w:val="center"/>
          </w:tcPr>
          <w:p>
            <w:pPr>
              <w:jc w:val="center"/>
              <w:rPr>
                <w:rFonts w:ascii="Times New Roman" w:hAnsi="Times New Roman"/>
              </w:rPr>
            </w:pPr>
            <w:r>
              <w:rPr>
                <w:rFonts w:ascii="Times New Roman" w:hAnsi="Times New Roman"/>
              </w:rPr>
              <w:t>1</w:t>
            </w:r>
          </w:p>
        </w:tc>
        <w:tc>
          <w:tcPr>
            <w:tcW w:w="2512" w:type="dxa"/>
            <w:tcBorders>
              <w:tl2br w:val="nil"/>
              <w:tr2bl w:val="nil"/>
            </w:tcBorders>
            <w:vAlign w:val="center"/>
          </w:tcPr>
          <w:p>
            <w:pPr>
              <w:jc w:val="center"/>
              <w:rPr>
                <w:rFonts w:ascii="Times New Roman" w:hAnsi="Times New Roman"/>
              </w:rPr>
            </w:pPr>
            <w:r>
              <w:rPr>
                <w:rFonts w:hint="eastAsia" w:ascii="Times New Roman" w:hAnsi="Times New Roman"/>
              </w:rPr>
              <w:t>舒必利</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千克</w:t>
            </w:r>
          </w:p>
        </w:tc>
        <w:tc>
          <w:tcPr>
            <w:tcW w:w="1780" w:type="dxa"/>
            <w:tcBorders>
              <w:tl2br w:val="nil"/>
              <w:tr2bl w:val="nil"/>
            </w:tcBorders>
            <w:vAlign w:val="center"/>
          </w:tcPr>
          <w:p>
            <w:pPr>
              <w:jc w:val="center"/>
              <w:rPr>
                <w:rFonts w:ascii="Times New Roman" w:hAnsi="Times New Roman"/>
              </w:rPr>
            </w:pPr>
            <w:r>
              <w:rPr>
                <w:rFonts w:ascii="Times New Roman" w:hAnsi="Times New Roman"/>
              </w:rPr>
              <w:t>3.5</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精神药品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50" w:type="dxa"/>
            <w:tcBorders>
              <w:tl2br w:val="nil"/>
              <w:tr2bl w:val="nil"/>
            </w:tcBorders>
            <w:vAlign w:val="center"/>
          </w:tcPr>
          <w:p>
            <w:pPr>
              <w:jc w:val="center"/>
              <w:rPr>
                <w:rFonts w:ascii="Times New Roman" w:hAnsi="Times New Roman"/>
              </w:rPr>
            </w:pPr>
            <w:r>
              <w:rPr>
                <w:rFonts w:ascii="Times New Roman" w:hAnsi="Times New Roman"/>
              </w:rPr>
              <w:t>2</w:t>
            </w:r>
          </w:p>
        </w:tc>
        <w:tc>
          <w:tcPr>
            <w:tcW w:w="2512" w:type="dxa"/>
            <w:tcBorders>
              <w:tl2br w:val="nil"/>
              <w:tr2bl w:val="nil"/>
            </w:tcBorders>
            <w:vAlign w:val="center"/>
          </w:tcPr>
          <w:p>
            <w:pPr>
              <w:jc w:val="center"/>
              <w:rPr>
                <w:rFonts w:ascii="Times New Roman" w:hAnsi="Times New Roman"/>
              </w:rPr>
            </w:pPr>
            <w:r>
              <w:rPr>
                <w:rFonts w:hint="eastAsia" w:ascii="Times New Roman" w:hAnsi="Times New Roman"/>
              </w:rPr>
              <w:t>奥氮平</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克</w:t>
            </w:r>
          </w:p>
        </w:tc>
        <w:tc>
          <w:tcPr>
            <w:tcW w:w="1780" w:type="dxa"/>
            <w:tcBorders>
              <w:tl2br w:val="nil"/>
              <w:tr2bl w:val="nil"/>
            </w:tcBorders>
            <w:vAlign w:val="center"/>
          </w:tcPr>
          <w:p>
            <w:pPr>
              <w:jc w:val="center"/>
              <w:rPr>
                <w:rFonts w:ascii="Times New Roman" w:hAnsi="Times New Roman"/>
              </w:rPr>
            </w:pPr>
            <w:r>
              <w:rPr>
                <w:rFonts w:ascii="Times New Roman" w:hAnsi="Times New Roman"/>
              </w:rPr>
              <w:t>15</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精神药品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50" w:type="dxa"/>
            <w:tcBorders>
              <w:tl2br w:val="nil"/>
              <w:tr2bl w:val="nil"/>
            </w:tcBorders>
            <w:vAlign w:val="center"/>
          </w:tcPr>
          <w:p>
            <w:pPr>
              <w:jc w:val="center"/>
              <w:rPr>
                <w:rFonts w:ascii="Times New Roman" w:hAnsi="Times New Roman"/>
              </w:rPr>
            </w:pPr>
            <w:r>
              <w:rPr>
                <w:rFonts w:ascii="Times New Roman" w:hAnsi="Times New Roman"/>
              </w:rPr>
              <w:t>3</w:t>
            </w:r>
          </w:p>
        </w:tc>
        <w:tc>
          <w:tcPr>
            <w:tcW w:w="2512" w:type="dxa"/>
            <w:tcBorders>
              <w:tl2br w:val="nil"/>
              <w:tr2bl w:val="nil"/>
            </w:tcBorders>
            <w:vAlign w:val="center"/>
          </w:tcPr>
          <w:p>
            <w:pPr>
              <w:jc w:val="center"/>
              <w:rPr>
                <w:rFonts w:ascii="Times New Roman" w:hAnsi="Times New Roman"/>
              </w:rPr>
            </w:pPr>
            <w:r>
              <w:rPr>
                <w:rFonts w:hint="eastAsia" w:ascii="Times New Roman" w:hAnsi="Times New Roman"/>
              </w:rPr>
              <w:t>阿拉西泮</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千克</w:t>
            </w:r>
          </w:p>
        </w:tc>
        <w:tc>
          <w:tcPr>
            <w:tcW w:w="1780" w:type="dxa"/>
            <w:tcBorders>
              <w:tl2br w:val="nil"/>
              <w:tr2bl w:val="nil"/>
            </w:tcBorders>
            <w:vAlign w:val="center"/>
          </w:tcPr>
          <w:p>
            <w:pPr>
              <w:jc w:val="center"/>
              <w:rPr>
                <w:rFonts w:ascii="Times New Roman" w:hAnsi="Times New Roman"/>
              </w:rPr>
            </w:pPr>
            <w:r>
              <w:rPr>
                <w:rFonts w:ascii="Times New Roman" w:hAnsi="Times New Roman"/>
              </w:rPr>
              <w:t>1.5</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精神药品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50" w:type="dxa"/>
            <w:tcBorders>
              <w:tl2br w:val="nil"/>
              <w:tr2bl w:val="nil"/>
            </w:tcBorders>
            <w:vAlign w:val="center"/>
          </w:tcPr>
          <w:p>
            <w:pPr>
              <w:jc w:val="center"/>
              <w:rPr>
                <w:rFonts w:ascii="Times New Roman" w:hAnsi="Times New Roman"/>
              </w:rPr>
            </w:pPr>
            <w:r>
              <w:rPr>
                <w:rFonts w:ascii="Times New Roman" w:hAnsi="Times New Roman"/>
              </w:rPr>
              <w:t>4</w:t>
            </w:r>
          </w:p>
        </w:tc>
        <w:tc>
          <w:tcPr>
            <w:tcW w:w="2512" w:type="dxa"/>
            <w:tcBorders>
              <w:tl2br w:val="nil"/>
              <w:tr2bl w:val="nil"/>
            </w:tcBorders>
            <w:vAlign w:val="center"/>
          </w:tcPr>
          <w:p>
            <w:pPr>
              <w:jc w:val="center"/>
              <w:rPr>
                <w:rFonts w:ascii="Times New Roman" w:hAnsi="Times New Roman"/>
              </w:rPr>
            </w:pPr>
            <w:r>
              <w:rPr>
                <w:rFonts w:hint="eastAsia" w:ascii="Times New Roman" w:hAnsi="Times New Roman"/>
              </w:rPr>
              <w:t>丙戊酸钠</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千克</w:t>
            </w:r>
          </w:p>
        </w:tc>
        <w:tc>
          <w:tcPr>
            <w:tcW w:w="1780" w:type="dxa"/>
            <w:tcBorders>
              <w:tl2br w:val="nil"/>
              <w:tr2bl w:val="nil"/>
            </w:tcBorders>
            <w:vAlign w:val="center"/>
          </w:tcPr>
          <w:p>
            <w:pPr>
              <w:jc w:val="center"/>
              <w:rPr>
                <w:rFonts w:ascii="Times New Roman" w:hAnsi="Times New Roman"/>
              </w:rPr>
            </w:pPr>
            <w:r>
              <w:rPr>
                <w:rFonts w:ascii="Times New Roman" w:hAnsi="Times New Roman"/>
              </w:rPr>
              <w:t>1</w:t>
            </w:r>
          </w:p>
        </w:tc>
        <w:tc>
          <w:tcPr>
            <w:tcW w:w="1780" w:type="dxa"/>
            <w:tcBorders>
              <w:tl2br w:val="nil"/>
              <w:tr2bl w:val="nil"/>
            </w:tcBorders>
            <w:vAlign w:val="center"/>
          </w:tcPr>
          <w:p>
            <w:pPr>
              <w:jc w:val="center"/>
              <w:rPr>
                <w:rFonts w:ascii="Times New Roman" w:hAnsi="Times New Roman"/>
                <w:color w:val="FF0000"/>
              </w:rPr>
            </w:pPr>
            <w:r>
              <w:rPr>
                <w:rFonts w:hint="eastAsia" w:ascii="Times New Roman" w:hAnsi="Times New Roman"/>
              </w:rPr>
              <w:t>精神药品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50" w:type="dxa"/>
            <w:tcBorders>
              <w:tl2br w:val="nil"/>
              <w:tr2bl w:val="nil"/>
            </w:tcBorders>
            <w:vAlign w:val="center"/>
          </w:tcPr>
          <w:p>
            <w:pPr>
              <w:jc w:val="center"/>
              <w:rPr>
                <w:rFonts w:ascii="Times New Roman" w:hAnsi="Times New Roman"/>
              </w:rPr>
            </w:pPr>
            <w:r>
              <w:rPr>
                <w:rFonts w:ascii="Times New Roman" w:hAnsi="Times New Roman"/>
              </w:rPr>
              <w:t>5</w:t>
            </w:r>
          </w:p>
        </w:tc>
        <w:tc>
          <w:tcPr>
            <w:tcW w:w="2512" w:type="dxa"/>
            <w:tcBorders>
              <w:tl2br w:val="nil"/>
              <w:tr2bl w:val="nil"/>
            </w:tcBorders>
            <w:vAlign w:val="center"/>
          </w:tcPr>
          <w:p>
            <w:pPr>
              <w:jc w:val="center"/>
              <w:rPr>
                <w:rFonts w:ascii="Times New Roman" w:hAnsi="Times New Roman"/>
              </w:rPr>
            </w:pPr>
            <w:r>
              <w:rPr>
                <w:rFonts w:hint="eastAsia" w:ascii="Times New Roman" w:hAnsi="Times New Roman"/>
              </w:rPr>
              <w:t>血液分析仪配套试剂</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万支</w:t>
            </w:r>
          </w:p>
        </w:tc>
        <w:tc>
          <w:tcPr>
            <w:tcW w:w="1780" w:type="dxa"/>
            <w:tcBorders>
              <w:tl2br w:val="nil"/>
              <w:tr2bl w:val="nil"/>
            </w:tcBorders>
            <w:vAlign w:val="center"/>
          </w:tcPr>
          <w:p>
            <w:pPr>
              <w:jc w:val="center"/>
              <w:rPr>
                <w:rFonts w:ascii="Times New Roman" w:hAnsi="Times New Roman"/>
              </w:rPr>
            </w:pPr>
            <w:r>
              <w:rPr>
                <w:rFonts w:ascii="Times New Roman" w:hAnsi="Times New Roman"/>
              </w:rPr>
              <w:t>1</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仪器配套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50" w:type="dxa"/>
            <w:tcBorders>
              <w:tl2br w:val="nil"/>
              <w:tr2bl w:val="nil"/>
            </w:tcBorders>
            <w:vAlign w:val="center"/>
          </w:tcPr>
          <w:p>
            <w:pPr>
              <w:jc w:val="center"/>
              <w:rPr>
                <w:rFonts w:ascii="Times New Roman" w:hAnsi="Times New Roman"/>
              </w:rPr>
            </w:pPr>
            <w:r>
              <w:rPr>
                <w:rFonts w:ascii="Times New Roman" w:hAnsi="Times New Roman"/>
              </w:rPr>
              <w:t>6</w:t>
            </w:r>
          </w:p>
        </w:tc>
        <w:tc>
          <w:tcPr>
            <w:tcW w:w="2512" w:type="dxa"/>
            <w:tcBorders>
              <w:tl2br w:val="nil"/>
              <w:tr2bl w:val="nil"/>
            </w:tcBorders>
            <w:vAlign w:val="center"/>
          </w:tcPr>
          <w:p>
            <w:pPr>
              <w:jc w:val="center"/>
              <w:rPr>
                <w:rFonts w:ascii="Times New Roman" w:hAnsi="Times New Roman"/>
              </w:rPr>
            </w:pPr>
            <w:r>
              <w:rPr>
                <w:rFonts w:hint="eastAsia" w:ascii="Times New Roman" w:hAnsi="Times New Roman"/>
              </w:rPr>
              <w:t>生化分析仪配套试剂</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万支</w:t>
            </w:r>
          </w:p>
        </w:tc>
        <w:tc>
          <w:tcPr>
            <w:tcW w:w="1780" w:type="dxa"/>
            <w:tcBorders>
              <w:tl2br w:val="nil"/>
              <w:tr2bl w:val="nil"/>
            </w:tcBorders>
            <w:vAlign w:val="center"/>
          </w:tcPr>
          <w:p>
            <w:pPr>
              <w:jc w:val="center"/>
              <w:rPr>
                <w:rFonts w:ascii="Times New Roman" w:hAnsi="Times New Roman"/>
              </w:rPr>
            </w:pPr>
            <w:r>
              <w:rPr>
                <w:rFonts w:ascii="Times New Roman" w:hAnsi="Times New Roman"/>
              </w:rPr>
              <w:t>1.2</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仪器配套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050" w:type="dxa"/>
            <w:tcBorders>
              <w:tl2br w:val="nil"/>
              <w:tr2bl w:val="nil"/>
            </w:tcBorders>
            <w:vAlign w:val="center"/>
          </w:tcPr>
          <w:p>
            <w:pPr>
              <w:jc w:val="center"/>
              <w:rPr>
                <w:rFonts w:ascii="Times New Roman" w:hAnsi="Times New Roman"/>
              </w:rPr>
            </w:pPr>
            <w:r>
              <w:rPr>
                <w:rFonts w:ascii="Times New Roman" w:hAnsi="Times New Roman"/>
              </w:rPr>
              <w:t>7</w:t>
            </w:r>
          </w:p>
        </w:tc>
        <w:tc>
          <w:tcPr>
            <w:tcW w:w="2512" w:type="dxa"/>
            <w:tcBorders>
              <w:tl2br w:val="nil"/>
              <w:tr2bl w:val="nil"/>
            </w:tcBorders>
            <w:vAlign w:val="center"/>
          </w:tcPr>
          <w:p>
            <w:pPr>
              <w:jc w:val="center"/>
              <w:rPr>
                <w:rFonts w:ascii="Times New Roman" w:hAnsi="Times New Roman"/>
              </w:rPr>
            </w:pPr>
            <w:r>
              <w:rPr>
                <w:rFonts w:hint="eastAsia" w:ascii="Times New Roman" w:hAnsi="Times New Roman"/>
              </w:rPr>
              <w:t>尿液分析仪配套试剂</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万支</w:t>
            </w:r>
          </w:p>
        </w:tc>
        <w:tc>
          <w:tcPr>
            <w:tcW w:w="1780" w:type="dxa"/>
            <w:tcBorders>
              <w:tl2br w:val="nil"/>
              <w:tr2bl w:val="nil"/>
            </w:tcBorders>
            <w:vAlign w:val="center"/>
          </w:tcPr>
          <w:p>
            <w:pPr>
              <w:jc w:val="center"/>
              <w:rPr>
                <w:rFonts w:ascii="Times New Roman" w:hAnsi="Times New Roman"/>
              </w:rPr>
            </w:pPr>
            <w:r>
              <w:rPr>
                <w:rFonts w:ascii="Times New Roman" w:hAnsi="Times New Roman"/>
              </w:rPr>
              <w:t>1.5</w:t>
            </w:r>
          </w:p>
        </w:tc>
        <w:tc>
          <w:tcPr>
            <w:tcW w:w="1780" w:type="dxa"/>
            <w:tcBorders>
              <w:tl2br w:val="nil"/>
              <w:tr2bl w:val="nil"/>
            </w:tcBorders>
            <w:vAlign w:val="center"/>
          </w:tcPr>
          <w:p>
            <w:pPr>
              <w:jc w:val="center"/>
              <w:rPr>
                <w:rFonts w:ascii="Times New Roman" w:hAnsi="Times New Roman"/>
              </w:rPr>
            </w:pPr>
            <w:r>
              <w:rPr>
                <w:rFonts w:hint="eastAsia" w:ascii="Times New Roman" w:hAnsi="Times New Roman"/>
              </w:rPr>
              <w:t>仪器配套</w:t>
            </w:r>
          </w:p>
        </w:tc>
      </w:tr>
    </w:tbl>
    <w:p>
      <w:pPr>
        <w:pStyle w:val="4"/>
        <w:spacing w:before="0" w:after="0" w:line="620" w:lineRule="exact"/>
        <w:rPr>
          <w:rFonts w:ascii="Times New Roman" w:hAnsi="Times New Roman" w:eastAsia="宋体"/>
          <w:sz w:val="28"/>
          <w:szCs w:val="28"/>
          <w:lang w:val="en-US"/>
        </w:rPr>
      </w:pPr>
      <w:bookmarkStart w:id="17" w:name="_Toc19740"/>
      <w:bookmarkStart w:id="18" w:name="_Toc8251"/>
      <w:bookmarkStart w:id="19" w:name="_Toc211096930"/>
      <w:r>
        <w:rPr>
          <w:rFonts w:hint="eastAsia" w:ascii="Times New Roman" w:hAnsi="Times New Roman" w:eastAsia="宋体"/>
          <w:sz w:val="28"/>
          <w:szCs w:val="28"/>
        </w:rPr>
        <w:t xml:space="preserve">3.2 </w:t>
      </w:r>
      <w:r>
        <w:rPr>
          <w:rFonts w:hint="eastAsia" w:ascii="Times New Roman" w:hAnsi="Times New Roman" w:eastAsia="宋体"/>
          <w:sz w:val="28"/>
          <w:szCs w:val="28"/>
          <w:lang w:val="en-US" w:eastAsia="zh-CN"/>
        </w:rPr>
        <w:t>诊疗工艺及产污环节</w:t>
      </w:r>
      <w:bookmarkEnd w:id="17"/>
    </w:p>
    <w:p>
      <w:pPr>
        <w:jc w:val="center"/>
        <w:rPr>
          <w:rFonts w:hint="eastAsia"/>
          <w:b/>
          <w:szCs w:val="21"/>
        </w:rPr>
      </w:pPr>
      <w:r>
        <w:rPr>
          <w:rFonts w:ascii="Times New Roman" w:hAnsi="Times New Roman"/>
          <w:color w:val="7030A0"/>
          <w:spacing w:val="8"/>
          <w:sz w:val="24"/>
          <w:szCs w:val="24"/>
        </w:rPr>
        <w:pict>
          <v:group id="_x0000_s2050" o:spid="_x0000_s2050" o:spt="203" style="height:248.45pt;width:442.8pt;" coordorigin="1525,6309" coordsize="8856,4969" editas="canvas">
            <o:lock v:ext="edit"/>
            <v:shape id="_x0000_s2051" o:spid="_x0000_s2051" o:spt="75" type="#_x0000_t75" style="position:absolute;left:1525;top:6309;height:4969;width:8856;" filled="f" stroked="f" coordsize="21600,21600">
              <v:path/>
              <v:fill on="f" focussize="0,0"/>
              <v:stroke on="f"/>
              <v:imagedata o:title=""/>
              <o:lock v:ext="edit" rotation="t" text="t" aspectratio="t"/>
            </v:shape>
            <v:rect id="_x0000_s2052" o:spid="_x0000_s2052" o:spt="1" style="position:absolute;left:3627;top:8113;height:408;width:865;" fillcolor="#FFFFFF" filled="t" stroked="t" coordsize="21600,21600">
              <v:path/>
              <v:fill on="t" color2="#FFFFFF" focussize="0,0"/>
              <v:stroke color="#000000" joinstyle="miter"/>
              <v:imagedata o:title=""/>
              <o:lock v:ext="edit" aspectratio="f"/>
              <v:textbox inset="0.5mm,0.7mm,0.5mm,0.7mm">
                <w:txbxContent>
                  <w:p>
                    <w:pPr>
                      <w:jc w:val="center"/>
                    </w:pPr>
                    <w:r>
                      <w:rPr>
                        <w:rFonts w:hint="eastAsia"/>
                      </w:rPr>
                      <w:t>挂号</w:t>
                    </w:r>
                  </w:p>
                </w:txbxContent>
              </v:textbox>
            </v:rect>
            <v:rect id="_x0000_s2053" o:spid="_x0000_s2053" o:spt="1" style="position:absolute;left:5067;top:8129;height:392;width:865;" fillcolor="#FFFFFF" filled="t" stroked="t" coordsize="21600,21600">
              <v:path/>
              <v:fill on="t" color2="#FFFFFF" focussize="0,0"/>
              <v:stroke color="#000000" joinstyle="miter"/>
              <v:imagedata o:title=""/>
              <o:lock v:ext="edit" aspectratio="f"/>
              <v:textbox inset="0.5mm,0.7mm,0.5mm,0.7mm">
                <w:txbxContent>
                  <w:p>
                    <w:pPr>
                      <w:jc w:val="center"/>
                    </w:pPr>
                    <w:r>
                      <w:rPr>
                        <w:rFonts w:hint="eastAsia"/>
                      </w:rPr>
                      <w:t>检查</w:t>
                    </w:r>
                  </w:p>
                </w:txbxContent>
              </v:textbox>
            </v:rect>
            <v:rect id="_x0000_s2054" o:spid="_x0000_s2054" o:spt="1" style="position:absolute;left:6689;top:7626;height:348;width:1313;" fillcolor="#FFFFFF" filled="t" stroked="t" coordsize="21600,21600">
              <v:path/>
              <v:fill on="t" color2="#FFFFFF" focussize="0,0"/>
              <v:stroke color="#000000" joinstyle="miter"/>
              <v:imagedata o:title=""/>
              <o:lock v:ext="edit" aspectratio="f"/>
              <v:textbox inset="0.5mm,0.7mm,0.5mm,0.7mm">
                <w:txbxContent>
                  <w:p>
                    <w:pPr>
                      <w:jc w:val="center"/>
                    </w:pPr>
                    <w:r>
                      <w:rPr>
                        <w:rFonts w:hint="eastAsia"/>
                      </w:rPr>
                      <w:t>门诊治疗</w:t>
                    </w:r>
                  </w:p>
                </w:txbxContent>
              </v:textbox>
            </v:rect>
            <v:rect id="_x0000_s2055" o:spid="_x0000_s2055" o:spt="1" style="position:absolute;left:8853;top:8173;height:346;width:765;" fillcolor="#FFFFFF" filled="t" stroked="f" coordsize="21600,21600">
              <v:path/>
              <v:fill on="t" color2="#FFFFFF" focussize="0,0"/>
              <v:stroke on="f"/>
              <v:imagedata o:title=""/>
              <o:lock v:ext="edit" aspectratio="f"/>
              <v:textbox inset="0.5mm,0.7mm,0.5mm,0.7mm">
                <w:txbxContent>
                  <w:p>
                    <w:pPr>
                      <w:jc w:val="center"/>
                    </w:pPr>
                    <w:r>
                      <w:rPr>
                        <w:rFonts w:hint="eastAsia"/>
                      </w:rPr>
                      <w:t>出院</w:t>
                    </w:r>
                  </w:p>
                </w:txbxContent>
              </v:textbox>
            </v:rect>
            <v:rect id="_x0000_s2056" o:spid="_x0000_s2056" o:spt="1" style="position:absolute;left:2008;top:8173;height:348;width:866;" fillcolor="#FFFFFF" filled="t" stroked="f" coordsize="21600,21600">
              <v:path/>
              <v:fill on="t" color2="#FFFFFF" focussize="0,0"/>
              <v:stroke on="f"/>
              <v:imagedata o:title=""/>
              <o:lock v:ext="edit" aspectratio="f"/>
              <v:textbox inset="0.5mm,0.7mm,0.5mm,0.7mm">
                <w:txbxContent>
                  <w:p>
                    <w:pPr>
                      <w:jc w:val="center"/>
                    </w:pPr>
                    <w:r>
                      <w:rPr>
                        <w:rFonts w:hint="eastAsia"/>
                      </w:rPr>
                      <w:t xml:space="preserve">   病人</w:t>
                    </w:r>
                  </w:p>
                </w:txbxContent>
              </v:textbox>
            </v:rect>
            <v:rect id="_x0000_s2057" o:spid="_x0000_s2057" o:spt="1" style="position:absolute;left:6687;top:8729;height:392;width:1313;" fillcolor="#FFFFFF" filled="t" stroked="t" coordsize="21600,21600">
              <v:path/>
              <v:fill on="t" color2="#FFFFFF" focussize="0,0"/>
              <v:stroke color="#000000" joinstyle="miter"/>
              <v:imagedata o:title=""/>
              <o:lock v:ext="edit" aspectratio="f"/>
              <v:textbox inset="0.5mm,0.7mm,0.5mm,0.7mm">
                <w:txbxContent>
                  <w:p>
                    <w:pPr>
                      <w:jc w:val="center"/>
                    </w:pPr>
                    <w:r>
                      <w:rPr>
                        <w:rFonts w:hint="eastAsia"/>
                      </w:rPr>
                      <w:t>住院治疗</w:t>
                    </w:r>
                  </w:p>
                </w:txbxContent>
              </v:textbox>
            </v:rect>
            <v:shape id="_x0000_s2058" o:spid="_x0000_s2058" o:spt="32" type="#_x0000_t32" style="position:absolute;left:2874;top:8347;height:1;width:753;" filled="f" stroked="t" coordsize="21600,21600">
              <v:path arrowok="t"/>
              <v:fill on="f" focussize="0,0"/>
              <v:stroke color="#000000" endarrow="block"/>
              <v:imagedata o:title=""/>
              <o:lock v:ext="edit" aspectratio="f"/>
            </v:shape>
            <v:shape id="_x0000_s2059" o:spid="_x0000_s2059" o:spt="32" type="#_x0000_t32" style="position:absolute;left:4492;top:8347;height:1;width:575;" filled="f" stroked="t" coordsize="21600,21600">
              <v:path arrowok="t"/>
              <v:fill on="f" focussize="0,0"/>
              <v:stroke color="#000000" endarrow="block"/>
              <v:imagedata o:title=""/>
              <o:lock v:ext="edit" aspectratio="f"/>
            </v:shape>
            <v:shape id="_x0000_s2060" o:spid="_x0000_s2060" o:spt="34" type="#_x0000_t34" style="position:absolute;left:6687;top:7788;flip:x y;height:1160;width:2;rotation:11796480f;" filled="f" stroked="t" coordsize="21600,21600" adj="-3596400">
              <v:path arrowok="t"/>
              <v:fill on="f" focussize="0,0"/>
              <v:stroke color="#000000" joinstyle="miter" startarrow="block" endarrow="block"/>
              <v:imagedata o:title=""/>
              <o:lock v:ext="edit" aspectratio="f"/>
            </v:shape>
            <v:shape id="_x0000_s2061" o:spid="_x0000_s2061" o:spt="34" type="#_x0000_t34" style="position:absolute;left:7999;top:7817;height:1130;width:1;" filled="f" stroked="t" coordsize="21600,21600" adj="7754400">
              <v:path arrowok="t"/>
              <v:fill on="f" focussize="0,0"/>
              <v:stroke color="#000000" joinstyle="miter"/>
              <v:imagedata o:title=""/>
              <o:lock v:ext="edit" aspectratio="f"/>
            </v:shape>
            <v:shape id="_x0000_s2062" o:spid="_x0000_s2062" o:spt="32" type="#_x0000_t32" style="position:absolute;left:8373;top:8346;flip:y;height:1;width:480;" filled="f" stroked="t" coordsize="21600,21600">
              <v:path arrowok="t"/>
              <v:fill on="f" focussize="0,0"/>
              <v:stroke color="#000000" endarrow="block"/>
              <v:imagedata o:title=""/>
              <o:lock v:ext="edit" aspectratio="f"/>
            </v:shape>
            <v:shape id="_x0000_s2063" o:spid="_x0000_s2063" o:spt="32" type="#_x0000_t32" style="position:absolute;left:5932;top:8347;height:0;width:428;" filled="f" stroked="t" coordsize="21600,21600">
              <v:path arrowok="t"/>
              <v:fill on="f" focussize="0,0"/>
              <v:stroke color="#000000"/>
              <v:imagedata o:title=""/>
              <o:lock v:ext="edit" aspectratio="f"/>
            </v:shape>
            <v:rect id="_x0000_s2064" o:spid="_x0000_s2064" o:spt="1" style="position:absolute;left:3133;top:6840;height:3253;width:5494;" filled="f" stroked="t" coordsize="21600,21600">
              <v:path/>
              <v:fill on="f" focussize="0,0"/>
              <v:stroke color="#000000" joinstyle="miter" dashstyle="dash"/>
              <v:imagedata o:title=""/>
              <o:lock v:ext="edit" aspectratio="f"/>
            </v:rect>
            <v:rect id="_x0000_s2065" o:spid="_x0000_s2065" o:spt="1" style="position:absolute;left:4800;top:7440;height:1853;width:3385;" filled="f" stroked="t" coordsize="21600,21600">
              <v:path/>
              <v:fill on="f" focussize="0,0"/>
              <v:stroke color="#000000" joinstyle="miter" dashstyle="dash"/>
              <v:imagedata o:title=""/>
              <o:lock v:ext="edit" aspectratio="f"/>
            </v:rect>
            <v:shape id="_x0000_s2066" o:spid="_x0000_s2066" o:spt="32" type="#_x0000_t32" style="position:absolute;left:3947;top:10093;height:574;width:1;" filled="f" stroked="t" coordsize="21600,21600">
              <v:path arrowok="t"/>
              <v:fill on="f" focussize="0,0"/>
              <v:stroke color="#000000" dashstyle="dash" endarrow="block"/>
              <v:imagedata o:title=""/>
              <o:lock v:ext="edit" aspectratio="f"/>
            </v:shape>
            <v:shape id="_x0000_s2067" o:spid="_x0000_s2067" o:spt="32" type="#_x0000_t32" style="position:absolute;left:7464;top:9293;height:1190;width:1;" filled="f" stroked="t" coordsize="21600,21600">
              <v:path arrowok="t"/>
              <v:fill on="f" focussize="0,0"/>
              <v:stroke color="#000000" dashstyle="dash" endarrow="block"/>
              <v:imagedata o:title=""/>
              <o:lock v:ext="edit" aspectratio="f"/>
            </v:shape>
            <v:rect id="_x0000_s2068" o:spid="_x0000_s2068" o:spt="1" style="position:absolute;left:3440;top:10667;height:348;width:865;" fillcolor="#FFFFFF" filled="t" stroked="t" coordsize="21600,21600">
              <v:path/>
              <v:fill on="t" color2="#FFFFFF" focussize="0,0"/>
              <v:stroke color="#000000" joinstyle="miter" dashstyle="dash"/>
              <v:imagedata o:title=""/>
              <o:lock v:ext="edit" aspectratio="f"/>
              <v:textbox inset="0.5mm,0.7mm,0.5mm,0.7mm">
                <w:txbxContent>
                  <w:p>
                    <w:pPr>
                      <w:jc w:val="center"/>
                    </w:pPr>
                    <w:r>
                      <w:rPr>
                        <w:rFonts w:hint="eastAsia"/>
                      </w:rPr>
                      <w:t>噪声</w:t>
                    </w:r>
                  </w:p>
                </w:txbxContent>
              </v:textbox>
            </v:rect>
            <v:rect id="_x0000_s2069" o:spid="_x0000_s2069" o:spt="1" style="position:absolute;left:6888;top:10423;height:408;width:1514;" fillcolor="#FFFFFF" filled="t" stroked="t" coordsize="21600,21600">
              <v:path/>
              <v:fill on="t" color2="#FFFFFF" focussize="0,0"/>
              <v:stroke color="#000000" joinstyle="miter" dashstyle="dash"/>
              <v:imagedata o:title=""/>
              <o:lock v:ext="edit" aspectratio="f"/>
              <v:textbox inset="0.5mm,0.7mm,0.5mm,0.7mm">
                <w:txbxContent>
                  <w:p>
                    <w:pPr>
                      <w:jc w:val="center"/>
                    </w:pPr>
                    <w:r>
                      <w:rPr>
                        <w:rFonts w:hint="eastAsia"/>
                      </w:rPr>
                      <w:t>废水、固废</w:t>
                    </w:r>
                  </w:p>
                </w:txbxContent>
              </v:textbox>
            </v:rect>
            <v:shape id="_x0000_s2070" o:spid="_x0000_s2070" o:spt="32" type="#_x0000_t32" style="position:absolute;left:2874;top:7788;flip:y;height:559;width:427;" filled="f" stroked="t" coordsize="21600,21600">
              <v:path arrowok="t"/>
              <v:fill on="f" focussize="0,0"/>
              <v:stroke color="#000000" endarrow="block"/>
              <v:imagedata o:title=""/>
              <o:lock v:ext="edit" aspectratio="f"/>
            </v:shape>
            <v:shape id="_x0000_s2071" o:spid="_x0000_s2071" o:spt="32" type="#_x0000_t32" style="position:absolute;left:8001;top:8348;height:0;width:451;" filled="f" stroked="t" coordsize="21600,21600">
              <v:path arrowok="t"/>
              <v:fill on="f" focussize="0,0"/>
              <v:stroke color="#000000"/>
              <v:imagedata o:title=""/>
              <o:lock v:ext="edit" aspectratio="f"/>
            </v:shape>
            <v:rect id="_x0000_s2072" o:spid="_x0000_s2072" o:spt="1" style="position:absolute;left:3560;top:6378;height:348;width:865;" fillcolor="#FFFFFF" filled="t" stroked="t" coordsize="21600,21600">
              <v:path/>
              <v:fill on="t" color2="#FFFFFF" focussize="0,0"/>
              <v:stroke color="#000000" joinstyle="miter" dashstyle="dash"/>
              <v:imagedata o:title=""/>
              <o:lock v:ext="edit" aspectratio="f"/>
              <v:textbox inset="0.5mm,0.7mm,0.5mm,0.7mm">
                <w:txbxContent>
                  <w:p>
                    <w:pPr>
                      <w:jc w:val="center"/>
                    </w:pPr>
                    <w:r>
                      <w:rPr>
                        <w:rFonts w:hint="eastAsia"/>
                      </w:rPr>
                      <w:t>废气</w:t>
                    </w:r>
                  </w:p>
                </w:txbxContent>
              </v:textbox>
            </v:rect>
            <v:shape id="_x0000_s2073" o:spid="_x0000_s2073" o:spt="32" type="#_x0000_t32" style="position:absolute;left:3946;top:6726;flip:y;height:623;width:1;" filled="f" stroked="t" coordsize="21600,21600">
              <v:path arrowok="t"/>
              <v:fill on="f" focussize="0,0"/>
              <v:stroke color="#000000" dashstyle="dash" endarrow="block"/>
              <v:imagedata o:title=""/>
              <o:lock v:ext="edit" aspectratio="f"/>
            </v:shape>
            <v:rect id="_x0000_s2074" o:spid="_x0000_s2074" o:spt="1" style="position:absolute;left:3266;top:7349;height:424;width:1315;" fillcolor="#FFFFFF" filled="t" stroked="t" coordsize="21600,21600">
              <v:path/>
              <v:fill on="t" color2="#FFFFFF" focussize="0,0"/>
              <v:stroke color="#000000" joinstyle="miter"/>
              <v:imagedata o:title=""/>
              <o:lock v:ext="edit" aspectratio="f"/>
              <v:textbox>
                <w:txbxContent>
                  <w:p>
                    <w:pPr>
                      <w:ind w:firstLine="315" w:firstLineChars="150"/>
                      <w:rPr>
                        <w:color w:val="000000"/>
                      </w:rPr>
                    </w:pPr>
                    <w:r>
                      <w:rPr>
                        <w:rFonts w:hint="eastAsia"/>
                        <w:color w:val="000000"/>
                      </w:rPr>
                      <w:t>食堂</w:t>
                    </w:r>
                  </w:p>
                </w:txbxContent>
              </v:textbox>
            </v:rect>
            <v:shape id="_x0000_s2075" o:spid="_x0000_s2075" o:spt="32" type="#_x0000_t32" style="position:absolute;left:2788;top:7528;height:1;width:478;" filled="f" stroked="t" coordsize="21600,21600">
              <v:path arrowok="t"/>
              <v:fill on="f" focussize="0,0"/>
              <v:stroke color="#000000" endarrow="block"/>
              <v:imagedata o:title=""/>
              <o:lock v:ext="edit" aspectratio="f"/>
            </v:shape>
            <v:rect id="_x0000_s2076" o:spid="_x0000_s2076" o:spt="1" style="position:absolute;left:1596;top:7039;height:1134;width:1278;" filled="f" stroked="f" coordsize="21600,21600">
              <v:path/>
              <v:fill on="f" focussize="0,0"/>
              <v:stroke on="f"/>
              <v:imagedata o:title=""/>
              <o:lock v:ext="edit" aspectratio="f"/>
              <v:textbox>
                <w:txbxContent>
                  <w:p>
                    <w:pPr>
                      <w:ind w:left="-105" w:leftChars="-50" w:right="-105" w:rightChars="-50"/>
                      <w:jc w:val="center"/>
                      <w:rPr>
                        <w:rFonts w:hint="eastAsia"/>
                      </w:rPr>
                    </w:pPr>
                    <w:r>
                      <w:rPr>
                        <w:rFonts w:hint="eastAsia"/>
                      </w:rPr>
                      <w:t>医疗人员</w:t>
                    </w:r>
                  </w:p>
                  <w:p>
                    <w:pPr>
                      <w:ind w:left="-105" w:leftChars="-50" w:right="-105" w:rightChars="-50"/>
                      <w:jc w:val="center"/>
                    </w:pPr>
                    <w:r>
                      <w:rPr>
                        <w:rFonts w:hint="eastAsia"/>
                      </w:rPr>
                      <w:t>及陪护人员</w:t>
                    </w:r>
                  </w:p>
                </w:txbxContent>
              </v:textbox>
            </v:rect>
            <w10:wrap type="none"/>
            <w10:anchorlock/>
          </v:group>
        </w:pict>
      </w:r>
    </w:p>
    <w:p>
      <w:pPr>
        <w:jc w:val="center"/>
        <w:rPr>
          <w:b/>
          <w:szCs w:val="21"/>
        </w:rPr>
      </w:pPr>
      <w:r>
        <w:rPr>
          <w:rFonts w:hint="eastAsia"/>
          <w:b/>
          <w:szCs w:val="21"/>
        </w:rPr>
        <w:t xml:space="preserve">图3-1 </w:t>
      </w:r>
      <w:r>
        <w:rPr>
          <w:rFonts w:hint="eastAsia"/>
          <w:b/>
          <w:szCs w:val="21"/>
          <w:lang w:val="en-US" w:eastAsia="zh-CN"/>
        </w:rPr>
        <w:t>诊疗工艺及产污环节图</w:t>
      </w:r>
    </w:p>
    <w:p>
      <w:pPr>
        <w:pStyle w:val="4"/>
        <w:spacing w:beforeLines="50" w:afterLines="50" w:line="600" w:lineRule="exact"/>
        <w:rPr>
          <w:rFonts w:ascii="宋体" w:hAnsi="宋体" w:eastAsia="宋体"/>
          <w:sz w:val="28"/>
          <w:szCs w:val="28"/>
        </w:rPr>
      </w:pPr>
      <w:bookmarkStart w:id="20" w:name="_Toc26776"/>
      <w:r>
        <w:rPr>
          <w:rFonts w:ascii="Times New Roman" w:hAnsi="Times New Roman" w:eastAsia="宋体"/>
          <w:sz w:val="28"/>
          <w:szCs w:val="28"/>
        </w:rPr>
        <w:t>3.</w:t>
      </w:r>
      <w:r>
        <w:rPr>
          <w:rFonts w:hint="eastAsia" w:ascii="Times New Roman" w:hAnsi="Times New Roman" w:eastAsia="宋体"/>
          <w:sz w:val="28"/>
          <w:szCs w:val="28"/>
        </w:rPr>
        <w:t xml:space="preserve">3 </w:t>
      </w:r>
      <w:bookmarkEnd w:id="18"/>
      <w:bookmarkEnd w:id="19"/>
      <w:r>
        <w:rPr>
          <w:rFonts w:hint="eastAsia" w:ascii="宋体" w:hAnsi="宋体" w:eastAsia="宋体"/>
          <w:sz w:val="28"/>
          <w:szCs w:val="28"/>
        </w:rPr>
        <w:t>污水处理工艺流程图</w:t>
      </w:r>
      <w:bookmarkEnd w:id="20"/>
    </w:p>
    <w:p>
      <w:pPr>
        <w:pStyle w:val="67"/>
        <w:spacing w:beforeLines="50"/>
      </w:pPr>
      <w:bookmarkStart w:id="21" w:name="_Ref451332453"/>
    </w:p>
    <w:p>
      <w:pPr>
        <w:pStyle w:val="68"/>
      </w:pPr>
      <w:r>
        <w:drawing>
          <wp:inline distT="0" distB="0" distL="114300" distR="114300">
            <wp:extent cx="5687695" cy="4440555"/>
            <wp:effectExtent l="0" t="0" r="825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5687695" cy="4440555"/>
                    </a:xfrm>
                    <a:prstGeom prst="rect">
                      <a:avLst/>
                    </a:prstGeom>
                    <a:noFill/>
                    <a:ln>
                      <a:noFill/>
                    </a:ln>
                  </pic:spPr>
                </pic:pic>
              </a:graphicData>
            </a:graphic>
          </wp:inline>
        </w:drawing>
      </w:r>
    </w:p>
    <w:p>
      <w:pPr>
        <w:pStyle w:val="67"/>
        <w:spacing w:beforeLines="50"/>
        <w:rPr>
          <w:color w:val="000000" w:themeColor="text1"/>
          <w:sz w:val="24"/>
          <w:szCs w:val="24"/>
        </w:rPr>
      </w:pPr>
      <w:r>
        <w:rPr>
          <w:rFonts w:hint="eastAsia"/>
          <w:color w:val="000000" w:themeColor="text1"/>
        </w:rPr>
        <w:t>图</w:t>
      </w:r>
      <w:bookmarkEnd w:id="21"/>
      <w:r>
        <w:rPr>
          <w:rFonts w:hint="eastAsia"/>
          <w:color w:val="000000" w:themeColor="text1"/>
        </w:rPr>
        <w:t xml:space="preserve">3-2 </w:t>
      </w:r>
      <w:r>
        <w:rPr>
          <w:rFonts w:hint="eastAsia"/>
          <w:color w:val="000000" w:themeColor="text1"/>
          <w:szCs w:val="21"/>
        </w:rPr>
        <w:t>污水</w:t>
      </w:r>
      <w:r>
        <w:rPr>
          <w:rFonts w:hint="eastAsia"/>
          <w:color w:val="000000" w:themeColor="text1"/>
          <w:szCs w:val="21"/>
          <w:lang w:val="zh-CN"/>
        </w:rPr>
        <w:t>处理工艺流程图</w:t>
      </w:r>
    </w:p>
    <w:p>
      <w:pPr>
        <w:spacing w:line="640" w:lineRule="exact"/>
        <w:ind w:firstLine="480" w:firstLineChars="200"/>
        <w:jc w:val="left"/>
        <w:rPr>
          <w:rFonts w:hint="eastAsia" w:eastAsia="宋体"/>
          <w:sz w:val="24"/>
          <w:lang w:val="en-US" w:eastAsia="zh-CN"/>
        </w:rPr>
      </w:pPr>
      <w:r>
        <w:rPr>
          <w:rFonts w:hint="eastAsia" w:eastAsia="宋体"/>
          <w:sz w:val="24"/>
          <w:lang w:val="en-US" w:eastAsia="zh-CN"/>
        </w:rPr>
        <w:t>污水处理工艺流程简介：⑴污水预处理：本方案采用化粪池、调节池作为预处理，调和水质水量，为下级处理创造有利条件。</w:t>
      </w:r>
    </w:p>
    <w:p>
      <w:pPr>
        <w:spacing w:line="640" w:lineRule="exact"/>
        <w:ind w:firstLine="480" w:firstLineChars="200"/>
        <w:jc w:val="left"/>
        <w:rPr>
          <w:rFonts w:hint="eastAsia" w:eastAsia="宋体"/>
          <w:sz w:val="24"/>
          <w:lang w:val="en-US" w:eastAsia="zh-CN"/>
        </w:rPr>
      </w:pPr>
      <w:r>
        <w:rPr>
          <w:rFonts w:hint="eastAsia" w:eastAsia="宋体"/>
          <w:sz w:val="24"/>
          <w:lang w:val="en-US" w:eastAsia="zh-CN"/>
        </w:rPr>
        <w:t>⑵污水强化处理：水解酸化池、生物接触氧化池作为一级强化处理，沉淀池作为二级强化处理，彻底去除有机污物、悬浮物。</w:t>
      </w:r>
    </w:p>
    <w:p>
      <w:pPr>
        <w:spacing w:line="640" w:lineRule="exact"/>
        <w:ind w:firstLine="480" w:firstLineChars="200"/>
        <w:jc w:val="left"/>
        <w:rPr>
          <w:rFonts w:hint="eastAsia" w:eastAsia="宋体"/>
          <w:sz w:val="24"/>
          <w:lang w:val="en-US" w:eastAsia="zh-CN"/>
        </w:rPr>
      </w:pPr>
      <w:r>
        <w:rPr>
          <w:rFonts w:hint="eastAsia" w:eastAsia="宋体"/>
          <w:sz w:val="24"/>
          <w:lang w:val="en-US" w:eastAsia="zh-CN"/>
        </w:rPr>
        <w:t>⑶污水后续处理：采用投加次氯酸钠灭菌法，杀灭病毒细菌。</w:t>
      </w:r>
    </w:p>
    <w:p>
      <w:pPr>
        <w:pStyle w:val="4"/>
        <w:spacing w:before="0" w:after="0" w:line="620" w:lineRule="exact"/>
        <w:rPr>
          <w:rFonts w:hint="eastAsia" w:ascii="Times New Roman" w:hAnsi="Times New Roman" w:eastAsia="宋体"/>
          <w:color w:val="000000"/>
          <w:sz w:val="28"/>
          <w:szCs w:val="28"/>
          <w:lang w:val="zh-CN"/>
        </w:rPr>
      </w:pPr>
      <w:bookmarkStart w:id="22" w:name="_Toc4798"/>
      <w:bookmarkStart w:id="23" w:name="_Toc14626"/>
      <w:bookmarkStart w:id="24" w:name="_Toc211096931"/>
      <w:r>
        <w:rPr>
          <w:rFonts w:ascii="Times New Roman" w:hAnsi="Times New Roman" w:eastAsia="宋体"/>
          <w:sz w:val="28"/>
          <w:szCs w:val="28"/>
        </w:rPr>
        <w:t>3.</w:t>
      </w:r>
      <w:r>
        <w:rPr>
          <w:rFonts w:hint="eastAsia" w:ascii="Times New Roman" w:hAnsi="Times New Roman" w:eastAsia="宋体"/>
          <w:sz w:val="28"/>
          <w:szCs w:val="28"/>
        </w:rPr>
        <w:t xml:space="preserve">4 </w:t>
      </w:r>
      <w:r>
        <w:rPr>
          <w:rFonts w:hint="eastAsia" w:ascii="Times New Roman" w:hAnsi="Times New Roman" w:eastAsia="宋体"/>
          <w:color w:val="000000"/>
          <w:sz w:val="28"/>
          <w:szCs w:val="28"/>
          <w:lang w:val="zh-CN"/>
        </w:rPr>
        <w:t>水源及水平衡</w:t>
      </w:r>
      <w:bookmarkEnd w:id="22"/>
    </w:p>
    <w:p>
      <w:pPr>
        <w:spacing w:line="640" w:lineRule="exact"/>
        <w:ind w:firstLine="480" w:firstLineChars="200"/>
        <w:jc w:val="left"/>
        <w:rPr>
          <w:rFonts w:hint="eastAsia" w:eastAsia="宋体"/>
          <w:sz w:val="24"/>
          <w:lang w:val="en-US" w:eastAsia="zh-CN"/>
        </w:rPr>
      </w:pPr>
    </w:p>
    <w:p>
      <w:pPr>
        <w:spacing w:line="640" w:lineRule="exact"/>
        <w:ind w:firstLine="480" w:firstLineChars="200"/>
        <w:jc w:val="left"/>
        <w:rPr>
          <w:rFonts w:hint="eastAsia" w:eastAsia="宋体"/>
          <w:sz w:val="24"/>
          <w:lang w:val="en-US" w:eastAsia="zh-CN"/>
        </w:rPr>
      </w:pPr>
    </w:p>
    <w:p>
      <w:pPr>
        <w:spacing w:line="640" w:lineRule="exact"/>
        <w:ind w:firstLine="480" w:firstLineChars="200"/>
        <w:jc w:val="left"/>
        <w:rPr>
          <w:rFonts w:hint="eastAsia" w:eastAsia="宋体"/>
          <w:sz w:val="24"/>
          <w:lang w:val="en-US" w:eastAsia="zh-CN"/>
        </w:rPr>
      </w:pPr>
      <w:r>
        <w:rPr>
          <w:rFonts w:hint="eastAsia" w:eastAsia="宋体"/>
          <w:sz w:val="24"/>
          <w:lang w:val="en-US" w:eastAsia="zh-CN"/>
        </w:rPr>
        <w:t>项目水平衡图见图3-3。</w:t>
      </w:r>
    </w:p>
    <w:p>
      <w:r>
        <w:drawing>
          <wp:inline distT="0" distB="0" distL="114300" distR="114300">
            <wp:extent cx="4618990" cy="2713990"/>
            <wp:effectExtent l="0" t="0" r="1016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6"/>
                    <a:stretch>
                      <a:fillRect/>
                    </a:stretch>
                  </pic:blipFill>
                  <pic:spPr>
                    <a:xfrm>
                      <a:off x="0" y="0"/>
                      <a:ext cx="4618990" cy="2713990"/>
                    </a:xfrm>
                    <a:prstGeom prst="rect">
                      <a:avLst/>
                    </a:prstGeom>
                    <a:noFill/>
                    <a:ln w="9525">
                      <a:noFill/>
                    </a:ln>
                  </pic:spPr>
                </pic:pic>
              </a:graphicData>
            </a:graphic>
          </wp:inline>
        </w:drawing>
      </w:r>
    </w:p>
    <w:p>
      <w:pPr>
        <w:pStyle w:val="67"/>
        <w:spacing w:beforeLines="50"/>
      </w:pPr>
      <w:r>
        <w:rPr>
          <w:rFonts w:hint="eastAsia"/>
          <w:color w:val="000000" w:themeColor="text1"/>
        </w:rPr>
        <w:t>图3-</w:t>
      </w:r>
      <w:r>
        <w:rPr>
          <w:rFonts w:hint="eastAsia"/>
          <w:color w:val="000000" w:themeColor="text1"/>
          <w:lang w:val="en-US" w:eastAsia="zh-CN"/>
        </w:rPr>
        <w:t>3</w:t>
      </w:r>
      <w:r>
        <w:rPr>
          <w:rFonts w:hint="eastAsia"/>
          <w:color w:val="000000" w:themeColor="text1"/>
        </w:rPr>
        <w:t xml:space="preserve"> </w:t>
      </w:r>
      <w:r>
        <w:rPr>
          <w:rFonts w:hint="eastAsia"/>
          <w:color w:val="000000" w:themeColor="text1"/>
          <w:lang w:val="en-US" w:eastAsia="zh-CN"/>
        </w:rPr>
        <w:t>项目</w:t>
      </w:r>
      <w:r>
        <w:rPr>
          <w:rFonts w:hint="eastAsia"/>
          <w:color w:val="000000" w:themeColor="text1"/>
          <w:szCs w:val="21"/>
          <w:lang w:val="en-US" w:eastAsia="zh-CN"/>
        </w:rPr>
        <w:t>水平衡</w:t>
      </w:r>
      <w:r>
        <w:rPr>
          <w:rFonts w:hint="eastAsia"/>
          <w:color w:val="000000" w:themeColor="text1"/>
          <w:szCs w:val="21"/>
          <w:lang w:val="zh-CN"/>
        </w:rPr>
        <w:t>图（</w:t>
      </w:r>
      <w:r>
        <w:rPr>
          <w:rFonts w:hint="eastAsia"/>
          <w:color w:val="000000" w:themeColor="text1"/>
          <w:szCs w:val="21"/>
          <w:lang w:val="en-US" w:eastAsia="zh-CN"/>
        </w:rPr>
        <w:t>t/d</w:t>
      </w:r>
      <w:r>
        <w:rPr>
          <w:rFonts w:hint="eastAsia"/>
          <w:color w:val="000000" w:themeColor="text1"/>
          <w:szCs w:val="21"/>
          <w:lang w:val="zh-CN"/>
        </w:rPr>
        <w:t>）</w:t>
      </w:r>
    </w:p>
    <w:p>
      <w:pPr>
        <w:pStyle w:val="4"/>
        <w:spacing w:before="0" w:after="0" w:line="620" w:lineRule="exact"/>
        <w:rPr>
          <w:rFonts w:hint="default" w:ascii="Times New Roman" w:hAnsi="Times New Roman" w:eastAsia="宋体" w:cs="Times New Roman"/>
          <w:sz w:val="28"/>
          <w:szCs w:val="28"/>
        </w:rPr>
      </w:pPr>
      <w:bookmarkStart w:id="25" w:name="_Toc5033"/>
      <w:r>
        <w:rPr>
          <w:rFonts w:ascii="Times New Roman" w:hAnsi="Times New Roman" w:eastAsia="宋体"/>
          <w:sz w:val="28"/>
          <w:szCs w:val="28"/>
        </w:rPr>
        <w:t>3.</w:t>
      </w:r>
      <w:r>
        <w:rPr>
          <w:rFonts w:hint="eastAsia" w:ascii="Times New Roman" w:hAnsi="Times New Roman" w:eastAsia="宋体"/>
          <w:sz w:val="28"/>
          <w:szCs w:val="28"/>
          <w:lang w:val="en-US" w:eastAsia="zh-CN"/>
        </w:rPr>
        <w:t>5</w:t>
      </w:r>
      <w:r>
        <w:rPr>
          <w:rFonts w:hint="eastAsia" w:ascii="Times New Roman" w:hAnsi="Times New Roman" w:eastAsia="宋体"/>
          <w:sz w:val="28"/>
          <w:szCs w:val="28"/>
        </w:rPr>
        <w:t xml:space="preserve"> </w:t>
      </w:r>
      <w:r>
        <w:rPr>
          <w:rFonts w:hint="default" w:ascii="Times New Roman" w:hAnsi="Times New Roman" w:eastAsia="宋体" w:cs="Times New Roman"/>
          <w:sz w:val="28"/>
          <w:szCs w:val="28"/>
        </w:rPr>
        <w:t>污染物总量核算</w:t>
      </w:r>
      <w:bookmarkEnd w:id="25"/>
    </w:p>
    <w:p>
      <w:pPr>
        <w:spacing w:line="600" w:lineRule="exact"/>
        <w:ind w:firstLine="480" w:firstLineChars="200"/>
        <w:rPr>
          <w:rFonts w:hint="eastAsia"/>
          <w:color w:val="auto"/>
          <w:sz w:val="24"/>
          <w:lang w:val="en-US" w:eastAsia="zh-CN"/>
        </w:rPr>
      </w:pPr>
      <w:r>
        <w:rPr>
          <w:rFonts w:hint="eastAsia"/>
          <w:sz w:val="24"/>
        </w:rPr>
        <w:t>本项目环评报告中给出总量控制指标为：化学需氧量≤</w:t>
      </w:r>
      <w:r>
        <w:rPr>
          <w:rFonts w:hint="eastAsia"/>
          <w:kern w:val="10"/>
          <w:sz w:val="24"/>
          <w:lang w:val="en-US" w:eastAsia="zh-CN"/>
        </w:rPr>
        <w:t>0.46</w:t>
      </w:r>
      <w:r>
        <w:rPr>
          <w:kern w:val="10"/>
          <w:sz w:val="24"/>
        </w:rPr>
        <w:t>t/a</w:t>
      </w:r>
      <w:r>
        <w:rPr>
          <w:rFonts w:hint="eastAsia"/>
          <w:sz w:val="24"/>
        </w:rPr>
        <w:t>，氨氮≤</w:t>
      </w:r>
      <w:r>
        <w:rPr>
          <w:rFonts w:hint="eastAsia"/>
          <w:kern w:val="10"/>
          <w:sz w:val="24"/>
          <w:lang w:val="en-US" w:eastAsia="zh-CN"/>
        </w:rPr>
        <w:t>0.11</w:t>
      </w:r>
      <w:r>
        <w:rPr>
          <w:kern w:val="10"/>
          <w:sz w:val="24"/>
        </w:rPr>
        <w:t>t/a</w:t>
      </w:r>
      <w:r>
        <w:rPr>
          <w:rFonts w:hint="eastAsia"/>
          <w:sz w:val="24"/>
        </w:rPr>
        <w:t>。根据现场实际核查，该项目废水经</w:t>
      </w:r>
      <w:r>
        <w:rPr>
          <w:rFonts w:hint="eastAsia"/>
          <w:sz w:val="24"/>
          <w:lang w:val="en-US" w:eastAsia="zh-CN"/>
        </w:rPr>
        <w:t>污水处理站</w:t>
      </w:r>
      <w:r>
        <w:rPr>
          <w:rFonts w:hint="eastAsia"/>
          <w:sz w:val="24"/>
        </w:rPr>
        <w:t>处理达标后</w:t>
      </w:r>
      <w:r>
        <w:rPr>
          <w:rFonts w:hint="eastAsia"/>
          <w:sz w:val="24"/>
          <w:lang w:val="en-US" w:eastAsia="zh-CN"/>
        </w:rPr>
        <w:t>经西侧排污渠进谢林港镇排水系统排入志溪河</w:t>
      </w:r>
      <w:r>
        <w:rPr>
          <w:rFonts w:hint="eastAsia"/>
          <w:sz w:val="24"/>
          <w:lang w:eastAsia="zh-CN"/>
        </w:rPr>
        <w:t>。本项目计算总量指</w:t>
      </w:r>
      <w:r>
        <w:rPr>
          <w:rFonts w:hint="eastAsia"/>
          <w:color w:val="auto"/>
          <w:sz w:val="24"/>
          <w:lang w:eastAsia="zh-CN"/>
        </w:rPr>
        <w:t>标化学需氧量：0.26t/a；氨氮：0.054t/a</w:t>
      </w:r>
      <w:r>
        <w:rPr>
          <w:rFonts w:hint="eastAsia"/>
          <w:sz w:val="24"/>
          <w:lang w:val="en-US" w:eastAsia="zh-CN"/>
        </w:rPr>
        <w:t>。</w:t>
      </w:r>
    </w:p>
    <w:p>
      <w:pPr>
        <w:pStyle w:val="4"/>
        <w:keepNext/>
        <w:keepLines/>
        <w:pageBreakBefore w:val="0"/>
        <w:widowControl w:val="0"/>
        <w:kinsoku/>
        <w:wordWrap/>
        <w:overflowPunct/>
        <w:topLinePunct w:val="0"/>
        <w:autoSpaceDE/>
        <w:autoSpaceDN/>
        <w:bidi w:val="0"/>
        <w:adjustRightInd/>
        <w:snapToGrid/>
        <w:spacing w:before="10" w:after="10" w:line="600" w:lineRule="atLeast"/>
        <w:ind w:left="0" w:leftChars="0" w:right="0" w:rightChars="0" w:firstLine="0" w:firstLineChars="0"/>
        <w:jc w:val="both"/>
        <w:textAlignment w:val="auto"/>
        <w:outlineLvl w:val="1"/>
        <w:rPr>
          <w:rFonts w:hint="default" w:ascii="Times New Roman" w:hAnsi="Times New Roman" w:eastAsia="宋体" w:cs="Times New Roman"/>
          <w:b/>
          <w:bCs/>
          <w:sz w:val="28"/>
          <w:szCs w:val="28"/>
        </w:rPr>
      </w:pPr>
      <w:bookmarkStart w:id="26" w:name="_Toc29504"/>
      <w:r>
        <w:rPr>
          <w:rFonts w:ascii="Times New Roman" w:hAnsi="Times New Roman" w:eastAsia="宋体"/>
          <w:sz w:val="28"/>
          <w:szCs w:val="28"/>
        </w:rPr>
        <w:t>3.</w:t>
      </w:r>
      <w:r>
        <w:rPr>
          <w:rFonts w:hint="eastAsia" w:ascii="Times New Roman" w:hAnsi="Times New Roman" w:eastAsia="宋体"/>
          <w:sz w:val="28"/>
          <w:szCs w:val="28"/>
          <w:lang w:val="en-US" w:eastAsia="zh-CN"/>
        </w:rPr>
        <w:t>6</w:t>
      </w:r>
      <w:r>
        <w:rPr>
          <w:rFonts w:hint="eastAsia" w:ascii="Times New Roman" w:hAnsi="Times New Roman" w:eastAsia="宋体"/>
          <w:sz w:val="28"/>
          <w:szCs w:val="28"/>
        </w:rPr>
        <w:t xml:space="preserve"> </w:t>
      </w:r>
      <w:r>
        <w:rPr>
          <w:rFonts w:hint="default" w:ascii="Times New Roman" w:hAnsi="Times New Roman" w:eastAsia="宋体" w:cs="Times New Roman"/>
          <w:b/>
          <w:bCs/>
          <w:sz w:val="28"/>
          <w:szCs w:val="28"/>
        </w:rPr>
        <w:t>项目变动情况</w:t>
      </w:r>
      <w:bookmarkEnd w:id="26"/>
    </w:p>
    <w:p>
      <w:pPr>
        <w:spacing w:line="640" w:lineRule="exact"/>
        <w:ind w:firstLine="480" w:firstLineChars="200"/>
        <w:jc w:val="left"/>
        <w:rPr>
          <w:rFonts w:hint="eastAsia"/>
          <w:sz w:val="24"/>
          <w:lang w:val="en-US" w:eastAsia="zh-CN"/>
        </w:rPr>
      </w:pPr>
      <w:r>
        <w:rPr>
          <w:rFonts w:hint="eastAsia" w:eastAsia="宋体"/>
          <w:sz w:val="24"/>
          <w:lang w:val="en-US" w:eastAsia="zh-CN"/>
        </w:rPr>
        <w:t>项目变动情况见表3-</w:t>
      </w:r>
      <w:r>
        <w:rPr>
          <w:rFonts w:hint="eastAsia"/>
          <w:sz w:val="24"/>
          <w:lang w:val="en-US" w:eastAsia="zh-CN"/>
        </w:rPr>
        <w:t>5。</w:t>
      </w:r>
    </w:p>
    <w:p>
      <w:pPr>
        <w:pStyle w:val="11"/>
        <w:jc w:val="center"/>
        <w:rPr>
          <w:rFonts w:hint="eastAsia"/>
          <w:lang w:val="en-US" w:eastAsia="zh-CN"/>
        </w:rPr>
      </w:pPr>
      <w:r>
        <w:rPr>
          <w:rFonts w:hint="eastAsia" w:cs="Times New Roman"/>
          <w:b/>
          <w:color w:val="000000" w:themeColor="text1"/>
          <w:kern w:val="0"/>
          <w:sz w:val="21"/>
          <w:szCs w:val="21"/>
          <w:lang w:val="en-US" w:eastAsia="zh-CN" w:bidi="ar-SA"/>
        </w:rPr>
        <w:t>表3-5 项目变动情况</w:t>
      </w:r>
    </w:p>
    <w:tbl>
      <w:tblPr>
        <w:tblStyle w:val="33"/>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680"/>
        <w:gridCol w:w="3886"/>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0" w:type="dxa"/>
            <w:tcBorders>
              <w:top w:val="single" w:color="auto" w:sz="12" w:space="0"/>
              <w:left w:val="nil"/>
              <w:bottom w:val="single" w:color="auto" w:sz="6" w:space="0"/>
              <w:right w:val="single" w:color="auto" w:sz="6" w:space="0"/>
            </w:tcBorders>
            <w:vAlign w:val="center"/>
          </w:tcPr>
          <w:p>
            <w:pPr>
              <w:jc w:val="center"/>
              <w:rPr>
                <w:rFonts w:hint="eastAsia"/>
                <w:vertAlign w:val="baseline"/>
                <w:lang w:val="en-US" w:eastAsia="zh-CN"/>
              </w:rPr>
            </w:pPr>
            <w:r>
              <w:rPr>
                <w:rFonts w:hint="eastAsia"/>
                <w:b/>
                <w:bCs/>
                <w:vertAlign w:val="baseline"/>
                <w:lang w:val="en-US" w:eastAsia="zh-CN"/>
              </w:rPr>
              <w:t>序号</w:t>
            </w:r>
          </w:p>
        </w:tc>
        <w:tc>
          <w:tcPr>
            <w:tcW w:w="5566" w:type="dxa"/>
            <w:gridSpan w:val="2"/>
            <w:tcBorders>
              <w:top w:val="single" w:color="auto" w:sz="12" w:space="0"/>
              <w:left w:val="single" w:color="auto" w:sz="6" w:space="0"/>
              <w:bottom w:val="single" w:color="auto" w:sz="6" w:space="0"/>
              <w:right w:val="nil"/>
            </w:tcBorders>
            <w:vAlign w:val="center"/>
          </w:tcPr>
          <w:p>
            <w:pPr>
              <w:jc w:val="center"/>
              <w:rPr>
                <w:rFonts w:hint="eastAsia"/>
                <w:b/>
                <w:bCs/>
                <w:vertAlign w:val="baseline"/>
                <w:lang w:val="en-US" w:eastAsia="zh-CN"/>
              </w:rPr>
            </w:pPr>
            <w:r>
              <w:rPr>
                <w:rFonts w:hint="eastAsia"/>
                <w:b/>
                <w:bCs/>
                <w:vertAlign w:val="baseline"/>
                <w:lang w:val="en-US" w:eastAsia="zh-CN"/>
              </w:rPr>
              <w:t>环评建设内容</w:t>
            </w:r>
          </w:p>
        </w:tc>
        <w:tc>
          <w:tcPr>
            <w:tcW w:w="2282" w:type="dxa"/>
            <w:tcBorders>
              <w:top w:val="single" w:color="auto" w:sz="12" w:space="0"/>
              <w:left w:val="single" w:color="auto" w:sz="6" w:space="0"/>
              <w:bottom w:val="single" w:color="auto" w:sz="6" w:space="0"/>
              <w:right w:val="nil"/>
            </w:tcBorders>
            <w:vAlign w:val="center"/>
          </w:tcPr>
          <w:p>
            <w:pPr>
              <w:jc w:val="center"/>
              <w:rPr>
                <w:rFonts w:hint="eastAsia"/>
                <w:b/>
                <w:bCs/>
                <w:vertAlign w:val="baseline"/>
                <w:lang w:val="en-US" w:eastAsia="zh-CN"/>
              </w:rPr>
            </w:pPr>
            <w:r>
              <w:rPr>
                <w:rFonts w:hint="eastAsia"/>
                <w:b/>
                <w:bCs/>
                <w:vertAlign w:val="baseline"/>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0" w:type="dxa"/>
            <w:tcBorders>
              <w:top w:val="single" w:color="auto" w:sz="6" w:space="0"/>
              <w:left w:val="nil"/>
              <w:bottom w:val="single" w:color="auto" w:sz="6" w:space="0"/>
              <w:right w:val="single" w:color="auto" w:sz="6" w:space="0"/>
            </w:tcBorders>
            <w:vAlign w:val="center"/>
          </w:tcPr>
          <w:p>
            <w:pPr>
              <w:jc w:val="center"/>
              <w:rPr>
                <w:rFonts w:hint="eastAsia"/>
                <w:vertAlign w:val="baseline"/>
                <w:lang w:val="en-US" w:eastAsia="zh-CN"/>
              </w:rPr>
            </w:pPr>
            <w:r>
              <w:rPr>
                <w:rFonts w:hint="eastAsia"/>
                <w:vertAlign w:val="baseline"/>
                <w:lang w:val="en-US" w:eastAsia="zh-CN"/>
              </w:rPr>
              <w:t>1</w:t>
            </w:r>
          </w:p>
        </w:tc>
        <w:tc>
          <w:tcPr>
            <w:tcW w:w="1680"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sz w:val="21"/>
              </w:rPr>
              <w:t>一楼综合区</w:t>
            </w:r>
          </w:p>
        </w:tc>
        <w:tc>
          <w:tcPr>
            <w:tcW w:w="3886"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vertAlign w:val="baseline"/>
                <w:lang w:val="en-US" w:eastAsia="zh-CN"/>
              </w:rPr>
            </w:pPr>
            <w:r>
              <w:rPr>
                <w:sz w:val="21"/>
              </w:rPr>
              <w:t xml:space="preserve">租赁，建筑面积 </w:t>
            </w:r>
            <w:r>
              <w:rPr>
                <w:rFonts w:hint="eastAsia" w:ascii="Times New Roman" w:eastAsia="宋体"/>
                <w:sz w:val="21"/>
                <w:lang w:val="en-US" w:eastAsia="zh-CN"/>
              </w:rPr>
              <w:t>980</w:t>
            </w:r>
            <w:r>
              <w:rPr>
                <w:rFonts w:ascii="Times New Roman" w:eastAsia="Times New Roman"/>
                <w:sz w:val="21"/>
              </w:rPr>
              <w:t>m</w:t>
            </w:r>
            <w:r>
              <w:rPr>
                <w:rFonts w:ascii="Times New Roman" w:eastAsia="Times New Roman"/>
                <w:sz w:val="21"/>
                <w:vertAlign w:val="superscript"/>
              </w:rPr>
              <w:t>2</w:t>
            </w:r>
            <w:r>
              <w:rPr>
                <w:sz w:val="21"/>
                <w:vertAlign w:val="baseline"/>
              </w:rPr>
              <w:t>，设置有</w:t>
            </w:r>
            <w:r>
              <w:rPr>
                <w:rFonts w:hint="eastAsia" w:eastAsia="宋体"/>
                <w:sz w:val="21"/>
                <w:vertAlign w:val="baseline"/>
                <w:lang w:val="en-US" w:eastAsia="zh-CN"/>
              </w:rPr>
              <w:t>门诊部、</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eastAsia="宋体"/>
                <w:sz w:val="21"/>
                <w:vertAlign w:val="baseline"/>
                <w:lang w:val="en-US" w:eastAsia="zh-CN"/>
              </w:rPr>
              <w:t>放射室、化验室、药房</w:t>
            </w:r>
          </w:p>
        </w:tc>
        <w:tc>
          <w:tcPr>
            <w:tcW w:w="2282"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vertAlign w:val="baseline"/>
                <w:lang w:val="en-US" w:eastAsia="zh-CN"/>
              </w:rPr>
            </w:pPr>
            <w:r>
              <w:rPr>
                <w:rFonts w:hint="eastAsia" w:eastAsia="宋体"/>
                <w:sz w:val="21"/>
                <w:vertAlign w:val="baseline"/>
                <w:lang w:val="en-US" w:eastAsia="zh-CN"/>
              </w:rPr>
              <w:t>门诊部、放射室、</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eastAsia="宋体"/>
                <w:sz w:val="21"/>
                <w:vertAlign w:val="baseline"/>
                <w:lang w:val="en-US" w:eastAsia="zh-CN"/>
              </w:rPr>
              <w:t>化验室、药房、</w:t>
            </w:r>
            <w:r>
              <w:rPr>
                <w:rFonts w:hint="eastAsia" w:cs="Times New Roman"/>
                <w:sz w:val="21"/>
                <w:szCs w:val="21"/>
                <w:lang w:val="en-US" w:eastAsia="zh-CN"/>
              </w:rPr>
              <w:t>收费室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0" w:type="dxa"/>
            <w:tcBorders>
              <w:top w:val="single" w:color="auto" w:sz="6" w:space="0"/>
              <w:left w:val="nil"/>
              <w:bottom w:val="single" w:color="auto" w:sz="6" w:space="0"/>
              <w:right w:val="single" w:color="auto" w:sz="6" w:space="0"/>
            </w:tcBorders>
            <w:vAlign w:val="center"/>
          </w:tcPr>
          <w:p>
            <w:pPr>
              <w:jc w:val="center"/>
              <w:rPr>
                <w:rFonts w:hint="eastAsia"/>
                <w:vertAlign w:val="baseline"/>
                <w:lang w:val="en-US" w:eastAsia="zh-CN"/>
              </w:rPr>
            </w:pPr>
            <w:r>
              <w:rPr>
                <w:rFonts w:hint="eastAsia"/>
                <w:vertAlign w:val="baseline"/>
                <w:lang w:val="en-US" w:eastAsia="zh-CN"/>
              </w:rPr>
              <w:t>2</w:t>
            </w:r>
          </w:p>
        </w:tc>
        <w:tc>
          <w:tcPr>
            <w:tcW w:w="1680"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eastAsia="宋体"/>
                <w:sz w:val="21"/>
                <w:lang w:val="en-US" w:eastAsia="zh-CN"/>
              </w:rPr>
            </w:pPr>
            <w:r>
              <w:rPr>
                <w:rFonts w:hint="eastAsia" w:eastAsia="宋体"/>
                <w:sz w:val="21"/>
                <w:lang w:val="en-US" w:eastAsia="zh-CN"/>
              </w:rPr>
              <w:t>二楼住宿区、</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eastAsia="宋体"/>
                <w:sz w:val="21"/>
                <w:lang w:val="en-US" w:eastAsia="zh-CN"/>
              </w:rPr>
              <w:t>办公区</w:t>
            </w:r>
          </w:p>
        </w:tc>
        <w:tc>
          <w:tcPr>
            <w:tcW w:w="3886"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sz w:val="21"/>
              </w:rPr>
              <w:t xml:space="preserve">租赁，建筑面积 </w:t>
            </w:r>
            <w:r>
              <w:rPr>
                <w:rFonts w:hint="eastAsia" w:ascii="Times New Roman" w:eastAsia="宋体"/>
                <w:sz w:val="21"/>
                <w:lang w:val="en-US" w:eastAsia="zh-CN"/>
              </w:rPr>
              <w:t>980</w:t>
            </w:r>
            <w:r>
              <w:rPr>
                <w:rFonts w:ascii="Times New Roman" w:eastAsia="Times New Roman"/>
                <w:sz w:val="21"/>
              </w:rPr>
              <w:t>m</w:t>
            </w:r>
            <w:r>
              <w:rPr>
                <w:rFonts w:ascii="Times New Roman" w:eastAsia="Times New Roman"/>
                <w:sz w:val="21"/>
                <w:vertAlign w:val="superscript"/>
              </w:rPr>
              <w:t>2</w:t>
            </w:r>
            <w:r>
              <w:rPr>
                <w:sz w:val="21"/>
                <w:vertAlign w:val="baseline"/>
              </w:rPr>
              <w:t>，设置有</w:t>
            </w:r>
            <w:r>
              <w:rPr>
                <w:rFonts w:hint="eastAsia" w:eastAsia="宋体"/>
                <w:sz w:val="21"/>
                <w:vertAlign w:val="baseline"/>
                <w:lang w:val="en-US" w:eastAsia="zh-CN"/>
              </w:rPr>
              <w:t>住院区</w:t>
            </w:r>
          </w:p>
        </w:tc>
        <w:tc>
          <w:tcPr>
            <w:tcW w:w="2282"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资料室、库房、</w:t>
            </w:r>
          </w:p>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cs="Times New Roman"/>
                <w:sz w:val="21"/>
                <w:szCs w:val="21"/>
                <w:lang w:val="en-US" w:eastAsia="zh-CN"/>
              </w:rPr>
              <w:t>宿舍、办公室、档案室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0" w:type="dxa"/>
            <w:tcBorders>
              <w:top w:val="single" w:color="auto" w:sz="6" w:space="0"/>
              <w:left w:val="nil"/>
              <w:bottom w:val="single" w:color="auto" w:sz="6" w:space="0"/>
              <w:right w:val="single" w:color="auto" w:sz="6" w:space="0"/>
            </w:tcBorders>
            <w:vAlign w:val="center"/>
          </w:tcPr>
          <w:p>
            <w:pPr>
              <w:jc w:val="center"/>
              <w:rPr>
                <w:rFonts w:hint="eastAsia"/>
                <w:vertAlign w:val="baseline"/>
                <w:lang w:val="en-US" w:eastAsia="zh-CN"/>
              </w:rPr>
            </w:pPr>
            <w:r>
              <w:rPr>
                <w:rFonts w:hint="eastAsia"/>
                <w:vertAlign w:val="baseline"/>
                <w:lang w:val="en-US" w:eastAsia="zh-CN"/>
              </w:rPr>
              <w:t>3</w:t>
            </w:r>
          </w:p>
        </w:tc>
        <w:tc>
          <w:tcPr>
            <w:tcW w:w="1680"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eastAsia="宋体"/>
                <w:sz w:val="21"/>
                <w:lang w:val="en-US" w:eastAsia="zh-CN"/>
              </w:rPr>
              <w:t>废气治理</w:t>
            </w:r>
          </w:p>
        </w:tc>
        <w:tc>
          <w:tcPr>
            <w:tcW w:w="3886"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ascii="Times New Roman" w:hAnsi="Times New Roman"/>
                <w:szCs w:val="21"/>
              </w:rPr>
              <w:t>食堂油烟废气</w:t>
            </w:r>
            <w:r>
              <w:rPr>
                <w:rFonts w:hint="eastAsia" w:ascii="Times New Roman" w:hAnsi="Times New Roman"/>
                <w:szCs w:val="21"/>
              </w:rPr>
              <w:t>经过高效油烟净化器净化处理后通过烟囱屋顶排出，</w:t>
            </w:r>
            <w:r>
              <w:rPr>
                <w:rFonts w:ascii="Times New Roman" w:hAnsi="Times New Roman"/>
                <w:szCs w:val="21"/>
              </w:rPr>
              <w:t>备用发电废气</w:t>
            </w:r>
            <w:r>
              <w:rPr>
                <w:rFonts w:hint="eastAsia" w:ascii="Times New Roman" w:hAnsi="Times New Roman"/>
                <w:szCs w:val="21"/>
              </w:rPr>
              <w:t>经过通风系统由烟囱引至屋顶排出，污水处理装置采用密闭设计减少恶臭气体排放量</w:t>
            </w:r>
            <w:r>
              <w:rPr>
                <w:rFonts w:hint="eastAsia" w:ascii="Times New Roman" w:hAnsi="Times New Roman" w:eastAsia="宋体"/>
                <w:szCs w:val="21"/>
                <w:lang w:eastAsia="zh-CN"/>
              </w:rPr>
              <w:t>。</w:t>
            </w:r>
          </w:p>
        </w:tc>
        <w:tc>
          <w:tcPr>
            <w:tcW w:w="2282" w:type="dxa"/>
            <w:tcBorders>
              <w:top w:val="single" w:color="auto" w:sz="6" w:space="0"/>
              <w:left w:val="single" w:color="auto" w:sz="6" w:space="0"/>
              <w:bottom w:val="single" w:color="auto" w:sz="6"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cs="Times New Roman"/>
                <w:color w:val="auto"/>
                <w:sz w:val="21"/>
                <w:szCs w:val="21"/>
                <w:lang w:val="en-US" w:eastAsia="zh-CN"/>
              </w:rPr>
              <w:t>集气罩收集</w:t>
            </w:r>
            <w:r>
              <w:rPr>
                <w:rFonts w:hint="default" w:ascii="Times New Roman" w:hAnsi="Times New Roman" w:cs="Times New Roman"/>
                <w:sz w:val="21"/>
                <w:szCs w:val="21"/>
                <w:lang w:val="en-US" w:eastAsia="zh-CN"/>
              </w:rPr>
              <w:t>，25</w:t>
            </w:r>
            <w:r>
              <w:rPr>
                <w:rFonts w:hint="eastAsia" w:ascii="Times New Roman" w:hAnsi="Times New Roman" w:cs="Times New Roman"/>
                <w:sz w:val="21"/>
                <w:szCs w:val="21"/>
                <w:lang w:val="en-US" w:eastAsia="zh-CN"/>
              </w:rPr>
              <w:t>m</w:t>
            </w:r>
            <w:r>
              <w:rPr>
                <w:rFonts w:hint="eastAsia" w:cs="Times New Roman"/>
                <w:sz w:val="21"/>
                <w:szCs w:val="21"/>
                <w:lang w:val="en-US" w:eastAsia="zh-CN"/>
              </w:rPr>
              <w:t>排气筒高于屋顶排放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0" w:type="dxa"/>
            <w:tcBorders>
              <w:top w:val="single" w:color="auto" w:sz="6" w:space="0"/>
              <w:left w:val="nil"/>
              <w:bottom w:val="single" w:color="auto" w:sz="12" w:space="0"/>
              <w:right w:val="single" w:color="auto" w:sz="6" w:space="0"/>
            </w:tcBorders>
            <w:vAlign w:val="center"/>
          </w:tcPr>
          <w:p>
            <w:pPr>
              <w:jc w:val="center"/>
              <w:rPr>
                <w:rFonts w:hint="eastAsia"/>
                <w:vertAlign w:val="baseline"/>
                <w:lang w:val="en-US" w:eastAsia="zh-CN"/>
              </w:rPr>
            </w:pPr>
            <w:r>
              <w:rPr>
                <w:rFonts w:hint="eastAsia"/>
                <w:vertAlign w:val="baseline"/>
                <w:lang w:val="en-US" w:eastAsia="zh-CN"/>
              </w:rPr>
              <w:t>4</w:t>
            </w:r>
          </w:p>
        </w:tc>
        <w:tc>
          <w:tcPr>
            <w:tcW w:w="1680" w:type="dxa"/>
            <w:tcBorders>
              <w:top w:val="single" w:color="auto" w:sz="6" w:space="0"/>
              <w:left w:val="single" w:color="auto" w:sz="6" w:space="0"/>
              <w:bottom w:val="single" w:color="auto" w:sz="12"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ascii="Times New Roman" w:hAnsi="Times New Roman"/>
              </w:rPr>
              <w:t>废水治理</w:t>
            </w:r>
          </w:p>
        </w:tc>
        <w:tc>
          <w:tcPr>
            <w:tcW w:w="3886" w:type="dxa"/>
            <w:tcBorders>
              <w:top w:val="single" w:color="auto" w:sz="6" w:space="0"/>
              <w:left w:val="single" w:color="auto" w:sz="6" w:space="0"/>
              <w:bottom w:val="single" w:color="auto" w:sz="12"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ascii="Times New Roman" w:hAnsi="Times New Roman"/>
                <w:color w:val="000000"/>
                <w:szCs w:val="21"/>
              </w:rPr>
              <w:t>化验废水经预处理，食堂废水经隔油池处理后与医院污水经化粪池处理后一起排入污水处理站处理，处理</w:t>
            </w:r>
            <w:r>
              <w:rPr>
                <w:rFonts w:ascii="Times New Roman" w:hAnsi="Times New Roman"/>
                <w:bCs/>
              </w:rPr>
              <w:t>达《医疗机构水污染物排放标准》</w:t>
            </w:r>
            <w:r>
              <w:rPr>
                <w:rFonts w:ascii="Times New Roman" w:hAnsi="Times New Roman"/>
                <w:szCs w:val="21"/>
              </w:rPr>
              <w:t>（GB1</w:t>
            </w:r>
            <w:r>
              <w:rPr>
                <w:rFonts w:hint="eastAsia" w:ascii="Times New Roman" w:hAnsi="Times New Roman"/>
                <w:szCs w:val="21"/>
              </w:rPr>
              <w:t>8466</w:t>
            </w:r>
            <w:r>
              <w:rPr>
                <w:rFonts w:ascii="Times New Roman" w:hAnsi="Times New Roman"/>
                <w:szCs w:val="21"/>
              </w:rPr>
              <w:t>-20</w:t>
            </w:r>
            <w:r>
              <w:rPr>
                <w:rFonts w:hint="eastAsia" w:ascii="Times New Roman" w:hAnsi="Times New Roman"/>
                <w:szCs w:val="21"/>
              </w:rPr>
              <w:t>05</w:t>
            </w:r>
            <w:r>
              <w:rPr>
                <w:rFonts w:ascii="Times New Roman" w:hAnsi="Times New Roman"/>
                <w:szCs w:val="21"/>
              </w:rPr>
              <w:t>）</w:t>
            </w:r>
            <w:r>
              <w:rPr>
                <w:rFonts w:ascii="Times New Roman" w:hAnsi="Times New Roman"/>
                <w:bCs/>
              </w:rPr>
              <w:t>表2中</w:t>
            </w:r>
            <w:r>
              <w:rPr>
                <w:rFonts w:hint="eastAsia" w:ascii="Times New Roman" w:hAnsi="Times New Roman"/>
                <w:bCs/>
              </w:rPr>
              <w:t>排放</w:t>
            </w:r>
            <w:r>
              <w:rPr>
                <w:rFonts w:ascii="Times New Roman" w:hAnsi="Times New Roman"/>
                <w:bCs/>
              </w:rPr>
              <w:t>标准后</w:t>
            </w:r>
            <w:r>
              <w:rPr>
                <w:rFonts w:hint="eastAsia" w:ascii="Times New Roman" w:hAnsi="Times New Roman"/>
                <w:bCs/>
              </w:rPr>
              <w:t>外排</w:t>
            </w:r>
          </w:p>
        </w:tc>
        <w:tc>
          <w:tcPr>
            <w:tcW w:w="2282" w:type="dxa"/>
            <w:tcBorders>
              <w:top w:val="single" w:color="auto" w:sz="6" w:space="0"/>
              <w:left w:val="single" w:color="auto" w:sz="6" w:space="0"/>
              <w:bottom w:val="single" w:color="auto" w:sz="12" w:space="0"/>
              <w:right w:val="nil"/>
            </w:tcBorders>
            <w:vAlign w:val="center"/>
          </w:tcPr>
          <w:p>
            <w:pPr>
              <w:pStyle w:val="8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vertAlign w:val="baseline"/>
                <w:lang w:val="en-US" w:eastAsia="zh-CN"/>
              </w:rPr>
            </w:pPr>
            <w:r>
              <w:rPr>
                <w:rFonts w:hint="eastAsia" w:eastAsia="宋体"/>
                <w:sz w:val="21"/>
                <w:lang w:val="en-US" w:eastAsia="zh-CN"/>
              </w:rPr>
              <w:t>未建设隔油池</w:t>
            </w:r>
          </w:p>
        </w:tc>
      </w:tr>
    </w:tbl>
    <w:p>
      <w:pPr>
        <w:rPr>
          <w:rFonts w:hint="eastAsia"/>
          <w:lang w:val="en-US" w:eastAsia="zh-CN"/>
        </w:rPr>
      </w:pPr>
    </w:p>
    <w:p>
      <w:pPr>
        <w:pStyle w:val="3"/>
        <w:spacing w:before="0" w:after="0" w:line="520" w:lineRule="exact"/>
        <w:rPr>
          <w:rFonts w:hint="eastAsia"/>
          <w:sz w:val="32"/>
          <w:szCs w:val="32"/>
        </w:rPr>
      </w:pPr>
      <w:bookmarkStart w:id="27" w:name="_Toc19492"/>
      <w:r>
        <w:rPr>
          <w:rFonts w:hint="eastAsia"/>
          <w:sz w:val="32"/>
          <w:szCs w:val="32"/>
          <w:lang w:val="en-US" w:eastAsia="zh-CN"/>
        </w:rPr>
        <w:t>4</w:t>
      </w:r>
      <w:r>
        <w:rPr>
          <w:rFonts w:hint="eastAsia"/>
          <w:sz w:val="32"/>
          <w:szCs w:val="32"/>
        </w:rPr>
        <w:t xml:space="preserve"> </w:t>
      </w:r>
      <w:bookmarkEnd w:id="23"/>
      <w:bookmarkEnd w:id="24"/>
      <w:r>
        <w:rPr>
          <w:sz w:val="32"/>
          <w:szCs w:val="32"/>
        </w:rPr>
        <w:t>环境</w:t>
      </w:r>
      <w:r>
        <w:rPr>
          <w:rFonts w:hint="eastAsia"/>
          <w:sz w:val="32"/>
          <w:szCs w:val="32"/>
        </w:rPr>
        <w:t>保护设施</w:t>
      </w:r>
      <w:bookmarkEnd w:id="27"/>
    </w:p>
    <w:p>
      <w:pPr>
        <w:pStyle w:val="4"/>
        <w:spacing w:before="156" w:beforeLines="50" w:after="156" w:afterLines="50" w:line="620" w:lineRule="exact"/>
        <w:rPr>
          <w:rFonts w:ascii="Times New Roman" w:hAnsi="Times New Roman" w:eastAsia="宋体"/>
          <w:sz w:val="28"/>
          <w:szCs w:val="28"/>
        </w:rPr>
      </w:pPr>
      <w:bookmarkStart w:id="28" w:name="_Toc15985"/>
      <w:bookmarkStart w:id="29" w:name="_Toc5077"/>
      <w:bookmarkStart w:id="30" w:name="_Toc18834"/>
      <w:r>
        <w:rPr>
          <w:rFonts w:hint="eastAsia" w:ascii="Times New Roman" w:hAnsi="Times New Roman" w:eastAsia="宋体"/>
          <w:sz w:val="28"/>
          <w:szCs w:val="28"/>
        </w:rPr>
        <w:t>4</w:t>
      </w:r>
      <w:r>
        <w:rPr>
          <w:rFonts w:ascii="Times New Roman" w:hAnsi="Times New Roman" w:eastAsia="宋体"/>
          <w:sz w:val="28"/>
          <w:szCs w:val="28"/>
        </w:rPr>
        <w:t>.</w:t>
      </w:r>
      <w:r>
        <w:rPr>
          <w:rFonts w:hint="eastAsia" w:ascii="Times New Roman" w:hAnsi="Times New Roman" w:eastAsia="宋体"/>
          <w:sz w:val="28"/>
          <w:szCs w:val="28"/>
        </w:rPr>
        <w:t>1</w:t>
      </w:r>
      <w:r>
        <w:rPr>
          <w:rFonts w:ascii="Times New Roman" w:hAnsi="Times New Roman" w:eastAsia="宋体"/>
          <w:sz w:val="28"/>
          <w:szCs w:val="28"/>
        </w:rPr>
        <w:t>污染</w:t>
      </w:r>
      <w:r>
        <w:rPr>
          <w:rFonts w:hint="eastAsia" w:ascii="Times New Roman" w:hAnsi="Times New Roman" w:eastAsia="宋体"/>
          <w:sz w:val="28"/>
          <w:szCs w:val="28"/>
        </w:rPr>
        <w:t>物治理/处置设施</w:t>
      </w:r>
      <w:bookmarkEnd w:id="28"/>
      <w:bookmarkEnd w:id="29"/>
      <w:bookmarkEnd w:id="30"/>
    </w:p>
    <w:p>
      <w:pPr>
        <w:spacing w:line="640" w:lineRule="exact"/>
        <w:rPr>
          <w:sz w:val="24"/>
        </w:rPr>
      </w:pPr>
      <w:r>
        <w:rPr>
          <w:rFonts w:hint="eastAsia"/>
          <w:sz w:val="24"/>
          <w:lang w:val="en-US" w:eastAsia="zh-CN"/>
        </w:rPr>
        <w:t>4.1.1</w:t>
      </w:r>
      <w:r>
        <w:rPr>
          <w:rFonts w:hint="eastAsia"/>
          <w:sz w:val="24"/>
        </w:rPr>
        <w:t>废气污染物产生、治理及排放情况分析</w:t>
      </w:r>
    </w:p>
    <w:p>
      <w:pPr>
        <w:pStyle w:val="69"/>
        <w:spacing w:line="640" w:lineRule="exact"/>
      </w:pPr>
      <w:r>
        <w:rPr>
          <w:rFonts w:hint="eastAsia"/>
        </w:rPr>
        <w:t>项目产生的废气主要为</w:t>
      </w:r>
      <w:r>
        <w:rPr>
          <w:rFonts w:hint="eastAsia"/>
          <w:lang w:val="en-US" w:eastAsia="zh-CN"/>
        </w:rPr>
        <w:t>污水处理站</w:t>
      </w:r>
      <w:r>
        <w:rPr>
          <w:rFonts w:hint="eastAsia"/>
        </w:rPr>
        <w:t>产生的异味、</w:t>
      </w:r>
      <w:r>
        <w:rPr>
          <w:rFonts w:hint="eastAsia"/>
          <w:lang w:val="en-US" w:eastAsia="zh-CN"/>
        </w:rPr>
        <w:t>食堂产生的油烟废气</w:t>
      </w:r>
      <w:r>
        <w:rPr>
          <w:rFonts w:hint="eastAsia"/>
        </w:rPr>
        <w:t>。项目废气污染物治理措施见表</w:t>
      </w:r>
      <w:r>
        <w:rPr>
          <w:rFonts w:hint="eastAsia"/>
          <w:lang w:val="en-US" w:eastAsia="zh-CN"/>
        </w:rPr>
        <w:t>4-1</w:t>
      </w:r>
      <w:r>
        <w:rPr>
          <w:rFonts w:hint="eastAsia"/>
        </w:rPr>
        <w:t>。</w:t>
      </w:r>
    </w:p>
    <w:p>
      <w:pPr>
        <w:spacing w:line="520" w:lineRule="exact"/>
        <w:ind w:firstLine="422" w:firstLineChars="200"/>
        <w:jc w:val="center"/>
        <w:rPr>
          <w:b/>
        </w:rPr>
      </w:pPr>
      <w:r>
        <w:rPr>
          <w:rFonts w:hint="eastAsia"/>
          <w:b/>
        </w:rPr>
        <w:t>表</w:t>
      </w:r>
      <w:r>
        <w:rPr>
          <w:rFonts w:hint="eastAsia"/>
          <w:b/>
          <w:lang w:val="en-US" w:eastAsia="zh-CN"/>
        </w:rPr>
        <w:t>4-1</w:t>
      </w:r>
      <w:r>
        <w:rPr>
          <w:rFonts w:hint="eastAsia"/>
          <w:b/>
        </w:rPr>
        <w:t>废气污染物治理措施一览表</w:t>
      </w:r>
    </w:p>
    <w:tbl>
      <w:tblPr>
        <w:tblStyle w:val="32"/>
        <w:tblW w:w="90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4"/>
        <w:gridCol w:w="1622"/>
        <w:gridCol w:w="1768"/>
        <w:gridCol w:w="3520"/>
        <w:gridCol w:w="14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664" w:type="dxa"/>
            <w:vAlign w:val="center"/>
          </w:tcPr>
          <w:p>
            <w:pPr>
              <w:spacing w:line="240" w:lineRule="exact"/>
              <w:jc w:val="center"/>
              <w:rPr>
                <w:b/>
                <w:szCs w:val="21"/>
              </w:rPr>
            </w:pPr>
            <w:r>
              <w:rPr>
                <w:rFonts w:hint="eastAsia"/>
                <w:b/>
                <w:szCs w:val="21"/>
              </w:rPr>
              <w:t>序号</w:t>
            </w:r>
          </w:p>
        </w:tc>
        <w:tc>
          <w:tcPr>
            <w:tcW w:w="1622" w:type="dxa"/>
            <w:vAlign w:val="center"/>
          </w:tcPr>
          <w:p>
            <w:pPr>
              <w:spacing w:line="240" w:lineRule="exact"/>
              <w:jc w:val="center"/>
              <w:rPr>
                <w:b/>
                <w:szCs w:val="21"/>
              </w:rPr>
            </w:pPr>
            <w:r>
              <w:rPr>
                <w:b/>
                <w:szCs w:val="21"/>
              </w:rPr>
              <w:t>产污环节</w:t>
            </w:r>
          </w:p>
        </w:tc>
        <w:tc>
          <w:tcPr>
            <w:tcW w:w="1768" w:type="dxa"/>
            <w:vAlign w:val="center"/>
          </w:tcPr>
          <w:p>
            <w:pPr>
              <w:spacing w:line="240" w:lineRule="exact"/>
              <w:jc w:val="center"/>
              <w:rPr>
                <w:b/>
                <w:szCs w:val="21"/>
              </w:rPr>
            </w:pPr>
            <w:r>
              <w:rPr>
                <w:b/>
                <w:szCs w:val="21"/>
              </w:rPr>
              <w:t>主要污染因子</w:t>
            </w:r>
          </w:p>
        </w:tc>
        <w:tc>
          <w:tcPr>
            <w:tcW w:w="3520" w:type="dxa"/>
            <w:tcBorders>
              <w:left w:val="single" w:color="auto" w:sz="4" w:space="0"/>
              <w:right w:val="single" w:color="auto" w:sz="4" w:space="0"/>
            </w:tcBorders>
            <w:vAlign w:val="center"/>
          </w:tcPr>
          <w:p>
            <w:pPr>
              <w:spacing w:line="240" w:lineRule="exact"/>
              <w:jc w:val="center"/>
              <w:rPr>
                <w:b/>
                <w:szCs w:val="21"/>
              </w:rPr>
            </w:pPr>
            <w:r>
              <w:rPr>
                <w:b/>
                <w:szCs w:val="21"/>
              </w:rPr>
              <w:t>治理措施</w:t>
            </w:r>
          </w:p>
        </w:tc>
        <w:tc>
          <w:tcPr>
            <w:tcW w:w="1497" w:type="dxa"/>
            <w:tcBorders>
              <w:left w:val="single" w:color="auto" w:sz="4" w:space="0"/>
            </w:tcBorders>
            <w:vAlign w:val="center"/>
          </w:tcPr>
          <w:p>
            <w:pPr>
              <w:spacing w:line="240" w:lineRule="exact"/>
              <w:jc w:val="center"/>
              <w:rPr>
                <w:b/>
                <w:szCs w:val="21"/>
              </w:rPr>
            </w:pPr>
            <w:r>
              <w:rPr>
                <w:rFonts w:hint="eastAsia"/>
                <w:b/>
                <w:szCs w:val="21"/>
              </w:rPr>
              <w:t>排放方式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64" w:type="dxa"/>
            <w:vAlign w:val="center"/>
          </w:tcPr>
          <w:p>
            <w:pPr>
              <w:spacing w:line="240" w:lineRule="exact"/>
              <w:jc w:val="center"/>
              <w:rPr>
                <w:szCs w:val="21"/>
              </w:rPr>
            </w:pPr>
            <w:r>
              <w:rPr>
                <w:rFonts w:hint="eastAsia"/>
                <w:szCs w:val="21"/>
              </w:rPr>
              <w:t>1</w:t>
            </w:r>
          </w:p>
        </w:tc>
        <w:tc>
          <w:tcPr>
            <w:tcW w:w="1622" w:type="dxa"/>
            <w:vAlign w:val="center"/>
          </w:tcPr>
          <w:p>
            <w:pPr>
              <w:spacing w:line="240" w:lineRule="exact"/>
              <w:jc w:val="center"/>
              <w:rPr>
                <w:rFonts w:hint="eastAsia"/>
                <w:szCs w:val="21"/>
                <w:lang w:val="en-US" w:eastAsia="zh-CN"/>
              </w:rPr>
            </w:pPr>
            <w:r>
              <w:rPr>
                <w:rFonts w:hint="eastAsia"/>
                <w:szCs w:val="21"/>
                <w:lang w:val="en-US" w:eastAsia="zh-CN"/>
              </w:rPr>
              <w:t>化粪池、</w:t>
            </w:r>
          </w:p>
          <w:p>
            <w:pPr>
              <w:spacing w:line="240" w:lineRule="exact"/>
              <w:ind w:firstLine="210" w:firstLineChars="100"/>
              <w:jc w:val="both"/>
              <w:rPr>
                <w:rFonts w:hint="eastAsia" w:eastAsia="宋体"/>
                <w:szCs w:val="21"/>
                <w:lang w:val="en-US" w:eastAsia="zh-CN"/>
              </w:rPr>
            </w:pPr>
            <w:r>
              <w:rPr>
                <w:rFonts w:hint="eastAsia"/>
                <w:szCs w:val="21"/>
                <w:lang w:val="en-US" w:eastAsia="zh-CN"/>
              </w:rPr>
              <w:t>污水处理站</w:t>
            </w:r>
          </w:p>
        </w:tc>
        <w:tc>
          <w:tcPr>
            <w:tcW w:w="1768" w:type="dxa"/>
            <w:vAlign w:val="center"/>
          </w:tcPr>
          <w:p>
            <w:pPr>
              <w:spacing w:line="240" w:lineRule="exact"/>
              <w:jc w:val="center"/>
              <w:rPr>
                <w:szCs w:val="21"/>
              </w:rPr>
            </w:pPr>
            <w:r>
              <w:rPr>
                <w:rFonts w:hint="eastAsia"/>
                <w:szCs w:val="21"/>
              </w:rPr>
              <w:t>氨、硫化氢、</w:t>
            </w:r>
          </w:p>
          <w:p>
            <w:pPr>
              <w:spacing w:line="240" w:lineRule="exact"/>
              <w:jc w:val="center"/>
              <w:rPr>
                <w:color w:val="FF0000"/>
                <w:szCs w:val="21"/>
              </w:rPr>
            </w:pPr>
            <w:r>
              <w:rPr>
                <w:rFonts w:hint="eastAsia"/>
                <w:szCs w:val="21"/>
              </w:rPr>
              <w:t>臭气浓度、氯气</w:t>
            </w:r>
          </w:p>
        </w:tc>
        <w:tc>
          <w:tcPr>
            <w:tcW w:w="3520" w:type="dxa"/>
            <w:tcBorders>
              <w:left w:val="single" w:color="auto" w:sz="4" w:space="0"/>
              <w:right w:val="single" w:color="auto" w:sz="4" w:space="0"/>
            </w:tcBorders>
            <w:vAlign w:val="center"/>
          </w:tcPr>
          <w:p>
            <w:pPr>
              <w:spacing w:line="240" w:lineRule="exact"/>
              <w:jc w:val="center"/>
              <w:rPr>
                <w:szCs w:val="21"/>
              </w:rPr>
            </w:pPr>
            <w:r>
              <w:rPr>
                <w:rFonts w:hint="eastAsia" w:ascii="Times New Roman" w:hAnsi="Times New Roman"/>
                <w:szCs w:val="21"/>
                <w:u w:val="none"/>
              </w:rPr>
              <w:t>化粪池、</w:t>
            </w:r>
            <w:r>
              <w:rPr>
                <w:rFonts w:hint="eastAsia"/>
                <w:szCs w:val="21"/>
                <w:u w:val="none"/>
                <w:lang w:val="en-US" w:eastAsia="zh-CN"/>
              </w:rPr>
              <w:t>污水处理站</w:t>
            </w:r>
            <w:r>
              <w:rPr>
                <w:rFonts w:hint="eastAsia" w:ascii="Times New Roman" w:hAnsi="Times New Roman"/>
                <w:szCs w:val="21"/>
                <w:u w:val="none"/>
              </w:rPr>
              <w:t>密闭</w:t>
            </w:r>
          </w:p>
        </w:tc>
        <w:tc>
          <w:tcPr>
            <w:tcW w:w="1497" w:type="dxa"/>
            <w:tcBorders>
              <w:left w:val="single" w:color="auto" w:sz="4" w:space="0"/>
            </w:tcBorders>
            <w:vAlign w:val="center"/>
          </w:tcPr>
          <w:p>
            <w:pPr>
              <w:spacing w:line="240" w:lineRule="exact"/>
              <w:jc w:val="center"/>
              <w:rPr>
                <w:szCs w:val="21"/>
              </w:rPr>
            </w:pPr>
            <w:r>
              <w:rPr>
                <w:rFonts w:hint="eastAsia"/>
                <w:szCs w:val="21"/>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64" w:type="dxa"/>
            <w:vAlign w:val="center"/>
          </w:tcPr>
          <w:p>
            <w:pPr>
              <w:spacing w:line="240" w:lineRule="exact"/>
              <w:jc w:val="center"/>
              <w:rPr>
                <w:szCs w:val="21"/>
              </w:rPr>
            </w:pPr>
            <w:r>
              <w:rPr>
                <w:rFonts w:hint="eastAsia"/>
                <w:szCs w:val="21"/>
              </w:rPr>
              <w:t>2</w:t>
            </w:r>
          </w:p>
        </w:tc>
        <w:tc>
          <w:tcPr>
            <w:tcW w:w="1622" w:type="dxa"/>
            <w:vAlign w:val="center"/>
          </w:tcPr>
          <w:p>
            <w:pPr>
              <w:spacing w:line="240" w:lineRule="exact"/>
              <w:jc w:val="center"/>
              <w:rPr>
                <w:szCs w:val="21"/>
              </w:rPr>
            </w:pPr>
            <w:r>
              <w:rPr>
                <w:rFonts w:hint="eastAsia"/>
                <w:szCs w:val="21"/>
                <w:lang w:val="en-US" w:eastAsia="zh-CN"/>
              </w:rPr>
              <w:t>食堂</w:t>
            </w:r>
          </w:p>
        </w:tc>
        <w:tc>
          <w:tcPr>
            <w:tcW w:w="1768" w:type="dxa"/>
            <w:vAlign w:val="center"/>
          </w:tcPr>
          <w:p>
            <w:pPr>
              <w:spacing w:line="240" w:lineRule="exact"/>
              <w:jc w:val="center"/>
              <w:rPr>
                <w:szCs w:val="21"/>
              </w:rPr>
            </w:pPr>
            <w:r>
              <w:rPr>
                <w:rFonts w:hint="eastAsia"/>
                <w:szCs w:val="21"/>
                <w:lang w:val="en-US" w:eastAsia="zh-CN"/>
              </w:rPr>
              <w:t>油烟</w:t>
            </w:r>
          </w:p>
        </w:tc>
        <w:tc>
          <w:tcPr>
            <w:tcW w:w="3520" w:type="dxa"/>
            <w:tcBorders>
              <w:left w:val="single" w:color="auto" w:sz="4" w:space="0"/>
              <w:right w:val="single" w:color="auto" w:sz="4" w:space="0"/>
            </w:tcBorders>
            <w:vAlign w:val="center"/>
          </w:tcPr>
          <w:p>
            <w:pPr>
              <w:spacing w:line="240" w:lineRule="exact"/>
              <w:jc w:val="center"/>
              <w:rPr>
                <w:rFonts w:hint="eastAsia" w:eastAsia="宋体"/>
                <w:szCs w:val="21"/>
                <w:lang w:val="en-US" w:eastAsia="zh-CN"/>
              </w:rPr>
            </w:pPr>
            <w:r>
              <w:rPr>
                <w:rFonts w:hint="eastAsia"/>
                <w:szCs w:val="21"/>
                <w:lang w:val="en-US" w:eastAsia="zh-CN"/>
              </w:rPr>
              <w:t>集气罩收集，25m排气筒排放</w:t>
            </w:r>
          </w:p>
        </w:tc>
        <w:tc>
          <w:tcPr>
            <w:tcW w:w="1497" w:type="dxa"/>
            <w:tcBorders>
              <w:left w:val="single" w:color="auto" w:sz="4" w:space="0"/>
            </w:tcBorders>
            <w:vAlign w:val="center"/>
          </w:tcPr>
          <w:p>
            <w:pPr>
              <w:spacing w:line="240" w:lineRule="exact"/>
              <w:jc w:val="center"/>
              <w:rPr>
                <w:szCs w:val="21"/>
              </w:rPr>
            </w:pPr>
            <w:r>
              <w:rPr>
                <w:rFonts w:hint="eastAsia"/>
                <w:szCs w:val="21"/>
                <w:lang w:val="en-US" w:eastAsia="zh-CN"/>
              </w:rPr>
              <w:t>有</w:t>
            </w:r>
            <w:r>
              <w:rPr>
                <w:rFonts w:hint="eastAsia"/>
                <w:szCs w:val="21"/>
              </w:rPr>
              <w:t>组织</w:t>
            </w:r>
          </w:p>
        </w:tc>
      </w:tr>
    </w:tbl>
    <w:p>
      <w:pPr>
        <w:spacing w:line="640" w:lineRule="exact"/>
        <w:rPr>
          <w:sz w:val="24"/>
        </w:rPr>
      </w:pPr>
      <w:r>
        <w:rPr>
          <w:rFonts w:hint="eastAsia"/>
          <w:sz w:val="24"/>
          <w:lang w:val="en-US" w:eastAsia="zh-CN"/>
        </w:rPr>
        <w:t>4.1.2</w:t>
      </w:r>
      <w:r>
        <w:rPr>
          <w:rFonts w:hint="eastAsia"/>
          <w:sz w:val="24"/>
        </w:rPr>
        <w:t>废水污染物产生、治理及排放情况分析</w:t>
      </w:r>
    </w:p>
    <w:p>
      <w:pPr>
        <w:spacing w:line="640" w:lineRule="exact"/>
        <w:ind w:firstLine="480" w:firstLineChars="200"/>
        <w:rPr>
          <w:rFonts w:hint="eastAsia" w:hAnsi="宋体"/>
          <w:sz w:val="24"/>
        </w:rPr>
      </w:pPr>
      <w:r>
        <w:rPr>
          <w:rFonts w:hint="eastAsia"/>
          <w:sz w:val="24"/>
        </w:rPr>
        <w:t>项目</w:t>
      </w:r>
      <w:r>
        <w:rPr>
          <w:rFonts w:hint="eastAsia" w:hAnsi="宋体"/>
          <w:sz w:val="24"/>
        </w:rPr>
        <w:t>产生的废水主要是一般医疗废水和生活污水，无特殊医疗废水产生。生活污水和医疗废水通过排污管道进入化粪池</w:t>
      </w:r>
      <w:r>
        <w:rPr>
          <w:rFonts w:hint="eastAsia" w:hAnsi="宋体"/>
          <w:sz w:val="24"/>
          <w:lang w:eastAsia="zh-CN"/>
        </w:rPr>
        <w:t>、</w:t>
      </w:r>
      <w:r>
        <w:rPr>
          <w:rFonts w:hint="eastAsia" w:hAnsi="宋体"/>
          <w:sz w:val="24"/>
          <w:lang w:val="en-US" w:eastAsia="zh-CN"/>
        </w:rPr>
        <w:t>污水处理站</w:t>
      </w:r>
      <w:r>
        <w:rPr>
          <w:rFonts w:hint="eastAsia" w:hAnsi="宋体"/>
          <w:sz w:val="24"/>
        </w:rPr>
        <w:t>处理后</w:t>
      </w:r>
      <w:r>
        <w:rPr>
          <w:rFonts w:hint="eastAsia" w:hAnsi="宋体"/>
          <w:sz w:val="24"/>
          <w:lang w:eastAsia="zh-CN"/>
        </w:rPr>
        <w:t>，</w:t>
      </w:r>
      <w:r>
        <w:rPr>
          <w:rFonts w:hint="eastAsia" w:hAnsi="宋体"/>
          <w:sz w:val="24"/>
          <w:lang w:val="en-US" w:eastAsia="zh-CN"/>
        </w:rPr>
        <w:t>排入</w:t>
      </w:r>
      <w:r>
        <w:rPr>
          <w:rFonts w:hint="eastAsia" w:hAnsi="宋体"/>
          <w:sz w:val="24"/>
        </w:rPr>
        <w:t>西侧排污渠进谢林港镇排水系统排入志溪河</w:t>
      </w:r>
      <w:r>
        <w:rPr>
          <w:rFonts w:hint="eastAsia" w:hAnsi="宋体"/>
          <w:sz w:val="24"/>
          <w:lang w:val="en-US" w:eastAsia="zh-CN"/>
        </w:rPr>
        <w:t>。</w:t>
      </w:r>
      <w:r>
        <w:rPr>
          <w:rFonts w:hint="eastAsia" w:hAnsi="宋体"/>
          <w:sz w:val="24"/>
        </w:rPr>
        <w:t>项目废水污染物治理措施见表</w:t>
      </w:r>
      <w:r>
        <w:rPr>
          <w:rFonts w:hint="eastAsia" w:hAnsi="宋体"/>
          <w:sz w:val="24"/>
          <w:lang w:val="en-US" w:eastAsia="zh-CN"/>
        </w:rPr>
        <w:t>4-2</w:t>
      </w:r>
      <w:r>
        <w:rPr>
          <w:rFonts w:hint="eastAsia" w:hAnsi="宋体"/>
          <w:sz w:val="24"/>
        </w:rPr>
        <w:t>。</w:t>
      </w:r>
    </w:p>
    <w:p>
      <w:pPr>
        <w:spacing w:line="600" w:lineRule="exact"/>
        <w:jc w:val="center"/>
        <w:rPr>
          <w:b/>
        </w:rPr>
      </w:pPr>
      <w:r>
        <w:rPr>
          <w:rFonts w:hint="eastAsia"/>
          <w:b/>
        </w:rPr>
        <w:t>表</w:t>
      </w:r>
      <w:r>
        <w:rPr>
          <w:rFonts w:hint="eastAsia"/>
          <w:b/>
          <w:lang w:val="en-US" w:eastAsia="zh-CN"/>
        </w:rPr>
        <w:t>4-2</w:t>
      </w:r>
      <w:r>
        <w:rPr>
          <w:rFonts w:hint="eastAsia"/>
          <w:b/>
        </w:rPr>
        <w:t>废水污染物治理措施一览表</w:t>
      </w:r>
    </w:p>
    <w:tbl>
      <w:tblPr>
        <w:tblStyle w:val="32"/>
        <w:tblW w:w="892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2"/>
        <w:gridCol w:w="1214"/>
        <w:gridCol w:w="2595"/>
        <w:gridCol w:w="1029"/>
        <w:gridCol w:w="1619"/>
        <w:gridCol w:w="18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652" w:type="dxa"/>
            <w:vAlign w:val="center"/>
          </w:tcPr>
          <w:p>
            <w:pPr>
              <w:spacing w:line="240" w:lineRule="exact"/>
              <w:jc w:val="center"/>
              <w:rPr>
                <w:b/>
                <w:szCs w:val="21"/>
              </w:rPr>
            </w:pPr>
            <w:r>
              <w:rPr>
                <w:rFonts w:hint="eastAsia"/>
                <w:b/>
                <w:szCs w:val="21"/>
              </w:rPr>
              <w:t>序号</w:t>
            </w:r>
          </w:p>
        </w:tc>
        <w:tc>
          <w:tcPr>
            <w:tcW w:w="1214" w:type="dxa"/>
            <w:vAlign w:val="center"/>
          </w:tcPr>
          <w:p>
            <w:pPr>
              <w:spacing w:line="240" w:lineRule="exact"/>
              <w:jc w:val="center"/>
              <w:rPr>
                <w:b/>
                <w:szCs w:val="21"/>
              </w:rPr>
            </w:pPr>
            <w:r>
              <w:rPr>
                <w:b/>
                <w:szCs w:val="21"/>
              </w:rPr>
              <w:t>产污环节</w:t>
            </w:r>
          </w:p>
        </w:tc>
        <w:tc>
          <w:tcPr>
            <w:tcW w:w="2595" w:type="dxa"/>
            <w:vAlign w:val="center"/>
          </w:tcPr>
          <w:p>
            <w:pPr>
              <w:spacing w:line="240" w:lineRule="exact"/>
              <w:jc w:val="center"/>
              <w:rPr>
                <w:b/>
                <w:szCs w:val="21"/>
              </w:rPr>
            </w:pPr>
            <w:r>
              <w:rPr>
                <w:b/>
                <w:szCs w:val="21"/>
              </w:rPr>
              <w:t>主要污染因子</w:t>
            </w:r>
          </w:p>
        </w:tc>
        <w:tc>
          <w:tcPr>
            <w:tcW w:w="1029" w:type="dxa"/>
            <w:vAlign w:val="center"/>
          </w:tcPr>
          <w:p>
            <w:pPr>
              <w:spacing w:line="240" w:lineRule="exact"/>
              <w:jc w:val="center"/>
              <w:rPr>
                <w:b/>
                <w:szCs w:val="21"/>
              </w:rPr>
            </w:pPr>
            <w:r>
              <w:rPr>
                <w:rFonts w:hint="eastAsia"/>
                <w:b/>
              </w:rPr>
              <w:t>排放量</w:t>
            </w:r>
          </w:p>
        </w:tc>
        <w:tc>
          <w:tcPr>
            <w:tcW w:w="1619" w:type="dxa"/>
            <w:vAlign w:val="center"/>
          </w:tcPr>
          <w:p>
            <w:pPr>
              <w:spacing w:line="240" w:lineRule="exact"/>
              <w:jc w:val="center"/>
              <w:rPr>
                <w:b/>
                <w:szCs w:val="21"/>
              </w:rPr>
            </w:pPr>
            <w:r>
              <w:rPr>
                <w:b/>
                <w:szCs w:val="21"/>
              </w:rPr>
              <w:t>治理措施</w:t>
            </w:r>
          </w:p>
        </w:tc>
        <w:tc>
          <w:tcPr>
            <w:tcW w:w="1812" w:type="dxa"/>
            <w:vAlign w:val="center"/>
          </w:tcPr>
          <w:p>
            <w:pPr>
              <w:spacing w:line="240" w:lineRule="exact"/>
              <w:jc w:val="center"/>
              <w:rPr>
                <w:b/>
                <w:szCs w:val="21"/>
                <w:highlight w:val="yellow"/>
              </w:rPr>
            </w:pPr>
            <w:r>
              <w:rPr>
                <w:rFonts w:hint="eastAsia"/>
                <w:b/>
                <w:szCs w:val="21"/>
              </w:rPr>
              <w:t>排放方式及去向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652" w:type="dxa"/>
            <w:vAlign w:val="center"/>
          </w:tcPr>
          <w:p>
            <w:pPr>
              <w:spacing w:line="240" w:lineRule="exact"/>
              <w:jc w:val="center"/>
              <w:rPr>
                <w:color w:val="FF0000"/>
                <w:szCs w:val="21"/>
              </w:rPr>
            </w:pPr>
            <w:r>
              <w:rPr>
                <w:rFonts w:hint="eastAsia"/>
                <w:color w:val="000000" w:themeColor="text1"/>
                <w:szCs w:val="21"/>
              </w:rPr>
              <w:t>1</w:t>
            </w:r>
          </w:p>
        </w:tc>
        <w:tc>
          <w:tcPr>
            <w:tcW w:w="1214" w:type="dxa"/>
            <w:vAlign w:val="center"/>
          </w:tcPr>
          <w:p>
            <w:pPr>
              <w:spacing w:line="240" w:lineRule="exact"/>
              <w:jc w:val="center"/>
              <w:rPr>
                <w:color w:val="FF0000"/>
                <w:szCs w:val="21"/>
              </w:rPr>
            </w:pPr>
            <w:r>
              <w:rPr>
                <w:rFonts w:hint="eastAsia"/>
                <w:szCs w:val="21"/>
              </w:rPr>
              <w:t>生活废水</w:t>
            </w:r>
          </w:p>
        </w:tc>
        <w:tc>
          <w:tcPr>
            <w:tcW w:w="2595" w:type="dxa"/>
            <w:vMerge w:val="restart"/>
            <w:vAlign w:val="center"/>
          </w:tcPr>
          <w:p>
            <w:pPr>
              <w:spacing w:line="260" w:lineRule="exact"/>
              <w:jc w:val="center"/>
              <w:rPr>
                <w:szCs w:val="21"/>
              </w:rPr>
            </w:pPr>
            <w:r>
              <w:rPr>
                <w:rFonts w:hint="eastAsia"/>
                <w:szCs w:val="21"/>
              </w:rPr>
              <w:t>化学需氧量、氨氮、</w:t>
            </w:r>
          </w:p>
          <w:p>
            <w:pPr>
              <w:spacing w:line="260" w:lineRule="exact"/>
              <w:jc w:val="center"/>
              <w:rPr>
                <w:szCs w:val="21"/>
              </w:rPr>
            </w:pPr>
            <w:r>
              <w:rPr>
                <w:rFonts w:hint="eastAsia"/>
                <w:szCs w:val="21"/>
              </w:rPr>
              <w:t>五日生化需氧量、悬浮物</w:t>
            </w:r>
          </w:p>
        </w:tc>
        <w:tc>
          <w:tcPr>
            <w:tcW w:w="1029" w:type="dxa"/>
            <w:vMerge w:val="restart"/>
            <w:vAlign w:val="center"/>
          </w:tcPr>
          <w:p>
            <w:pPr>
              <w:spacing w:line="240" w:lineRule="exact"/>
              <w:jc w:val="center"/>
              <w:rPr>
                <w:color w:val="FF0000"/>
                <w:szCs w:val="21"/>
              </w:rPr>
            </w:pPr>
            <w:r>
              <w:rPr>
                <w:rFonts w:hint="eastAsia"/>
                <w:color w:val="000000" w:themeColor="text1"/>
                <w:kern w:val="10"/>
                <w:lang w:val="en-US" w:eastAsia="zh-CN"/>
              </w:rPr>
              <w:t>1320</w:t>
            </w:r>
            <w:r>
              <w:rPr>
                <w:rFonts w:hint="eastAsia"/>
                <w:color w:val="000000" w:themeColor="text1"/>
                <w:kern w:val="10"/>
              </w:rPr>
              <w:t>t/a</w:t>
            </w:r>
          </w:p>
        </w:tc>
        <w:tc>
          <w:tcPr>
            <w:tcW w:w="1619" w:type="dxa"/>
            <w:vMerge w:val="restart"/>
            <w:vAlign w:val="center"/>
          </w:tcPr>
          <w:p>
            <w:pPr>
              <w:spacing w:line="240" w:lineRule="exact"/>
              <w:jc w:val="center"/>
              <w:rPr>
                <w:rFonts w:hint="default" w:eastAsia="宋体"/>
                <w:color w:val="FF0000"/>
                <w:szCs w:val="21"/>
                <w:lang w:val="en-US" w:eastAsia="zh-CN"/>
              </w:rPr>
            </w:pPr>
            <w:r>
              <w:rPr>
                <w:rFonts w:hint="eastAsia"/>
                <w:color w:val="auto"/>
                <w:kern w:val="10"/>
              </w:rPr>
              <w:t>化粪池、</w:t>
            </w:r>
            <w:r>
              <w:rPr>
                <w:rFonts w:hint="eastAsia"/>
                <w:color w:val="auto"/>
                <w:kern w:val="10"/>
                <w:lang w:val="en-US" w:eastAsia="zh-CN"/>
              </w:rPr>
              <w:t>污水处理站</w:t>
            </w:r>
          </w:p>
        </w:tc>
        <w:tc>
          <w:tcPr>
            <w:tcW w:w="1812" w:type="dxa"/>
            <w:vMerge w:val="restart"/>
            <w:vAlign w:val="center"/>
          </w:tcPr>
          <w:p>
            <w:pPr>
              <w:spacing w:line="240" w:lineRule="exact"/>
              <w:jc w:val="center"/>
              <w:rPr>
                <w:szCs w:val="21"/>
              </w:rPr>
            </w:pPr>
            <w:r>
              <w:rPr>
                <w:rFonts w:hint="eastAsia"/>
                <w:color w:val="000000" w:themeColor="text1"/>
                <w:kern w:val="10"/>
                <w:lang w:val="en-US" w:eastAsia="zh-CN"/>
              </w:rPr>
              <w:t>排入西侧排污渠进谢林港镇排水系统排入志溪河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652" w:type="dxa"/>
            <w:vAlign w:val="center"/>
          </w:tcPr>
          <w:p>
            <w:pPr>
              <w:spacing w:line="240" w:lineRule="exact"/>
              <w:jc w:val="center"/>
            </w:pPr>
            <w:r>
              <w:rPr>
                <w:rFonts w:hint="eastAsia"/>
                <w:szCs w:val="21"/>
              </w:rPr>
              <w:t>2</w:t>
            </w:r>
          </w:p>
        </w:tc>
        <w:tc>
          <w:tcPr>
            <w:tcW w:w="1214" w:type="dxa"/>
            <w:vAlign w:val="center"/>
          </w:tcPr>
          <w:p>
            <w:pPr>
              <w:spacing w:line="240" w:lineRule="exact"/>
              <w:jc w:val="center"/>
              <w:rPr>
                <w:szCs w:val="21"/>
              </w:rPr>
            </w:pPr>
            <w:r>
              <w:rPr>
                <w:rFonts w:hint="eastAsia"/>
                <w:szCs w:val="21"/>
              </w:rPr>
              <w:t>医疗废水</w:t>
            </w:r>
          </w:p>
        </w:tc>
        <w:tc>
          <w:tcPr>
            <w:tcW w:w="2595" w:type="dxa"/>
            <w:vMerge w:val="continue"/>
            <w:vAlign w:val="center"/>
          </w:tcPr>
          <w:p>
            <w:pPr>
              <w:spacing w:line="240" w:lineRule="exact"/>
              <w:jc w:val="center"/>
              <w:rPr>
                <w:szCs w:val="21"/>
              </w:rPr>
            </w:pPr>
          </w:p>
        </w:tc>
        <w:tc>
          <w:tcPr>
            <w:tcW w:w="1029" w:type="dxa"/>
            <w:vMerge w:val="continue"/>
            <w:vAlign w:val="center"/>
          </w:tcPr>
          <w:p>
            <w:pPr>
              <w:spacing w:line="240" w:lineRule="exact"/>
              <w:jc w:val="center"/>
              <w:rPr>
                <w:szCs w:val="21"/>
              </w:rPr>
            </w:pPr>
          </w:p>
        </w:tc>
        <w:tc>
          <w:tcPr>
            <w:tcW w:w="1619" w:type="dxa"/>
            <w:vMerge w:val="continue"/>
            <w:vAlign w:val="center"/>
          </w:tcPr>
          <w:p>
            <w:pPr>
              <w:spacing w:line="240" w:lineRule="exact"/>
              <w:jc w:val="center"/>
              <w:rPr>
                <w:szCs w:val="21"/>
              </w:rPr>
            </w:pPr>
          </w:p>
        </w:tc>
        <w:tc>
          <w:tcPr>
            <w:tcW w:w="1812" w:type="dxa"/>
            <w:vMerge w:val="continue"/>
            <w:vAlign w:val="center"/>
          </w:tcPr>
          <w:p>
            <w:pPr>
              <w:spacing w:line="240" w:lineRule="exact"/>
              <w:jc w:val="center"/>
              <w:rPr>
                <w:szCs w:val="21"/>
              </w:rPr>
            </w:pPr>
          </w:p>
        </w:tc>
      </w:tr>
    </w:tbl>
    <w:p>
      <w:pPr>
        <w:spacing w:line="640" w:lineRule="exact"/>
        <w:rPr>
          <w:sz w:val="24"/>
        </w:rPr>
      </w:pPr>
      <w:r>
        <w:rPr>
          <w:rFonts w:hint="eastAsia"/>
          <w:sz w:val="24"/>
          <w:lang w:val="en-US" w:eastAsia="zh-CN"/>
        </w:rPr>
        <w:t>4.1.3</w:t>
      </w:r>
      <w:r>
        <w:rPr>
          <w:rFonts w:hint="eastAsia"/>
          <w:sz w:val="24"/>
        </w:rPr>
        <w:t>固体废物污染物产生、治理及排放情况分析</w:t>
      </w:r>
    </w:p>
    <w:p>
      <w:pPr>
        <w:pStyle w:val="69"/>
        <w:spacing w:line="640" w:lineRule="exact"/>
      </w:pPr>
      <w:r>
        <w:rPr>
          <w:rFonts w:hint="eastAsia"/>
        </w:rPr>
        <w:t>本项目产生的固体废物主要为</w:t>
      </w:r>
      <w:r>
        <w:rPr>
          <w:rFonts w:hint="eastAsia" w:hAnsi="宋体"/>
        </w:rPr>
        <w:t>主要为生活垃圾、医疗废物</w:t>
      </w:r>
      <w:r>
        <w:rPr>
          <w:rFonts w:hint="eastAsia"/>
        </w:rPr>
        <w:t>。项目固体废物污染物治理措施见表</w:t>
      </w:r>
      <w:r>
        <w:rPr>
          <w:rFonts w:hint="eastAsia"/>
          <w:lang w:val="en-US" w:eastAsia="zh-CN"/>
        </w:rPr>
        <w:t>4-3</w:t>
      </w:r>
      <w:r>
        <w:rPr>
          <w:rFonts w:hint="eastAsia"/>
        </w:rPr>
        <w:t>。</w:t>
      </w:r>
    </w:p>
    <w:p>
      <w:pPr>
        <w:spacing w:line="600" w:lineRule="exact"/>
        <w:jc w:val="center"/>
        <w:rPr>
          <w:rFonts w:hint="eastAsia"/>
          <w:b/>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line="600" w:lineRule="exact"/>
        <w:jc w:val="center"/>
        <w:rPr>
          <w:b/>
        </w:rPr>
      </w:pPr>
      <w:r>
        <w:rPr>
          <w:rFonts w:hint="eastAsia"/>
          <w:b/>
        </w:rPr>
        <w:t>表</w:t>
      </w:r>
      <w:r>
        <w:rPr>
          <w:rFonts w:hint="eastAsia"/>
          <w:b/>
          <w:lang w:val="en-US" w:eastAsia="zh-CN"/>
        </w:rPr>
        <w:t>4-3</w:t>
      </w:r>
      <w:r>
        <w:rPr>
          <w:rFonts w:hint="eastAsia"/>
          <w:b/>
        </w:rPr>
        <w:t>固体废物污染物治理措施一览表</w:t>
      </w:r>
    </w:p>
    <w:tbl>
      <w:tblPr>
        <w:tblStyle w:val="32"/>
        <w:tblW w:w="893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313"/>
        <w:gridCol w:w="1184"/>
        <w:gridCol w:w="695"/>
        <w:gridCol w:w="1097"/>
        <w:gridCol w:w="40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640" w:type="dxa"/>
            <w:vAlign w:val="center"/>
          </w:tcPr>
          <w:p>
            <w:pPr>
              <w:pStyle w:val="41"/>
              <w:spacing w:line="240" w:lineRule="exact"/>
              <w:rPr>
                <w:b/>
              </w:rPr>
            </w:pPr>
            <w:r>
              <w:rPr>
                <w:b/>
              </w:rPr>
              <w:t>序号</w:t>
            </w:r>
          </w:p>
        </w:tc>
        <w:tc>
          <w:tcPr>
            <w:tcW w:w="1313" w:type="dxa"/>
            <w:vAlign w:val="center"/>
          </w:tcPr>
          <w:p>
            <w:pPr>
              <w:pStyle w:val="41"/>
              <w:spacing w:line="320" w:lineRule="exact"/>
              <w:rPr>
                <w:b/>
              </w:rPr>
            </w:pPr>
            <w:r>
              <w:rPr>
                <w:b/>
              </w:rPr>
              <w:t>产污环节</w:t>
            </w:r>
          </w:p>
        </w:tc>
        <w:tc>
          <w:tcPr>
            <w:tcW w:w="1184" w:type="dxa"/>
            <w:vAlign w:val="center"/>
          </w:tcPr>
          <w:p>
            <w:pPr>
              <w:pStyle w:val="41"/>
              <w:spacing w:line="320" w:lineRule="exact"/>
              <w:rPr>
                <w:b/>
              </w:rPr>
            </w:pPr>
            <w:r>
              <w:rPr>
                <w:rFonts w:hint="eastAsia"/>
                <w:b/>
              </w:rPr>
              <w:t>固废</w:t>
            </w:r>
            <w:r>
              <w:rPr>
                <w:b/>
              </w:rPr>
              <w:t>名称</w:t>
            </w:r>
          </w:p>
        </w:tc>
        <w:tc>
          <w:tcPr>
            <w:tcW w:w="695" w:type="dxa"/>
            <w:vAlign w:val="center"/>
          </w:tcPr>
          <w:p>
            <w:pPr>
              <w:pStyle w:val="41"/>
              <w:spacing w:line="320" w:lineRule="exact"/>
              <w:rPr>
                <w:b/>
              </w:rPr>
            </w:pPr>
            <w:r>
              <w:rPr>
                <w:b/>
              </w:rPr>
              <w:t>类别</w:t>
            </w:r>
          </w:p>
        </w:tc>
        <w:tc>
          <w:tcPr>
            <w:tcW w:w="1097" w:type="dxa"/>
            <w:vAlign w:val="center"/>
          </w:tcPr>
          <w:p>
            <w:pPr>
              <w:pStyle w:val="41"/>
              <w:spacing w:line="320" w:lineRule="exact"/>
              <w:rPr>
                <w:b/>
              </w:rPr>
            </w:pPr>
            <w:r>
              <w:rPr>
                <w:rFonts w:hint="eastAsia"/>
                <w:b/>
              </w:rPr>
              <w:t>排放量</w:t>
            </w:r>
          </w:p>
        </w:tc>
        <w:tc>
          <w:tcPr>
            <w:tcW w:w="4002" w:type="dxa"/>
            <w:vAlign w:val="center"/>
          </w:tcPr>
          <w:p>
            <w:pPr>
              <w:pStyle w:val="41"/>
              <w:spacing w:line="320" w:lineRule="exact"/>
              <w:rPr>
                <w:b/>
              </w:rPr>
            </w:pPr>
            <w:r>
              <w:rPr>
                <w:rFonts w:hint="eastAsia"/>
                <w:b/>
              </w:rPr>
              <w:t>治理</w:t>
            </w:r>
            <w:r>
              <w:rPr>
                <w:b/>
              </w:rPr>
              <w:t>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7" w:hRule="atLeast"/>
        </w:trPr>
        <w:tc>
          <w:tcPr>
            <w:tcW w:w="640" w:type="dxa"/>
            <w:vMerge w:val="restart"/>
            <w:vAlign w:val="center"/>
          </w:tcPr>
          <w:p>
            <w:pPr>
              <w:pStyle w:val="41"/>
              <w:spacing w:line="320" w:lineRule="exact"/>
              <w:rPr>
                <w:rFonts w:hint="eastAsia" w:eastAsia="宋体"/>
                <w:lang w:val="en-US" w:eastAsia="zh-CN"/>
              </w:rPr>
            </w:pPr>
            <w:r>
              <w:rPr>
                <w:rFonts w:hint="eastAsia"/>
                <w:lang w:val="en-US" w:eastAsia="zh-CN"/>
              </w:rPr>
              <w:t>1</w:t>
            </w:r>
          </w:p>
        </w:tc>
        <w:tc>
          <w:tcPr>
            <w:tcW w:w="1313" w:type="dxa"/>
            <w:vMerge w:val="restart"/>
            <w:vAlign w:val="center"/>
          </w:tcPr>
          <w:p>
            <w:pPr>
              <w:spacing w:line="240" w:lineRule="exact"/>
              <w:jc w:val="center"/>
              <w:rPr>
                <w:rFonts w:hint="eastAsia" w:eastAsia="宋体"/>
                <w:szCs w:val="21"/>
                <w:lang w:val="en-US" w:eastAsia="zh-CN"/>
              </w:rPr>
            </w:pPr>
            <w:r>
              <w:rPr>
                <w:rFonts w:hint="eastAsia" w:eastAsia="宋体"/>
                <w:szCs w:val="21"/>
                <w:lang w:val="en-US" w:eastAsia="zh-CN"/>
              </w:rPr>
              <w:t>住院治疗</w:t>
            </w:r>
          </w:p>
        </w:tc>
        <w:tc>
          <w:tcPr>
            <w:tcW w:w="1184" w:type="dxa"/>
            <w:vAlign w:val="center"/>
          </w:tcPr>
          <w:p>
            <w:pPr>
              <w:autoSpaceDE w:val="0"/>
              <w:autoSpaceDN w:val="0"/>
              <w:spacing w:line="320" w:lineRule="exact"/>
              <w:jc w:val="center"/>
              <w:rPr>
                <w:color w:val="000000"/>
                <w:kern w:val="0"/>
                <w:szCs w:val="21"/>
              </w:rPr>
            </w:pPr>
            <w:r>
              <w:rPr>
                <w:rFonts w:hint="eastAsia"/>
                <w:color w:val="000000"/>
                <w:kern w:val="0"/>
                <w:szCs w:val="21"/>
              </w:rPr>
              <w:t>生活垃圾</w:t>
            </w:r>
          </w:p>
        </w:tc>
        <w:tc>
          <w:tcPr>
            <w:tcW w:w="695" w:type="dxa"/>
            <w:vAlign w:val="center"/>
          </w:tcPr>
          <w:p>
            <w:pPr>
              <w:pStyle w:val="41"/>
              <w:spacing w:line="320" w:lineRule="exact"/>
            </w:pPr>
            <w:r>
              <w:rPr>
                <w:rFonts w:hint="eastAsia"/>
              </w:rPr>
              <w:t>一般</w:t>
            </w:r>
          </w:p>
        </w:tc>
        <w:tc>
          <w:tcPr>
            <w:tcW w:w="1097" w:type="dxa"/>
            <w:vAlign w:val="center"/>
          </w:tcPr>
          <w:p>
            <w:pPr>
              <w:pStyle w:val="18"/>
              <w:spacing w:line="320" w:lineRule="exact"/>
              <w:jc w:val="center"/>
              <w:rPr>
                <w:rFonts w:hint="eastAsia" w:eastAsia="宋体"/>
                <w:color w:val="000000" w:themeColor="text1"/>
                <w:szCs w:val="21"/>
                <w:lang w:val="en-US" w:eastAsia="zh-CN"/>
              </w:rPr>
            </w:pPr>
            <w:r>
              <w:rPr>
                <w:rFonts w:hint="eastAsia"/>
                <w:color w:val="000000" w:themeColor="text1"/>
                <w:szCs w:val="21"/>
                <w:lang w:val="en-US" w:eastAsia="zh-CN"/>
              </w:rPr>
              <w:t>1825kg/a</w:t>
            </w:r>
          </w:p>
        </w:tc>
        <w:tc>
          <w:tcPr>
            <w:tcW w:w="4002" w:type="dxa"/>
            <w:vAlign w:val="center"/>
          </w:tcPr>
          <w:p>
            <w:pPr>
              <w:pStyle w:val="18"/>
              <w:spacing w:line="300" w:lineRule="exact"/>
              <w:jc w:val="center"/>
              <w:rPr>
                <w:szCs w:val="21"/>
              </w:rPr>
            </w:pPr>
            <w:r>
              <w:rPr>
                <w:rFonts w:hint="eastAsia"/>
                <w:szCs w:val="21"/>
              </w:rPr>
              <w:t>委托环卫部门定期清运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7" w:hRule="atLeast"/>
        </w:trPr>
        <w:tc>
          <w:tcPr>
            <w:tcW w:w="640" w:type="dxa"/>
            <w:vMerge w:val="continue"/>
            <w:vAlign w:val="center"/>
          </w:tcPr>
          <w:p>
            <w:pPr>
              <w:pStyle w:val="41"/>
              <w:spacing w:line="320" w:lineRule="exact"/>
            </w:pPr>
          </w:p>
        </w:tc>
        <w:tc>
          <w:tcPr>
            <w:tcW w:w="1313" w:type="dxa"/>
            <w:vMerge w:val="continue"/>
            <w:vAlign w:val="center"/>
          </w:tcPr>
          <w:p>
            <w:pPr>
              <w:spacing w:line="240" w:lineRule="exact"/>
              <w:jc w:val="center"/>
              <w:rPr>
                <w:rFonts w:hint="eastAsia" w:eastAsia="宋体"/>
                <w:szCs w:val="21"/>
                <w:lang w:val="en-US" w:eastAsia="zh-CN"/>
              </w:rPr>
            </w:pPr>
          </w:p>
        </w:tc>
        <w:tc>
          <w:tcPr>
            <w:tcW w:w="1184" w:type="dxa"/>
            <w:vAlign w:val="center"/>
          </w:tcPr>
          <w:p>
            <w:pPr>
              <w:spacing w:line="240" w:lineRule="exact"/>
              <w:jc w:val="center"/>
              <w:rPr>
                <w:rFonts w:hint="eastAsia" w:eastAsia="宋体"/>
                <w:szCs w:val="21"/>
                <w:lang w:val="en-US" w:eastAsia="zh-CN"/>
              </w:rPr>
            </w:pPr>
            <w:r>
              <w:rPr>
                <w:rFonts w:hint="eastAsia"/>
                <w:szCs w:val="21"/>
                <w:lang w:val="en-US" w:eastAsia="zh-CN"/>
              </w:rPr>
              <w:t>医疗废物</w:t>
            </w:r>
          </w:p>
        </w:tc>
        <w:tc>
          <w:tcPr>
            <w:tcW w:w="695" w:type="dxa"/>
            <w:vAlign w:val="center"/>
          </w:tcPr>
          <w:p>
            <w:pPr>
              <w:pStyle w:val="41"/>
              <w:spacing w:line="320" w:lineRule="exact"/>
            </w:pPr>
            <w:r>
              <w:rPr>
                <w:rFonts w:hint="eastAsia"/>
              </w:rPr>
              <w:t>危废</w:t>
            </w:r>
          </w:p>
        </w:tc>
        <w:tc>
          <w:tcPr>
            <w:tcW w:w="1097" w:type="dxa"/>
            <w:vAlign w:val="center"/>
          </w:tcPr>
          <w:p>
            <w:pPr>
              <w:pStyle w:val="18"/>
              <w:spacing w:line="320" w:lineRule="exact"/>
              <w:jc w:val="center"/>
              <w:rPr>
                <w:rFonts w:hint="eastAsia" w:eastAsia="宋体"/>
                <w:color w:val="000000" w:themeColor="text1"/>
                <w:szCs w:val="21"/>
                <w:lang w:val="en-US" w:eastAsia="zh-CN"/>
              </w:rPr>
            </w:pPr>
            <w:r>
              <w:rPr>
                <w:rFonts w:hint="eastAsia"/>
                <w:color w:val="000000" w:themeColor="text1"/>
                <w:szCs w:val="21"/>
                <w:lang w:val="en-US" w:eastAsia="zh-CN"/>
              </w:rPr>
              <w:t>109.5kg/a</w:t>
            </w:r>
          </w:p>
        </w:tc>
        <w:tc>
          <w:tcPr>
            <w:tcW w:w="4002" w:type="dxa"/>
            <w:vAlign w:val="center"/>
          </w:tcPr>
          <w:p>
            <w:pPr>
              <w:contextualSpacing/>
              <w:jc w:val="center"/>
              <w:rPr>
                <w:rFonts w:hint="default" w:eastAsia="宋体"/>
                <w:szCs w:val="21"/>
                <w:lang w:val="en-US" w:eastAsia="zh-CN"/>
              </w:rPr>
            </w:pPr>
            <w:r>
              <w:rPr>
                <w:rFonts w:ascii="Times New Roman" w:hAnsi="Times New Roman"/>
                <w:szCs w:val="21"/>
              </w:rPr>
              <w:t>统一收集于</w:t>
            </w:r>
            <w:r>
              <w:rPr>
                <w:rFonts w:hint="eastAsia" w:ascii="Times New Roman" w:hAnsi="Times New Roman"/>
                <w:szCs w:val="21"/>
              </w:rPr>
              <w:t>医疗废物</w:t>
            </w:r>
            <w:r>
              <w:rPr>
                <w:rFonts w:ascii="Times New Roman" w:hAnsi="Times New Roman"/>
                <w:szCs w:val="21"/>
              </w:rPr>
              <w:t>暂存间，并及时交益阳市特许医疗废物集中处理有限公司处理</w:t>
            </w:r>
            <w:r>
              <w:rPr>
                <w:rFonts w:hint="eastAsia"/>
                <w:szCs w:val="21"/>
                <w:lang w:eastAsia="zh-CN"/>
              </w:rPr>
              <w:t>，</w:t>
            </w:r>
            <w:r>
              <w:rPr>
                <w:rFonts w:hint="eastAsia"/>
                <w:szCs w:val="21"/>
                <w:lang w:val="en-US" w:eastAsia="zh-CN"/>
              </w:rPr>
              <w:t>目前暂未转移，无转移联单</w:t>
            </w:r>
          </w:p>
        </w:tc>
      </w:tr>
    </w:tbl>
    <w:p>
      <w:pPr>
        <w:spacing w:line="600" w:lineRule="exact"/>
        <w:rPr>
          <w:sz w:val="24"/>
        </w:rPr>
      </w:pPr>
      <w:r>
        <w:rPr>
          <w:rFonts w:hint="eastAsia"/>
          <w:sz w:val="24"/>
          <w:lang w:val="en-US" w:eastAsia="zh-CN"/>
        </w:rPr>
        <w:t>4.1.</w:t>
      </w:r>
      <w:r>
        <w:rPr>
          <w:rFonts w:hint="eastAsia"/>
          <w:sz w:val="24"/>
        </w:rPr>
        <w:t>4噪声污染物产生、治理及排放情况分析</w:t>
      </w:r>
    </w:p>
    <w:p>
      <w:pPr>
        <w:spacing w:line="620" w:lineRule="exact"/>
        <w:ind w:firstLine="480" w:firstLineChars="200"/>
        <w:rPr>
          <w:rFonts w:hint="eastAsia" w:hAnsi="宋体"/>
          <w:sz w:val="24"/>
        </w:rPr>
      </w:pPr>
      <w:r>
        <w:rPr>
          <w:rFonts w:hint="eastAsia"/>
          <w:sz w:val="24"/>
        </w:rPr>
        <w:t>本项目噪声污染源主要来源于</w:t>
      </w:r>
      <w:r>
        <w:rPr>
          <w:rFonts w:eastAsia="宋体"/>
          <w:color w:val="000000"/>
          <w:sz w:val="24"/>
          <w:szCs w:val="24"/>
        </w:rPr>
        <w:t>食堂</w:t>
      </w:r>
      <w:r>
        <w:rPr>
          <w:rFonts w:hint="eastAsia"/>
          <w:color w:val="000000"/>
          <w:sz w:val="24"/>
          <w:szCs w:val="24"/>
          <w:lang w:eastAsia="zh-CN"/>
        </w:rPr>
        <w:t>抽油烟</w:t>
      </w:r>
      <w:r>
        <w:rPr>
          <w:rFonts w:eastAsia="宋体"/>
          <w:color w:val="000000"/>
          <w:sz w:val="24"/>
          <w:szCs w:val="24"/>
        </w:rPr>
        <w:t>机</w:t>
      </w:r>
      <w:r>
        <w:rPr>
          <w:rFonts w:hint="eastAsia" w:eastAsia="宋体"/>
          <w:color w:val="000000"/>
          <w:sz w:val="24"/>
          <w:szCs w:val="24"/>
        </w:rPr>
        <w:t>和水泵</w:t>
      </w:r>
      <w:r>
        <w:rPr>
          <w:rFonts w:eastAsia="宋体"/>
          <w:color w:val="000000"/>
          <w:sz w:val="24"/>
          <w:szCs w:val="24"/>
        </w:rPr>
        <w:t>等设备噪声</w:t>
      </w:r>
      <w:r>
        <w:rPr>
          <w:rFonts w:hint="eastAsia" w:eastAsia="宋体"/>
          <w:color w:val="000000"/>
          <w:sz w:val="24"/>
          <w:szCs w:val="24"/>
        </w:rPr>
        <w:t>、</w:t>
      </w:r>
      <w:r>
        <w:rPr>
          <w:rFonts w:eastAsia="宋体"/>
          <w:color w:val="000000"/>
          <w:sz w:val="24"/>
          <w:szCs w:val="24"/>
        </w:rPr>
        <w:t>门诊部就诊人员产生的社会噪声</w:t>
      </w:r>
      <w:r>
        <w:rPr>
          <w:rFonts w:hint="eastAsia" w:eastAsia="宋体"/>
          <w:color w:val="000000"/>
          <w:sz w:val="24"/>
          <w:szCs w:val="24"/>
        </w:rPr>
        <w:t>对环境的影响</w:t>
      </w:r>
      <w:r>
        <w:rPr>
          <w:rFonts w:hint="eastAsia" w:hAnsi="宋体"/>
          <w:sz w:val="24"/>
        </w:rPr>
        <w:t>，经合理布局、建筑物屏蔽及距离衰减后，影响较小。</w:t>
      </w:r>
    </w:p>
    <w:p>
      <w:pPr>
        <w:spacing w:line="600" w:lineRule="exact"/>
        <w:jc w:val="center"/>
        <w:rPr>
          <w:rFonts w:hint="eastAsia" w:eastAsia="宋体"/>
          <w:b/>
        </w:rPr>
      </w:pPr>
      <w:r>
        <w:rPr>
          <w:rFonts w:hint="eastAsia" w:eastAsia="宋体"/>
          <w:b/>
        </w:rPr>
        <w:t>表4-</w:t>
      </w:r>
      <w:r>
        <w:rPr>
          <w:rFonts w:hint="eastAsia" w:eastAsia="宋体"/>
          <w:b/>
          <w:lang w:val="en-US" w:eastAsia="zh-CN"/>
        </w:rPr>
        <w:t>4</w:t>
      </w:r>
      <w:r>
        <w:rPr>
          <w:rFonts w:hint="eastAsia" w:eastAsia="宋体"/>
          <w:b/>
        </w:rPr>
        <w:t xml:space="preserve">  噪声源及噪声声级值</w:t>
      </w:r>
    </w:p>
    <w:tbl>
      <w:tblPr>
        <w:tblStyle w:val="32"/>
        <w:tblW w:w="917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79"/>
        <w:gridCol w:w="1834"/>
        <w:gridCol w:w="1835"/>
        <w:gridCol w:w="1987"/>
        <w:gridCol w:w="213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blHeader/>
          <w:jc w:val="center"/>
        </w:trPr>
        <w:tc>
          <w:tcPr>
            <w:tcW w:w="1379" w:type="dxa"/>
            <w:tcBorders>
              <w:left w:val="nil"/>
              <w:bottom w:val="single" w:color="000000" w:sz="6" w:space="0"/>
              <w:right w:val="single" w:color="000000" w:sz="6" w:space="0"/>
            </w:tcBorders>
            <w:vAlign w:val="center"/>
          </w:tcPr>
          <w:p>
            <w:pPr>
              <w:jc w:val="center"/>
              <w:rPr>
                <w:rFonts w:ascii="Times New Roman" w:hAnsi="Times New Roman"/>
                <w:b/>
                <w:color w:val="000000"/>
              </w:rPr>
            </w:pPr>
            <w:r>
              <w:rPr>
                <w:rFonts w:ascii="Times New Roman" w:hAnsi="Times New Roman"/>
                <w:b/>
                <w:color w:val="000000"/>
              </w:rPr>
              <w:t>序号</w:t>
            </w:r>
          </w:p>
        </w:tc>
        <w:tc>
          <w:tcPr>
            <w:tcW w:w="1834" w:type="dxa"/>
            <w:tcBorders>
              <w:left w:val="single" w:color="000000" w:sz="6" w:space="0"/>
              <w:bottom w:val="single" w:color="000000" w:sz="6" w:space="0"/>
              <w:right w:val="single" w:color="000000" w:sz="6" w:space="0"/>
            </w:tcBorders>
            <w:vAlign w:val="center"/>
          </w:tcPr>
          <w:p>
            <w:pPr>
              <w:jc w:val="center"/>
              <w:rPr>
                <w:rFonts w:ascii="Times New Roman" w:hAnsi="Times New Roman"/>
                <w:b/>
                <w:color w:val="000000"/>
              </w:rPr>
            </w:pPr>
            <w:r>
              <w:rPr>
                <w:rFonts w:ascii="Times New Roman" w:hAnsi="Times New Roman"/>
                <w:b/>
                <w:color w:val="000000"/>
              </w:rPr>
              <w:t>噪声源</w:t>
            </w:r>
          </w:p>
        </w:tc>
        <w:tc>
          <w:tcPr>
            <w:tcW w:w="1835" w:type="dxa"/>
            <w:tcBorders>
              <w:left w:val="single" w:color="000000" w:sz="6" w:space="0"/>
              <w:bottom w:val="single" w:color="000000" w:sz="6" w:space="0"/>
              <w:right w:val="single" w:color="000000" w:sz="6" w:space="0"/>
            </w:tcBorders>
            <w:vAlign w:val="center"/>
          </w:tcPr>
          <w:p>
            <w:pPr>
              <w:jc w:val="center"/>
              <w:rPr>
                <w:rFonts w:ascii="Times New Roman" w:hAnsi="Times New Roman"/>
                <w:b/>
                <w:color w:val="000000"/>
              </w:rPr>
            </w:pPr>
            <w:r>
              <w:rPr>
                <w:rFonts w:ascii="Times New Roman" w:hAnsi="Times New Roman"/>
                <w:b/>
                <w:color w:val="000000"/>
              </w:rPr>
              <w:t>主要产噪设备</w:t>
            </w:r>
          </w:p>
        </w:tc>
        <w:tc>
          <w:tcPr>
            <w:tcW w:w="1987" w:type="dxa"/>
            <w:tcBorders>
              <w:left w:val="single" w:color="000000" w:sz="6" w:space="0"/>
              <w:bottom w:val="single" w:color="000000" w:sz="6" w:space="0"/>
              <w:right w:val="single" w:color="000000" w:sz="6" w:space="0"/>
            </w:tcBorders>
            <w:vAlign w:val="center"/>
          </w:tcPr>
          <w:p>
            <w:pPr>
              <w:jc w:val="center"/>
              <w:rPr>
                <w:rFonts w:ascii="Times New Roman" w:hAnsi="Times New Roman"/>
                <w:b/>
                <w:color w:val="000000"/>
              </w:rPr>
            </w:pPr>
            <w:r>
              <w:rPr>
                <w:rFonts w:hint="eastAsia" w:ascii="Times New Roman" w:hAnsi="Times New Roman"/>
                <w:b/>
                <w:color w:val="000000"/>
              </w:rPr>
              <w:t>工作连续性（h/d）</w:t>
            </w:r>
          </w:p>
        </w:tc>
        <w:tc>
          <w:tcPr>
            <w:tcW w:w="2139" w:type="dxa"/>
            <w:tcBorders>
              <w:left w:val="single" w:color="000000" w:sz="6" w:space="0"/>
              <w:bottom w:val="single" w:color="000000" w:sz="6" w:space="0"/>
              <w:right w:val="nil"/>
            </w:tcBorders>
            <w:vAlign w:val="center"/>
          </w:tcPr>
          <w:p>
            <w:pPr>
              <w:jc w:val="center"/>
              <w:rPr>
                <w:rFonts w:ascii="Times New Roman" w:hAnsi="Times New Roman"/>
                <w:b/>
                <w:color w:val="000000"/>
              </w:rPr>
            </w:pPr>
            <w:r>
              <w:rPr>
                <w:rFonts w:ascii="Times New Roman" w:hAnsi="Times New Roman"/>
                <w:b/>
                <w:color w:val="000000"/>
              </w:rPr>
              <w:t>噪声值dB(A)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379" w:type="dxa"/>
            <w:tcBorders>
              <w:top w:val="single" w:color="000000" w:sz="6" w:space="0"/>
              <w:left w:val="nil"/>
              <w:bottom w:val="single" w:color="000000" w:sz="6" w:space="0"/>
              <w:right w:val="single" w:color="000000" w:sz="6" w:space="0"/>
            </w:tcBorders>
            <w:vAlign w:val="center"/>
          </w:tcPr>
          <w:p>
            <w:pPr>
              <w:jc w:val="center"/>
              <w:rPr>
                <w:rFonts w:ascii="Times New Roman" w:hAnsi="Times New Roman"/>
                <w:color w:val="000000"/>
              </w:rPr>
            </w:pPr>
            <w:r>
              <w:rPr>
                <w:rFonts w:ascii="Times New Roman" w:hAnsi="Times New Roman"/>
                <w:color w:val="000000"/>
              </w:rPr>
              <w:t>1</w:t>
            </w:r>
          </w:p>
        </w:tc>
        <w:tc>
          <w:tcPr>
            <w:tcW w:w="183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rPr>
            </w:pPr>
            <w:r>
              <w:rPr>
                <w:rFonts w:ascii="Times New Roman" w:hAnsi="Times New Roman"/>
                <w:color w:val="000000"/>
              </w:rPr>
              <w:t>食堂</w:t>
            </w:r>
          </w:p>
        </w:tc>
        <w:tc>
          <w:tcPr>
            <w:tcW w:w="183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rPr>
            </w:pPr>
            <w:r>
              <w:rPr>
                <w:rFonts w:ascii="Times New Roman" w:hAnsi="Times New Roman"/>
                <w:color w:val="000000"/>
              </w:rPr>
              <w:t>抽风机</w:t>
            </w:r>
            <w:r>
              <w:rPr>
                <w:rFonts w:hint="eastAsia" w:ascii="Times New Roman" w:hAnsi="Times New Roman"/>
                <w:color w:val="000000"/>
              </w:rPr>
              <w:t>（2台）</w:t>
            </w:r>
          </w:p>
        </w:tc>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rPr>
            </w:pPr>
            <w:r>
              <w:rPr>
                <w:rFonts w:hint="eastAsia" w:ascii="Times New Roman" w:hAnsi="Times New Roman"/>
                <w:color w:val="000000"/>
              </w:rPr>
              <w:t>6</w:t>
            </w:r>
          </w:p>
        </w:tc>
        <w:tc>
          <w:tcPr>
            <w:tcW w:w="2139" w:type="dxa"/>
            <w:tcBorders>
              <w:top w:val="single" w:color="000000" w:sz="6" w:space="0"/>
              <w:left w:val="single" w:color="000000" w:sz="6" w:space="0"/>
              <w:bottom w:val="single" w:color="000000" w:sz="6" w:space="0"/>
              <w:right w:val="nil"/>
            </w:tcBorders>
            <w:vAlign w:val="center"/>
          </w:tcPr>
          <w:p>
            <w:pPr>
              <w:jc w:val="center"/>
              <w:rPr>
                <w:rFonts w:ascii="Times New Roman" w:hAnsi="Times New Roman"/>
                <w:color w:val="000000"/>
              </w:rPr>
            </w:pPr>
            <w:r>
              <w:rPr>
                <w:rFonts w:ascii="Times New Roman" w:hAnsi="Times New Roman"/>
                <w:color w:val="000000"/>
              </w:rPr>
              <w:t>92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379" w:type="dxa"/>
            <w:tcBorders>
              <w:top w:val="single" w:color="000000" w:sz="6" w:space="0"/>
              <w:left w:val="nil"/>
              <w:bottom w:val="single" w:color="000000" w:sz="6" w:space="0"/>
              <w:right w:val="single" w:color="000000" w:sz="6" w:space="0"/>
            </w:tcBorders>
            <w:vAlign w:val="center"/>
          </w:tcPr>
          <w:p>
            <w:pPr>
              <w:jc w:val="center"/>
              <w:rPr>
                <w:rFonts w:ascii="Times New Roman" w:hAnsi="Times New Roman"/>
                <w:color w:val="000000"/>
              </w:rPr>
            </w:pPr>
            <w:r>
              <w:rPr>
                <w:rFonts w:ascii="Times New Roman" w:hAnsi="Times New Roman"/>
                <w:color w:val="000000"/>
              </w:rPr>
              <w:t>2</w:t>
            </w:r>
          </w:p>
        </w:tc>
        <w:tc>
          <w:tcPr>
            <w:tcW w:w="183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rPr>
            </w:pPr>
            <w:r>
              <w:rPr>
                <w:rFonts w:hint="eastAsia" w:ascii="Times New Roman" w:hAnsi="Times New Roman"/>
                <w:color w:val="000000"/>
              </w:rPr>
              <w:t>污水处理站</w:t>
            </w:r>
          </w:p>
        </w:tc>
        <w:tc>
          <w:tcPr>
            <w:tcW w:w="183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rPr>
            </w:pPr>
            <w:r>
              <w:rPr>
                <w:rFonts w:hint="eastAsia" w:ascii="Times New Roman" w:hAnsi="Times New Roman"/>
                <w:color w:val="000000"/>
              </w:rPr>
              <w:t>水泵（1座）</w:t>
            </w:r>
          </w:p>
        </w:tc>
        <w:tc>
          <w:tcPr>
            <w:tcW w:w="198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color w:val="000000"/>
              </w:rPr>
            </w:pPr>
            <w:r>
              <w:rPr>
                <w:rFonts w:hint="eastAsia" w:ascii="Times New Roman" w:hAnsi="Times New Roman"/>
                <w:color w:val="000000"/>
              </w:rPr>
              <w:t>24</w:t>
            </w:r>
          </w:p>
        </w:tc>
        <w:tc>
          <w:tcPr>
            <w:tcW w:w="2139" w:type="dxa"/>
            <w:tcBorders>
              <w:top w:val="single" w:color="000000" w:sz="6" w:space="0"/>
              <w:left w:val="single" w:color="000000" w:sz="6" w:space="0"/>
              <w:bottom w:val="single" w:color="000000" w:sz="6" w:space="0"/>
              <w:right w:val="nil"/>
            </w:tcBorders>
            <w:vAlign w:val="center"/>
          </w:tcPr>
          <w:p>
            <w:pPr>
              <w:jc w:val="center"/>
              <w:rPr>
                <w:rFonts w:ascii="Times New Roman" w:hAnsi="Times New Roman"/>
                <w:color w:val="000000"/>
              </w:rPr>
            </w:pPr>
            <w:r>
              <w:rPr>
                <w:rFonts w:hint="eastAsia" w:ascii="Times New Roman" w:hAnsi="Times New Roman"/>
                <w:color w:val="000000"/>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05" w:hRule="atLeast"/>
          <w:jc w:val="center"/>
        </w:trPr>
        <w:tc>
          <w:tcPr>
            <w:tcW w:w="1379" w:type="dxa"/>
            <w:tcBorders>
              <w:top w:val="single" w:color="000000" w:sz="6" w:space="0"/>
              <w:left w:val="nil"/>
              <w:right w:val="single" w:color="000000" w:sz="6" w:space="0"/>
            </w:tcBorders>
            <w:vAlign w:val="center"/>
          </w:tcPr>
          <w:p>
            <w:pPr>
              <w:jc w:val="center"/>
              <w:rPr>
                <w:rFonts w:hint="eastAsia" w:ascii="Times New Roman" w:hAnsi="Times New Roman" w:eastAsia="宋体"/>
                <w:color w:val="000000"/>
                <w:lang w:eastAsia="zh-CN"/>
              </w:rPr>
            </w:pPr>
            <w:r>
              <w:rPr>
                <w:rFonts w:hint="eastAsia" w:ascii="Times New Roman" w:hAnsi="Times New Roman"/>
                <w:color w:val="000000"/>
                <w:lang w:val="en-US" w:eastAsia="zh-CN"/>
              </w:rPr>
              <w:t>3</w:t>
            </w:r>
          </w:p>
        </w:tc>
        <w:tc>
          <w:tcPr>
            <w:tcW w:w="1834" w:type="dxa"/>
            <w:tcBorders>
              <w:top w:val="single" w:color="000000" w:sz="6" w:space="0"/>
              <w:left w:val="single" w:color="000000" w:sz="6" w:space="0"/>
              <w:right w:val="single" w:color="000000" w:sz="6" w:space="0"/>
            </w:tcBorders>
            <w:vAlign w:val="center"/>
          </w:tcPr>
          <w:p>
            <w:pPr>
              <w:jc w:val="center"/>
              <w:rPr>
                <w:rFonts w:ascii="Times New Roman" w:hAnsi="Times New Roman"/>
                <w:color w:val="000000"/>
              </w:rPr>
            </w:pPr>
            <w:r>
              <w:rPr>
                <w:rFonts w:hint="eastAsia" w:ascii="Times New Roman" w:hAnsi="Times New Roman"/>
                <w:color w:val="000000"/>
              </w:rPr>
              <w:t>门诊</w:t>
            </w:r>
          </w:p>
        </w:tc>
        <w:tc>
          <w:tcPr>
            <w:tcW w:w="1835" w:type="dxa"/>
            <w:tcBorders>
              <w:top w:val="single" w:color="000000" w:sz="6" w:space="0"/>
              <w:left w:val="single" w:color="000000" w:sz="6" w:space="0"/>
              <w:right w:val="single" w:color="000000" w:sz="6" w:space="0"/>
            </w:tcBorders>
            <w:vAlign w:val="center"/>
          </w:tcPr>
          <w:p>
            <w:pPr>
              <w:jc w:val="center"/>
              <w:rPr>
                <w:rFonts w:ascii="Times New Roman" w:hAnsi="Times New Roman"/>
                <w:szCs w:val="18"/>
              </w:rPr>
            </w:pPr>
            <w:r>
              <w:rPr>
                <w:rFonts w:hint="eastAsia" w:ascii="Times New Roman" w:hAnsi="Times New Roman"/>
                <w:szCs w:val="18"/>
              </w:rPr>
              <w:t>/</w:t>
            </w:r>
          </w:p>
        </w:tc>
        <w:tc>
          <w:tcPr>
            <w:tcW w:w="1987" w:type="dxa"/>
            <w:tcBorders>
              <w:top w:val="single" w:color="000000" w:sz="6" w:space="0"/>
              <w:left w:val="single" w:color="000000" w:sz="6" w:space="0"/>
              <w:right w:val="single" w:color="000000" w:sz="6" w:space="0"/>
            </w:tcBorders>
            <w:vAlign w:val="center"/>
          </w:tcPr>
          <w:p>
            <w:pPr>
              <w:jc w:val="center"/>
              <w:rPr>
                <w:rFonts w:hint="eastAsia" w:ascii="Times New Roman" w:hAnsi="Times New Roman" w:eastAsia="宋体"/>
                <w:szCs w:val="18"/>
                <w:lang w:val="en-US" w:eastAsia="zh-CN"/>
              </w:rPr>
            </w:pPr>
            <w:r>
              <w:rPr>
                <w:rFonts w:hint="eastAsia"/>
                <w:szCs w:val="18"/>
                <w:lang w:val="en-US" w:eastAsia="zh-CN"/>
              </w:rPr>
              <w:t>24</w:t>
            </w:r>
          </w:p>
        </w:tc>
        <w:tc>
          <w:tcPr>
            <w:tcW w:w="2139" w:type="dxa"/>
            <w:tcBorders>
              <w:top w:val="single" w:color="000000" w:sz="6" w:space="0"/>
              <w:left w:val="single" w:color="000000" w:sz="6" w:space="0"/>
              <w:right w:val="nil"/>
            </w:tcBorders>
            <w:vAlign w:val="center"/>
          </w:tcPr>
          <w:p>
            <w:pPr>
              <w:jc w:val="center"/>
              <w:rPr>
                <w:rFonts w:ascii="Times New Roman" w:hAnsi="Times New Roman"/>
                <w:szCs w:val="18"/>
              </w:rPr>
            </w:pPr>
            <w:r>
              <w:rPr>
                <w:rFonts w:hint="eastAsia" w:ascii="Times New Roman" w:hAnsi="Times New Roman"/>
                <w:szCs w:val="18"/>
              </w:rPr>
              <w:t>70</w:t>
            </w:r>
          </w:p>
        </w:tc>
      </w:tr>
    </w:tbl>
    <w:p>
      <w:pPr>
        <w:pStyle w:val="4"/>
        <w:spacing w:before="156" w:beforeLines="50" w:after="156" w:afterLines="50" w:line="600" w:lineRule="exact"/>
        <w:rPr>
          <w:rFonts w:hint="eastAsia" w:ascii="Times New Roman" w:hAnsi="Times New Roman" w:eastAsia="宋体"/>
          <w:sz w:val="28"/>
          <w:szCs w:val="28"/>
        </w:rPr>
      </w:pPr>
      <w:bookmarkStart w:id="31" w:name="_Toc1235"/>
      <w:bookmarkStart w:id="32" w:name="_Toc31550"/>
      <w:bookmarkStart w:id="33" w:name="_Toc13228"/>
      <w:r>
        <w:rPr>
          <w:rFonts w:hint="eastAsia" w:ascii="Times New Roman" w:hAnsi="Times New Roman" w:eastAsia="宋体"/>
          <w:sz w:val="28"/>
          <w:szCs w:val="28"/>
        </w:rPr>
        <w:t>4.2环保设施投资及“三同时”落实情况</w:t>
      </w:r>
      <w:bookmarkEnd w:id="31"/>
      <w:bookmarkEnd w:id="32"/>
      <w:bookmarkEnd w:id="33"/>
    </w:p>
    <w:p>
      <w:pPr>
        <w:spacing w:line="620" w:lineRule="exact"/>
        <w:ind w:firstLine="480" w:firstLineChars="200"/>
        <w:rPr>
          <w:rFonts w:hint="eastAsia" w:eastAsia="宋体"/>
          <w:sz w:val="24"/>
        </w:rPr>
      </w:pPr>
      <w:r>
        <w:rPr>
          <w:rFonts w:hint="eastAsia" w:eastAsia="宋体"/>
          <w:sz w:val="24"/>
        </w:rPr>
        <w:t>项目环评“三同时”落实情况与现场实际建设情况详见表4-5。</w:t>
      </w:r>
    </w:p>
    <w:p>
      <w:pPr>
        <w:spacing w:line="600" w:lineRule="exact"/>
        <w:jc w:val="center"/>
        <w:rPr>
          <w:rFonts w:hint="eastAsia" w:eastAsia="宋体"/>
          <w:b/>
          <w:lang w:val="en-US"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line="600" w:lineRule="exact"/>
        <w:jc w:val="center"/>
        <w:rPr>
          <w:rFonts w:hint="eastAsia" w:eastAsia="宋体"/>
          <w:b/>
          <w:lang w:val="en-US" w:eastAsia="zh-CN"/>
        </w:rPr>
      </w:pPr>
      <w:r>
        <w:rPr>
          <w:rFonts w:hint="eastAsia" w:eastAsia="宋体"/>
          <w:b/>
          <w:lang w:val="en-US" w:eastAsia="zh-CN"/>
        </w:rPr>
        <w:t>表4-5 项目环评“三同时”落实情况与现场实际建设情况一览表</w:t>
      </w:r>
    </w:p>
    <w:tbl>
      <w:tblPr>
        <w:tblStyle w:val="32"/>
        <w:tblW w:w="9005" w:type="dxa"/>
        <w:jc w:val="center"/>
        <w:tblInd w:w="276"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34"/>
        <w:gridCol w:w="1140"/>
        <w:gridCol w:w="3018"/>
        <w:gridCol w:w="3048"/>
        <w:gridCol w:w="9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tblHeader/>
          <w:jc w:val="center"/>
        </w:trPr>
        <w:tc>
          <w:tcPr>
            <w:tcW w:w="834" w:type="dxa"/>
            <w:tcBorders>
              <w:bottom w:val="single" w:color="auto" w:sz="4" w:space="0"/>
              <w:tl2br w:val="nil"/>
              <w:tr2bl w:val="nil"/>
            </w:tcBorders>
            <w:vAlign w:val="center"/>
          </w:tcPr>
          <w:p>
            <w:pPr>
              <w:jc w:val="center"/>
              <w:rPr>
                <w:rFonts w:hint="eastAsia" w:ascii="Times New Roman" w:hAnsi="Times New Roman" w:eastAsia="宋体"/>
                <w:b/>
                <w:color w:val="000000"/>
              </w:rPr>
            </w:pPr>
            <w:r>
              <w:rPr>
                <w:rFonts w:hint="eastAsia" w:ascii="Times New Roman" w:hAnsi="Times New Roman" w:eastAsia="宋体"/>
                <w:b/>
                <w:color w:val="000000"/>
              </w:rPr>
              <w:t>污染</w:t>
            </w:r>
          </w:p>
          <w:p>
            <w:pPr>
              <w:jc w:val="center"/>
              <w:rPr>
                <w:rFonts w:hint="eastAsia" w:ascii="Times New Roman" w:hAnsi="Times New Roman" w:eastAsia="宋体"/>
                <w:b/>
                <w:color w:val="000000"/>
              </w:rPr>
            </w:pPr>
            <w:r>
              <w:rPr>
                <w:rFonts w:hint="eastAsia" w:ascii="Times New Roman" w:hAnsi="Times New Roman" w:eastAsia="宋体"/>
                <w:b/>
                <w:color w:val="000000"/>
              </w:rPr>
              <w:t>类型</w:t>
            </w:r>
          </w:p>
        </w:tc>
        <w:tc>
          <w:tcPr>
            <w:tcW w:w="1140" w:type="dxa"/>
            <w:tcBorders>
              <w:bottom w:val="single" w:color="auto" w:sz="4" w:space="0"/>
              <w:tl2br w:val="nil"/>
              <w:tr2bl w:val="nil"/>
            </w:tcBorders>
            <w:vAlign w:val="center"/>
          </w:tcPr>
          <w:p>
            <w:pPr>
              <w:jc w:val="center"/>
              <w:rPr>
                <w:rFonts w:hint="eastAsia" w:ascii="Times New Roman" w:hAnsi="Times New Roman" w:eastAsia="宋体"/>
                <w:b/>
                <w:color w:val="000000"/>
              </w:rPr>
            </w:pPr>
            <w:r>
              <w:rPr>
                <w:rFonts w:hint="eastAsia" w:ascii="Times New Roman" w:hAnsi="Times New Roman" w:eastAsia="宋体"/>
                <w:b/>
                <w:color w:val="000000"/>
              </w:rPr>
              <w:t>排放源</w:t>
            </w:r>
          </w:p>
        </w:tc>
        <w:tc>
          <w:tcPr>
            <w:tcW w:w="3018" w:type="dxa"/>
            <w:tcBorders>
              <w:tl2br w:val="nil"/>
              <w:tr2bl w:val="nil"/>
            </w:tcBorders>
            <w:vAlign w:val="center"/>
          </w:tcPr>
          <w:p>
            <w:pPr>
              <w:jc w:val="center"/>
              <w:rPr>
                <w:rFonts w:hint="eastAsia" w:ascii="Times New Roman" w:hAnsi="Times New Roman" w:eastAsia="宋体"/>
                <w:b/>
                <w:color w:val="000000"/>
              </w:rPr>
            </w:pPr>
            <w:r>
              <w:rPr>
                <w:rFonts w:hint="eastAsia" w:ascii="Times New Roman" w:hAnsi="Times New Roman" w:eastAsia="宋体"/>
                <w:b/>
                <w:color w:val="000000"/>
              </w:rPr>
              <w:t>环评要求</w:t>
            </w:r>
          </w:p>
        </w:tc>
        <w:tc>
          <w:tcPr>
            <w:tcW w:w="3048" w:type="dxa"/>
            <w:tcBorders>
              <w:bottom w:val="single" w:color="auto" w:sz="4" w:space="0"/>
              <w:tl2br w:val="nil"/>
              <w:tr2bl w:val="nil"/>
            </w:tcBorders>
            <w:vAlign w:val="center"/>
          </w:tcPr>
          <w:p>
            <w:pPr>
              <w:jc w:val="center"/>
              <w:rPr>
                <w:rFonts w:hint="eastAsia" w:ascii="Times New Roman" w:hAnsi="Times New Roman" w:eastAsia="宋体"/>
                <w:b/>
                <w:color w:val="000000"/>
              </w:rPr>
            </w:pPr>
            <w:r>
              <w:rPr>
                <w:rFonts w:hint="eastAsia" w:ascii="Times New Roman" w:hAnsi="Times New Roman" w:eastAsia="宋体"/>
                <w:b/>
                <w:color w:val="000000"/>
              </w:rPr>
              <w:t>实际情况</w:t>
            </w:r>
          </w:p>
        </w:tc>
        <w:tc>
          <w:tcPr>
            <w:tcW w:w="965" w:type="dxa"/>
            <w:tcBorders>
              <w:bottom w:val="single" w:color="auto" w:sz="4" w:space="0"/>
              <w:tl2br w:val="nil"/>
              <w:tr2bl w:val="nil"/>
            </w:tcBorders>
            <w:vAlign w:val="center"/>
          </w:tcPr>
          <w:p>
            <w:pPr>
              <w:jc w:val="center"/>
              <w:rPr>
                <w:rFonts w:hint="eastAsia" w:ascii="Times New Roman" w:hAnsi="Times New Roman" w:eastAsia="宋体"/>
                <w:b/>
                <w:color w:val="000000"/>
              </w:rPr>
            </w:pPr>
            <w:r>
              <w:rPr>
                <w:rFonts w:hint="eastAsia" w:ascii="Times New Roman" w:hAnsi="Times New Roman" w:eastAsia="宋体"/>
                <w:b/>
                <w:color w:val="000000"/>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1712" w:hRule="atLeast"/>
          <w:jc w:val="center"/>
        </w:trPr>
        <w:tc>
          <w:tcPr>
            <w:tcW w:w="834" w:type="dxa"/>
            <w:tcBorders>
              <w:top w:val="single" w:color="auto" w:sz="4" w:space="0"/>
              <w:tl2br w:val="nil"/>
              <w:tr2bl w:val="nil"/>
            </w:tcBorders>
            <w:vAlign w:val="center"/>
          </w:tcPr>
          <w:p>
            <w:pPr>
              <w:jc w:val="center"/>
              <w:rPr>
                <w:rFonts w:ascii="Times New Roman" w:hAnsi="Times New Roman" w:eastAsia="宋体"/>
                <w:color w:val="000000"/>
              </w:rPr>
            </w:pPr>
            <w:r>
              <w:rPr>
                <w:rFonts w:ascii="Times New Roman" w:hAnsi="Times New Roman" w:eastAsia="宋体"/>
                <w:color w:val="000000"/>
              </w:rPr>
              <w:t>废</w:t>
            </w:r>
            <w:r>
              <w:rPr>
                <w:rFonts w:hint="eastAsia" w:ascii="Times New Roman" w:hAnsi="Times New Roman" w:eastAsia="宋体"/>
                <w:color w:val="000000"/>
              </w:rPr>
              <w:t>水</w:t>
            </w:r>
          </w:p>
        </w:tc>
        <w:tc>
          <w:tcPr>
            <w:tcW w:w="1140" w:type="dxa"/>
            <w:tcBorders>
              <w:top w:val="single" w:color="auto" w:sz="4" w:space="0"/>
              <w:tl2br w:val="nil"/>
              <w:tr2bl w:val="nil"/>
            </w:tcBorders>
            <w:vAlign w:val="center"/>
          </w:tcPr>
          <w:p>
            <w:pPr>
              <w:jc w:val="center"/>
              <w:rPr>
                <w:rFonts w:hint="eastAsia" w:ascii="Times New Roman" w:hAnsi="Times New Roman" w:eastAsia="宋体"/>
                <w:color w:val="000000"/>
                <w:lang w:val="en-US" w:eastAsia="zh-CN"/>
              </w:rPr>
            </w:pPr>
            <w:r>
              <w:rPr>
                <w:rFonts w:hint="eastAsia" w:ascii="Times New Roman" w:hAnsi="Times New Roman" w:eastAsia="宋体"/>
                <w:color w:val="000000"/>
              </w:rPr>
              <w:t>生活废水</w:t>
            </w:r>
            <w:r>
              <w:rPr>
                <w:rFonts w:hint="eastAsia"/>
                <w:color w:val="000000"/>
                <w:lang w:eastAsia="zh-CN"/>
              </w:rPr>
              <w:t>、</w:t>
            </w:r>
            <w:r>
              <w:rPr>
                <w:rFonts w:hint="eastAsia"/>
                <w:color w:val="000000"/>
                <w:lang w:val="en-US" w:eastAsia="zh-CN"/>
              </w:rPr>
              <w:t>医疗废水</w:t>
            </w:r>
          </w:p>
        </w:tc>
        <w:tc>
          <w:tcPr>
            <w:tcW w:w="3018" w:type="dxa"/>
            <w:tcBorders>
              <w:tl2br w:val="nil"/>
              <w:tr2bl w:val="nil"/>
            </w:tcBorders>
            <w:vAlign w:val="center"/>
          </w:tcPr>
          <w:p>
            <w:pPr>
              <w:jc w:val="center"/>
              <w:rPr>
                <w:rFonts w:hint="eastAsia" w:ascii="Times New Roman" w:hAnsi="Times New Roman" w:eastAsia="宋体"/>
                <w:color w:val="000000"/>
                <w:lang w:val="en-US" w:eastAsia="zh-CN"/>
              </w:rPr>
            </w:pPr>
            <w:r>
              <w:rPr>
                <w:rFonts w:hint="eastAsia"/>
                <w:color w:val="000000"/>
                <w:lang w:val="en-US" w:eastAsia="zh-CN"/>
              </w:rPr>
              <w:t>化验废水经预处理，食堂废水经隔油池处理后与医院污水经化粪池处理后一起排入污水处理站处理，处理达《医疗机构水污染物排放标准》（GB18466-2005）中表2中排放标准后排放。</w:t>
            </w:r>
          </w:p>
        </w:tc>
        <w:tc>
          <w:tcPr>
            <w:tcW w:w="3048" w:type="dxa"/>
            <w:tcBorders>
              <w:top w:val="single" w:color="auto" w:sz="4" w:space="0"/>
              <w:tl2br w:val="nil"/>
              <w:tr2bl w:val="nil"/>
            </w:tcBorders>
            <w:vAlign w:val="center"/>
          </w:tcPr>
          <w:p>
            <w:pPr>
              <w:jc w:val="center"/>
              <w:rPr>
                <w:rFonts w:hint="default" w:ascii="Times New Roman" w:hAnsi="Times New Roman" w:eastAsia="宋体"/>
                <w:color w:val="000000"/>
                <w:lang w:val="en-US" w:eastAsia="zh-CN"/>
              </w:rPr>
            </w:pPr>
            <w:r>
              <w:rPr>
                <w:rFonts w:hint="eastAsia"/>
                <w:color w:val="000000"/>
                <w:lang w:val="en-US" w:eastAsia="zh-CN"/>
              </w:rPr>
              <w:t>未建设隔油池</w:t>
            </w:r>
          </w:p>
        </w:tc>
        <w:tc>
          <w:tcPr>
            <w:tcW w:w="965" w:type="dxa"/>
            <w:tcBorders>
              <w:top w:val="single" w:color="auto" w:sz="4" w:space="0"/>
              <w:tl2br w:val="nil"/>
              <w:tr2bl w:val="nil"/>
            </w:tcBorders>
            <w:vAlign w:val="center"/>
          </w:tcPr>
          <w:p>
            <w:pPr>
              <w:jc w:val="center"/>
              <w:rPr>
                <w:rFonts w:ascii="Times New Roman" w:hAnsi="Times New Roman" w:eastAsia="宋体"/>
                <w:color w:val="000000"/>
              </w:rPr>
            </w:pPr>
            <w:r>
              <w:rPr>
                <w:rFonts w:hint="eastAsia" w:ascii="Times New Roman" w:hAnsi="Times New Roman" w:eastAsia="宋体"/>
                <w:color w:val="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519" w:hRule="atLeast"/>
          <w:jc w:val="center"/>
        </w:trPr>
        <w:tc>
          <w:tcPr>
            <w:tcW w:w="834" w:type="dxa"/>
            <w:vMerge w:val="restart"/>
            <w:tcBorders>
              <w:tl2br w:val="nil"/>
              <w:tr2bl w:val="nil"/>
            </w:tcBorders>
            <w:vAlign w:val="center"/>
          </w:tcPr>
          <w:p>
            <w:pPr>
              <w:jc w:val="center"/>
              <w:rPr>
                <w:rFonts w:hint="eastAsia" w:ascii="Times New Roman" w:hAnsi="Times New Roman" w:eastAsia="宋体"/>
                <w:color w:val="000000"/>
              </w:rPr>
            </w:pPr>
            <w:r>
              <w:rPr>
                <w:rFonts w:hint="eastAsia" w:ascii="Times New Roman" w:hAnsi="Times New Roman" w:eastAsia="宋体"/>
                <w:color w:val="000000"/>
              </w:rPr>
              <w:t>固体</w:t>
            </w:r>
          </w:p>
          <w:p>
            <w:pPr>
              <w:jc w:val="center"/>
              <w:rPr>
                <w:rFonts w:ascii="Times New Roman" w:hAnsi="Times New Roman" w:eastAsia="宋体"/>
                <w:color w:val="000000"/>
              </w:rPr>
            </w:pPr>
            <w:r>
              <w:rPr>
                <w:rFonts w:hint="eastAsia" w:ascii="Times New Roman" w:hAnsi="Times New Roman" w:eastAsia="宋体"/>
                <w:color w:val="000000"/>
              </w:rPr>
              <w:t>废物</w:t>
            </w:r>
          </w:p>
        </w:tc>
        <w:tc>
          <w:tcPr>
            <w:tcW w:w="1140" w:type="dxa"/>
            <w:tcBorders>
              <w:tl2br w:val="nil"/>
              <w:tr2bl w:val="nil"/>
            </w:tcBorders>
            <w:vAlign w:val="center"/>
          </w:tcPr>
          <w:p>
            <w:pPr>
              <w:jc w:val="center"/>
              <w:rPr>
                <w:rFonts w:ascii="Times New Roman" w:hAnsi="Times New Roman" w:eastAsia="宋体"/>
                <w:color w:val="000000"/>
              </w:rPr>
            </w:pPr>
            <w:r>
              <w:rPr>
                <w:rFonts w:hint="eastAsia" w:ascii="Times New Roman" w:hAnsi="Times New Roman" w:eastAsia="宋体"/>
                <w:color w:val="000000"/>
              </w:rPr>
              <w:t>生活垃圾</w:t>
            </w:r>
          </w:p>
        </w:tc>
        <w:tc>
          <w:tcPr>
            <w:tcW w:w="3018" w:type="dxa"/>
            <w:tcBorders>
              <w:tl2br w:val="nil"/>
              <w:tr2bl w:val="nil"/>
            </w:tcBorders>
            <w:vAlign w:val="center"/>
          </w:tcPr>
          <w:p>
            <w:pPr>
              <w:jc w:val="center"/>
              <w:rPr>
                <w:rFonts w:ascii="Times New Roman" w:hAnsi="Times New Roman" w:eastAsia="宋体"/>
                <w:color w:val="000000"/>
              </w:rPr>
            </w:pPr>
            <w:r>
              <w:rPr>
                <w:rFonts w:ascii="Times New Roman" w:hAnsi="Times New Roman"/>
                <w:szCs w:val="21"/>
              </w:rPr>
              <w:t>生活垃圾统一收集后由当地环卫部门定时</w:t>
            </w:r>
            <w:r>
              <w:rPr>
                <w:rFonts w:hint="eastAsia" w:ascii="Times New Roman" w:hAnsi="Times New Roman"/>
                <w:szCs w:val="21"/>
              </w:rPr>
              <w:t>清运</w:t>
            </w:r>
          </w:p>
        </w:tc>
        <w:tc>
          <w:tcPr>
            <w:tcW w:w="3048" w:type="dxa"/>
            <w:tcBorders>
              <w:tl2br w:val="nil"/>
              <w:tr2bl w:val="nil"/>
            </w:tcBorders>
            <w:vAlign w:val="center"/>
          </w:tcPr>
          <w:p>
            <w:pPr>
              <w:jc w:val="center"/>
              <w:rPr>
                <w:rFonts w:ascii="Times New Roman" w:hAnsi="Times New Roman" w:eastAsia="宋体"/>
                <w:color w:val="000000"/>
              </w:rPr>
            </w:pPr>
            <w:r>
              <w:rPr>
                <w:rFonts w:hint="eastAsia"/>
                <w:color w:val="000000"/>
                <w:lang w:val="en-US" w:eastAsia="zh-CN"/>
              </w:rPr>
              <w:t>与环评一致</w:t>
            </w:r>
          </w:p>
        </w:tc>
        <w:tc>
          <w:tcPr>
            <w:tcW w:w="965" w:type="dxa"/>
            <w:tcBorders>
              <w:tl2br w:val="nil"/>
              <w:tr2bl w:val="nil"/>
            </w:tcBorders>
            <w:vAlign w:val="center"/>
          </w:tcPr>
          <w:p>
            <w:pPr>
              <w:jc w:val="center"/>
              <w:rPr>
                <w:rFonts w:hint="eastAsia" w:ascii="Times New Roman" w:hAnsi="Times New Roman" w:eastAsia="宋体"/>
                <w:color w:val="000000"/>
                <w:lang w:val="en-US" w:eastAsia="zh-CN"/>
              </w:rPr>
            </w:pPr>
            <w:r>
              <w:rPr>
                <w:rFonts w:hint="eastAsia"/>
                <w:color w:val="000000"/>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834" w:type="dxa"/>
            <w:vMerge w:val="continue"/>
            <w:tcBorders>
              <w:tl2br w:val="nil"/>
              <w:tr2bl w:val="nil"/>
            </w:tcBorders>
            <w:vAlign w:val="center"/>
          </w:tcPr>
          <w:p>
            <w:pPr>
              <w:jc w:val="center"/>
              <w:rPr>
                <w:rFonts w:ascii="Times New Roman" w:hAnsi="Times New Roman" w:eastAsia="宋体"/>
                <w:color w:val="000000"/>
              </w:rPr>
            </w:pPr>
          </w:p>
        </w:tc>
        <w:tc>
          <w:tcPr>
            <w:tcW w:w="1140" w:type="dxa"/>
            <w:tcBorders>
              <w:tl2br w:val="nil"/>
              <w:tr2bl w:val="nil"/>
            </w:tcBorders>
            <w:vAlign w:val="center"/>
          </w:tcPr>
          <w:p>
            <w:pPr>
              <w:jc w:val="center"/>
              <w:rPr>
                <w:rFonts w:hint="eastAsia" w:ascii="Times New Roman" w:hAnsi="Times New Roman" w:eastAsia="宋体"/>
                <w:color w:val="000000"/>
                <w:lang w:eastAsia="zh-CN"/>
              </w:rPr>
            </w:pPr>
            <w:r>
              <w:rPr>
                <w:rFonts w:hint="eastAsia"/>
                <w:color w:val="000000"/>
                <w:lang w:val="en-US" w:eastAsia="zh-CN"/>
              </w:rPr>
              <w:t>医疗废物</w:t>
            </w:r>
          </w:p>
        </w:tc>
        <w:tc>
          <w:tcPr>
            <w:tcW w:w="3018" w:type="dxa"/>
            <w:tcBorders>
              <w:tl2br w:val="nil"/>
              <w:tr2bl w:val="nil"/>
            </w:tcBorders>
            <w:vAlign w:val="center"/>
          </w:tcPr>
          <w:p>
            <w:pPr>
              <w:jc w:val="center"/>
              <w:rPr>
                <w:rFonts w:ascii="Times New Roman" w:hAnsi="Times New Roman" w:eastAsia="宋体"/>
                <w:color w:val="000000"/>
              </w:rPr>
            </w:pPr>
            <w:r>
              <w:rPr>
                <w:rFonts w:hint="eastAsia" w:ascii="Times New Roman" w:hAnsi="Times New Roman"/>
                <w:szCs w:val="21"/>
              </w:rPr>
              <w:t>医疗废物</w:t>
            </w:r>
            <w:r>
              <w:rPr>
                <w:rFonts w:ascii="Times New Roman" w:hAnsi="Times New Roman"/>
                <w:szCs w:val="21"/>
              </w:rPr>
              <w:t>统一收集于</w:t>
            </w:r>
            <w:r>
              <w:rPr>
                <w:rFonts w:hint="eastAsia" w:ascii="Times New Roman" w:hAnsi="Times New Roman"/>
                <w:szCs w:val="21"/>
              </w:rPr>
              <w:t>医疗废物</w:t>
            </w:r>
            <w:r>
              <w:rPr>
                <w:rFonts w:ascii="Times New Roman" w:hAnsi="Times New Roman"/>
                <w:szCs w:val="21"/>
              </w:rPr>
              <w:t>暂存间，并及时交益阳市特许医疗废物集中处理有限公司处理</w:t>
            </w:r>
          </w:p>
        </w:tc>
        <w:tc>
          <w:tcPr>
            <w:tcW w:w="3048" w:type="dxa"/>
            <w:tcBorders>
              <w:tl2br w:val="nil"/>
              <w:tr2bl w:val="nil"/>
            </w:tcBorders>
            <w:vAlign w:val="center"/>
          </w:tcPr>
          <w:p>
            <w:pPr>
              <w:jc w:val="center"/>
              <w:rPr>
                <w:rFonts w:hint="eastAsia" w:ascii="Times New Roman" w:hAnsi="Times New Roman" w:eastAsia="宋体"/>
                <w:color w:val="000000"/>
                <w:lang w:val="en-US" w:eastAsia="zh-CN"/>
              </w:rPr>
            </w:pPr>
            <w:r>
              <w:rPr>
                <w:rFonts w:hint="eastAsia"/>
                <w:color w:val="000000"/>
                <w:lang w:val="en-US" w:eastAsia="zh-CN"/>
              </w:rPr>
              <w:t>与环评一致</w:t>
            </w:r>
          </w:p>
        </w:tc>
        <w:tc>
          <w:tcPr>
            <w:tcW w:w="965" w:type="dxa"/>
            <w:tcBorders>
              <w:tl2br w:val="nil"/>
              <w:tr2bl w:val="nil"/>
            </w:tcBorders>
            <w:vAlign w:val="center"/>
          </w:tcPr>
          <w:p>
            <w:pPr>
              <w:jc w:val="center"/>
              <w:rPr>
                <w:rFonts w:ascii="Times New Roman" w:hAnsi="Times New Roman" w:eastAsia="宋体"/>
                <w:color w:val="000000"/>
              </w:rPr>
            </w:pPr>
            <w:r>
              <w:rPr>
                <w:rFonts w:hint="eastAsia" w:ascii="Times New Roman" w:hAnsi="Times New Roman" w:eastAsia="宋体"/>
                <w:color w:val="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834" w:type="dxa"/>
            <w:vMerge w:val="continue"/>
            <w:tcBorders>
              <w:tl2br w:val="nil"/>
              <w:tr2bl w:val="nil"/>
            </w:tcBorders>
            <w:vAlign w:val="center"/>
          </w:tcPr>
          <w:p>
            <w:pPr>
              <w:jc w:val="center"/>
              <w:rPr>
                <w:rFonts w:ascii="Times New Roman" w:hAnsi="Times New Roman" w:eastAsia="宋体"/>
                <w:color w:val="000000"/>
              </w:rPr>
            </w:pPr>
          </w:p>
        </w:tc>
        <w:tc>
          <w:tcPr>
            <w:tcW w:w="1140" w:type="dxa"/>
            <w:tcBorders>
              <w:tl2br w:val="nil"/>
              <w:tr2bl w:val="nil"/>
            </w:tcBorders>
            <w:vAlign w:val="center"/>
          </w:tcPr>
          <w:p>
            <w:pPr>
              <w:jc w:val="center"/>
              <w:rPr>
                <w:rFonts w:hint="eastAsia" w:ascii="Times New Roman" w:hAnsi="Times New Roman" w:eastAsia="宋体"/>
                <w:color w:val="000000"/>
                <w:lang w:eastAsia="zh-CN"/>
              </w:rPr>
            </w:pPr>
            <w:r>
              <w:rPr>
                <w:rFonts w:hint="eastAsia"/>
                <w:color w:val="000000"/>
                <w:lang w:val="en-US" w:eastAsia="zh-CN"/>
              </w:rPr>
              <w:t>污泥</w:t>
            </w:r>
          </w:p>
        </w:tc>
        <w:tc>
          <w:tcPr>
            <w:tcW w:w="3018" w:type="dxa"/>
            <w:tcBorders>
              <w:tl2br w:val="nil"/>
              <w:tr2bl w:val="nil"/>
            </w:tcBorders>
            <w:vAlign w:val="center"/>
          </w:tcPr>
          <w:p>
            <w:pPr>
              <w:jc w:val="center"/>
              <w:rPr>
                <w:rFonts w:ascii="Times New Roman" w:hAnsi="Times New Roman" w:eastAsia="宋体"/>
                <w:color w:val="000000"/>
              </w:rPr>
            </w:pPr>
            <w:r>
              <w:rPr>
                <w:rFonts w:hint="eastAsia"/>
              </w:rPr>
              <w:t>污水</w:t>
            </w:r>
            <w:r>
              <w:t>处理</w:t>
            </w:r>
            <w:r>
              <w:rPr>
                <w:rFonts w:hint="eastAsia"/>
              </w:rPr>
              <w:t>站</w:t>
            </w:r>
            <w:r>
              <w:t>污泥经院区暂存后</w:t>
            </w:r>
            <w:r>
              <w:rPr>
                <w:rFonts w:hint="eastAsia"/>
              </w:rPr>
              <w:t>交由有危废处置资的质单位处理</w:t>
            </w:r>
          </w:p>
        </w:tc>
        <w:tc>
          <w:tcPr>
            <w:tcW w:w="3048" w:type="dxa"/>
            <w:tcBorders>
              <w:tl2br w:val="nil"/>
              <w:tr2bl w:val="nil"/>
            </w:tcBorders>
            <w:vAlign w:val="center"/>
          </w:tcPr>
          <w:p>
            <w:pPr>
              <w:jc w:val="center"/>
              <w:rPr>
                <w:rFonts w:ascii="Times New Roman" w:hAnsi="Times New Roman" w:eastAsia="宋体"/>
                <w:color w:val="000000"/>
                <w:lang w:val="en-US"/>
              </w:rPr>
            </w:pPr>
            <w:r>
              <w:rPr>
                <w:rFonts w:hint="eastAsia"/>
                <w:color w:val="000000"/>
                <w:lang w:val="en-US" w:eastAsia="zh-CN"/>
              </w:rPr>
              <w:t>与环评一致</w:t>
            </w:r>
          </w:p>
        </w:tc>
        <w:tc>
          <w:tcPr>
            <w:tcW w:w="965" w:type="dxa"/>
            <w:tcBorders>
              <w:tl2br w:val="nil"/>
              <w:tr2bl w:val="nil"/>
            </w:tcBorders>
            <w:vAlign w:val="center"/>
          </w:tcPr>
          <w:p>
            <w:pPr>
              <w:jc w:val="center"/>
              <w:rPr>
                <w:rFonts w:ascii="Times New Roman" w:hAnsi="Times New Roman" w:eastAsia="宋体"/>
                <w:color w:val="000000"/>
              </w:rPr>
            </w:pPr>
            <w:r>
              <w:rPr>
                <w:rFonts w:ascii="Times New Roman" w:hAnsi="Times New Roman" w:eastAsia="宋体"/>
                <w:color w:val="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834" w:type="dxa"/>
            <w:tcBorders>
              <w:tl2br w:val="nil"/>
              <w:tr2bl w:val="nil"/>
            </w:tcBorders>
            <w:vAlign w:val="center"/>
          </w:tcPr>
          <w:p>
            <w:pPr>
              <w:jc w:val="center"/>
              <w:rPr>
                <w:rFonts w:ascii="Times New Roman" w:hAnsi="Times New Roman" w:eastAsia="宋体"/>
                <w:color w:val="000000"/>
              </w:rPr>
            </w:pPr>
            <w:r>
              <w:rPr>
                <w:rFonts w:ascii="Times New Roman" w:hAnsi="Times New Roman" w:eastAsia="宋体"/>
                <w:color w:val="000000"/>
              </w:rPr>
              <w:t>噪声</w:t>
            </w:r>
          </w:p>
        </w:tc>
        <w:tc>
          <w:tcPr>
            <w:tcW w:w="1140" w:type="dxa"/>
            <w:tcBorders>
              <w:tl2br w:val="nil"/>
              <w:tr2bl w:val="nil"/>
            </w:tcBorders>
            <w:vAlign w:val="center"/>
          </w:tcPr>
          <w:p>
            <w:pPr>
              <w:jc w:val="center"/>
              <w:rPr>
                <w:rFonts w:ascii="Times New Roman" w:hAnsi="Times New Roman" w:eastAsia="宋体"/>
                <w:color w:val="000000"/>
              </w:rPr>
            </w:pPr>
            <w:r>
              <w:rPr>
                <w:rFonts w:ascii="Times New Roman" w:hAnsi="Times New Roman" w:eastAsia="宋体"/>
                <w:color w:val="000000"/>
              </w:rPr>
              <w:t>噪声处理</w:t>
            </w:r>
          </w:p>
        </w:tc>
        <w:tc>
          <w:tcPr>
            <w:tcW w:w="3018" w:type="dxa"/>
            <w:tcBorders>
              <w:tl2br w:val="nil"/>
              <w:tr2bl w:val="nil"/>
            </w:tcBorders>
            <w:vAlign w:val="center"/>
          </w:tcPr>
          <w:p>
            <w:pPr>
              <w:jc w:val="center"/>
              <w:rPr>
                <w:rFonts w:ascii="Times New Roman" w:hAnsi="Times New Roman" w:eastAsia="宋体"/>
                <w:color w:val="000000"/>
              </w:rPr>
            </w:pPr>
            <w:r>
              <w:rPr>
                <w:rFonts w:ascii="Times New Roman" w:hAnsi="Times New Roman"/>
                <w:szCs w:val="21"/>
              </w:rPr>
              <w:t>合理布局，对噪声较大的设备采取单独隔离布置及其他各种消声降噪措施</w:t>
            </w:r>
          </w:p>
        </w:tc>
        <w:tc>
          <w:tcPr>
            <w:tcW w:w="3048" w:type="dxa"/>
            <w:tcBorders>
              <w:tl2br w:val="nil"/>
              <w:tr2bl w:val="nil"/>
            </w:tcBorders>
            <w:vAlign w:val="center"/>
          </w:tcPr>
          <w:p>
            <w:pPr>
              <w:jc w:val="center"/>
              <w:rPr>
                <w:rFonts w:hint="eastAsia" w:ascii="Times New Roman" w:hAnsi="Times New Roman" w:eastAsia="宋体"/>
                <w:color w:val="000000"/>
                <w:lang w:eastAsia="zh-CN"/>
              </w:rPr>
            </w:pPr>
            <w:r>
              <w:rPr>
                <w:rFonts w:hint="eastAsia"/>
                <w:color w:val="000000"/>
                <w:lang w:val="en-US" w:eastAsia="zh-CN"/>
              </w:rPr>
              <w:t>与环评一致</w:t>
            </w:r>
          </w:p>
        </w:tc>
        <w:tc>
          <w:tcPr>
            <w:tcW w:w="965" w:type="dxa"/>
            <w:tcBorders>
              <w:tl2br w:val="nil"/>
              <w:tr2bl w:val="nil"/>
            </w:tcBorders>
            <w:vAlign w:val="center"/>
          </w:tcPr>
          <w:p>
            <w:pPr>
              <w:jc w:val="center"/>
              <w:rPr>
                <w:rFonts w:ascii="Times New Roman" w:hAnsi="Times New Roman" w:eastAsia="宋体"/>
                <w:color w:val="000000"/>
              </w:rPr>
            </w:pPr>
            <w:r>
              <w:rPr>
                <w:rFonts w:ascii="Times New Roman" w:hAnsi="Times New Roman" w:eastAsia="宋体"/>
                <w:color w:val="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834" w:type="dxa"/>
            <w:vMerge w:val="restart"/>
            <w:tcBorders>
              <w:tl2br w:val="nil"/>
              <w:tr2bl w:val="nil"/>
            </w:tcBorders>
            <w:vAlign w:val="center"/>
          </w:tcPr>
          <w:p>
            <w:pPr>
              <w:pStyle w:val="11"/>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废气</w:t>
            </w:r>
          </w:p>
          <w:p>
            <w:pPr>
              <w:pStyle w:val="11"/>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处理</w:t>
            </w:r>
          </w:p>
        </w:tc>
        <w:tc>
          <w:tcPr>
            <w:tcW w:w="1140" w:type="dxa"/>
            <w:tcBorders>
              <w:tl2br w:val="nil"/>
              <w:tr2bl w:val="nil"/>
            </w:tcBorders>
            <w:vAlign w:val="center"/>
          </w:tcPr>
          <w:p>
            <w:pPr>
              <w:pStyle w:val="11"/>
              <w:jc w:val="center"/>
              <w:rPr>
                <w:rFonts w:ascii="Times New Roman" w:hAnsi="Times New Roman" w:eastAsia="宋体" w:cs="Times New Roman"/>
                <w:color w:val="000000"/>
                <w:kern w:val="2"/>
                <w:sz w:val="21"/>
                <w:szCs w:val="24"/>
                <w:lang w:val="en-US" w:eastAsia="zh-CN" w:bidi="ar-SA"/>
              </w:rPr>
            </w:pPr>
            <w:r>
              <w:rPr>
                <w:rFonts w:hint="eastAsia" w:cs="Times New Roman"/>
                <w:color w:val="000000"/>
                <w:kern w:val="2"/>
                <w:sz w:val="21"/>
                <w:szCs w:val="24"/>
                <w:lang w:val="en-US" w:eastAsia="zh-CN" w:bidi="ar-SA"/>
              </w:rPr>
              <w:t>恶臭气体</w:t>
            </w:r>
          </w:p>
        </w:tc>
        <w:tc>
          <w:tcPr>
            <w:tcW w:w="3018" w:type="dxa"/>
            <w:tcBorders>
              <w:tl2br w:val="nil"/>
              <w:tr2bl w:val="nil"/>
            </w:tcBorders>
            <w:vAlign w:val="center"/>
          </w:tcPr>
          <w:p>
            <w:pPr>
              <w:pStyle w:val="11"/>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污水处理装置采用密闭设计减少恶臭气体排放量</w:t>
            </w:r>
          </w:p>
        </w:tc>
        <w:tc>
          <w:tcPr>
            <w:tcW w:w="3048" w:type="dxa"/>
            <w:tcBorders>
              <w:tl2br w:val="nil"/>
              <w:tr2bl w:val="nil"/>
            </w:tcBorders>
            <w:vAlign w:val="center"/>
          </w:tcPr>
          <w:p>
            <w:pPr>
              <w:spacing w:line="240" w:lineRule="exact"/>
              <w:jc w:val="center"/>
              <w:rPr>
                <w:rFonts w:hint="eastAsia" w:ascii="Times New Roman" w:hAnsi="Times New Roman" w:eastAsia="宋体" w:cs="Times New Roman"/>
                <w:color w:val="000000"/>
                <w:kern w:val="2"/>
                <w:sz w:val="21"/>
                <w:szCs w:val="24"/>
                <w:lang w:val="en-US" w:eastAsia="zh-CN" w:bidi="ar-SA"/>
              </w:rPr>
            </w:pPr>
            <w:r>
              <w:rPr>
                <w:rFonts w:hint="eastAsia"/>
                <w:color w:val="000000"/>
                <w:lang w:val="en-US" w:eastAsia="zh-CN"/>
              </w:rPr>
              <w:t>与环评一致</w:t>
            </w:r>
          </w:p>
        </w:tc>
        <w:tc>
          <w:tcPr>
            <w:tcW w:w="965" w:type="dxa"/>
            <w:tcBorders>
              <w:tl2br w:val="nil"/>
              <w:tr2bl w:val="nil"/>
            </w:tcBorders>
            <w:vAlign w:val="center"/>
          </w:tcPr>
          <w:p>
            <w:pPr>
              <w:spacing w:line="240" w:lineRule="exact"/>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olor w:val="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834" w:type="dxa"/>
            <w:vMerge w:val="continue"/>
            <w:tcBorders>
              <w:tl2br w:val="nil"/>
              <w:tr2bl w:val="nil"/>
            </w:tcBorders>
            <w:vAlign w:val="center"/>
          </w:tcPr>
          <w:p>
            <w:pPr>
              <w:pStyle w:val="11"/>
              <w:jc w:val="center"/>
              <w:rPr>
                <w:rFonts w:ascii="Times New Roman" w:hAnsi="Times New Roman" w:eastAsia="宋体" w:cs="Times New Roman"/>
                <w:color w:val="000000"/>
                <w:kern w:val="2"/>
                <w:sz w:val="21"/>
                <w:szCs w:val="24"/>
                <w:lang w:val="en-US" w:eastAsia="zh-CN" w:bidi="ar-SA"/>
              </w:rPr>
            </w:pPr>
          </w:p>
        </w:tc>
        <w:tc>
          <w:tcPr>
            <w:tcW w:w="1140" w:type="dxa"/>
            <w:tcBorders>
              <w:tl2br w:val="nil"/>
              <w:tr2bl w:val="nil"/>
            </w:tcBorders>
            <w:vAlign w:val="center"/>
          </w:tcPr>
          <w:p>
            <w:pPr>
              <w:pStyle w:val="11"/>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备用发电</w:t>
            </w:r>
          </w:p>
          <w:p>
            <w:pPr>
              <w:pStyle w:val="11"/>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废气</w:t>
            </w:r>
          </w:p>
        </w:tc>
        <w:tc>
          <w:tcPr>
            <w:tcW w:w="3018" w:type="dxa"/>
            <w:tcBorders>
              <w:tl2br w:val="nil"/>
              <w:tr2bl w:val="nil"/>
            </w:tcBorders>
            <w:vAlign w:val="center"/>
          </w:tcPr>
          <w:p>
            <w:pPr>
              <w:pStyle w:val="11"/>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备用发电废气经过通风系统由</w:t>
            </w:r>
          </w:p>
          <w:p>
            <w:pPr>
              <w:pStyle w:val="11"/>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烟囱引至屋顶排出</w:t>
            </w:r>
          </w:p>
        </w:tc>
        <w:tc>
          <w:tcPr>
            <w:tcW w:w="3048" w:type="dxa"/>
            <w:tcBorders>
              <w:tl2br w:val="nil"/>
              <w:tr2bl w:val="nil"/>
            </w:tcBorders>
            <w:vAlign w:val="center"/>
          </w:tcPr>
          <w:p>
            <w:pPr>
              <w:pStyle w:val="11"/>
              <w:jc w:val="center"/>
              <w:rPr>
                <w:rFonts w:hint="eastAsia" w:ascii="Times New Roman" w:hAnsi="Times New Roman" w:eastAsia="宋体" w:cs="Times New Roman"/>
                <w:color w:val="000000"/>
                <w:kern w:val="2"/>
                <w:sz w:val="21"/>
                <w:szCs w:val="24"/>
                <w:lang w:val="en-US" w:eastAsia="zh-CN" w:bidi="ar-SA"/>
              </w:rPr>
            </w:pPr>
            <w:r>
              <w:rPr>
                <w:rFonts w:hint="eastAsia" w:cs="Times New Roman"/>
                <w:color w:val="000000"/>
                <w:kern w:val="2"/>
                <w:sz w:val="21"/>
                <w:szCs w:val="24"/>
                <w:lang w:val="en-US" w:eastAsia="zh-CN" w:bidi="ar-SA"/>
              </w:rPr>
              <w:t>暂未安装备用发电机，故无废气产生</w:t>
            </w:r>
          </w:p>
        </w:tc>
        <w:tc>
          <w:tcPr>
            <w:tcW w:w="965" w:type="dxa"/>
            <w:tcBorders>
              <w:tl2br w:val="nil"/>
              <w:tr2bl w:val="nil"/>
            </w:tcBorders>
            <w:vAlign w:val="center"/>
          </w:tcPr>
          <w:p>
            <w:pPr>
              <w:spacing w:line="240" w:lineRule="exact"/>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olor w:val="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834" w:type="dxa"/>
            <w:vMerge w:val="continue"/>
            <w:tcBorders>
              <w:tl2br w:val="nil"/>
              <w:tr2bl w:val="nil"/>
            </w:tcBorders>
            <w:vAlign w:val="center"/>
          </w:tcPr>
          <w:p>
            <w:pPr>
              <w:pStyle w:val="11"/>
              <w:jc w:val="center"/>
              <w:rPr>
                <w:rFonts w:ascii="Times New Roman" w:hAnsi="Times New Roman" w:eastAsia="宋体" w:cs="Times New Roman"/>
                <w:color w:val="000000"/>
                <w:kern w:val="2"/>
                <w:sz w:val="21"/>
                <w:szCs w:val="24"/>
                <w:lang w:val="en-US" w:eastAsia="zh-CN" w:bidi="ar-SA"/>
              </w:rPr>
            </w:pPr>
          </w:p>
        </w:tc>
        <w:tc>
          <w:tcPr>
            <w:tcW w:w="1140" w:type="dxa"/>
            <w:tcBorders>
              <w:tl2br w:val="nil"/>
              <w:tr2bl w:val="nil"/>
            </w:tcBorders>
            <w:vAlign w:val="center"/>
          </w:tcPr>
          <w:p>
            <w:pPr>
              <w:adjustRightInd w:val="0"/>
              <w:snapToGrid w:val="0"/>
              <w:spacing w:line="0" w:lineRule="atLeast"/>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食堂油烟</w:t>
            </w:r>
          </w:p>
        </w:tc>
        <w:tc>
          <w:tcPr>
            <w:tcW w:w="3018" w:type="dxa"/>
            <w:tcBorders>
              <w:tl2br w:val="nil"/>
              <w:tr2bl w:val="nil"/>
            </w:tcBorders>
            <w:vAlign w:val="center"/>
          </w:tcPr>
          <w:p>
            <w:pPr>
              <w:adjustRightInd w:val="0"/>
              <w:snapToGrid w:val="0"/>
              <w:spacing w:line="0" w:lineRule="atLeast"/>
              <w:jc w:val="center"/>
              <w:rPr>
                <w:rFonts w:ascii="Times New Roman" w:hAnsi="Times New Roman" w:eastAsia="宋体" w:cs="Times New Roman"/>
                <w:color w:val="000000"/>
                <w:kern w:val="2"/>
                <w:sz w:val="21"/>
                <w:szCs w:val="24"/>
                <w:lang w:val="en-US" w:eastAsia="zh-CN" w:bidi="ar-SA"/>
              </w:rPr>
            </w:pPr>
            <w:r>
              <w:rPr>
                <w:rFonts w:ascii="Times New Roman" w:hAnsi="Times New Roman"/>
                <w:szCs w:val="21"/>
              </w:rPr>
              <w:t>食堂油烟废气</w:t>
            </w:r>
            <w:r>
              <w:rPr>
                <w:rFonts w:hint="eastAsia" w:ascii="Times New Roman" w:hAnsi="Times New Roman"/>
                <w:szCs w:val="21"/>
              </w:rPr>
              <w:t>经过高效油烟净化器净化处理后通过烟囱屋顶排出</w:t>
            </w:r>
          </w:p>
        </w:tc>
        <w:tc>
          <w:tcPr>
            <w:tcW w:w="3048" w:type="dxa"/>
            <w:tcBorders>
              <w:tl2br w:val="nil"/>
              <w:tr2bl w:val="nil"/>
            </w:tcBorders>
            <w:vAlign w:val="center"/>
          </w:tcPr>
          <w:p>
            <w:pPr>
              <w:spacing w:line="240" w:lineRule="exact"/>
              <w:jc w:val="center"/>
              <w:rPr>
                <w:rFonts w:ascii="Times New Roman" w:hAnsi="Times New Roman" w:eastAsia="宋体" w:cs="Times New Roman"/>
                <w:color w:val="000000"/>
                <w:kern w:val="2"/>
                <w:sz w:val="21"/>
                <w:szCs w:val="24"/>
                <w:lang w:val="en-US" w:eastAsia="zh-CN" w:bidi="ar-SA"/>
              </w:rPr>
            </w:pPr>
            <w:r>
              <w:rPr>
                <w:rFonts w:hint="eastAsia"/>
                <w:color w:val="000000"/>
                <w:lang w:val="en-US" w:eastAsia="zh-CN"/>
              </w:rPr>
              <w:t>未安装油烟净化器，集气罩收集后经25m排气筒排放</w:t>
            </w:r>
          </w:p>
        </w:tc>
        <w:tc>
          <w:tcPr>
            <w:tcW w:w="965" w:type="dxa"/>
            <w:tcBorders>
              <w:tl2br w:val="nil"/>
              <w:tr2bl w:val="nil"/>
            </w:tcBorders>
            <w:vAlign w:val="center"/>
          </w:tcPr>
          <w:p>
            <w:pPr>
              <w:spacing w:line="240" w:lineRule="exact"/>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olor w:val="000000"/>
              </w:rPr>
              <w:t>/</w:t>
            </w:r>
          </w:p>
        </w:tc>
      </w:tr>
    </w:tbl>
    <w:p>
      <w:pPr>
        <w:pStyle w:val="4"/>
        <w:spacing w:before="0" w:after="0" w:line="580" w:lineRule="exact"/>
        <w:rPr>
          <w:rFonts w:ascii="Times New Roman" w:hAnsi="Times New Roman" w:eastAsia="宋体"/>
          <w:sz w:val="28"/>
          <w:szCs w:val="28"/>
        </w:rPr>
      </w:pPr>
      <w:bookmarkStart w:id="34" w:name="_Toc30081"/>
      <w:bookmarkStart w:id="35" w:name="_Toc23869"/>
      <w:r>
        <w:rPr>
          <w:rFonts w:hint="eastAsia" w:ascii="Times New Roman" w:hAnsi="Times New Roman" w:eastAsia="宋体"/>
          <w:sz w:val="28"/>
          <w:szCs w:val="28"/>
          <w:lang w:val="en-US" w:eastAsia="zh-CN"/>
        </w:rPr>
        <w:t>4</w:t>
      </w:r>
      <w:r>
        <w:rPr>
          <w:rFonts w:hint="eastAsia" w:ascii="Times New Roman" w:hAnsi="Times New Roman" w:eastAsia="宋体"/>
          <w:sz w:val="28"/>
          <w:szCs w:val="28"/>
        </w:rPr>
        <w:t>.3 环保设施安装及运行情况</w:t>
      </w:r>
      <w:bookmarkEnd w:id="34"/>
      <w:bookmarkEnd w:id="35"/>
    </w:p>
    <w:p>
      <w:pPr>
        <w:spacing w:line="580" w:lineRule="exact"/>
        <w:ind w:firstLine="480" w:firstLineChars="200"/>
        <w:jc w:val="left"/>
        <w:rPr>
          <w:rFonts w:hint="eastAsia"/>
        </w:rPr>
      </w:pPr>
      <w:r>
        <w:rPr>
          <w:rFonts w:hint="eastAsia"/>
          <w:sz w:val="24"/>
          <w:lang w:val="en-US" w:eastAsia="zh-CN"/>
        </w:rPr>
        <w:t>益阳康宁精神病专科医院</w:t>
      </w:r>
      <w:r>
        <w:rPr>
          <w:rFonts w:hint="eastAsia"/>
          <w:sz w:val="24"/>
        </w:rPr>
        <w:t>建设项目已建立环境保护规章制度，环保设施已按照要求建成，并已正常运行。本公司对项目废水、废气处理设施、噪声治理措施、固废处置场所等环保设施的管理和运行情况进行了现场检查，基本符合环评设计和环评批复的要求，项目环保投资情况见表</w:t>
      </w:r>
      <w:r>
        <w:rPr>
          <w:rFonts w:hint="eastAsia"/>
          <w:sz w:val="24"/>
          <w:lang w:val="en-US" w:eastAsia="zh-CN"/>
        </w:rPr>
        <w:t>4</w:t>
      </w:r>
      <w:r>
        <w:rPr>
          <w:rFonts w:hint="eastAsia"/>
          <w:sz w:val="24"/>
        </w:rPr>
        <w:t>-</w:t>
      </w:r>
      <w:r>
        <w:rPr>
          <w:rFonts w:hint="eastAsia"/>
          <w:sz w:val="24"/>
          <w:lang w:val="en-US" w:eastAsia="zh-CN"/>
        </w:rPr>
        <w:t>6</w:t>
      </w:r>
      <w:r>
        <w:rPr>
          <w:rFonts w:hint="eastAsia"/>
          <w:sz w:val="24"/>
        </w:rPr>
        <w:t>。</w:t>
      </w:r>
    </w:p>
    <w:p>
      <w:pPr>
        <w:spacing w:line="580" w:lineRule="exact"/>
        <w:ind w:firstLine="422" w:firstLineChars="200"/>
        <w:jc w:val="center"/>
        <w:rPr>
          <w:rFonts w:hint="eastAsia"/>
          <w:b/>
        </w:rPr>
      </w:pPr>
    </w:p>
    <w:p>
      <w:pPr>
        <w:spacing w:line="580" w:lineRule="exact"/>
        <w:ind w:firstLine="422" w:firstLineChars="200"/>
        <w:jc w:val="center"/>
        <w:rPr>
          <w:rFonts w:hint="eastAsia"/>
          <w:b/>
        </w:rPr>
      </w:pPr>
    </w:p>
    <w:p>
      <w:pPr>
        <w:spacing w:line="580" w:lineRule="exact"/>
        <w:ind w:firstLine="422" w:firstLineChars="200"/>
        <w:jc w:val="center"/>
        <w:rPr>
          <w:rFonts w:hint="eastAsia"/>
          <w:b/>
        </w:rPr>
      </w:pPr>
    </w:p>
    <w:p>
      <w:pPr>
        <w:spacing w:line="580" w:lineRule="exact"/>
        <w:ind w:firstLine="422" w:firstLineChars="200"/>
        <w:jc w:val="center"/>
        <w:rPr>
          <w:rFonts w:hint="eastAsia"/>
          <w:b/>
        </w:rPr>
      </w:pPr>
    </w:p>
    <w:p>
      <w:pPr>
        <w:spacing w:line="580" w:lineRule="exact"/>
        <w:ind w:firstLine="422" w:firstLineChars="200"/>
        <w:jc w:val="center"/>
        <w:rPr>
          <w:rFonts w:hint="eastAsia"/>
          <w:b/>
        </w:rPr>
      </w:pPr>
    </w:p>
    <w:p>
      <w:pPr>
        <w:spacing w:line="580" w:lineRule="exact"/>
        <w:ind w:firstLine="422" w:firstLineChars="200"/>
        <w:jc w:val="center"/>
      </w:pPr>
      <w:r>
        <w:rPr>
          <w:rFonts w:hint="eastAsia"/>
          <w:b/>
          <w:lang w:val="en-US" w:eastAsia="zh-CN"/>
        </w:rPr>
        <w:t xml:space="preserve"> </w:t>
      </w:r>
      <w:r>
        <w:rPr>
          <w:rFonts w:hint="eastAsia"/>
          <w:b/>
        </w:rPr>
        <w:t>表</w:t>
      </w:r>
      <w:r>
        <w:rPr>
          <w:rFonts w:hint="eastAsia"/>
          <w:b/>
          <w:lang w:val="en-US" w:eastAsia="zh-CN"/>
        </w:rPr>
        <w:t>4</w:t>
      </w:r>
      <w:r>
        <w:rPr>
          <w:rFonts w:hint="eastAsia"/>
          <w:b/>
        </w:rPr>
        <w:t>-</w:t>
      </w:r>
      <w:r>
        <w:rPr>
          <w:rFonts w:hint="eastAsia"/>
          <w:b/>
          <w:lang w:val="en-US" w:eastAsia="zh-CN"/>
        </w:rPr>
        <w:t>6</w:t>
      </w:r>
      <w:r>
        <w:rPr>
          <w:b/>
        </w:rPr>
        <w:t xml:space="preserve"> </w:t>
      </w:r>
      <w:r>
        <w:rPr>
          <w:rFonts w:hint="eastAsia"/>
          <w:b/>
        </w:rPr>
        <w:t>环保投资一览</w:t>
      </w:r>
    </w:p>
    <w:tbl>
      <w:tblPr>
        <w:tblStyle w:val="32"/>
        <w:tblW w:w="8930"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4"/>
        <w:gridCol w:w="1283"/>
        <w:gridCol w:w="5437"/>
        <w:gridCol w:w="14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714" w:type="dxa"/>
            <w:tcBorders>
              <w:top w:val="single" w:color="auto" w:sz="12" w:space="0"/>
            </w:tcBorders>
            <w:vAlign w:val="center"/>
          </w:tcPr>
          <w:p>
            <w:pPr>
              <w:pStyle w:val="41"/>
              <w:spacing w:line="320" w:lineRule="exact"/>
              <w:rPr>
                <w:b/>
              </w:rPr>
            </w:pPr>
            <w:r>
              <w:rPr>
                <w:rFonts w:hint="eastAsia"/>
                <w:b/>
              </w:rPr>
              <w:t>序号</w:t>
            </w:r>
          </w:p>
        </w:tc>
        <w:tc>
          <w:tcPr>
            <w:tcW w:w="1283" w:type="dxa"/>
            <w:tcBorders>
              <w:top w:val="single" w:color="auto" w:sz="12" w:space="0"/>
            </w:tcBorders>
            <w:vAlign w:val="center"/>
          </w:tcPr>
          <w:p>
            <w:pPr>
              <w:pStyle w:val="41"/>
              <w:spacing w:line="320" w:lineRule="exact"/>
              <w:rPr>
                <w:b/>
              </w:rPr>
            </w:pPr>
            <w:r>
              <w:rPr>
                <w:rFonts w:hint="eastAsia"/>
                <w:b/>
              </w:rPr>
              <w:t>污染治理</w:t>
            </w:r>
          </w:p>
        </w:tc>
        <w:tc>
          <w:tcPr>
            <w:tcW w:w="5437" w:type="dxa"/>
            <w:tcBorders>
              <w:top w:val="single" w:color="auto" w:sz="12" w:space="0"/>
            </w:tcBorders>
            <w:vAlign w:val="center"/>
          </w:tcPr>
          <w:p>
            <w:pPr>
              <w:pStyle w:val="41"/>
              <w:spacing w:line="320" w:lineRule="exact"/>
              <w:rPr>
                <w:b/>
              </w:rPr>
            </w:pPr>
            <w:r>
              <w:rPr>
                <w:rFonts w:hint="eastAsia"/>
                <w:b/>
              </w:rPr>
              <w:t>名称</w:t>
            </w:r>
          </w:p>
          <w:p>
            <w:pPr>
              <w:pStyle w:val="41"/>
              <w:spacing w:line="320" w:lineRule="exact"/>
              <w:rPr>
                <w:b/>
              </w:rPr>
            </w:pPr>
          </w:p>
        </w:tc>
        <w:tc>
          <w:tcPr>
            <w:tcW w:w="1496" w:type="dxa"/>
            <w:tcBorders>
              <w:top w:val="single" w:color="auto" w:sz="12" w:space="0"/>
            </w:tcBorders>
            <w:vAlign w:val="center"/>
          </w:tcPr>
          <w:p>
            <w:pPr>
              <w:pStyle w:val="41"/>
              <w:spacing w:line="320" w:lineRule="exact"/>
              <w:rPr>
                <w:b/>
              </w:rPr>
            </w:pPr>
            <w:r>
              <w:rPr>
                <w:rFonts w:hint="eastAsia"/>
                <w:b/>
              </w:rPr>
              <w:t>投资额（万元）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14" w:type="dxa"/>
            <w:vMerge w:val="restart"/>
            <w:vAlign w:val="center"/>
          </w:tcPr>
          <w:p>
            <w:pPr>
              <w:spacing w:line="240" w:lineRule="exact"/>
              <w:jc w:val="center"/>
              <w:rPr>
                <w:szCs w:val="21"/>
              </w:rPr>
            </w:pPr>
            <w:r>
              <w:rPr>
                <w:rFonts w:hint="eastAsia"/>
                <w:szCs w:val="21"/>
              </w:rPr>
              <w:t>1</w:t>
            </w:r>
          </w:p>
        </w:tc>
        <w:tc>
          <w:tcPr>
            <w:tcW w:w="1283" w:type="dxa"/>
            <w:vMerge w:val="restart"/>
            <w:vAlign w:val="center"/>
          </w:tcPr>
          <w:p>
            <w:pPr>
              <w:spacing w:line="240" w:lineRule="exact"/>
              <w:jc w:val="center"/>
              <w:rPr>
                <w:szCs w:val="21"/>
              </w:rPr>
            </w:pPr>
            <w:r>
              <w:rPr>
                <w:rFonts w:hint="eastAsia"/>
                <w:szCs w:val="21"/>
              </w:rPr>
              <w:t>废水处理</w:t>
            </w:r>
          </w:p>
        </w:tc>
        <w:tc>
          <w:tcPr>
            <w:tcW w:w="5437" w:type="dxa"/>
            <w:vAlign w:val="center"/>
          </w:tcPr>
          <w:p>
            <w:pPr>
              <w:spacing w:line="240" w:lineRule="exact"/>
              <w:jc w:val="center"/>
              <w:rPr>
                <w:szCs w:val="21"/>
              </w:rPr>
            </w:pPr>
            <w:r>
              <w:rPr>
                <w:rFonts w:hint="eastAsia"/>
                <w:szCs w:val="21"/>
              </w:rPr>
              <w:t>化粪池</w:t>
            </w:r>
          </w:p>
          <w:p>
            <w:pPr>
              <w:spacing w:line="240" w:lineRule="exact"/>
              <w:jc w:val="center"/>
              <w:rPr>
                <w:rFonts w:hint="eastAsia"/>
                <w:szCs w:val="21"/>
              </w:rPr>
            </w:pPr>
          </w:p>
        </w:tc>
        <w:tc>
          <w:tcPr>
            <w:tcW w:w="1496" w:type="dxa"/>
            <w:vMerge w:val="restart"/>
            <w:vAlign w:val="center"/>
          </w:tcPr>
          <w:p>
            <w:pPr>
              <w:spacing w:line="240" w:lineRule="exact"/>
              <w:jc w:val="center"/>
              <w:rPr>
                <w:rFonts w:hint="default"/>
                <w:szCs w:val="21"/>
                <w:lang w:val="en-US" w:eastAsia="zh-CN"/>
              </w:rPr>
            </w:pPr>
            <w:r>
              <w:rPr>
                <w:rFonts w:hint="eastAsia"/>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14" w:type="dxa"/>
            <w:vMerge w:val="continue"/>
            <w:vAlign w:val="center"/>
          </w:tcPr>
          <w:p>
            <w:pPr>
              <w:spacing w:line="240" w:lineRule="exact"/>
              <w:jc w:val="center"/>
              <w:rPr>
                <w:szCs w:val="21"/>
              </w:rPr>
            </w:pPr>
          </w:p>
        </w:tc>
        <w:tc>
          <w:tcPr>
            <w:tcW w:w="1283" w:type="dxa"/>
            <w:vMerge w:val="continue"/>
            <w:vAlign w:val="center"/>
          </w:tcPr>
          <w:p>
            <w:pPr>
              <w:spacing w:line="240" w:lineRule="exact"/>
              <w:jc w:val="center"/>
              <w:rPr>
                <w:szCs w:val="21"/>
              </w:rPr>
            </w:pPr>
          </w:p>
        </w:tc>
        <w:tc>
          <w:tcPr>
            <w:tcW w:w="5437" w:type="dxa"/>
            <w:vAlign w:val="center"/>
          </w:tcPr>
          <w:p>
            <w:pPr>
              <w:spacing w:line="240" w:lineRule="exact"/>
              <w:jc w:val="center"/>
              <w:rPr>
                <w:rFonts w:hint="default" w:eastAsia="宋体"/>
                <w:szCs w:val="21"/>
                <w:lang w:val="en-US" w:eastAsia="zh-CN"/>
              </w:rPr>
            </w:pPr>
            <w:r>
              <w:rPr>
                <w:rFonts w:hint="eastAsia"/>
                <w:szCs w:val="21"/>
                <w:lang w:val="en-US" w:eastAsia="zh-CN"/>
              </w:rPr>
              <w:t>污水处理站</w:t>
            </w:r>
          </w:p>
          <w:p>
            <w:pPr>
              <w:spacing w:line="240" w:lineRule="exact"/>
              <w:jc w:val="center"/>
              <w:rPr>
                <w:rFonts w:hint="eastAsia"/>
                <w:szCs w:val="21"/>
              </w:rPr>
            </w:pPr>
          </w:p>
        </w:tc>
        <w:tc>
          <w:tcPr>
            <w:tcW w:w="1496" w:type="dxa"/>
            <w:vMerge w:val="continue"/>
            <w:vAlign w:val="center"/>
          </w:tcPr>
          <w:p>
            <w:pPr>
              <w:spacing w:line="240" w:lineRule="exact"/>
              <w:jc w:val="center"/>
              <w:rPr>
                <w:rFonts w:hint="eastAsia"/>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14" w:type="dxa"/>
            <w:vAlign w:val="center"/>
          </w:tcPr>
          <w:p>
            <w:pPr>
              <w:spacing w:line="240" w:lineRule="exact"/>
              <w:jc w:val="center"/>
              <w:rPr>
                <w:szCs w:val="21"/>
              </w:rPr>
            </w:pPr>
            <w:r>
              <w:rPr>
                <w:rFonts w:hint="eastAsia"/>
                <w:szCs w:val="21"/>
              </w:rPr>
              <w:t>2</w:t>
            </w:r>
          </w:p>
        </w:tc>
        <w:tc>
          <w:tcPr>
            <w:tcW w:w="1283" w:type="dxa"/>
            <w:vAlign w:val="center"/>
          </w:tcPr>
          <w:p>
            <w:pPr>
              <w:spacing w:line="240" w:lineRule="exact"/>
              <w:jc w:val="center"/>
              <w:rPr>
                <w:szCs w:val="21"/>
              </w:rPr>
            </w:pPr>
            <w:r>
              <w:rPr>
                <w:rFonts w:hint="eastAsia"/>
                <w:szCs w:val="21"/>
              </w:rPr>
              <w:t>废气处理</w:t>
            </w:r>
          </w:p>
        </w:tc>
        <w:tc>
          <w:tcPr>
            <w:tcW w:w="5437" w:type="dxa"/>
            <w:vAlign w:val="center"/>
          </w:tcPr>
          <w:p>
            <w:pPr>
              <w:spacing w:line="240" w:lineRule="exact"/>
              <w:jc w:val="center"/>
              <w:rPr>
                <w:szCs w:val="21"/>
              </w:rPr>
            </w:pPr>
            <w:r>
              <w:rPr>
                <w:rFonts w:hint="eastAsia"/>
                <w:szCs w:val="21"/>
              </w:rPr>
              <w:t>加盖挡板</w:t>
            </w:r>
          </w:p>
          <w:p>
            <w:pPr>
              <w:spacing w:line="240" w:lineRule="exact"/>
              <w:jc w:val="center"/>
              <w:rPr>
                <w:rFonts w:hint="eastAsia"/>
                <w:szCs w:val="21"/>
              </w:rPr>
            </w:pPr>
          </w:p>
        </w:tc>
        <w:tc>
          <w:tcPr>
            <w:tcW w:w="1496" w:type="dxa"/>
            <w:vAlign w:val="center"/>
          </w:tcPr>
          <w:p>
            <w:pPr>
              <w:spacing w:line="240" w:lineRule="exact"/>
              <w:jc w:val="center"/>
              <w:rPr>
                <w:rFonts w:hint="eastAsia"/>
                <w:szCs w:val="21"/>
              </w:rPr>
            </w:pPr>
            <w:r>
              <w:rPr>
                <w:rFonts w:hint="eastAsia"/>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14" w:type="dxa"/>
            <w:vAlign w:val="center"/>
          </w:tcPr>
          <w:p>
            <w:pPr>
              <w:spacing w:line="240" w:lineRule="exact"/>
              <w:jc w:val="center"/>
              <w:rPr>
                <w:szCs w:val="21"/>
              </w:rPr>
            </w:pPr>
            <w:r>
              <w:rPr>
                <w:rFonts w:hint="eastAsia"/>
                <w:szCs w:val="21"/>
              </w:rPr>
              <w:t>3</w:t>
            </w:r>
          </w:p>
        </w:tc>
        <w:tc>
          <w:tcPr>
            <w:tcW w:w="1283" w:type="dxa"/>
            <w:vAlign w:val="center"/>
          </w:tcPr>
          <w:p>
            <w:pPr>
              <w:spacing w:line="240" w:lineRule="exact"/>
              <w:jc w:val="center"/>
              <w:rPr>
                <w:szCs w:val="21"/>
              </w:rPr>
            </w:pPr>
            <w:r>
              <w:rPr>
                <w:rFonts w:hint="eastAsia"/>
                <w:szCs w:val="21"/>
              </w:rPr>
              <w:t>噪声</w:t>
            </w:r>
          </w:p>
        </w:tc>
        <w:tc>
          <w:tcPr>
            <w:tcW w:w="5437" w:type="dxa"/>
            <w:vAlign w:val="center"/>
          </w:tcPr>
          <w:p>
            <w:pPr>
              <w:spacing w:line="240" w:lineRule="exact"/>
              <w:jc w:val="center"/>
              <w:rPr>
                <w:szCs w:val="21"/>
              </w:rPr>
            </w:pPr>
            <w:r>
              <w:rPr>
                <w:rFonts w:hint="eastAsia"/>
                <w:szCs w:val="21"/>
              </w:rPr>
              <w:t>减震、隔声门窗、合理布局</w:t>
            </w:r>
          </w:p>
          <w:p>
            <w:pPr>
              <w:spacing w:line="240" w:lineRule="exact"/>
              <w:jc w:val="center"/>
              <w:rPr>
                <w:rFonts w:hint="eastAsia"/>
                <w:szCs w:val="21"/>
              </w:rPr>
            </w:pPr>
          </w:p>
        </w:tc>
        <w:tc>
          <w:tcPr>
            <w:tcW w:w="1496" w:type="dxa"/>
            <w:vAlign w:val="center"/>
          </w:tcPr>
          <w:p>
            <w:pPr>
              <w:spacing w:line="240" w:lineRule="exact"/>
              <w:jc w:val="center"/>
              <w:rPr>
                <w:rFonts w:hint="eastAsia"/>
                <w:szCs w:val="21"/>
                <w:lang w:eastAsia="zh-CN"/>
              </w:rPr>
            </w:pPr>
            <w:r>
              <w:rPr>
                <w:rFonts w:hint="eastAsia"/>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14" w:type="dxa"/>
            <w:vAlign w:val="center"/>
          </w:tcPr>
          <w:p>
            <w:pPr>
              <w:spacing w:line="240" w:lineRule="exact"/>
              <w:jc w:val="center"/>
              <w:rPr>
                <w:szCs w:val="21"/>
              </w:rPr>
            </w:pPr>
            <w:r>
              <w:rPr>
                <w:rFonts w:hint="eastAsia"/>
                <w:szCs w:val="21"/>
              </w:rPr>
              <w:t>4</w:t>
            </w:r>
          </w:p>
        </w:tc>
        <w:tc>
          <w:tcPr>
            <w:tcW w:w="1283" w:type="dxa"/>
            <w:vAlign w:val="center"/>
          </w:tcPr>
          <w:p>
            <w:pPr>
              <w:spacing w:line="240" w:lineRule="exact"/>
              <w:jc w:val="center"/>
              <w:rPr>
                <w:szCs w:val="21"/>
              </w:rPr>
            </w:pPr>
            <w:r>
              <w:rPr>
                <w:rFonts w:hint="eastAsia"/>
                <w:szCs w:val="21"/>
              </w:rPr>
              <w:t>固废</w:t>
            </w:r>
          </w:p>
        </w:tc>
        <w:tc>
          <w:tcPr>
            <w:tcW w:w="5437" w:type="dxa"/>
            <w:vAlign w:val="center"/>
          </w:tcPr>
          <w:p>
            <w:pPr>
              <w:jc w:val="center"/>
              <w:rPr>
                <w:szCs w:val="21"/>
              </w:rPr>
            </w:pPr>
            <w:r>
              <w:rPr>
                <w:rFonts w:hint="eastAsia"/>
                <w:szCs w:val="21"/>
              </w:rPr>
              <w:t>垃圾桶、医疗废物暂存间、医疗废物处置</w:t>
            </w:r>
          </w:p>
          <w:p>
            <w:pPr>
              <w:spacing w:line="240" w:lineRule="exact"/>
              <w:jc w:val="center"/>
              <w:rPr>
                <w:rFonts w:hint="eastAsia" w:eastAsia="宋体"/>
                <w:szCs w:val="21"/>
                <w:lang w:val="en-US" w:eastAsia="zh-CN"/>
              </w:rPr>
            </w:pPr>
          </w:p>
        </w:tc>
        <w:tc>
          <w:tcPr>
            <w:tcW w:w="1496" w:type="dxa"/>
            <w:vAlign w:val="center"/>
          </w:tcPr>
          <w:p>
            <w:pPr>
              <w:spacing w:line="240" w:lineRule="exact"/>
              <w:jc w:val="center"/>
              <w:rPr>
                <w:rFonts w:hint="eastAsia"/>
                <w:szCs w:val="21"/>
                <w:lang w:eastAsia="zh-CN"/>
              </w:rPr>
            </w:pPr>
            <w:r>
              <w:rPr>
                <w:rFonts w:hint="eastAsia"/>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34" w:type="dxa"/>
            <w:gridSpan w:val="3"/>
            <w:tcBorders>
              <w:bottom w:val="single" w:color="auto" w:sz="12" w:space="0"/>
            </w:tcBorders>
            <w:vAlign w:val="center"/>
          </w:tcPr>
          <w:p>
            <w:pPr>
              <w:spacing w:line="240" w:lineRule="exact"/>
              <w:jc w:val="center"/>
              <w:rPr>
                <w:szCs w:val="21"/>
              </w:rPr>
            </w:pPr>
            <w:r>
              <w:rPr>
                <w:rFonts w:hint="eastAsia"/>
                <w:szCs w:val="21"/>
              </w:rPr>
              <w:t>合计</w:t>
            </w:r>
          </w:p>
        </w:tc>
        <w:tc>
          <w:tcPr>
            <w:tcW w:w="1496" w:type="dxa"/>
            <w:tcBorders>
              <w:bottom w:val="single" w:color="auto" w:sz="12" w:space="0"/>
            </w:tcBorders>
            <w:vAlign w:val="center"/>
          </w:tcPr>
          <w:p>
            <w:pPr>
              <w:spacing w:line="240" w:lineRule="exact"/>
              <w:jc w:val="center"/>
              <w:rPr>
                <w:rFonts w:hint="eastAsia" w:eastAsia="宋体"/>
                <w:szCs w:val="21"/>
                <w:lang w:val="en-US" w:eastAsia="zh-CN"/>
              </w:rPr>
            </w:pPr>
            <w:r>
              <w:rPr>
                <w:rFonts w:hint="eastAsia"/>
                <w:szCs w:val="21"/>
                <w:lang w:val="en-US" w:eastAsia="zh-CN"/>
              </w:rPr>
              <w:t>15</w:t>
            </w:r>
          </w:p>
        </w:tc>
      </w:tr>
    </w:tbl>
    <w:p>
      <w:pPr>
        <w:pStyle w:val="11"/>
        <w:rPr>
          <w:rFonts w:hint="eastAsia" w:hAnsi="宋体"/>
          <w:sz w:val="24"/>
        </w:rPr>
      </w:pPr>
    </w:p>
    <w:p>
      <w:pPr>
        <w:pStyle w:val="3"/>
        <w:spacing w:beforeLines="50" w:afterLines="50" w:line="600" w:lineRule="exact"/>
        <w:rPr>
          <w:sz w:val="32"/>
          <w:szCs w:val="32"/>
        </w:rPr>
      </w:pPr>
      <w:bookmarkStart w:id="36" w:name="_Toc31478"/>
      <w:bookmarkStart w:id="37" w:name="_Toc1786"/>
      <w:bookmarkStart w:id="38" w:name="_Toc103233817"/>
      <w:bookmarkStart w:id="39" w:name="_Toc211096932"/>
      <w:r>
        <w:rPr>
          <w:rFonts w:hint="eastAsia"/>
          <w:sz w:val="32"/>
          <w:szCs w:val="32"/>
          <w:lang w:val="en-US" w:eastAsia="zh-CN"/>
        </w:rPr>
        <w:t>5</w:t>
      </w:r>
      <w:r>
        <w:rPr>
          <w:sz w:val="32"/>
          <w:szCs w:val="32"/>
        </w:rPr>
        <w:t xml:space="preserve"> 环境影响评价结论、建议及环评批复意见</w:t>
      </w:r>
      <w:bookmarkEnd w:id="36"/>
      <w:bookmarkEnd w:id="37"/>
    </w:p>
    <w:p>
      <w:pPr>
        <w:pStyle w:val="4"/>
        <w:spacing w:beforeLines="50" w:afterLines="50" w:line="600" w:lineRule="exact"/>
        <w:rPr>
          <w:rFonts w:ascii="Times New Roman" w:hAnsi="Times New Roman" w:eastAsia="宋体"/>
          <w:sz w:val="28"/>
          <w:szCs w:val="28"/>
        </w:rPr>
      </w:pPr>
      <w:bookmarkStart w:id="40" w:name="_Toc4035"/>
      <w:bookmarkStart w:id="41" w:name="_Toc26321"/>
      <w:r>
        <w:rPr>
          <w:rFonts w:hint="eastAsia" w:ascii="Times New Roman" w:hAnsi="Times New Roman" w:eastAsia="宋体"/>
          <w:sz w:val="28"/>
          <w:szCs w:val="28"/>
          <w:lang w:val="en-US" w:eastAsia="zh-CN"/>
        </w:rPr>
        <w:t>5</w:t>
      </w:r>
      <w:r>
        <w:rPr>
          <w:rFonts w:ascii="Times New Roman" w:hAnsi="Times New Roman" w:eastAsia="宋体"/>
          <w:sz w:val="28"/>
          <w:szCs w:val="28"/>
        </w:rPr>
        <w:t>.1</w:t>
      </w:r>
      <w:r>
        <w:rPr>
          <w:rFonts w:hint="eastAsia" w:ascii="Times New Roman" w:hAnsi="Times New Roman" w:eastAsia="宋体"/>
          <w:sz w:val="28"/>
          <w:szCs w:val="28"/>
        </w:rPr>
        <w:t xml:space="preserve"> </w:t>
      </w:r>
      <w:r>
        <w:rPr>
          <w:rFonts w:ascii="Times New Roman" w:hAnsi="Times New Roman" w:eastAsia="宋体"/>
          <w:sz w:val="28"/>
          <w:szCs w:val="28"/>
        </w:rPr>
        <w:t>环评主要结论</w:t>
      </w:r>
      <w:bookmarkEnd w:id="40"/>
      <w:bookmarkEnd w:id="41"/>
    </w:p>
    <w:bookmarkEnd w:id="38"/>
    <w:bookmarkEnd w:id="39"/>
    <w:p>
      <w:pPr>
        <w:keepNext w:val="0"/>
        <w:keepLines w:val="0"/>
        <w:pageBreakBefore w:val="0"/>
        <w:widowControl w:val="0"/>
        <w:kinsoku/>
        <w:wordWrap/>
        <w:overflowPunct/>
        <w:topLinePunct w:val="0"/>
        <w:autoSpaceDE/>
        <w:autoSpaceDN/>
        <w:bidi w:val="0"/>
        <w:adjustRightInd/>
        <w:snapToGrid w:val="0"/>
        <w:spacing w:line="640" w:lineRule="exact"/>
        <w:ind w:left="0" w:leftChars="0" w:right="0" w:rightChars="0" w:firstLine="470" w:firstLineChars="196"/>
        <w:jc w:val="both"/>
        <w:textAlignment w:val="auto"/>
        <w:outlineLvl w:val="9"/>
        <w:rPr>
          <w:rFonts w:hint="eastAsia" w:hAnsi="宋体"/>
          <w:kern w:val="0"/>
          <w:sz w:val="24"/>
          <w:lang w:val="en-US" w:eastAsia="zh-CN"/>
        </w:rPr>
      </w:pPr>
      <w:bookmarkStart w:id="42" w:name="_Toc19057"/>
      <w:bookmarkStart w:id="43" w:name="_Toc433989166"/>
      <w:r>
        <w:rPr>
          <w:rFonts w:hint="eastAsia" w:hAnsi="宋体"/>
          <w:kern w:val="0"/>
          <w:sz w:val="24"/>
          <w:lang w:val="en-US" w:eastAsia="zh-CN"/>
        </w:rPr>
        <w:t>该益阳康宁精神病专科医院建设项目符合国家产业政策，选址基本可行，平面布局合理。项目建设和运营过程中，充分落实本环评提出的各项污染防治对策，认真做好“三同时”及日常环保管理工作的前提下，废水、废气、噪声等均可达标排放，固体废物能得到有效、安全的处置。项目产生的污染物对周围环境产生的影响在可接受的范围内，外环境对本项目的影响可控。从环境保护角度出发，项目建设是可行的。</w:t>
      </w:r>
    </w:p>
    <w:p>
      <w:pPr>
        <w:pStyle w:val="4"/>
        <w:spacing w:before="0" w:after="0" w:line="600" w:lineRule="exact"/>
        <w:rPr>
          <w:rFonts w:ascii="Times New Roman" w:hAnsi="Times New Roman" w:eastAsia="宋体"/>
          <w:sz w:val="28"/>
          <w:szCs w:val="28"/>
        </w:rPr>
      </w:pPr>
      <w:bookmarkStart w:id="44" w:name="_Toc18074"/>
      <w:r>
        <w:rPr>
          <w:rFonts w:hint="eastAsia" w:ascii="Times New Roman" w:hAnsi="Times New Roman" w:eastAsia="宋体"/>
          <w:sz w:val="28"/>
          <w:szCs w:val="28"/>
          <w:lang w:val="en-US" w:eastAsia="zh-CN"/>
        </w:rPr>
        <w:t>5</w:t>
      </w:r>
      <w:r>
        <w:rPr>
          <w:rFonts w:ascii="Times New Roman" w:hAnsi="Times New Roman" w:eastAsia="宋体"/>
          <w:sz w:val="28"/>
          <w:szCs w:val="28"/>
        </w:rPr>
        <w:t>.2</w:t>
      </w:r>
      <w:r>
        <w:rPr>
          <w:rFonts w:hint="eastAsia" w:ascii="Times New Roman" w:hAnsi="Times New Roman" w:eastAsia="宋体"/>
          <w:sz w:val="28"/>
          <w:szCs w:val="28"/>
        </w:rPr>
        <w:t xml:space="preserve"> </w:t>
      </w:r>
      <w:r>
        <w:rPr>
          <w:rFonts w:ascii="Times New Roman" w:hAnsi="Times New Roman" w:eastAsia="宋体"/>
          <w:sz w:val="28"/>
          <w:szCs w:val="28"/>
        </w:rPr>
        <w:t>环评建议</w:t>
      </w:r>
      <w:bookmarkEnd w:id="42"/>
      <w:bookmarkEnd w:id="43"/>
      <w:r>
        <w:rPr>
          <w:rFonts w:hint="eastAsia" w:ascii="Times New Roman" w:hAnsi="Times New Roman" w:eastAsia="宋体"/>
          <w:sz w:val="28"/>
          <w:szCs w:val="28"/>
        </w:rPr>
        <w:t>及要求</w:t>
      </w:r>
      <w:bookmarkEnd w:id="44"/>
    </w:p>
    <w:p>
      <w:pPr>
        <w:spacing w:line="360" w:lineRule="auto"/>
        <w:ind w:firstLine="480" w:firstLineChars="200"/>
        <w:rPr>
          <w:rFonts w:ascii="Times New Roman" w:hAnsi="Times New Roman"/>
          <w:sz w:val="24"/>
          <w:szCs w:val="24"/>
        </w:rPr>
      </w:pPr>
      <w:bookmarkStart w:id="45" w:name="_Toc14446"/>
      <w:r>
        <w:rPr>
          <w:rFonts w:ascii="Times New Roman" w:hAnsi="Times New Roman"/>
          <w:sz w:val="24"/>
          <w:szCs w:val="24"/>
        </w:rPr>
        <w:t>（1）该项目在建设过程中，必须严格按照国家有关建设项目环保管理规定，执行建设项目须配套建设的环境保护设施与主体工程同时设计、同时施工、同时投产使用的</w:t>
      </w:r>
      <w:r>
        <w:rPr>
          <w:rFonts w:hint="eastAsia" w:ascii="宋体" w:hAnsi="宋体"/>
          <w:sz w:val="24"/>
          <w:szCs w:val="24"/>
        </w:rPr>
        <w:t>“三同时”制</w:t>
      </w:r>
      <w:r>
        <w:rPr>
          <w:rFonts w:ascii="Times New Roman" w:hAnsi="Times New Roman"/>
          <w:sz w:val="24"/>
          <w:szCs w:val="24"/>
        </w:rPr>
        <w:t>度；各类污染物的排放应执行本次环评规定的标准。</w:t>
      </w:r>
    </w:p>
    <w:p>
      <w:pPr>
        <w:spacing w:line="360" w:lineRule="auto"/>
        <w:ind w:firstLine="480" w:firstLineChars="200"/>
        <w:rPr>
          <w:rFonts w:ascii="Times New Roman" w:hAnsi="Times New Roman"/>
          <w:sz w:val="24"/>
          <w:szCs w:val="24"/>
        </w:rPr>
      </w:pPr>
      <w:r>
        <w:rPr>
          <w:rFonts w:ascii="Times New Roman" w:hAnsi="Times New Roman"/>
          <w:sz w:val="24"/>
          <w:szCs w:val="24"/>
        </w:rPr>
        <w:t>（2）项目营运过程中，应严格医疗废物贮存、转移、运输等环节的管理，确保医疗废物安全处置，防止医疗废物泄入环境引起的环境污染。</w:t>
      </w:r>
    </w:p>
    <w:p>
      <w:pPr>
        <w:widowControl/>
        <w:spacing w:line="360" w:lineRule="auto"/>
        <w:ind w:firstLine="480" w:firstLineChars="200"/>
        <w:rPr>
          <w:rFonts w:ascii="Times New Roman" w:hAnsi="Times New Roman"/>
          <w:sz w:val="24"/>
          <w:szCs w:val="24"/>
        </w:rPr>
      </w:pPr>
      <w:r>
        <w:rPr>
          <w:rFonts w:ascii="Times New Roman" w:hAnsi="Times New Roman"/>
          <w:sz w:val="24"/>
          <w:szCs w:val="24"/>
        </w:rPr>
        <w:t>（3）加强院内污水处理设施管理，确保污水处理设施连续、稳定、有效运行，确保废水处理达标。</w:t>
      </w:r>
    </w:p>
    <w:p>
      <w:pPr>
        <w:spacing w:line="360" w:lineRule="auto"/>
        <w:ind w:firstLine="480" w:firstLineChars="200"/>
        <w:rPr>
          <w:rFonts w:hint="eastAsia" w:ascii="Times New Roman" w:hAnsi="Times New Roman"/>
          <w:sz w:val="24"/>
          <w:szCs w:val="24"/>
        </w:rPr>
      </w:pPr>
      <w:r>
        <w:rPr>
          <w:rFonts w:ascii="Times New Roman" w:hAnsi="Times New Roman"/>
          <w:sz w:val="24"/>
          <w:szCs w:val="24"/>
        </w:rPr>
        <w:t>（4）项目应重视与周边居民的关系，建设期和营运期，企业应在安全环保方面加强与当地居民的联系和沟通。</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（5）医疗废物贮存和运输泄漏事故危害和废水排放事故环境风险需制定环境风险事故应急预案。</w:t>
      </w:r>
    </w:p>
    <w:p>
      <w:pPr>
        <w:pStyle w:val="4"/>
        <w:spacing w:beforeLines="50" w:afterLines="50" w:line="600" w:lineRule="exact"/>
        <w:rPr>
          <w:rFonts w:ascii="Times New Roman" w:hAnsi="Times New Roman" w:eastAsia="宋体"/>
          <w:sz w:val="28"/>
          <w:szCs w:val="28"/>
        </w:rPr>
      </w:pPr>
      <w:bookmarkStart w:id="46" w:name="_Toc17647"/>
      <w:r>
        <w:rPr>
          <w:rFonts w:hint="eastAsia" w:ascii="Times New Roman" w:hAnsi="Times New Roman" w:eastAsia="宋体"/>
          <w:sz w:val="28"/>
          <w:szCs w:val="28"/>
          <w:lang w:val="en-US" w:eastAsia="zh-CN"/>
        </w:rPr>
        <w:t>5</w:t>
      </w:r>
      <w:r>
        <w:rPr>
          <w:rFonts w:ascii="Times New Roman" w:hAnsi="Times New Roman" w:eastAsia="宋体"/>
          <w:sz w:val="28"/>
          <w:szCs w:val="28"/>
        </w:rPr>
        <w:t>.</w:t>
      </w:r>
      <w:r>
        <w:rPr>
          <w:rFonts w:hint="eastAsia" w:ascii="Times New Roman" w:hAnsi="Times New Roman" w:eastAsia="宋体"/>
          <w:sz w:val="28"/>
          <w:szCs w:val="28"/>
          <w:lang w:val="en-US" w:eastAsia="zh-CN"/>
        </w:rPr>
        <w:t>3</w:t>
      </w:r>
      <w:r>
        <w:rPr>
          <w:rFonts w:hint="eastAsia" w:ascii="Times New Roman" w:hAnsi="Times New Roman" w:eastAsia="宋体"/>
          <w:sz w:val="28"/>
          <w:szCs w:val="28"/>
        </w:rPr>
        <w:t xml:space="preserve"> 审批部门审批决定</w:t>
      </w:r>
      <w:bookmarkEnd w:id="46"/>
    </w:p>
    <w:p>
      <w:pPr>
        <w:spacing w:line="600" w:lineRule="exact"/>
        <w:ind w:firstLine="480" w:firstLineChars="200"/>
        <w:rPr>
          <w:b/>
          <w:szCs w:val="21"/>
        </w:rPr>
      </w:pPr>
      <w:r>
        <w:rPr>
          <w:rFonts w:hint="eastAsia"/>
          <w:sz w:val="24"/>
        </w:rPr>
        <w:t>项目环评批复要求及落实情况见表</w:t>
      </w:r>
      <w:r>
        <w:rPr>
          <w:rFonts w:hint="eastAsia"/>
          <w:sz w:val="24"/>
          <w:lang w:val="en-US" w:eastAsia="zh-CN"/>
        </w:rPr>
        <w:t>5</w:t>
      </w:r>
      <w:r>
        <w:rPr>
          <w:rFonts w:hint="eastAsia"/>
          <w:sz w:val="24"/>
        </w:rPr>
        <w:t>-1。</w:t>
      </w:r>
    </w:p>
    <w:p>
      <w:pPr>
        <w:spacing w:line="600" w:lineRule="exact"/>
        <w:ind w:firstLine="422" w:firstLineChars="200"/>
        <w:jc w:val="center"/>
        <w:rPr>
          <w:b/>
          <w:szCs w:val="21"/>
        </w:rPr>
      </w:pPr>
      <w:r>
        <w:rPr>
          <w:rFonts w:hint="eastAsia"/>
          <w:b/>
          <w:szCs w:val="21"/>
        </w:rPr>
        <w:t>表</w:t>
      </w:r>
      <w:r>
        <w:rPr>
          <w:rFonts w:hint="eastAsia"/>
          <w:b/>
          <w:szCs w:val="21"/>
          <w:lang w:val="en-US" w:eastAsia="zh-CN"/>
        </w:rPr>
        <w:t>5</w:t>
      </w:r>
      <w:r>
        <w:rPr>
          <w:rFonts w:hint="eastAsia"/>
          <w:b/>
          <w:szCs w:val="21"/>
        </w:rPr>
        <w:t>-1 项目环评批复要求及落实情况一览表</w:t>
      </w:r>
    </w:p>
    <w:tbl>
      <w:tblPr>
        <w:tblStyle w:val="32"/>
        <w:tblW w:w="8948"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7"/>
        <w:gridCol w:w="4180"/>
        <w:gridCol w:w="41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587" w:type="dxa"/>
            <w:vAlign w:val="center"/>
          </w:tcPr>
          <w:p>
            <w:pPr>
              <w:snapToGrid w:val="0"/>
              <w:spacing w:line="320" w:lineRule="exact"/>
              <w:ind w:left="-105" w:leftChars="-50" w:right="-105" w:rightChars="-50"/>
              <w:jc w:val="center"/>
              <w:rPr>
                <w:b/>
                <w:kern w:val="0"/>
                <w:szCs w:val="21"/>
              </w:rPr>
            </w:pPr>
            <w:r>
              <w:rPr>
                <w:b/>
                <w:kern w:val="0"/>
                <w:szCs w:val="21"/>
              </w:rPr>
              <w:t>序号</w:t>
            </w:r>
          </w:p>
        </w:tc>
        <w:tc>
          <w:tcPr>
            <w:tcW w:w="4180" w:type="dxa"/>
            <w:vAlign w:val="center"/>
          </w:tcPr>
          <w:p>
            <w:pPr>
              <w:snapToGrid w:val="0"/>
              <w:spacing w:line="320" w:lineRule="exact"/>
              <w:ind w:left="-105" w:leftChars="-50" w:right="-105" w:rightChars="-50"/>
              <w:jc w:val="center"/>
              <w:rPr>
                <w:b/>
                <w:kern w:val="0"/>
                <w:szCs w:val="21"/>
              </w:rPr>
            </w:pPr>
            <w:r>
              <w:rPr>
                <w:rFonts w:hint="eastAsia"/>
                <w:b/>
                <w:kern w:val="0"/>
                <w:szCs w:val="21"/>
              </w:rPr>
              <w:t>益阳市环境保护局</w:t>
            </w:r>
            <w:r>
              <w:rPr>
                <w:b/>
                <w:kern w:val="0"/>
                <w:szCs w:val="21"/>
              </w:rPr>
              <w:t>环评批复要求</w:t>
            </w:r>
          </w:p>
        </w:tc>
        <w:tc>
          <w:tcPr>
            <w:tcW w:w="4181" w:type="dxa"/>
            <w:vAlign w:val="center"/>
          </w:tcPr>
          <w:p>
            <w:pPr>
              <w:snapToGrid w:val="0"/>
              <w:spacing w:line="320" w:lineRule="exact"/>
              <w:ind w:left="-105" w:leftChars="-50" w:right="-105" w:rightChars="-50"/>
              <w:jc w:val="center"/>
              <w:rPr>
                <w:b/>
                <w:kern w:val="0"/>
                <w:szCs w:val="21"/>
              </w:rPr>
            </w:pPr>
            <w:r>
              <w:rPr>
                <w:b/>
                <w:kern w:val="0"/>
                <w:szCs w:val="21"/>
              </w:rPr>
              <w:t>具体落实情况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87" w:hRule="atLeast"/>
        </w:trPr>
        <w:tc>
          <w:tcPr>
            <w:tcW w:w="587" w:type="dxa"/>
            <w:vAlign w:val="center"/>
          </w:tcPr>
          <w:p>
            <w:pPr>
              <w:snapToGrid w:val="0"/>
              <w:spacing w:beforeLines="20" w:afterLines="20" w:line="320" w:lineRule="exact"/>
              <w:jc w:val="center"/>
              <w:rPr>
                <w:kern w:val="0"/>
                <w:szCs w:val="21"/>
              </w:rPr>
            </w:pPr>
            <w:r>
              <w:rPr>
                <w:rFonts w:hint="eastAsia"/>
                <w:kern w:val="0"/>
                <w:szCs w:val="21"/>
              </w:rPr>
              <w:t>1</w:t>
            </w:r>
          </w:p>
        </w:tc>
        <w:tc>
          <w:tcPr>
            <w:tcW w:w="4180" w:type="dxa"/>
            <w:vAlign w:val="center"/>
          </w:tcPr>
          <w:p>
            <w:pPr>
              <w:snapToGrid w:val="0"/>
              <w:ind w:firstLine="420" w:firstLineChars="200"/>
              <w:rPr>
                <w:rFonts w:hint="eastAsia" w:eastAsia="宋体"/>
                <w:kern w:val="0"/>
                <w:szCs w:val="21"/>
                <w:lang w:val="en-US" w:eastAsia="zh-CN"/>
              </w:rPr>
            </w:pPr>
            <w:r>
              <w:rPr>
                <w:rFonts w:hint="eastAsia"/>
                <w:kern w:val="0"/>
                <w:szCs w:val="21"/>
                <w:lang w:val="en-US" w:eastAsia="zh-CN"/>
              </w:rPr>
              <w:t>益阳康宁精神病专科医院投资500万元，环保投资55万元。在益阳市谢林港桃益公路南侧建设专科医院项目。该项目总用地面积3393.35m</w:t>
            </w:r>
            <w:r>
              <w:rPr>
                <w:rFonts w:hint="eastAsia"/>
                <w:kern w:val="0"/>
                <w:szCs w:val="21"/>
                <w:vertAlign w:val="superscript"/>
                <w:lang w:val="en-US" w:eastAsia="zh-CN"/>
              </w:rPr>
              <w:t>2</w:t>
            </w:r>
            <w:r>
              <w:rPr>
                <w:rFonts w:hint="eastAsia"/>
                <w:kern w:val="0"/>
                <w:szCs w:val="21"/>
                <w:vertAlign w:val="baseline"/>
                <w:lang w:val="en-US" w:eastAsia="zh-CN"/>
              </w:rPr>
              <w:t>，总建筑面积4900.7</w:t>
            </w:r>
            <w:r>
              <w:rPr>
                <w:rFonts w:hint="eastAsia"/>
                <w:kern w:val="0"/>
                <w:szCs w:val="21"/>
                <w:lang w:val="en-US" w:eastAsia="zh-CN"/>
              </w:rPr>
              <w:t>m</w:t>
            </w:r>
            <w:r>
              <w:rPr>
                <w:rFonts w:hint="eastAsia"/>
                <w:kern w:val="0"/>
                <w:szCs w:val="21"/>
                <w:vertAlign w:val="superscript"/>
                <w:lang w:val="en-US" w:eastAsia="zh-CN"/>
              </w:rPr>
              <w:t>2</w:t>
            </w:r>
            <w:r>
              <w:rPr>
                <w:rFonts w:hint="eastAsia"/>
                <w:kern w:val="0"/>
                <w:szCs w:val="21"/>
                <w:vertAlign w:val="baseline"/>
                <w:lang w:val="en-US" w:eastAsia="zh-CN"/>
              </w:rPr>
              <w:t>，设标准病床50张。主要建设内容：1F综合楼，含门诊部、放射室、药房、化验室、办公室、食堂。2F行政区、休息区。3F~4F住院区等。根据湖南景玺环保科技有限公司编制的环评报告表的分析结论和益阳市环境保护局的预审意见，在建设单位切实落实报告表提出的各项污染防治和风险防范措施，确保污染物达标排放的前提下，从环境保护的角度分析，我局同意</w:t>
            </w:r>
            <w:r>
              <w:rPr>
                <w:rFonts w:hint="eastAsia"/>
                <w:kern w:val="0"/>
                <w:szCs w:val="21"/>
                <w:lang w:val="en-US" w:eastAsia="zh-CN"/>
              </w:rPr>
              <w:t>益阳康宁精神病专科医院</w:t>
            </w:r>
            <w:r>
              <w:rPr>
                <w:rFonts w:hint="eastAsia"/>
                <w:kern w:val="0"/>
                <w:szCs w:val="21"/>
                <w:vertAlign w:val="baseline"/>
                <w:lang w:val="en-US" w:eastAsia="zh-CN"/>
              </w:rPr>
              <w:t>的选址并建设。</w:t>
            </w:r>
          </w:p>
        </w:tc>
        <w:tc>
          <w:tcPr>
            <w:tcW w:w="4181" w:type="dxa"/>
            <w:vAlign w:val="center"/>
          </w:tcPr>
          <w:p>
            <w:pPr>
              <w:pStyle w:val="11"/>
              <w:ind w:firstLine="420" w:firstLineChars="200"/>
              <w:rPr>
                <w:spacing w:val="-6"/>
                <w:szCs w:val="21"/>
              </w:rPr>
            </w:pPr>
            <w:r>
              <w:rPr>
                <w:rFonts w:hint="eastAsia" w:ascii="Times New Roman" w:hAnsi="Times New Roman" w:eastAsia="宋体" w:cs="Times New Roman"/>
                <w:kern w:val="0"/>
                <w:sz w:val="21"/>
                <w:szCs w:val="21"/>
                <w:lang w:val="en-US" w:eastAsia="zh-CN" w:bidi="ar-SA"/>
              </w:rPr>
              <w:t>益阳康宁精神病专科医院投资</w:t>
            </w:r>
            <w:r>
              <w:rPr>
                <w:rFonts w:hint="eastAsia" w:cs="Times New Roman"/>
                <w:kern w:val="0"/>
                <w:sz w:val="21"/>
                <w:szCs w:val="21"/>
                <w:lang w:val="en-US" w:eastAsia="zh-CN" w:bidi="ar-SA"/>
              </w:rPr>
              <w:t>500</w:t>
            </w:r>
            <w:r>
              <w:rPr>
                <w:rFonts w:hint="eastAsia" w:ascii="Times New Roman" w:hAnsi="Times New Roman" w:eastAsia="宋体" w:cs="Times New Roman"/>
                <w:kern w:val="0"/>
                <w:sz w:val="21"/>
                <w:szCs w:val="21"/>
                <w:lang w:val="en-US" w:eastAsia="zh-CN" w:bidi="ar-SA"/>
              </w:rPr>
              <w:t>万元，</w:t>
            </w:r>
            <w:r>
              <w:rPr>
                <w:rFonts w:hint="eastAsia" w:cs="Times New Roman"/>
                <w:kern w:val="0"/>
                <w:sz w:val="21"/>
                <w:szCs w:val="21"/>
                <w:lang w:val="en-US" w:eastAsia="zh-CN" w:bidi="ar-SA"/>
              </w:rPr>
              <w:t>环保投资</w:t>
            </w:r>
            <w:r>
              <w:rPr>
                <w:rFonts w:hint="eastAsia" w:cs="Times New Roman"/>
                <w:color w:val="auto"/>
                <w:kern w:val="0"/>
                <w:sz w:val="21"/>
                <w:szCs w:val="21"/>
                <w:lang w:val="en-US" w:eastAsia="zh-CN" w:bidi="ar-SA"/>
              </w:rPr>
              <w:t>15</w:t>
            </w:r>
            <w:r>
              <w:rPr>
                <w:rFonts w:hint="eastAsia" w:cs="Times New Roman"/>
                <w:kern w:val="0"/>
                <w:sz w:val="21"/>
                <w:szCs w:val="21"/>
                <w:lang w:val="en-US" w:eastAsia="zh-CN" w:bidi="ar-SA"/>
              </w:rPr>
              <w:t>万元</w:t>
            </w:r>
            <w:r>
              <w:rPr>
                <w:rFonts w:hint="eastAsia" w:ascii="Times New Roman" w:hAnsi="Times New Roman" w:eastAsia="宋体" w:cs="Times New Roman"/>
                <w:kern w:val="0"/>
                <w:sz w:val="21"/>
                <w:szCs w:val="21"/>
                <w:lang w:val="en-US" w:eastAsia="zh-CN" w:bidi="ar-SA"/>
              </w:rPr>
              <w:t>。在益阳市谢林港桃益公路南侧建设益阳康宁精神病专科医院。该项目总用地面积</w:t>
            </w:r>
            <w:r>
              <w:rPr>
                <w:rFonts w:hint="eastAsia" w:cs="Times New Roman"/>
                <w:kern w:val="0"/>
                <w:sz w:val="21"/>
                <w:szCs w:val="21"/>
                <w:lang w:val="en-US" w:eastAsia="zh-CN" w:bidi="ar-SA"/>
              </w:rPr>
              <w:t>3393.35</w:t>
            </w:r>
            <w:r>
              <w:rPr>
                <w:rFonts w:hint="eastAsia" w:ascii="Times New Roman" w:hAnsi="Times New Roman" w:eastAsia="宋体" w:cs="Times New Roman"/>
                <w:kern w:val="0"/>
                <w:sz w:val="21"/>
                <w:szCs w:val="21"/>
                <w:lang w:val="en-US" w:eastAsia="zh-CN" w:bidi="ar-SA"/>
              </w:rPr>
              <w:t>m</w:t>
            </w:r>
            <w:r>
              <w:rPr>
                <w:rFonts w:hint="eastAsia" w:ascii="Times New Roman" w:hAnsi="Times New Roman" w:eastAsia="宋体" w:cs="Times New Roman"/>
                <w:kern w:val="0"/>
                <w:sz w:val="21"/>
                <w:szCs w:val="21"/>
                <w:vertAlign w:val="superscript"/>
                <w:lang w:val="en-US" w:eastAsia="zh-CN" w:bidi="ar-SA"/>
              </w:rPr>
              <w:t>2</w:t>
            </w:r>
            <w:r>
              <w:rPr>
                <w:rFonts w:hint="eastAsia" w:ascii="Times New Roman" w:hAnsi="Times New Roman" w:eastAsia="宋体" w:cs="Times New Roman"/>
                <w:kern w:val="0"/>
                <w:sz w:val="21"/>
                <w:szCs w:val="21"/>
                <w:lang w:val="en-US" w:eastAsia="zh-CN" w:bidi="ar-SA"/>
              </w:rPr>
              <w:t>，总建筑面积</w:t>
            </w:r>
            <w:r>
              <w:rPr>
                <w:rFonts w:hint="eastAsia" w:cs="Times New Roman"/>
                <w:kern w:val="0"/>
                <w:sz w:val="21"/>
                <w:szCs w:val="21"/>
                <w:lang w:val="en-US" w:eastAsia="zh-CN" w:bidi="ar-SA"/>
              </w:rPr>
              <w:t>4900.7</w:t>
            </w:r>
            <w:r>
              <w:rPr>
                <w:rFonts w:hint="eastAsia" w:ascii="Times New Roman" w:hAnsi="Times New Roman" w:eastAsia="宋体" w:cs="Times New Roman"/>
                <w:kern w:val="0"/>
                <w:sz w:val="21"/>
                <w:szCs w:val="21"/>
                <w:lang w:val="en-US" w:eastAsia="zh-CN" w:bidi="ar-SA"/>
              </w:rPr>
              <w:t>m</w:t>
            </w:r>
            <w:r>
              <w:rPr>
                <w:rFonts w:hint="eastAsia" w:ascii="Times New Roman" w:hAnsi="Times New Roman" w:eastAsia="宋体" w:cs="Times New Roman"/>
                <w:kern w:val="0"/>
                <w:sz w:val="21"/>
                <w:szCs w:val="21"/>
                <w:vertAlign w:val="superscript"/>
                <w:lang w:val="en-US" w:eastAsia="zh-CN" w:bidi="ar-SA"/>
              </w:rPr>
              <w:t>2</w:t>
            </w:r>
            <w:r>
              <w:rPr>
                <w:rFonts w:hint="eastAsia" w:ascii="Times New Roman" w:hAnsi="Times New Roman" w:eastAsia="宋体" w:cs="Times New Roman"/>
                <w:kern w:val="0"/>
                <w:sz w:val="21"/>
                <w:szCs w:val="21"/>
                <w:lang w:val="en-US" w:eastAsia="zh-CN" w:bidi="ar-SA"/>
              </w:rPr>
              <w:t>，设标准病床</w:t>
            </w:r>
            <w:r>
              <w:rPr>
                <w:rFonts w:hint="eastAsia" w:cs="Times New Roman"/>
                <w:kern w:val="0"/>
                <w:sz w:val="21"/>
                <w:szCs w:val="21"/>
                <w:lang w:val="en-US" w:eastAsia="zh-CN" w:bidi="ar-SA"/>
              </w:rPr>
              <w:t>69</w:t>
            </w:r>
            <w:r>
              <w:rPr>
                <w:rFonts w:hint="eastAsia" w:ascii="Times New Roman" w:hAnsi="Times New Roman" w:eastAsia="宋体" w:cs="Times New Roman"/>
                <w:kern w:val="0"/>
                <w:sz w:val="21"/>
                <w:szCs w:val="21"/>
                <w:lang w:val="en-US" w:eastAsia="zh-CN" w:bidi="ar-SA"/>
              </w:rPr>
              <w:t>张。主要建设内容：1F综合楼，门诊部、放射室、药房、化验室、办公室、食堂</w:t>
            </w:r>
            <w:r>
              <w:rPr>
                <w:rFonts w:hint="eastAsia"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2F行政区、休息区。3F~4F住院区等。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87" w:type="dxa"/>
            <w:vAlign w:val="center"/>
          </w:tcPr>
          <w:p>
            <w:pPr>
              <w:snapToGrid w:val="0"/>
              <w:spacing w:beforeLines="20" w:afterLines="20" w:line="320" w:lineRule="exact"/>
              <w:jc w:val="center"/>
              <w:rPr>
                <w:kern w:val="0"/>
                <w:szCs w:val="21"/>
              </w:rPr>
            </w:pPr>
            <w:r>
              <w:rPr>
                <w:rFonts w:hint="eastAsia"/>
                <w:kern w:val="0"/>
                <w:szCs w:val="21"/>
              </w:rPr>
              <w:t>2</w:t>
            </w:r>
          </w:p>
        </w:tc>
        <w:tc>
          <w:tcPr>
            <w:tcW w:w="4180" w:type="dxa"/>
            <w:vAlign w:val="center"/>
          </w:tcPr>
          <w:p>
            <w:pPr>
              <w:snapToGrid w:val="0"/>
              <w:spacing w:line="320" w:lineRule="exact"/>
              <w:ind w:firstLine="420" w:firstLineChars="200"/>
              <w:rPr>
                <w:rFonts w:hint="eastAsia" w:eastAsia="宋体"/>
                <w:kern w:val="0"/>
                <w:szCs w:val="21"/>
                <w:lang w:val="en-US" w:eastAsia="zh-CN"/>
              </w:rPr>
            </w:pPr>
            <w:r>
              <w:rPr>
                <w:rFonts w:hint="eastAsia"/>
                <w:color w:val="auto"/>
                <w:kern w:val="0"/>
                <w:szCs w:val="21"/>
                <w:lang w:val="en-US" w:eastAsia="zh-CN"/>
              </w:rPr>
              <w:t>建立健全环保规章制度，加强环保设施运行维护管理，严禁擅自闲置、停用或拆除环保治理设施</w:t>
            </w:r>
            <w:r>
              <w:rPr>
                <w:rFonts w:hint="eastAsia"/>
                <w:kern w:val="0"/>
                <w:szCs w:val="21"/>
                <w:lang w:val="en-US" w:eastAsia="zh-CN"/>
              </w:rPr>
              <w:t>。严格执行医疗废物贮存、转移、运输等环节的管理制度，确保医疗废物安全处置，防止医疗废物安全处置，防止医疗废物泄入环境引起污染；加强院内污水处理设施管理，确保污水处理设施连续、稳定、有效运行，确保废水处理达标。</w:t>
            </w:r>
          </w:p>
        </w:tc>
        <w:tc>
          <w:tcPr>
            <w:tcW w:w="4181" w:type="dxa"/>
            <w:vAlign w:val="center"/>
          </w:tcPr>
          <w:p>
            <w:pPr>
              <w:ind w:right="42" w:rightChars="20" w:firstLine="420" w:firstLineChars="200"/>
              <w:rPr>
                <w:rFonts w:hint="eastAsia" w:eastAsia="宋体"/>
                <w:color w:val="000000"/>
                <w:szCs w:val="21"/>
                <w:lang w:val="en-US" w:eastAsia="zh-CN"/>
              </w:rPr>
            </w:pPr>
            <w:r>
              <w:rPr>
                <w:rFonts w:hint="eastAsia"/>
                <w:color w:val="000000"/>
                <w:szCs w:val="21"/>
                <w:lang w:val="en-US" w:eastAsia="zh-CN"/>
              </w:rPr>
              <w:t>经核实，</w:t>
            </w:r>
            <w:r>
              <w:rPr>
                <w:rFonts w:hint="eastAsia"/>
                <w:color w:val="auto"/>
                <w:szCs w:val="21"/>
                <w:lang w:val="en-US" w:eastAsia="zh-CN"/>
              </w:rPr>
              <w:t>医院已建立环境管理机构，配备了专职环保人员，完善了环境保护管理制度，对定期检查和维护，做到处理达标后排放。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95" w:hRule="atLeast"/>
        </w:trPr>
        <w:tc>
          <w:tcPr>
            <w:tcW w:w="587" w:type="dxa"/>
            <w:vAlign w:val="center"/>
          </w:tcPr>
          <w:p>
            <w:pPr>
              <w:snapToGrid w:val="0"/>
              <w:spacing w:beforeLines="20" w:afterLines="20" w:line="320" w:lineRule="exact"/>
              <w:jc w:val="center"/>
              <w:rPr>
                <w:kern w:val="0"/>
                <w:szCs w:val="21"/>
              </w:rPr>
            </w:pPr>
            <w:r>
              <w:rPr>
                <w:rFonts w:hint="eastAsia"/>
                <w:kern w:val="0"/>
                <w:szCs w:val="21"/>
              </w:rPr>
              <w:t>4</w:t>
            </w:r>
          </w:p>
        </w:tc>
        <w:tc>
          <w:tcPr>
            <w:tcW w:w="4180" w:type="dxa"/>
            <w:vAlign w:val="center"/>
          </w:tcPr>
          <w:p>
            <w:pPr>
              <w:ind w:firstLine="420" w:firstLineChars="200"/>
              <w:rPr>
                <w:rFonts w:hint="eastAsia" w:eastAsia="宋体"/>
                <w:kern w:val="0"/>
                <w:szCs w:val="21"/>
                <w:lang w:val="en-US" w:eastAsia="zh-CN"/>
              </w:rPr>
            </w:pPr>
            <w:r>
              <w:rPr>
                <w:rFonts w:hint="eastAsia"/>
                <w:kern w:val="0"/>
                <w:szCs w:val="21"/>
                <w:lang w:val="en-US" w:eastAsia="zh-CN"/>
              </w:rPr>
              <w:t>本项目的废气主要是食堂油烟、备用发电机产生的燃油废气和污水处理站产生的臭气，必须分别采取相应的防治措施进行处理。污水处理站排出的废气应进行除臭除味处理，保证周边空气污染物达到《医疗机构水污染物排放标准》（GB 18466-2005）表3中的标准。</w:t>
            </w:r>
          </w:p>
        </w:tc>
        <w:tc>
          <w:tcPr>
            <w:tcW w:w="4181" w:type="dxa"/>
            <w:vAlign w:val="center"/>
          </w:tcPr>
          <w:p>
            <w:pPr>
              <w:snapToGrid w:val="0"/>
              <w:spacing w:line="320" w:lineRule="exact"/>
              <w:ind w:firstLine="420" w:firstLineChars="200"/>
              <w:rPr>
                <w:rFonts w:hint="eastAsia"/>
                <w:color w:val="000000" w:themeColor="text1"/>
                <w:kern w:val="0"/>
                <w:szCs w:val="21"/>
                <w:lang w:val="en-US" w:eastAsia="zh-CN"/>
              </w:rPr>
            </w:pPr>
            <w:r>
              <w:rPr>
                <w:rFonts w:hint="eastAsia"/>
                <w:color w:val="000000" w:themeColor="text1"/>
                <w:kern w:val="0"/>
                <w:szCs w:val="21"/>
                <w:lang w:val="en-US" w:eastAsia="zh-CN"/>
              </w:rPr>
              <w:t>本项目的废气主要为污水处理站、和食堂产生的废气，污水处理站密闭。食堂使用电能、液化气作为燃料，油烟为有组织排放。</w:t>
            </w:r>
          </w:p>
          <w:p>
            <w:pPr>
              <w:snapToGrid w:val="0"/>
              <w:spacing w:line="320" w:lineRule="exact"/>
              <w:ind w:firstLine="420" w:firstLineChars="200"/>
              <w:rPr>
                <w:rFonts w:hint="eastAsia" w:eastAsia="宋体"/>
                <w:color w:val="FF0000"/>
                <w:kern w:val="0"/>
                <w:szCs w:val="21"/>
                <w:lang w:val="en-US" w:eastAsia="zh-CN"/>
              </w:rPr>
            </w:pPr>
            <w:r>
              <w:rPr>
                <w:rFonts w:hint="eastAsia"/>
                <w:color w:val="000000" w:themeColor="text1"/>
                <w:kern w:val="0"/>
                <w:szCs w:val="21"/>
                <w:lang w:val="en-US" w:eastAsia="zh-CN"/>
              </w:rPr>
              <w:t>验收监测期间，该项目厂界上风向、下风向3个监测点位中氨、硫化氢、氯气和臭气浓度的最大浓度值均符合《医疗机构水污染排放标准》(GB 18466-2005)表3中标准要求。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87" w:type="dxa"/>
            <w:vAlign w:val="center"/>
          </w:tcPr>
          <w:p>
            <w:pPr>
              <w:snapToGrid w:val="0"/>
              <w:spacing w:beforeLines="20" w:afterLines="20" w:line="320" w:lineRule="exact"/>
              <w:jc w:val="center"/>
              <w:rPr>
                <w:kern w:val="0"/>
                <w:szCs w:val="21"/>
              </w:rPr>
            </w:pPr>
            <w:r>
              <w:rPr>
                <w:rFonts w:hint="eastAsia"/>
                <w:kern w:val="0"/>
                <w:szCs w:val="21"/>
              </w:rPr>
              <w:t>5</w:t>
            </w:r>
          </w:p>
        </w:tc>
        <w:tc>
          <w:tcPr>
            <w:tcW w:w="4180" w:type="dxa"/>
            <w:vAlign w:val="center"/>
          </w:tcPr>
          <w:p>
            <w:pPr>
              <w:ind w:firstLine="420" w:firstLineChars="200"/>
              <w:rPr>
                <w:rFonts w:hint="eastAsia" w:eastAsia="宋体"/>
                <w:kern w:val="0"/>
                <w:szCs w:val="21"/>
                <w:lang w:val="en-US" w:eastAsia="zh-CN"/>
              </w:rPr>
            </w:pPr>
            <w:r>
              <w:rPr>
                <w:rFonts w:hint="eastAsia"/>
                <w:kern w:val="0"/>
                <w:szCs w:val="21"/>
                <w:lang w:val="en-US" w:eastAsia="zh-CN"/>
              </w:rPr>
              <w:t>院区食堂废水经隔油池处理后与医疗废水一并进入院区污水处理设施处理，达到医疗机构水污染物排放标准》（GB 18466-2005）表2中排放标准后外排。</w:t>
            </w:r>
          </w:p>
        </w:tc>
        <w:tc>
          <w:tcPr>
            <w:tcW w:w="4181" w:type="dxa"/>
            <w:vAlign w:val="center"/>
          </w:tcPr>
          <w:p>
            <w:pPr>
              <w:snapToGrid w:val="0"/>
              <w:spacing w:line="320" w:lineRule="exact"/>
              <w:ind w:firstLine="420" w:firstLineChars="200"/>
              <w:rPr>
                <w:color w:val="FF0000"/>
                <w:kern w:val="0"/>
                <w:szCs w:val="21"/>
              </w:rPr>
            </w:pPr>
            <w:r>
              <w:rPr>
                <w:rFonts w:hint="eastAsia"/>
                <w:color w:val="000000" w:themeColor="text1"/>
                <w:kern w:val="0"/>
                <w:szCs w:val="21"/>
                <w:lang w:val="en-US" w:eastAsia="zh-CN"/>
              </w:rPr>
              <w:t>院区食堂废水未经隔油池与医疗废水一起排放。验收监测期间，该项目废水总排口监测点位中测得pH值范围、化学需氧量、五日生化需氧量、悬浮物、动植物油、阴离子表面活性剂、挥发酚、总余氯、粪大肠菌群、氨氮和色度均符合《医疗机构水污染排放标准》（(GB 18466-2005)表2中排放标准要求。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87" w:type="dxa"/>
            <w:vAlign w:val="center"/>
          </w:tcPr>
          <w:p>
            <w:pPr>
              <w:snapToGrid w:val="0"/>
              <w:spacing w:beforeLines="20" w:afterLines="20" w:line="320" w:lineRule="exact"/>
              <w:jc w:val="center"/>
              <w:rPr>
                <w:kern w:val="0"/>
                <w:szCs w:val="21"/>
              </w:rPr>
            </w:pPr>
            <w:r>
              <w:rPr>
                <w:rFonts w:hint="eastAsia"/>
                <w:kern w:val="0"/>
                <w:szCs w:val="21"/>
              </w:rPr>
              <w:t>6</w:t>
            </w:r>
          </w:p>
        </w:tc>
        <w:tc>
          <w:tcPr>
            <w:tcW w:w="4180" w:type="dxa"/>
            <w:vAlign w:val="center"/>
          </w:tcPr>
          <w:p>
            <w:pPr>
              <w:ind w:firstLine="420" w:firstLineChars="200"/>
              <w:rPr>
                <w:rFonts w:hint="eastAsia" w:eastAsia="宋体"/>
                <w:kern w:val="0"/>
                <w:szCs w:val="21"/>
                <w:lang w:val="en-US" w:eastAsia="zh-CN"/>
              </w:rPr>
            </w:pPr>
            <w:r>
              <w:rPr>
                <w:rFonts w:hint="eastAsia"/>
                <w:kern w:val="0"/>
                <w:szCs w:val="21"/>
                <w:lang w:val="en-US" w:eastAsia="zh-CN"/>
              </w:rPr>
              <w:t>加强对噪声的防治，通过合理布局、选用低噪声设备，加强医院管理和就诊人员的疏导、安装隔声材料等措施。确保场界东、南、西面达到《工业企业厂界环境噪声排放标准》（GB12348-2008）中的2类标准限值要求，北面达到4类标准。</w:t>
            </w:r>
          </w:p>
        </w:tc>
        <w:tc>
          <w:tcPr>
            <w:tcW w:w="4181" w:type="dxa"/>
            <w:vAlign w:val="center"/>
          </w:tcPr>
          <w:p>
            <w:pPr>
              <w:ind w:firstLine="420" w:firstLineChars="200"/>
              <w:rPr>
                <w:color w:val="FF0000"/>
                <w:kern w:val="0"/>
                <w:szCs w:val="21"/>
              </w:rPr>
            </w:pPr>
            <w:r>
              <w:rPr>
                <w:rFonts w:hint="eastAsia"/>
                <w:kern w:val="0"/>
                <w:szCs w:val="21"/>
                <w:lang w:val="en-US" w:eastAsia="zh-CN"/>
              </w:rPr>
              <w:t>项目噪声污染源主要来源于污水水泵等设备噪声以及就诊人员产生的社会噪声，经合理布局、隔音、消声影响较小。验收监测期间，医院（东、南、西面）3个监测点位中测得昼间、夜间噪声最大值，均符合《工业企业厂界环境噪声排放标准》（GB12348-2008）中的2类标准限值要求。医院北面（临近道路）测得昼间、夜间噪声最大值，均符合《工业企业厂界环境噪声排放标准》（GB12348-2008）中的4类标准限值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87" w:type="dxa"/>
            <w:vAlign w:val="center"/>
          </w:tcPr>
          <w:p>
            <w:pPr>
              <w:snapToGrid w:val="0"/>
              <w:spacing w:beforeLines="20" w:afterLines="20" w:line="320" w:lineRule="exact"/>
              <w:jc w:val="center"/>
              <w:rPr>
                <w:kern w:val="0"/>
                <w:szCs w:val="21"/>
              </w:rPr>
            </w:pPr>
            <w:r>
              <w:rPr>
                <w:rFonts w:hint="eastAsia"/>
                <w:kern w:val="0"/>
                <w:szCs w:val="21"/>
              </w:rPr>
              <w:t>7</w:t>
            </w:r>
          </w:p>
        </w:tc>
        <w:tc>
          <w:tcPr>
            <w:tcW w:w="4180" w:type="dxa"/>
            <w:vAlign w:val="center"/>
          </w:tcPr>
          <w:p>
            <w:pPr>
              <w:ind w:firstLine="420" w:firstLineChars="200"/>
              <w:rPr>
                <w:rFonts w:hint="eastAsia" w:eastAsia="宋体"/>
                <w:kern w:val="0"/>
                <w:szCs w:val="21"/>
                <w:lang w:val="en-US" w:eastAsia="zh-CN"/>
              </w:rPr>
            </w:pPr>
            <w:r>
              <w:rPr>
                <w:rFonts w:hint="eastAsia"/>
                <w:kern w:val="0"/>
                <w:szCs w:val="21"/>
                <w:lang w:val="en-US" w:eastAsia="zh-CN"/>
              </w:rPr>
              <w:t>加强对固体废物的分类管理控制。按照“无害化、资源化、减量化”的原则，做好固废的分类收集、暂存、安全处置和综合利用工作。生活垃圾由当地环卫部门及时清运，禁止乱堆乱弃；医疗废物统一收集于医疗废物暂存间，并及时交益阳市特许医疗废物集中处理有限公司处理；污水处理污泥暂存于储泥池定期交有危废处置资质的单位处理。</w:t>
            </w:r>
          </w:p>
        </w:tc>
        <w:tc>
          <w:tcPr>
            <w:tcW w:w="4181" w:type="dxa"/>
            <w:vAlign w:val="center"/>
          </w:tcPr>
          <w:p>
            <w:pPr>
              <w:ind w:firstLine="420" w:firstLineChars="200"/>
              <w:rPr>
                <w:rFonts w:hint="eastAsia" w:eastAsia="宋体"/>
                <w:color w:val="FF0000"/>
                <w:kern w:val="0"/>
                <w:szCs w:val="21"/>
                <w:lang w:val="en-US" w:eastAsia="zh-CN"/>
              </w:rPr>
            </w:pPr>
            <w:r>
              <w:rPr>
                <w:rFonts w:hint="eastAsia"/>
                <w:kern w:val="0"/>
                <w:szCs w:val="21"/>
                <w:lang w:val="en-US" w:eastAsia="zh-CN"/>
              </w:rPr>
              <w:t>本项目设置了单独的医疗废物暂存间，医疗废物分类收集，完善了医疗废物的贮存、运输和消毒设施。医疗废物收集后交由益阳市特许医疗废物集中处理有限公司安全处置，生活垃圾经垃圾桶收集后交由环卫部门统一收集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87" w:type="dxa"/>
            <w:vAlign w:val="center"/>
          </w:tcPr>
          <w:p>
            <w:pPr>
              <w:snapToGrid w:val="0"/>
              <w:spacing w:beforeLines="20" w:afterLines="20" w:line="320" w:lineRule="exact"/>
              <w:jc w:val="center"/>
              <w:rPr>
                <w:rFonts w:hint="eastAsia" w:eastAsia="宋体"/>
                <w:kern w:val="0"/>
                <w:szCs w:val="21"/>
                <w:lang w:val="en-US" w:eastAsia="zh-CN"/>
              </w:rPr>
            </w:pPr>
            <w:r>
              <w:rPr>
                <w:rFonts w:hint="eastAsia"/>
                <w:kern w:val="0"/>
                <w:szCs w:val="21"/>
                <w:lang w:val="en-US" w:eastAsia="zh-CN"/>
              </w:rPr>
              <w:t>8</w:t>
            </w:r>
          </w:p>
        </w:tc>
        <w:tc>
          <w:tcPr>
            <w:tcW w:w="4180" w:type="dxa"/>
            <w:vAlign w:val="center"/>
          </w:tcPr>
          <w:p>
            <w:pPr>
              <w:ind w:firstLine="420" w:firstLineChars="200"/>
              <w:rPr>
                <w:rFonts w:hint="eastAsia"/>
                <w:kern w:val="0"/>
                <w:szCs w:val="21"/>
                <w:lang w:val="en-US" w:eastAsia="zh-CN"/>
              </w:rPr>
            </w:pPr>
            <w:r>
              <w:rPr>
                <w:rFonts w:hint="eastAsia"/>
                <w:kern w:val="0"/>
                <w:szCs w:val="21"/>
                <w:lang w:val="en-US" w:eastAsia="zh-CN"/>
              </w:rPr>
              <w:t>本项目放射性医疗设备必须另行环评和报批。</w:t>
            </w:r>
          </w:p>
        </w:tc>
        <w:tc>
          <w:tcPr>
            <w:tcW w:w="4181" w:type="dxa"/>
            <w:vAlign w:val="center"/>
          </w:tcPr>
          <w:p>
            <w:pPr>
              <w:snapToGrid w:val="0"/>
              <w:spacing w:line="320" w:lineRule="exact"/>
              <w:ind w:firstLine="420" w:firstLineChars="200"/>
              <w:rPr>
                <w:rFonts w:hint="eastAsia" w:eastAsia="宋体"/>
                <w:color w:val="FF0000"/>
                <w:kern w:val="0"/>
                <w:szCs w:val="21"/>
                <w:lang w:val="en-US" w:eastAsia="zh-CN"/>
              </w:rPr>
            </w:pPr>
            <w:r>
              <w:rPr>
                <w:rFonts w:hint="eastAsia"/>
                <w:color w:val="000000" w:themeColor="text1"/>
                <w:kern w:val="0"/>
                <w:szCs w:val="21"/>
                <w:lang w:val="en-US" w:eastAsia="zh-CN"/>
              </w:rPr>
              <w:t>本项目目前引进放射性医疗设备暂未使用，</w:t>
            </w:r>
            <w:r>
              <w:rPr>
                <w:rFonts w:hint="eastAsia"/>
                <w:color w:val="auto"/>
                <w:kern w:val="0"/>
                <w:szCs w:val="21"/>
                <w:lang w:val="en-US" w:eastAsia="zh-CN"/>
              </w:rPr>
              <w:t>需另行向环保局申报审批。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87" w:type="dxa"/>
            <w:vAlign w:val="center"/>
          </w:tcPr>
          <w:p>
            <w:pPr>
              <w:snapToGrid w:val="0"/>
              <w:spacing w:beforeLines="20" w:afterLines="20" w:line="320" w:lineRule="exact"/>
              <w:jc w:val="center"/>
              <w:rPr>
                <w:rFonts w:hint="eastAsia" w:eastAsia="宋体"/>
                <w:kern w:val="0"/>
                <w:szCs w:val="21"/>
                <w:lang w:val="en-US" w:eastAsia="zh-CN"/>
              </w:rPr>
            </w:pPr>
            <w:r>
              <w:rPr>
                <w:rFonts w:hint="eastAsia"/>
                <w:kern w:val="0"/>
                <w:szCs w:val="21"/>
                <w:lang w:val="en-US" w:eastAsia="zh-CN"/>
              </w:rPr>
              <w:t>9</w:t>
            </w:r>
          </w:p>
        </w:tc>
        <w:tc>
          <w:tcPr>
            <w:tcW w:w="4180" w:type="dxa"/>
            <w:vAlign w:val="center"/>
          </w:tcPr>
          <w:p>
            <w:pPr>
              <w:ind w:firstLine="420" w:firstLineChars="200"/>
              <w:rPr>
                <w:rFonts w:hint="eastAsia"/>
                <w:kern w:val="0"/>
                <w:szCs w:val="21"/>
                <w:lang w:val="en-US" w:eastAsia="zh-CN"/>
              </w:rPr>
            </w:pPr>
            <w:r>
              <w:rPr>
                <w:rFonts w:hint="eastAsia"/>
                <w:kern w:val="0"/>
                <w:szCs w:val="21"/>
                <w:lang w:val="en-US" w:eastAsia="zh-CN"/>
              </w:rPr>
              <w:t>本项目投入运营后，存在环境风险隐患，必须制定具体的风险事故应急预案和切实可行的应急措施，确保环境安全。</w:t>
            </w:r>
          </w:p>
        </w:tc>
        <w:tc>
          <w:tcPr>
            <w:tcW w:w="4181" w:type="dxa"/>
            <w:vAlign w:val="center"/>
          </w:tcPr>
          <w:p>
            <w:pPr>
              <w:snapToGrid w:val="0"/>
              <w:spacing w:line="320" w:lineRule="exact"/>
              <w:ind w:firstLine="420" w:firstLineChars="200"/>
              <w:rPr>
                <w:color w:val="FF0000"/>
                <w:kern w:val="0"/>
                <w:szCs w:val="21"/>
              </w:rPr>
            </w:pPr>
            <w:r>
              <w:rPr>
                <w:rFonts w:hint="eastAsia"/>
                <w:color w:val="000000" w:themeColor="text1"/>
                <w:kern w:val="0"/>
                <w:szCs w:val="21"/>
              </w:rPr>
              <w:t>项目为了防止风险事故的发生，医院建立了</w:t>
            </w:r>
            <w:r>
              <w:rPr>
                <w:rFonts w:hint="eastAsia"/>
                <w:color w:val="000000" w:themeColor="text1"/>
                <w:kern w:val="0"/>
                <w:szCs w:val="21"/>
                <w:lang w:val="en-US" w:eastAsia="zh-CN"/>
              </w:rPr>
              <w:t>医院医疗废物流失、泄露、扩散应急预案和医疗废物管理制度。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87" w:type="dxa"/>
            <w:vAlign w:val="center"/>
          </w:tcPr>
          <w:p>
            <w:pPr>
              <w:snapToGrid w:val="0"/>
              <w:spacing w:beforeLines="20" w:afterLines="20" w:line="320" w:lineRule="exact"/>
              <w:jc w:val="center"/>
              <w:rPr>
                <w:rFonts w:hint="eastAsia" w:eastAsia="宋体"/>
                <w:kern w:val="0"/>
                <w:szCs w:val="21"/>
                <w:lang w:val="en-US" w:eastAsia="zh-CN"/>
              </w:rPr>
            </w:pPr>
            <w:r>
              <w:rPr>
                <w:rFonts w:hint="eastAsia"/>
                <w:kern w:val="0"/>
                <w:szCs w:val="21"/>
                <w:lang w:val="en-US" w:eastAsia="zh-CN"/>
              </w:rPr>
              <w:t>10</w:t>
            </w:r>
          </w:p>
        </w:tc>
        <w:tc>
          <w:tcPr>
            <w:tcW w:w="4180" w:type="dxa"/>
            <w:vAlign w:val="center"/>
          </w:tcPr>
          <w:p>
            <w:pPr>
              <w:ind w:firstLine="420" w:firstLineChars="200"/>
              <w:rPr>
                <w:rFonts w:hint="eastAsia"/>
                <w:kern w:val="0"/>
                <w:szCs w:val="21"/>
                <w:lang w:val="en-US" w:eastAsia="zh-CN"/>
              </w:rPr>
            </w:pPr>
            <w:r>
              <w:rPr>
                <w:rFonts w:hint="eastAsia"/>
                <w:color w:val="auto"/>
                <w:kern w:val="0"/>
                <w:szCs w:val="21"/>
                <w:lang w:val="en-US" w:eastAsia="zh-CN"/>
              </w:rPr>
              <w:t>污染物排放总量控制为：COD</w:t>
            </w:r>
            <w:r>
              <w:rPr>
                <w:rFonts w:hint="default" w:ascii="Times New Roman" w:hAnsi="Times New Roman" w:cs="Times New Roman"/>
                <w:color w:val="auto"/>
                <w:kern w:val="0"/>
                <w:szCs w:val="21"/>
                <w:lang w:val="en-US" w:eastAsia="zh-CN"/>
              </w:rPr>
              <w:t>≤</w:t>
            </w:r>
            <w:r>
              <w:rPr>
                <w:rFonts w:hint="eastAsia"/>
                <w:color w:val="auto"/>
                <w:kern w:val="0"/>
                <w:szCs w:val="21"/>
                <w:lang w:val="en-US" w:eastAsia="zh-CN"/>
              </w:rPr>
              <w:t>0.46t/a、NH</w:t>
            </w:r>
            <w:r>
              <w:rPr>
                <w:rFonts w:hint="eastAsia"/>
                <w:color w:val="auto"/>
                <w:kern w:val="0"/>
                <w:szCs w:val="21"/>
                <w:vertAlign w:val="subscript"/>
                <w:lang w:val="en-US" w:eastAsia="zh-CN"/>
              </w:rPr>
              <w:t>3</w:t>
            </w:r>
            <w:r>
              <w:rPr>
                <w:rFonts w:hint="eastAsia"/>
                <w:color w:val="auto"/>
                <w:kern w:val="0"/>
                <w:szCs w:val="21"/>
                <w:vertAlign w:val="baseline"/>
                <w:lang w:val="en-US" w:eastAsia="zh-CN"/>
              </w:rPr>
              <w:t>-N</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0.11t/a。</w:t>
            </w:r>
          </w:p>
        </w:tc>
        <w:tc>
          <w:tcPr>
            <w:tcW w:w="4181" w:type="dxa"/>
            <w:vAlign w:val="center"/>
          </w:tcPr>
          <w:p>
            <w:pPr>
              <w:snapToGrid w:val="0"/>
              <w:spacing w:line="320" w:lineRule="exact"/>
              <w:ind w:firstLine="420" w:firstLineChars="200"/>
              <w:rPr>
                <w:color w:val="FF0000"/>
                <w:kern w:val="0"/>
                <w:szCs w:val="21"/>
              </w:rPr>
            </w:pPr>
            <w:r>
              <w:rPr>
                <w:rFonts w:ascii="Times New Roman" w:hAnsi="Times New Roman" w:cs="Times New Roman"/>
                <w:kern w:val="0"/>
                <w:szCs w:val="21"/>
                <w:highlight w:val="none"/>
              </w:rPr>
              <w:t>经核算，</w:t>
            </w:r>
            <w:r>
              <w:rPr>
                <w:rFonts w:hint="eastAsia" w:ascii="Times New Roman" w:hAnsi="Times New Roman" w:cs="Times New Roman"/>
                <w:kern w:val="0"/>
                <w:szCs w:val="21"/>
                <w:highlight w:val="none"/>
              </w:rPr>
              <w:t>化学需氧量：0.26t/a；氨氮：0.054t/a</w:t>
            </w:r>
            <w:r>
              <w:rPr>
                <w:rFonts w:hint="eastAsia" w:cs="Times New Roman"/>
                <w:color w:val="auto"/>
                <w:kern w:val="0"/>
                <w:szCs w:val="21"/>
                <w:lang w:val="en-US" w:eastAsia="zh-CN"/>
              </w:rPr>
              <w:t>，</w:t>
            </w:r>
            <w:r>
              <w:rPr>
                <w:rFonts w:hint="eastAsia" w:ascii="Times New Roman" w:hAnsi="Times New Roman" w:eastAsia="宋体" w:cs="Times New Roman"/>
                <w:color w:val="auto"/>
                <w:sz w:val="21"/>
                <w:szCs w:val="21"/>
                <w:lang w:val="en-US" w:eastAsia="zh-CN"/>
              </w:rPr>
              <w:t>均小于总量控制要求</w:t>
            </w:r>
            <w:r>
              <w:rPr>
                <w:rFonts w:hint="eastAsia" w:ascii="Times New Roman" w:hAnsi="Times New Roman" w:eastAsia="宋体" w:cs="Times New Roman"/>
                <w:sz w:val="21"/>
                <w:szCs w:val="21"/>
                <w:lang w:val="en-US" w:eastAsia="zh-CN"/>
              </w:rPr>
              <w:t>。</w:t>
            </w:r>
          </w:p>
        </w:tc>
      </w:tr>
    </w:tbl>
    <w:p>
      <w:pPr>
        <w:pStyle w:val="4"/>
        <w:spacing w:beforeLines="50" w:afterLines="50" w:line="600" w:lineRule="exact"/>
        <w:rPr>
          <w:rFonts w:ascii="Times New Roman" w:hAnsi="Times New Roman" w:eastAsia="宋体"/>
          <w:sz w:val="28"/>
          <w:szCs w:val="28"/>
        </w:rPr>
      </w:pPr>
      <w:bookmarkStart w:id="47" w:name="_Toc24089"/>
      <w:r>
        <w:rPr>
          <w:rFonts w:hint="eastAsia" w:ascii="Times New Roman" w:hAnsi="Times New Roman" w:eastAsia="宋体"/>
          <w:sz w:val="28"/>
          <w:szCs w:val="28"/>
          <w:lang w:val="en-US" w:eastAsia="zh-CN"/>
        </w:rPr>
        <w:t>5</w:t>
      </w:r>
      <w:r>
        <w:rPr>
          <w:rFonts w:ascii="Times New Roman" w:hAnsi="Times New Roman" w:eastAsia="宋体"/>
          <w:sz w:val="28"/>
          <w:szCs w:val="28"/>
        </w:rPr>
        <w:t>.</w:t>
      </w:r>
      <w:r>
        <w:rPr>
          <w:rFonts w:hint="eastAsia" w:ascii="Times New Roman" w:hAnsi="Times New Roman" w:eastAsia="宋体"/>
          <w:sz w:val="28"/>
          <w:szCs w:val="28"/>
          <w:lang w:val="en-US" w:eastAsia="zh-CN"/>
        </w:rPr>
        <w:t>4</w:t>
      </w:r>
      <w:r>
        <w:rPr>
          <w:rFonts w:hint="eastAsia" w:ascii="Times New Roman" w:hAnsi="Times New Roman" w:eastAsia="宋体"/>
          <w:sz w:val="28"/>
          <w:szCs w:val="28"/>
        </w:rPr>
        <w:t xml:space="preserve"> </w:t>
      </w:r>
      <w:r>
        <w:rPr>
          <w:rFonts w:ascii="Times New Roman" w:hAnsi="Times New Roman" w:eastAsia="宋体"/>
          <w:sz w:val="28"/>
          <w:szCs w:val="28"/>
        </w:rPr>
        <w:t>环评批复意见</w:t>
      </w:r>
      <w:bookmarkEnd w:id="45"/>
      <w:bookmarkEnd w:id="47"/>
    </w:p>
    <w:p>
      <w:pPr>
        <w:spacing w:beforeLines="50" w:afterLines="50" w:line="600" w:lineRule="exact"/>
        <w:ind w:firstLine="480" w:firstLineChars="200"/>
        <w:rPr>
          <w:b/>
          <w:bCs/>
          <w:szCs w:val="21"/>
        </w:rPr>
      </w:pPr>
      <w:r>
        <w:rPr>
          <w:rFonts w:hint="eastAsia"/>
          <w:sz w:val="24"/>
        </w:rPr>
        <w:t>详见本验收监测报告附件1。</w:t>
      </w:r>
    </w:p>
    <w:p>
      <w:pPr>
        <w:pStyle w:val="3"/>
        <w:spacing w:beforeLines="50" w:afterLines="50" w:line="600" w:lineRule="exact"/>
        <w:rPr>
          <w:sz w:val="32"/>
          <w:szCs w:val="32"/>
        </w:rPr>
      </w:pPr>
      <w:bookmarkStart w:id="48" w:name="_Toc211096933"/>
      <w:bookmarkStart w:id="49" w:name="_Toc14477"/>
      <w:bookmarkStart w:id="50" w:name="_Toc103233824"/>
      <w:bookmarkStart w:id="51" w:name="_Toc8205"/>
      <w:r>
        <w:rPr>
          <w:rFonts w:hint="eastAsia"/>
          <w:sz w:val="32"/>
          <w:szCs w:val="32"/>
          <w:lang w:val="en-US" w:eastAsia="zh-CN"/>
        </w:rPr>
        <w:t>6</w:t>
      </w:r>
      <w:r>
        <w:rPr>
          <w:sz w:val="32"/>
          <w:szCs w:val="32"/>
        </w:rPr>
        <w:t xml:space="preserve"> 验收监测评价标准</w:t>
      </w:r>
      <w:bookmarkEnd w:id="48"/>
      <w:bookmarkEnd w:id="49"/>
      <w:bookmarkEnd w:id="50"/>
      <w:bookmarkEnd w:id="51"/>
    </w:p>
    <w:p>
      <w:pPr>
        <w:pStyle w:val="4"/>
        <w:spacing w:beforeLines="50" w:afterLines="50" w:line="600" w:lineRule="exact"/>
        <w:rPr>
          <w:rFonts w:ascii="Times New Roman" w:hAnsi="Times New Roman" w:eastAsia="宋体"/>
          <w:sz w:val="28"/>
          <w:szCs w:val="28"/>
        </w:rPr>
      </w:pPr>
      <w:bookmarkStart w:id="52" w:name="_Toc103233826"/>
      <w:bookmarkStart w:id="53" w:name="_Toc211096935"/>
      <w:bookmarkStart w:id="54" w:name="_Toc5129"/>
      <w:bookmarkStart w:id="55" w:name="_Toc23514"/>
      <w:r>
        <w:rPr>
          <w:rFonts w:hint="eastAsia" w:ascii="Times New Roman" w:hAnsi="Times New Roman" w:eastAsia="宋体"/>
          <w:sz w:val="28"/>
          <w:szCs w:val="28"/>
          <w:lang w:val="en-US" w:eastAsia="zh-CN"/>
        </w:rPr>
        <w:t>6</w:t>
      </w:r>
      <w:r>
        <w:rPr>
          <w:rFonts w:ascii="Times New Roman" w:hAnsi="Times New Roman" w:eastAsia="宋体"/>
          <w:sz w:val="28"/>
          <w:szCs w:val="28"/>
        </w:rPr>
        <w:t>.</w:t>
      </w:r>
      <w:r>
        <w:rPr>
          <w:rFonts w:hint="eastAsia" w:ascii="Times New Roman" w:hAnsi="Times New Roman" w:eastAsia="宋体"/>
          <w:sz w:val="28"/>
          <w:szCs w:val="28"/>
        </w:rPr>
        <w:t>1</w:t>
      </w:r>
      <w:r>
        <w:rPr>
          <w:rFonts w:ascii="Times New Roman" w:hAnsi="Times New Roman" w:eastAsia="宋体"/>
          <w:sz w:val="28"/>
          <w:szCs w:val="28"/>
        </w:rPr>
        <w:t xml:space="preserve"> 废</w:t>
      </w:r>
      <w:r>
        <w:rPr>
          <w:rFonts w:hint="eastAsia" w:ascii="Times New Roman" w:hAnsi="Times New Roman" w:eastAsia="宋体"/>
          <w:sz w:val="28"/>
          <w:szCs w:val="28"/>
        </w:rPr>
        <w:t>气</w:t>
      </w:r>
      <w:r>
        <w:rPr>
          <w:rFonts w:ascii="Times New Roman" w:hAnsi="Times New Roman" w:eastAsia="宋体"/>
          <w:sz w:val="28"/>
          <w:szCs w:val="28"/>
        </w:rPr>
        <w:t>验收执行标准</w:t>
      </w:r>
      <w:bookmarkEnd w:id="52"/>
      <w:bookmarkEnd w:id="53"/>
      <w:bookmarkEnd w:id="54"/>
      <w:bookmarkEnd w:id="55"/>
    </w:p>
    <w:p>
      <w:pPr>
        <w:autoSpaceDE w:val="0"/>
        <w:autoSpaceDN w:val="0"/>
        <w:adjustRightInd w:val="0"/>
        <w:spacing w:line="600" w:lineRule="exact"/>
        <w:ind w:firstLine="480" w:firstLineChars="200"/>
        <w:rPr>
          <w:rFonts w:hint="eastAsia"/>
          <w:sz w:val="24"/>
        </w:rPr>
      </w:pPr>
      <w:r>
        <w:rPr>
          <w:rFonts w:hint="eastAsia"/>
          <w:sz w:val="24"/>
        </w:rPr>
        <w:t>废气排放执行标准值见表</w:t>
      </w:r>
      <w:r>
        <w:rPr>
          <w:rFonts w:hint="eastAsia"/>
          <w:sz w:val="24"/>
          <w:lang w:val="en-US" w:eastAsia="zh-CN"/>
        </w:rPr>
        <w:t>6</w:t>
      </w:r>
      <w:r>
        <w:rPr>
          <w:rFonts w:hint="eastAsia"/>
          <w:sz w:val="24"/>
        </w:rPr>
        <w:t>-1。</w:t>
      </w:r>
    </w:p>
    <w:p>
      <w:pPr>
        <w:autoSpaceDE w:val="0"/>
        <w:autoSpaceDN w:val="0"/>
        <w:adjustRightInd w:val="0"/>
        <w:spacing w:line="480" w:lineRule="exact"/>
        <w:jc w:val="center"/>
        <w:rPr>
          <w:b/>
        </w:rPr>
      </w:pPr>
    </w:p>
    <w:p>
      <w:pPr>
        <w:autoSpaceDE w:val="0"/>
        <w:autoSpaceDN w:val="0"/>
        <w:adjustRightInd w:val="0"/>
        <w:spacing w:line="480" w:lineRule="exact"/>
        <w:jc w:val="center"/>
        <w:rPr>
          <w:b/>
        </w:rPr>
      </w:pPr>
      <w:r>
        <w:rPr>
          <w:b/>
        </w:rPr>
        <w:t>表</w:t>
      </w:r>
      <w:r>
        <w:rPr>
          <w:rFonts w:hint="eastAsia"/>
          <w:b/>
          <w:lang w:val="en-US" w:eastAsia="zh-CN"/>
        </w:rPr>
        <w:t>6</w:t>
      </w:r>
      <w:r>
        <w:rPr>
          <w:b/>
        </w:rPr>
        <w:t>-</w:t>
      </w:r>
      <w:r>
        <w:rPr>
          <w:rFonts w:hint="eastAsia"/>
          <w:b/>
        </w:rPr>
        <w:t xml:space="preserve">1 </w:t>
      </w:r>
      <w:r>
        <w:rPr>
          <w:b/>
        </w:rPr>
        <w:t>废</w:t>
      </w:r>
      <w:r>
        <w:rPr>
          <w:rFonts w:hint="eastAsia"/>
          <w:b/>
        </w:rPr>
        <w:t>气</w:t>
      </w:r>
      <w:r>
        <w:rPr>
          <w:b/>
        </w:rPr>
        <w:t>验收执行标准</w:t>
      </w:r>
    </w:p>
    <w:tbl>
      <w:tblPr>
        <w:tblStyle w:val="32"/>
        <w:tblW w:w="893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3366"/>
        <w:gridCol w:w="1975"/>
        <w:gridCol w:w="27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Align w:val="center"/>
          </w:tcPr>
          <w:p>
            <w:pPr>
              <w:spacing w:line="240" w:lineRule="exact"/>
              <w:jc w:val="center"/>
              <w:rPr>
                <w:b/>
                <w:szCs w:val="21"/>
              </w:rPr>
            </w:pPr>
            <w:r>
              <w:rPr>
                <w:b/>
                <w:szCs w:val="21"/>
              </w:rPr>
              <w:t>类别</w:t>
            </w:r>
          </w:p>
        </w:tc>
        <w:tc>
          <w:tcPr>
            <w:tcW w:w="3366" w:type="dxa"/>
            <w:vAlign w:val="center"/>
          </w:tcPr>
          <w:p>
            <w:pPr>
              <w:spacing w:line="240" w:lineRule="exact"/>
              <w:jc w:val="center"/>
              <w:rPr>
                <w:b/>
                <w:szCs w:val="21"/>
              </w:rPr>
            </w:pPr>
            <w:r>
              <w:rPr>
                <w:b/>
                <w:szCs w:val="21"/>
              </w:rPr>
              <w:t>执行标准</w:t>
            </w:r>
          </w:p>
        </w:tc>
        <w:tc>
          <w:tcPr>
            <w:tcW w:w="1975" w:type="dxa"/>
            <w:vAlign w:val="center"/>
          </w:tcPr>
          <w:p>
            <w:pPr>
              <w:spacing w:line="240" w:lineRule="exact"/>
              <w:jc w:val="center"/>
              <w:rPr>
                <w:b/>
                <w:szCs w:val="21"/>
              </w:rPr>
            </w:pPr>
            <w:r>
              <w:rPr>
                <w:b/>
                <w:szCs w:val="21"/>
              </w:rPr>
              <w:t>监测项目</w:t>
            </w:r>
          </w:p>
        </w:tc>
        <w:tc>
          <w:tcPr>
            <w:tcW w:w="2739" w:type="dxa"/>
            <w:vAlign w:val="center"/>
          </w:tcPr>
          <w:p>
            <w:pPr>
              <w:spacing w:line="240" w:lineRule="exact"/>
              <w:jc w:val="center"/>
              <w:rPr>
                <w:b/>
                <w:szCs w:val="21"/>
              </w:rPr>
            </w:pPr>
            <w:r>
              <w:rPr>
                <w:rFonts w:hint="eastAsia"/>
                <w:b/>
                <w:szCs w:val="21"/>
              </w:rPr>
              <w:t>最高允许排放</w:t>
            </w:r>
            <w:r>
              <w:rPr>
                <w:b/>
                <w:szCs w:val="21"/>
              </w:rPr>
              <w:t>浓</w:t>
            </w:r>
            <w:r>
              <w:rPr>
                <w:rFonts w:hint="eastAsia"/>
                <w:b/>
                <w:szCs w:val="21"/>
              </w:rPr>
              <w:t>度</w:t>
            </w:r>
            <w:r>
              <w:rPr>
                <w:b/>
                <w:szCs w:val="21"/>
              </w:rPr>
              <w:t>（mg/</w:t>
            </w:r>
            <w:r>
              <w:rPr>
                <w:rFonts w:hint="eastAsia"/>
                <w:b/>
                <w:szCs w:val="21"/>
              </w:rPr>
              <w:t>m</w:t>
            </w:r>
            <w:r>
              <w:rPr>
                <w:rFonts w:hint="eastAsia"/>
                <w:b/>
                <w:szCs w:val="21"/>
                <w:vertAlign w:val="superscript"/>
              </w:rPr>
              <w:t>3</w:t>
            </w:r>
            <w:r>
              <w:rPr>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restart"/>
            <w:vAlign w:val="center"/>
          </w:tcPr>
          <w:p>
            <w:pPr>
              <w:spacing w:line="240" w:lineRule="exact"/>
              <w:jc w:val="center"/>
              <w:rPr>
                <w:szCs w:val="21"/>
              </w:rPr>
            </w:pPr>
            <w:r>
              <w:rPr>
                <w:rFonts w:hint="eastAsia"/>
                <w:szCs w:val="21"/>
                <w:lang w:val="en-US" w:eastAsia="zh-CN"/>
              </w:rPr>
              <w:t>无组织</w:t>
            </w:r>
            <w:r>
              <w:rPr>
                <w:szCs w:val="21"/>
              </w:rPr>
              <w:t>废</w:t>
            </w:r>
            <w:r>
              <w:rPr>
                <w:rFonts w:hint="eastAsia"/>
                <w:szCs w:val="21"/>
              </w:rPr>
              <w:t>气</w:t>
            </w:r>
          </w:p>
        </w:tc>
        <w:tc>
          <w:tcPr>
            <w:tcW w:w="3366" w:type="dxa"/>
            <w:vMerge w:val="restart"/>
            <w:vAlign w:val="center"/>
          </w:tcPr>
          <w:p>
            <w:pPr>
              <w:spacing w:line="260" w:lineRule="exact"/>
              <w:jc w:val="center"/>
              <w:rPr>
                <w:szCs w:val="21"/>
              </w:rPr>
            </w:pPr>
            <w:r>
              <w:rPr>
                <w:rFonts w:hint="eastAsia"/>
                <w:szCs w:val="21"/>
              </w:rPr>
              <w:t>《医疗机构水污染物排放标准》(GB18466-2005)表3中</w:t>
            </w:r>
          </w:p>
          <w:p>
            <w:pPr>
              <w:spacing w:line="260" w:lineRule="exact"/>
              <w:jc w:val="center"/>
              <w:rPr>
                <w:szCs w:val="21"/>
              </w:rPr>
            </w:pPr>
            <w:r>
              <w:rPr>
                <w:rFonts w:hint="eastAsia"/>
                <w:szCs w:val="21"/>
              </w:rPr>
              <w:t>最高允许浓度</w:t>
            </w:r>
          </w:p>
        </w:tc>
        <w:tc>
          <w:tcPr>
            <w:tcW w:w="1975" w:type="dxa"/>
            <w:vAlign w:val="center"/>
          </w:tcPr>
          <w:p>
            <w:pPr>
              <w:spacing w:line="240" w:lineRule="exact"/>
              <w:jc w:val="center"/>
              <w:rPr>
                <w:color w:val="FF0000"/>
                <w:szCs w:val="21"/>
              </w:rPr>
            </w:pPr>
            <w:r>
              <w:rPr>
                <w:rFonts w:hint="eastAsia"/>
                <w:color w:val="000000" w:themeColor="text1"/>
                <w:szCs w:val="21"/>
              </w:rPr>
              <w:t>臭气浓度</w:t>
            </w:r>
          </w:p>
        </w:tc>
        <w:tc>
          <w:tcPr>
            <w:tcW w:w="2739" w:type="dxa"/>
            <w:vAlign w:val="center"/>
          </w:tcPr>
          <w:p>
            <w:pPr>
              <w:spacing w:line="240" w:lineRule="exact"/>
              <w:jc w:val="center"/>
              <w:rPr>
                <w:szCs w:val="21"/>
              </w:rPr>
            </w:pPr>
            <w:r>
              <w:rPr>
                <w:rFonts w:hint="eastAsia"/>
                <w:szCs w:val="21"/>
              </w:rPr>
              <w:t>10</w:t>
            </w:r>
            <w:r>
              <w:rPr>
                <w:rStyle w:val="39"/>
                <w:rFonts w:hint="eastAsia"/>
                <w:lang w:eastAsia="zh-CN"/>
              </w:rPr>
              <w:t>（</w:t>
            </w:r>
            <w:r>
              <w:rPr>
                <w:rStyle w:val="39"/>
                <w:rFonts w:hint="eastAsia"/>
                <w:lang w:val="en-US" w:eastAsia="zh-CN"/>
              </w:rPr>
              <w:t>无量纲</w:t>
            </w:r>
            <w:r>
              <w:rPr>
                <w:rStyle w:val="39"/>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氨</w:t>
            </w:r>
          </w:p>
        </w:tc>
        <w:tc>
          <w:tcPr>
            <w:tcW w:w="2739" w:type="dxa"/>
            <w:vAlign w:val="center"/>
          </w:tcPr>
          <w:p>
            <w:pPr>
              <w:spacing w:line="240" w:lineRule="exact"/>
              <w:jc w:val="center"/>
              <w:rPr>
                <w:szCs w:val="21"/>
              </w:rPr>
            </w:pPr>
            <w:r>
              <w:rPr>
                <w:rFonts w:hint="eastAsia"/>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硫化氢</w:t>
            </w:r>
          </w:p>
        </w:tc>
        <w:tc>
          <w:tcPr>
            <w:tcW w:w="2739" w:type="dxa"/>
            <w:vAlign w:val="center"/>
          </w:tcPr>
          <w:p>
            <w:pPr>
              <w:spacing w:line="240" w:lineRule="exact"/>
              <w:jc w:val="center"/>
              <w:rPr>
                <w:szCs w:val="21"/>
              </w:rPr>
            </w:pPr>
            <w:r>
              <w:rPr>
                <w:rFonts w:hint="eastAsia"/>
                <w:szCs w:val="21"/>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氯气</w:t>
            </w:r>
          </w:p>
        </w:tc>
        <w:tc>
          <w:tcPr>
            <w:tcW w:w="2739" w:type="dxa"/>
            <w:vAlign w:val="center"/>
          </w:tcPr>
          <w:p>
            <w:pPr>
              <w:spacing w:line="240" w:lineRule="exact"/>
              <w:jc w:val="center"/>
              <w:rPr>
                <w:szCs w:val="21"/>
              </w:rPr>
            </w:pPr>
            <w:r>
              <w:rPr>
                <w:rFonts w:hint="eastAsia"/>
                <w:szCs w:val="21"/>
              </w:rPr>
              <w:t>0.1</w:t>
            </w:r>
          </w:p>
        </w:tc>
      </w:tr>
    </w:tbl>
    <w:p>
      <w:pPr>
        <w:pStyle w:val="4"/>
        <w:spacing w:before="0" w:after="0" w:line="600" w:lineRule="exact"/>
        <w:rPr>
          <w:rFonts w:ascii="Times New Roman" w:hAnsi="Times New Roman" w:eastAsia="宋体"/>
          <w:sz w:val="28"/>
          <w:szCs w:val="28"/>
        </w:rPr>
      </w:pPr>
      <w:bookmarkStart w:id="56" w:name="_Toc9215"/>
      <w:bookmarkStart w:id="57" w:name="_Toc13585"/>
      <w:bookmarkStart w:id="58" w:name="_Toc211096936"/>
      <w:r>
        <w:rPr>
          <w:rFonts w:hint="eastAsia" w:ascii="Times New Roman" w:hAnsi="Times New Roman" w:eastAsia="宋体"/>
          <w:sz w:val="28"/>
          <w:szCs w:val="28"/>
          <w:lang w:val="en-US" w:eastAsia="zh-CN"/>
        </w:rPr>
        <w:t>6</w:t>
      </w:r>
      <w:r>
        <w:rPr>
          <w:rFonts w:ascii="Times New Roman" w:hAnsi="Times New Roman" w:eastAsia="宋体"/>
          <w:sz w:val="28"/>
          <w:szCs w:val="28"/>
        </w:rPr>
        <w:t>.</w:t>
      </w:r>
      <w:r>
        <w:rPr>
          <w:rFonts w:hint="eastAsia" w:ascii="Times New Roman" w:hAnsi="Times New Roman" w:eastAsia="宋体"/>
          <w:sz w:val="28"/>
          <w:szCs w:val="28"/>
        </w:rPr>
        <w:t>2 废水</w:t>
      </w:r>
      <w:r>
        <w:rPr>
          <w:rFonts w:ascii="Times New Roman" w:hAnsi="Times New Roman" w:eastAsia="宋体"/>
          <w:sz w:val="28"/>
          <w:szCs w:val="28"/>
        </w:rPr>
        <w:t>验收执行标准</w:t>
      </w:r>
      <w:bookmarkEnd w:id="56"/>
    </w:p>
    <w:p>
      <w:pPr>
        <w:autoSpaceDE w:val="0"/>
        <w:autoSpaceDN w:val="0"/>
        <w:adjustRightInd w:val="0"/>
        <w:spacing w:line="600" w:lineRule="exact"/>
        <w:ind w:firstLine="480" w:firstLineChars="200"/>
        <w:rPr>
          <w:rFonts w:hint="eastAsia"/>
          <w:sz w:val="24"/>
        </w:rPr>
      </w:pPr>
      <w:r>
        <w:rPr>
          <w:rFonts w:hint="eastAsia"/>
          <w:sz w:val="24"/>
        </w:rPr>
        <w:t>废水排放执行标准值见表</w:t>
      </w:r>
      <w:r>
        <w:rPr>
          <w:rFonts w:hint="eastAsia"/>
          <w:sz w:val="24"/>
          <w:lang w:val="en-US" w:eastAsia="zh-CN"/>
        </w:rPr>
        <w:t>6</w:t>
      </w:r>
      <w:r>
        <w:rPr>
          <w:rFonts w:hint="eastAsia"/>
          <w:sz w:val="24"/>
        </w:rPr>
        <w:t>-2。</w:t>
      </w:r>
    </w:p>
    <w:p>
      <w:pPr>
        <w:autoSpaceDE w:val="0"/>
        <w:autoSpaceDN w:val="0"/>
        <w:adjustRightInd w:val="0"/>
        <w:spacing w:line="480" w:lineRule="exact"/>
        <w:jc w:val="center"/>
        <w:rPr>
          <w:b/>
        </w:rPr>
      </w:pPr>
      <w:r>
        <w:rPr>
          <w:b/>
        </w:rPr>
        <w:t>表</w:t>
      </w:r>
      <w:r>
        <w:rPr>
          <w:rFonts w:hint="eastAsia"/>
          <w:b/>
          <w:lang w:val="en-US" w:eastAsia="zh-CN"/>
        </w:rPr>
        <w:t>6</w:t>
      </w:r>
      <w:r>
        <w:rPr>
          <w:b/>
        </w:rPr>
        <w:t>-</w:t>
      </w:r>
      <w:r>
        <w:rPr>
          <w:rFonts w:hint="eastAsia"/>
          <w:b/>
        </w:rPr>
        <w:t xml:space="preserve">2 </w:t>
      </w:r>
      <w:r>
        <w:rPr>
          <w:b/>
        </w:rPr>
        <w:t>废</w:t>
      </w:r>
      <w:r>
        <w:rPr>
          <w:rFonts w:hint="eastAsia"/>
          <w:b/>
        </w:rPr>
        <w:t>水</w:t>
      </w:r>
      <w:r>
        <w:rPr>
          <w:b/>
        </w:rPr>
        <w:t>验收执行标准</w:t>
      </w:r>
    </w:p>
    <w:tbl>
      <w:tblPr>
        <w:tblStyle w:val="32"/>
        <w:tblW w:w="893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3366"/>
        <w:gridCol w:w="1975"/>
        <w:gridCol w:w="27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Align w:val="center"/>
          </w:tcPr>
          <w:p>
            <w:pPr>
              <w:spacing w:line="240" w:lineRule="exact"/>
              <w:jc w:val="center"/>
              <w:rPr>
                <w:b/>
                <w:szCs w:val="21"/>
              </w:rPr>
            </w:pPr>
            <w:r>
              <w:rPr>
                <w:b/>
                <w:szCs w:val="21"/>
              </w:rPr>
              <w:t>类别</w:t>
            </w:r>
          </w:p>
        </w:tc>
        <w:tc>
          <w:tcPr>
            <w:tcW w:w="3366" w:type="dxa"/>
            <w:vAlign w:val="center"/>
          </w:tcPr>
          <w:p>
            <w:pPr>
              <w:spacing w:line="240" w:lineRule="exact"/>
              <w:jc w:val="center"/>
              <w:rPr>
                <w:b/>
                <w:szCs w:val="21"/>
              </w:rPr>
            </w:pPr>
            <w:r>
              <w:rPr>
                <w:b/>
                <w:szCs w:val="21"/>
              </w:rPr>
              <w:t>执行标准</w:t>
            </w:r>
          </w:p>
        </w:tc>
        <w:tc>
          <w:tcPr>
            <w:tcW w:w="1975" w:type="dxa"/>
            <w:vAlign w:val="center"/>
          </w:tcPr>
          <w:p>
            <w:pPr>
              <w:spacing w:line="240" w:lineRule="exact"/>
              <w:jc w:val="center"/>
              <w:rPr>
                <w:b/>
                <w:szCs w:val="21"/>
              </w:rPr>
            </w:pPr>
            <w:r>
              <w:rPr>
                <w:b/>
                <w:szCs w:val="21"/>
              </w:rPr>
              <w:t>监测项目</w:t>
            </w:r>
          </w:p>
        </w:tc>
        <w:tc>
          <w:tcPr>
            <w:tcW w:w="2739" w:type="dxa"/>
            <w:vAlign w:val="center"/>
          </w:tcPr>
          <w:p>
            <w:pPr>
              <w:spacing w:line="240" w:lineRule="exact"/>
              <w:jc w:val="center"/>
              <w:rPr>
                <w:b/>
                <w:szCs w:val="21"/>
              </w:rPr>
            </w:pPr>
            <w:r>
              <w:rPr>
                <w:rFonts w:hint="eastAsia"/>
                <w:b/>
                <w:szCs w:val="21"/>
              </w:rPr>
              <w:t>最高允许排放</w:t>
            </w:r>
            <w:r>
              <w:rPr>
                <w:b/>
                <w:szCs w:val="21"/>
              </w:rPr>
              <w:t>浓</w:t>
            </w:r>
            <w:r>
              <w:rPr>
                <w:rFonts w:hint="eastAsia"/>
                <w:b/>
                <w:szCs w:val="21"/>
              </w:rPr>
              <w:t>度</w:t>
            </w:r>
            <w:r>
              <w:rPr>
                <w:b/>
                <w:szCs w:val="21"/>
              </w:rPr>
              <w:t>（mg/</w:t>
            </w:r>
            <w:r>
              <w:rPr>
                <w:rFonts w:hint="eastAsia"/>
                <w:b/>
                <w:szCs w:val="21"/>
              </w:rPr>
              <w:t>L</w:t>
            </w:r>
            <w:r>
              <w:rPr>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restart"/>
            <w:vAlign w:val="center"/>
          </w:tcPr>
          <w:p>
            <w:pPr>
              <w:spacing w:line="240" w:lineRule="exact"/>
              <w:jc w:val="center"/>
              <w:rPr>
                <w:szCs w:val="21"/>
              </w:rPr>
            </w:pPr>
            <w:r>
              <w:rPr>
                <w:szCs w:val="21"/>
              </w:rPr>
              <w:t>废</w:t>
            </w:r>
            <w:r>
              <w:rPr>
                <w:rFonts w:hint="eastAsia"/>
                <w:szCs w:val="21"/>
              </w:rPr>
              <w:t>水</w:t>
            </w:r>
          </w:p>
        </w:tc>
        <w:tc>
          <w:tcPr>
            <w:tcW w:w="3366" w:type="dxa"/>
            <w:vMerge w:val="restart"/>
            <w:vAlign w:val="center"/>
          </w:tcPr>
          <w:p>
            <w:pPr>
              <w:spacing w:line="260" w:lineRule="exact"/>
              <w:jc w:val="center"/>
              <w:rPr>
                <w:szCs w:val="21"/>
              </w:rPr>
            </w:pPr>
            <w:r>
              <w:rPr>
                <w:rFonts w:hint="eastAsia"/>
                <w:szCs w:val="21"/>
              </w:rPr>
              <w:t>《医疗机构水污染物排放标准》(GB18466-2005)表2中</w:t>
            </w:r>
          </w:p>
          <w:p>
            <w:pPr>
              <w:spacing w:line="260" w:lineRule="exact"/>
              <w:jc w:val="center"/>
              <w:rPr>
                <w:rFonts w:hint="default" w:eastAsia="宋体"/>
                <w:szCs w:val="21"/>
                <w:lang w:val="en-US" w:eastAsia="zh-CN"/>
              </w:rPr>
            </w:pPr>
            <w:r>
              <w:rPr>
                <w:rFonts w:hint="eastAsia"/>
                <w:lang w:val="en-US" w:eastAsia="zh-CN"/>
              </w:rPr>
              <w:t>直接排放标准</w:t>
            </w:r>
          </w:p>
        </w:tc>
        <w:tc>
          <w:tcPr>
            <w:tcW w:w="1975" w:type="dxa"/>
            <w:vAlign w:val="center"/>
          </w:tcPr>
          <w:p>
            <w:pPr>
              <w:spacing w:line="240" w:lineRule="exact"/>
              <w:jc w:val="center"/>
              <w:rPr>
                <w:color w:val="FF0000"/>
                <w:szCs w:val="21"/>
              </w:rPr>
            </w:pPr>
            <w:r>
              <w:rPr>
                <w:rFonts w:hint="eastAsia"/>
                <w:color w:val="000000" w:themeColor="text1"/>
                <w:szCs w:val="21"/>
              </w:rPr>
              <w:t>pH值（无量纲）</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化学需氧量</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五日生化需氧量</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悬浮物</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氨氮</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动植物油</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总余氯</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色度（倍）</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阴离子表面活性剂</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挥发酚</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pacing w:line="240" w:lineRule="exact"/>
              <w:jc w:val="center"/>
              <w:rPr>
                <w:szCs w:val="21"/>
              </w:rPr>
            </w:pPr>
          </w:p>
        </w:tc>
        <w:tc>
          <w:tcPr>
            <w:tcW w:w="3366" w:type="dxa"/>
            <w:vMerge w:val="continue"/>
            <w:vAlign w:val="center"/>
          </w:tcPr>
          <w:p>
            <w:pPr>
              <w:spacing w:line="260" w:lineRule="exact"/>
              <w:jc w:val="center"/>
              <w:rPr>
                <w:szCs w:val="21"/>
              </w:rPr>
            </w:pPr>
          </w:p>
        </w:tc>
        <w:tc>
          <w:tcPr>
            <w:tcW w:w="1975" w:type="dxa"/>
            <w:vAlign w:val="center"/>
          </w:tcPr>
          <w:p>
            <w:pPr>
              <w:spacing w:line="240" w:lineRule="exact"/>
              <w:jc w:val="center"/>
              <w:rPr>
                <w:szCs w:val="21"/>
              </w:rPr>
            </w:pPr>
            <w:r>
              <w:rPr>
                <w:rFonts w:hint="eastAsia"/>
                <w:szCs w:val="21"/>
              </w:rPr>
              <w:t>粪大肠菌群（个/L）</w:t>
            </w:r>
          </w:p>
        </w:tc>
        <w:tc>
          <w:tcPr>
            <w:tcW w:w="2739" w:type="dxa"/>
            <w:vAlign w:val="center"/>
          </w:tcPr>
          <w:p>
            <w:pPr>
              <w:spacing w:line="240" w:lineRule="exact"/>
              <w:jc w:val="center"/>
              <w:rPr>
                <w:rFonts w:hint="eastAsia" w:eastAsia="宋体"/>
                <w:szCs w:val="21"/>
                <w:lang w:val="en-US" w:eastAsia="zh-CN"/>
              </w:rPr>
            </w:pPr>
            <w:r>
              <w:rPr>
                <w:rFonts w:hint="eastAsia"/>
                <w:szCs w:val="21"/>
                <w:lang w:val="en-US" w:eastAsia="zh-CN"/>
              </w:rPr>
              <w:t>500</w:t>
            </w:r>
          </w:p>
        </w:tc>
      </w:tr>
    </w:tbl>
    <w:p>
      <w:pPr>
        <w:pStyle w:val="4"/>
        <w:spacing w:before="0" w:after="0" w:line="600" w:lineRule="exact"/>
        <w:rPr>
          <w:rFonts w:ascii="Times New Roman" w:hAnsi="Times New Roman" w:eastAsia="宋体"/>
          <w:sz w:val="28"/>
          <w:szCs w:val="28"/>
        </w:rPr>
      </w:pPr>
      <w:bookmarkStart w:id="59" w:name="_Toc9233"/>
      <w:r>
        <w:rPr>
          <w:rFonts w:hint="eastAsia" w:ascii="Times New Roman" w:hAnsi="Times New Roman" w:eastAsia="宋体"/>
          <w:sz w:val="28"/>
          <w:szCs w:val="28"/>
          <w:lang w:val="en-US" w:eastAsia="zh-CN"/>
        </w:rPr>
        <w:t>6</w:t>
      </w:r>
      <w:r>
        <w:rPr>
          <w:rFonts w:ascii="Times New Roman" w:hAnsi="Times New Roman" w:eastAsia="宋体"/>
          <w:sz w:val="28"/>
          <w:szCs w:val="28"/>
        </w:rPr>
        <w:t>.</w:t>
      </w:r>
      <w:r>
        <w:rPr>
          <w:rFonts w:hint="eastAsia" w:ascii="Times New Roman" w:hAnsi="Times New Roman" w:eastAsia="宋体"/>
          <w:sz w:val="28"/>
          <w:szCs w:val="28"/>
        </w:rPr>
        <w:t>3 噪声</w:t>
      </w:r>
      <w:r>
        <w:rPr>
          <w:rFonts w:ascii="Times New Roman" w:hAnsi="Times New Roman" w:eastAsia="宋体"/>
          <w:sz w:val="28"/>
          <w:szCs w:val="28"/>
        </w:rPr>
        <w:t>验收执行标准</w:t>
      </w:r>
      <w:bookmarkEnd w:id="57"/>
      <w:bookmarkEnd w:id="58"/>
      <w:bookmarkEnd w:id="59"/>
    </w:p>
    <w:p>
      <w:pPr>
        <w:spacing w:line="560" w:lineRule="exact"/>
        <w:ind w:firstLine="480" w:firstLineChars="200"/>
        <w:rPr>
          <w:sz w:val="24"/>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sz w:val="24"/>
        </w:rPr>
        <w:t>噪声执行标准见表</w:t>
      </w:r>
      <w:r>
        <w:rPr>
          <w:rFonts w:hint="eastAsia"/>
          <w:sz w:val="24"/>
          <w:lang w:val="en-US" w:eastAsia="zh-CN"/>
        </w:rPr>
        <w:t>6</w:t>
      </w:r>
      <w:r>
        <w:rPr>
          <w:sz w:val="24"/>
        </w:rPr>
        <w:t>-</w:t>
      </w:r>
      <w:r>
        <w:rPr>
          <w:rFonts w:hint="eastAsia"/>
          <w:sz w:val="24"/>
        </w:rPr>
        <w:t>3</w:t>
      </w:r>
      <w:r>
        <w:rPr>
          <w:sz w:val="24"/>
        </w:rPr>
        <w:t>。</w:t>
      </w:r>
    </w:p>
    <w:p>
      <w:pPr>
        <w:spacing w:line="560" w:lineRule="exact"/>
        <w:jc w:val="center"/>
        <w:rPr>
          <w:b/>
        </w:rPr>
      </w:pPr>
      <w:r>
        <w:rPr>
          <w:b/>
        </w:rPr>
        <w:t>表</w:t>
      </w:r>
      <w:r>
        <w:rPr>
          <w:rFonts w:hint="eastAsia"/>
          <w:b/>
          <w:lang w:val="en-US" w:eastAsia="zh-CN"/>
        </w:rPr>
        <w:t>6</w:t>
      </w:r>
      <w:r>
        <w:rPr>
          <w:b/>
        </w:rPr>
        <w:t>-</w:t>
      </w:r>
      <w:r>
        <w:rPr>
          <w:rFonts w:hint="eastAsia"/>
          <w:b/>
          <w:lang w:val="en-US" w:eastAsia="zh-CN"/>
        </w:rPr>
        <w:t>3</w:t>
      </w:r>
      <w:r>
        <w:rPr>
          <w:rFonts w:hint="eastAsia"/>
          <w:b/>
        </w:rPr>
        <w:t xml:space="preserve"> </w:t>
      </w:r>
      <w:r>
        <w:rPr>
          <w:b/>
        </w:rPr>
        <w:t>噪声验收执行标准</w:t>
      </w:r>
    </w:p>
    <w:tbl>
      <w:tblPr>
        <w:tblStyle w:val="32"/>
        <w:tblW w:w="893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3"/>
        <w:gridCol w:w="3381"/>
        <w:gridCol w:w="1955"/>
        <w:gridCol w:w="917"/>
        <w:gridCol w:w="917"/>
        <w:gridCol w:w="9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3" w:type="dxa"/>
            <w:vAlign w:val="center"/>
          </w:tcPr>
          <w:p>
            <w:pPr>
              <w:spacing w:line="240" w:lineRule="exact"/>
              <w:jc w:val="center"/>
              <w:rPr>
                <w:b/>
                <w:szCs w:val="21"/>
              </w:rPr>
            </w:pPr>
            <w:r>
              <w:rPr>
                <w:b/>
                <w:szCs w:val="21"/>
              </w:rPr>
              <w:t>类别</w:t>
            </w:r>
          </w:p>
        </w:tc>
        <w:tc>
          <w:tcPr>
            <w:tcW w:w="3381" w:type="dxa"/>
            <w:vAlign w:val="center"/>
          </w:tcPr>
          <w:p>
            <w:pPr>
              <w:spacing w:line="240" w:lineRule="exact"/>
              <w:jc w:val="center"/>
              <w:rPr>
                <w:b/>
                <w:szCs w:val="21"/>
              </w:rPr>
            </w:pPr>
            <w:r>
              <w:rPr>
                <w:b/>
                <w:szCs w:val="21"/>
              </w:rPr>
              <w:t>执行标准</w:t>
            </w:r>
          </w:p>
        </w:tc>
        <w:tc>
          <w:tcPr>
            <w:tcW w:w="1955" w:type="dxa"/>
            <w:vAlign w:val="center"/>
          </w:tcPr>
          <w:p>
            <w:pPr>
              <w:spacing w:line="240" w:lineRule="exact"/>
              <w:jc w:val="center"/>
              <w:rPr>
                <w:b/>
                <w:szCs w:val="21"/>
              </w:rPr>
            </w:pPr>
            <w:r>
              <w:rPr>
                <w:b/>
                <w:szCs w:val="21"/>
              </w:rPr>
              <w:t>监测项目</w:t>
            </w:r>
          </w:p>
        </w:tc>
        <w:tc>
          <w:tcPr>
            <w:tcW w:w="2752" w:type="dxa"/>
            <w:gridSpan w:val="3"/>
            <w:vAlign w:val="center"/>
          </w:tcPr>
          <w:p>
            <w:pPr>
              <w:spacing w:line="240" w:lineRule="exact"/>
              <w:jc w:val="center"/>
              <w:rPr>
                <w:b/>
                <w:szCs w:val="21"/>
              </w:rPr>
            </w:pPr>
            <w:r>
              <w:rPr>
                <w:b/>
                <w:szCs w:val="21"/>
              </w:rPr>
              <w:t>排放限值dB（A）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3" w:type="dxa"/>
            <w:vMerge w:val="restart"/>
            <w:vAlign w:val="center"/>
          </w:tcPr>
          <w:p>
            <w:pPr>
              <w:jc w:val="center"/>
              <w:rPr>
                <w:szCs w:val="21"/>
              </w:rPr>
            </w:pPr>
            <w:r>
              <w:rPr>
                <w:szCs w:val="21"/>
              </w:rPr>
              <w:t>噪声</w:t>
            </w:r>
          </w:p>
        </w:tc>
        <w:tc>
          <w:tcPr>
            <w:tcW w:w="3381" w:type="dxa"/>
            <w:vMerge w:val="restart"/>
            <w:vAlign w:val="center"/>
          </w:tcPr>
          <w:p>
            <w:pPr>
              <w:jc w:val="center"/>
              <w:rPr>
                <w:szCs w:val="21"/>
              </w:rPr>
            </w:pPr>
            <w:r>
              <w:rPr>
                <w:rFonts w:hint="eastAsia"/>
                <w:spacing w:val="-6"/>
                <w:szCs w:val="21"/>
              </w:rPr>
              <w:t>《</w:t>
            </w:r>
            <w:r>
              <w:rPr>
                <w:spacing w:val="-6"/>
                <w:szCs w:val="21"/>
              </w:rPr>
              <w:t>工业企业厂界环境噪声排放标准</w:t>
            </w:r>
            <w:r>
              <w:rPr>
                <w:rFonts w:hint="eastAsia"/>
                <w:spacing w:val="-6"/>
                <w:szCs w:val="21"/>
              </w:rPr>
              <w:t>》</w:t>
            </w:r>
            <w:r>
              <w:rPr>
                <w:szCs w:val="21"/>
              </w:rPr>
              <w:t>（GB</w:t>
            </w:r>
            <w:r>
              <w:rPr>
                <w:rFonts w:hint="eastAsia"/>
                <w:szCs w:val="21"/>
              </w:rPr>
              <w:t xml:space="preserve"> </w:t>
            </w:r>
            <w:r>
              <w:rPr>
                <w:szCs w:val="21"/>
              </w:rPr>
              <w:t>12348-2008）</w:t>
            </w:r>
          </w:p>
        </w:tc>
        <w:tc>
          <w:tcPr>
            <w:tcW w:w="1955" w:type="dxa"/>
            <w:vMerge w:val="restart"/>
            <w:vAlign w:val="center"/>
          </w:tcPr>
          <w:p>
            <w:pPr>
              <w:jc w:val="center"/>
              <w:rPr>
                <w:szCs w:val="21"/>
              </w:rPr>
            </w:pPr>
            <w:r>
              <w:rPr>
                <w:rFonts w:hint="eastAsia"/>
                <w:szCs w:val="21"/>
              </w:rPr>
              <w:t>厂界环境噪声</w:t>
            </w:r>
          </w:p>
        </w:tc>
        <w:tc>
          <w:tcPr>
            <w:tcW w:w="917" w:type="dxa"/>
            <w:vMerge w:val="restart"/>
            <w:vAlign w:val="center"/>
          </w:tcPr>
          <w:p>
            <w:pPr>
              <w:jc w:val="center"/>
              <w:rPr>
                <w:szCs w:val="21"/>
              </w:rPr>
            </w:pPr>
            <w:r>
              <w:rPr>
                <w:rFonts w:hint="eastAsia"/>
                <w:szCs w:val="21"/>
              </w:rPr>
              <w:t>2</w:t>
            </w:r>
            <w:r>
              <w:rPr>
                <w:szCs w:val="21"/>
              </w:rPr>
              <w:t>类</w:t>
            </w:r>
          </w:p>
        </w:tc>
        <w:tc>
          <w:tcPr>
            <w:tcW w:w="917" w:type="dxa"/>
            <w:vAlign w:val="center"/>
          </w:tcPr>
          <w:p>
            <w:pPr>
              <w:jc w:val="center"/>
              <w:rPr>
                <w:szCs w:val="21"/>
              </w:rPr>
            </w:pPr>
            <w:r>
              <w:rPr>
                <w:szCs w:val="21"/>
              </w:rPr>
              <w:t>昼间</w:t>
            </w:r>
          </w:p>
        </w:tc>
        <w:tc>
          <w:tcPr>
            <w:tcW w:w="918" w:type="dxa"/>
            <w:vAlign w:val="center"/>
          </w:tcPr>
          <w:p>
            <w:pPr>
              <w:jc w:val="center"/>
              <w:rPr>
                <w:szCs w:val="21"/>
              </w:rPr>
            </w:pPr>
            <w:r>
              <w:rPr>
                <w:rFonts w:hint="eastAsia"/>
                <w:szCs w:val="21"/>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3" w:type="dxa"/>
            <w:vMerge w:val="continue"/>
            <w:vAlign w:val="center"/>
          </w:tcPr>
          <w:p>
            <w:pPr>
              <w:jc w:val="center"/>
              <w:rPr>
                <w:szCs w:val="21"/>
              </w:rPr>
            </w:pPr>
          </w:p>
        </w:tc>
        <w:tc>
          <w:tcPr>
            <w:tcW w:w="3381" w:type="dxa"/>
            <w:vMerge w:val="continue"/>
            <w:vAlign w:val="center"/>
          </w:tcPr>
          <w:p>
            <w:pPr>
              <w:jc w:val="center"/>
              <w:rPr>
                <w:spacing w:val="-6"/>
                <w:szCs w:val="21"/>
              </w:rPr>
            </w:pPr>
          </w:p>
        </w:tc>
        <w:tc>
          <w:tcPr>
            <w:tcW w:w="1955" w:type="dxa"/>
            <w:vMerge w:val="continue"/>
            <w:vAlign w:val="center"/>
          </w:tcPr>
          <w:p>
            <w:pPr>
              <w:jc w:val="center"/>
              <w:rPr>
                <w:szCs w:val="21"/>
              </w:rPr>
            </w:pPr>
          </w:p>
        </w:tc>
        <w:tc>
          <w:tcPr>
            <w:tcW w:w="917" w:type="dxa"/>
            <w:vMerge w:val="continue"/>
            <w:vAlign w:val="center"/>
          </w:tcPr>
          <w:p>
            <w:pPr>
              <w:jc w:val="center"/>
              <w:rPr>
                <w:szCs w:val="21"/>
              </w:rPr>
            </w:pPr>
          </w:p>
        </w:tc>
        <w:tc>
          <w:tcPr>
            <w:tcW w:w="917" w:type="dxa"/>
            <w:vAlign w:val="center"/>
          </w:tcPr>
          <w:p>
            <w:pPr>
              <w:jc w:val="center"/>
              <w:rPr>
                <w:szCs w:val="21"/>
              </w:rPr>
            </w:pPr>
            <w:r>
              <w:rPr>
                <w:szCs w:val="21"/>
              </w:rPr>
              <w:t>夜间</w:t>
            </w:r>
          </w:p>
        </w:tc>
        <w:tc>
          <w:tcPr>
            <w:tcW w:w="918" w:type="dxa"/>
            <w:vAlign w:val="center"/>
          </w:tcPr>
          <w:p>
            <w:pPr>
              <w:jc w:val="center"/>
              <w:rPr>
                <w:szCs w:val="21"/>
              </w:rPr>
            </w:pPr>
            <w:r>
              <w:rPr>
                <w:rFonts w:hint="eastAsia"/>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3" w:type="dxa"/>
            <w:vMerge w:val="continue"/>
            <w:vAlign w:val="center"/>
          </w:tcPr>
          <w:p>
            <w:pPr>
              <w:jc w:val="center"/>
              <w:rPr>
                <w:szCs w:val="21"/>
              </w:rPr>
            </w:pPr>
          </w:p>
        </w:tc>
        <w:tc>
          <w:tcPr>
            <w:tcW w:w="3381" w:type="dxa"/>
            <w:vMerge w:val="continue"/>
            <w:vAlign w:val="center"/>
          </w:tcPr>
          <w:p>
            <w:pPr>
              <w:jc w:val="center"/>
              <w:rPr>
                <w:spacing w:val="-6"/>
                <w:szCs w:val="21"/>
              </w:rPr>
            </w:pPr>
          </w:p>
        </w:tc>
        <w:tc>
          <w:tcPr>
            <w:tcW w:w="1955" w:type="dxa"/>
            <w:vMerge w:val="continue"/>
            <w:vAlign w:val="center"/>
          </w:tcPr>
          <w:p>
            <w:pPr>
              <w:jc w:val="center"/>
              <w:rPr>
                <w:szCs w:val="21"/>
              </w:rPr>
            </w:pPr>
          </w:p>
        </w:tc>
        <w:tc>
          <w:tcPr>
            <w:tcW w:w="917" w:type="dxa"/>
            <w:vMerge w:val="restart"/>
            <w:vAlign w:val="center"/>
          </w:tcPr>
          <w:p>
            <w:pPr>
              <w:jc w:val="center"/>
              <w:rPr>
                <w:szCs w:val="21"/>
              </w:rPr>
            </w:pPr>
            <w:r>
              <w:rPr>
                <w:rFonts w:hint="eastAsia"/>
                <w:szCs w:val="21"/>
              </w:rPr>
              <w:t>4类</w:t>
            </w:r>
          </w:p>
        </w:tc>
        <w:tc>
          <w:tcPr>
            <w:tcW w:w="917" w:type="dxa"/>
            <w:vAlign w:val="center"/>
          </w:tcPr>
          <w:p>
            <w:pPr>
              <w:jc w:val="center"/>
              <w:rPr>
                <w:szCs w:val="21"/>
              </w:rPr>
            </w:pPr>
            <w:r>
              <w:rPr>
                <w:rFonts w:hint="eastAsia"/>
                <w:szCs w:val="21"/>
              </w:rPr>
              <w:t>昼间</w:t>
            </w:r>
          </w:p>
        </w:tc>
        <w:tc>
          <w:tcPr>
            <w:tcW w:w="918" w:type="dxa"/>
            <w:vAlign w:val="center"/>
          </w:tcPr>
          <w:p>
            <w:pPr>
              <w:jc w:val="center"/>
              <w:rPr>
                <w:szCs w:val="21"/>
              </w:rPr>
            </w:pPr>
            <w:r>
              <w:rPr>
                <w:rFonts w:hint="eastAsia"/>
                <w:szCs w:val="21"/>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3" w:type="dxa"/>
            <w:vMerge w:val="continue"/>
            <w:vAlign w:val="center"/>
          </w:tcPr>
          <w:p>
            <w:pPr>
              <w:jc w:val="center"/>
              <w:rPr>
                <w:szCs w:val="21"/>
              </w:rPr>
            </w:pPr>
          </w:p>
        </w:tc>
        <w:tc>
          <w:tcPr>
            <w:tcW w:w="3381" w:type="dxa"/>
            <w:vMerge w:val="continue"/>
            <w:vAlign w:val="center"/>
          </w:tcPr>
          <w:p>
            <w:pPr>
              <w:jc w:val="center"/>
              <w:rPr>
                <w:spacing w:val="-6"/>
                <w:szCs w:val="21"/>
              </w:rPr>
            </w:pPr>
          </w:p>
        </w:tc>
        <w:tc>
          <w:tcPr>
            <w:tcW w:w="1955" w:type="dxa"/>
            <w:vMerge w:val="continue"/>
            <w:vAlign w:val="center"/>
          </w:tcPr>
          <w:p>
            <w:pPr>
              <w:jc w:val="center"/>
              <w:rPr>
                <w:szCs w:val="21"/>
              </w:rPr>
            </w:pPr>
          </w:p>
        </w:tc>
        <w:tc>
          <w:tcPr>
            <w:tcW w:w="917" w:type="dxa"/>
            <w:vMerge w:val="continue"/>
            <w:vAlign w:val="center"/>
          </w:tcPr>
          <w:p>
            <w:pPr>
              <w:jc w:val="center"/>
              <w:rPr>
                <w:szCs w:val="21"/>
              </w:rPr>
            </w:pPr>
          </w:p>
        </w:tc>
        <w:tc>
          <w:tcPr>
            <w:tcW w:w="917" w:type="dxa"/>
            <w:vAlign w:val="center"/>
          </w:tcPr>
          <w:p>
            <w:pPr>
              <w:jc w:val="center"/>
              <w:rPr>
                <w:szCs w:val="21"/>
              </w:rPr>
            </w:pPr>
            <w:r>
              <w:rPr>
                <w:rFonts w:hint="eastAsia"/>
                <w:szCs w:val="21"/>
              </w:rPr>
              <w:t>夜间</w:t>
            </w:r>
          </w:p>
        </w:tc>
        <w:tc>
          <w:tcPr>
            <w:tcW w:w="918" w:type="dxa"/>
            <w:vAlign w:val="center"/>
          </w:tcPr>
          <w:p>
            <w:pPr>
              <w:jc w:val="center"/>
              <w:rPr>
                <w:szCs w:val="21"/>
              </w:rPr>
            </w:pPr>
            <w:r>
              <w:rPr>
                <w:rFonts w:hint="eastAsia"/>
                <w:szCs w:val="21"/>
              </w:rPr>
              <w:t>55</w:t>
            </w:r>
          </w:p>
        </w:tc>
      </w:tr>
    </w:tbl>
    <w:p>
      <w:pPr>
        <w:pStyle w:val="3"/>
        <w:spacing w:beforeLines="50" w:afterLines="50" w:line="540" w:lineRule="exact"/>
        <w:rPr>
          <w:sz w:val="32"/>
          <w:szCs w:val="32"/>
        </w:rPr>
      </w:pPr>
      <w:bookmarkStart w:id="60" w:name="_Toc103233829"/>
      <w:bookmarkStart w:id="61" w:name="_Toc30957"/>
      <w:bookmarkStart w:id="62" w:name="_Toc211096937"/>
      <w:bookmarkStart w:id="63" w:name="_Toc31126"/>
      <w:r>
        <w:rPr>
          <w:rFonts w:hint="eastAsia"/>
          <w:sz w:val="32"/>
          <w:szCs w:val="32"/>
          <w:lang w:val="en-US" w:eastAsia="zh-CN"/>
        </w:rPr>
        <w:t>7</w:t>
      </w:r>
      <w:r>
        <w:rPr>
          <w:rFonts w:hint="eastAsia"/>
          <w:sz w:val="32"/>
          <w:szCs w:val="32"/>
        </w:rPr>
        <w:t xml:space="preserve"> </w:t>
      </w:r>
      <w:r>
        <w:rPr>
          <w:sz w:val="32"/>
          <w:szCs w:val="32"/>
        </w:rPr>
        <w:t>验收监测工作内容</w:t>
      </w:r>
      <w:bookmarkEnd w:id="60"/>
      <w:bookmarkEnd w:id="61"/>
      <w:bookmarkEnd w:id="62"/>
      <w:bookmarkEnd w:id="63"/>
    </w:p>
    <w:p>
      <w:pPr>
        <w:pStyle w:val="4"/>
        <w:spacing w:beforeLines="50" w:afterLines="50" w:line="540" w:lineRule="exact"/>
        <w:rPr>
          <w:rFonts w:ascii="Times New Roman" w:hAnsi="Times New Roman" w:eastAsia="宋体"/>
          <w:sz w:val="28"/>
          <w:szCs w:val="28"/>
        </w:rPr>
      </w:pPr>
      <w:bookmarkStart w:id="64" w:name="_Toc26671"/>
      <w:bookmarkStart w:id="65" w:name="_Toc3153"/>
      <w:r>
        <w:rPr>
          <w:rFonts w:hint="eastAsia" w:ascii="Times New Roman" w:hAnsi="Times New Roman" w:eastAsia="宋体"/>
          <w:sz w:val="28"/>
          <w:szCs w:val="28"/>
          <w:lang w:val="en-US" w:eastAsia="zh-CN"/>
        </w:rPr>
        <w:t>7</w:t>
      </w:r>
      <w:r>
        <w:rPr>
          <w:rFonts w:ascii="Times New Roman" w:hAnsi="Times New Roman" w:eastAsia="宋体"/>
          <w:sz w:val="28"/>
          <w:szCs w:val="28"/>
        </w:rPr>
        <w:t>.1 验收监测要求</w:t>
      </w:r>
      <w:bookmarkEnd w:id="64"/>
      <w:bookmarkEnd w:id="65"/>
    </w:p>
    <w:p>
      <w:pPr>
        <w:widowControl/>
        <w:spacing w:line="640" w:lineRule="exact"/>
        <w:ind w:firstLine="480" w:firstLineChars="200"/>
        <w:rPr>
          <w:sz w:val="24"/>
        </w:rPr>
      </w:pPr>
      <w:r>
        <w:rPr>
          <w:sz w:val="24"/>
        </w:rPr>
        <w:t>验收监测期间要求企业保证正常生产作业，环保设施运行正常，满足验收监测时生产负荷必须达到75%以上的要求</w:t>
      </w:r>
      <w:r>
        <w:rPr>
          <w:rFonts w:hint="eastAsia"/>
          <w:sz w:val="24"/>
        </w:rPr>
        <w:t>，根据《</w:t>
      </w:r>
      <w:r>
        <w:fldChar w:fldCharType="begin"/>
      </w:r>
      <w:r>
        <w:instrText xml:space="preserve"> HYPERLINK "http://kjs.mep.gov.cn/hjbhbz/bzwb/other/hbysjsgf/201605/./W020160504369505584942.pdf" </w:instrText>
      </w:r>
      <w:r>
        <w:fldChar w:fldCharType="separate"/>
      </w:r>
      <w:r>
        <w:rPr>
          <w:sz w:val="24"/>
        </w:rPr>
        <w:t>建设项目竣工环境保护验收技术规范 医疗机构</w:t>
      </w:r>
      <w:r>
        <w:rPr>
          <w:sz w:val="24"/>
        </w:rPr>
        <w:fldChar w:fldCharType="end"/>
      </w:r>
      <w:r>
        <w:rPr>
          <w:rFonts w:hint="eastAsia"/>
          <w:sz w:val="24"/>
        </w:rPr>
        <w:t>》（</w:t>
      </w:r>
      <w:r>
        <w:rPr>
          <w:sz w:val="24"/>
        </w:rPr>
        <w:t>HJ 794-2016</w:t>
      </w:r>
      <w:r>
        <w:rPr>
          <w:rFonts w:hint="eastAsia"/>
          <w:sz w:val="24"/>
        </w:rPr>
        <w:t>）的相关规定，如果医院短期内营运规模确实达不到设计规模的75%以上时，验收监测在医院正常营运工况下进行。</w:t>
      </w:r>
    </w:p>
    <w:p>
      <w:pPr>
        <w:pStyle w:val="4"/>
        <w:spacing w:beforeLines="50" w:afterLines="50" w:line="500" w:lineRule="exact"/>
        <w:rPr>
          <w:rFonts w:ascii="Times New Roman" w:hAnsi="Times New Roman" w:eastAsia="宋体"/>
          <w:sz w:val="28"/>
          <w:szCs w:val="28"/>
        </w:rPr>
      </w:pPr>
      <w:bookmarkStart w:id="66" w:name="_Toc10411"/>
      <w:bookmarkStart w:id="67" w:name="_Toc31913"/>
      <w:bookmarkStart w:id="68" w:name="_Toc103233833"/>
      <w:bookmarkStart w:id="69" w:name="_Toc211096938"/>
      <w:r>
        <w:rPr>
          <w:rFonts w:hint="eastAsia" w:ascii="Times New Roman" w:hAnsi="Times New Roman" w:eastAsia="宋体"/>
          <w:sz w:val="28"/>
          <w:szCs w:val="28"/>
          <w:lang w:val="en-US" w:eastAsia="zh-CN"/>
        </w:rPr>
        <w:t>7</w:t>
      </w:r>
      <w:r>
        <w:rPr>
          <w:rFonts w:ascii="Times New Roman" w:hAnsi="Times New Roman" w:eastAsia="宋体"/>
          <w:sz w:val="28"/>
          <w:szCs w:val="28"/>
        </w:rPr>
        <w:t>.</w:t>
      </w:r>
      <w:r>
        <w:rPr>
          <w:rFonts w:hint="eastAsia" w:ascii="Times New Roman" w:hAnsi="Times New Roman" w:eastAsia="宋体"/>
          <w:sz w:val="28"/>
          <w:szCs w:val="28"/>
          <w:lang w:val="en-US" w:eastAsia="zh-CN"/>
        </w:rPr>
        <w:t>2</w:t>
      </w:r>
      <w:r>
        <w:rPr>
          <w:rFonts w:hint="eastAsia" w:ascii="Times New Roman" w:hAnsi="Times New Roman" w:eastAsia="宋体"/>
          <w:sz w:val="28"/>
          <w:szCs w:val="28"/>
        </w:rPr>
        <w:t xml:space="preserve"> </w:t>
      </w:r>
      <w:r>
        <w:rPr>
          <w:rFonts w:ascii="Times New Roman" w:hAnsi="Times New Roman" w:eastAsia="宋体"/>
          <w:sz w:val="28"/>
          <w:szCs w:val="28"/>
        </w:rPr>
        <w:t>监测内容</w:t>
      </w:r>
      <w:bookmarkEnd w:id="66"/>
      <w:bookmarkEnd w:id="67"/>
      <w:bookmarkEnd w:id="68"/>
      <w:bookmarkEnd w:id="69"/>
    </w:p>
    <w:p>
      <w:pPr>
        <w:pStyle w:val="4"/>
        <w:spacing w:beforeLines="50" w:afterLines="50" w:line="500" w:lineRule="exact"/>
        <w:rPr>
          <w:rFonts w:hint="eastAsia" w:ascii="Times New Roman" w:hAnsi="Times New Roman" w:eastAsia="宋体"/>
          <w:sz w:val="28"/>
          <w:szCs w:val="28"/>
          <w:lang w:eastAsia="zh-CN"/>
        </w:rPr>
      </w:pPr>
      <w:bookmarkStart w:id="70" w:name="_Toc27320"/>
      <w:r>
        <w:rPr>
          <w:rFonts w:hint="eastAsia" w:ascii="Times New Roman" w:hAnsi="Times New Roman" w:eastAsia="宋体"/>
          <w:sz w:val="28"/>
          <w:szCs w:val="28"/>
          <w:lang w:val="en-US" w:eastAsia="zh-CN"/>
        </w:rPr>
        <w:t>7</w:t>
      </w:r>
      <w:r>
        <w:rPr>
          <w:rFonts w:ascii="Times New Roman" w:hAnsi="Times New Roman" w:eastAsia="宋体"/>
          <w:sz w:val="28"/>
          <w:szCs w:val="28"/>
        </w:rPr>
        <w:t>.</w:t>
      </w:r>
      <w:r>
        <w:rPr>
          <w:rFonts w:hint="eastAsia" w:ascii="Times New Roman" w:hAnsi="Times New Roman" w:eastAsia="宋体"/>
          <w:sz w:val="28"/>
          <w:szCs w:val="28"/>
          <w:lang w:val="en-US" w:eastAsia="zh-CN"/>
        </w:rPr>
        <w:t>2.1</w:t>
      </w:r>
      <w:r>
        <w:rPr>
          <w:rFonts w:hint="eastAsia" w:ascii="Times New Roman" w:hAnsi="Times New Roman" w:eastAsia="宋体"/>
          <w:sz w:val="28"/>
          <w:szCs w:val="28"/>
        </w:rPr>
        <w:t xml:space="preserve"> </w:t>
      </w:r>
      <w:r>
        <w:rPr>
          <w:rFonts w:hint="eastAsia" w:ascii="Times New Roman" w:hAnsi="Times New Roman" w:eastAsia="宋体"/>
          <w:sz w:val="28"/>
          <w:szCs w:val="28"/>
          <w:lang w:val="en-US" w:eastAsia="zh-CN"/>
        </w:rPr>
        <w:t>废水</w:t>
      </w:r>
      <w:bookmarkEnd w:id="70"/>
    </w:p>
    <w:p>
      <w:pPr>
        <w:spacing w:line="500" w:lineRule="exact"/>
        <w:ind w:firstLine="570"/>
        <w:rPr>
          <w:rFonts w:hint="eastAsia"/>
          <w:sz w:val="24"/>
          <w:lang w:val="en-US" w:eastAsia="zh-CN"/>
        </w:rPr>
      </w:pPr>
      <w:r>
        <w:rPr>
          <w:rFonts w:hint="eastAsia"/>
          <w:sz w:val="24"/>
          <w:lang w:val="en-US" w:eastAsia="zh-CN"/>
        </w:rPr>
        <w:t>废水检测内容见表7-1。</w:t>
      </w:r>
    </w:p>
    <w:p>
      <w:pPr>
        <w:spacing w:line="500" w:lineRule="exact"/>
        <w:jc w:val="center"/>
        <w:rPr>
          <w:b/>
          <w:kern w:val="0"/>
          <w:szCs w:val="21"/>
          <w:lang w:val="zh-CN"/>
        </w:rPr>
      </w:pPr>
      <w:r>
        <w:rPr>
          <w:b/>
          <w:kern w:val="0"/>
          <w:szCs w:val="21"/>
          <w:lang w:val="zh-CN"/>
        </w:rPr>
        <w:t>表</w:t>
      </w:r>
      <w:r>
        <w:rPr>
          <w:rFonts w:hint="eastAsia"/>
          <w:b/>
          <w:kern w:val="0"/>
          <w:szCs w:val="21"/>
          <w:lang w:val="en-US" w:eastAsia="zh-CN"/>
        </w:rPr>
        <w:t>7</w:t>
      </w:r>
      <w:r>
        <w:rPr>
          <w:b/>
          <w:kern w:val="0"/>
          <w:szCs w:val="21"/>
          <w:lang w:val="zh-CN"/>
        </w:rPr>
        <w:t>-</w:t>
      </w:r>
      <w:r>
        <w:rPr>
          <w:rFonts w:hint="eastAsia"/>
          <w:b/>
          <w:kern w:val="0"/>
          <w:szCs w:val="21"/>
          <w:lang w:val="en-US" w:eastAsia="zh-CN"/>
        </w:rPr>
        <w:t>1</w:t>
      </w:r>
      <w:r>
        <w:rPr>
          <w:rFonts w:hint="eastAsia"/>
          <w:b/>
          <w:kern w:val="0"/>
          <w:szCs w:val="21"/>
        </w:rPr>
        <w:t xml:space="preserve">  </w:t>
      </w:r>
      <w:r>
        <w:rPr>
          <w:rFonts w:hint="eastAsia"/>
          <w:b/>
          <w:kern w:val="0"/>
          <w:szCs w:val="21"/>
          <w:lang w:val="zh-CN"/>
        </w:rPr>
        <w:t>检测内容一览表</w:t>
      </w:r>
    </w:p>
    <w:tbl>
      <w:tblPr>
        <w:tblStyle w:val="32"/>
        <w:tblW w:w="9182"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4"/>
        <w:gridCol w:w="2333"/>
        <w:gridCol w:w="4095"/>
        <w:gridCol w:w="18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7" w:hRule="atLeast"/>
          <w:tblHeader/>
        </w:trPr>
        <w:tc>
          <w:tcPr>
            <w:tcW w:w="924" w:type="dxa"/>
            <w:vAlign w:val="center"/>
          </w:tcPr>
          <w:p>
            <w:pPr>
              <w:snapToGrid w:val="0"/>
              <w:spacing w:line="240" w:lineRule="exact"/>
              <w:jc w:val="center"/>
              <w:rPr>
                <w:b/>
                <w:szCs w:val="21"/>
              </w:rPr>
            </w:pPr>
            <w:r>
              <w:rPr>
                <w:b/>
                <w:szCs w:val="21"/>
              </w:rPr>
              <w:t>类别</w:t>
            </w:r>
          </w:p>
        </w:tc>
        <w:tc>
          <w:tcPr>
            <w:tcW w:w="2333" w:type="dxa"/>
            <w:vAlign w:val="center"/>
          </w:tcPr>
          <w:p>
            <w:pPr>
              <w:snapToGrid w:val="0"/>
              <w:spacing w:line="240" w:lineRule="exact"/>
              <w:jc w:val="center"/>
              <w:rPr>
                <w:b/>
                <w:szCs w:val="21"/>
              </w:rPr>
            </w:pPr>
            <w:r>
              <w:rPr>
                <w:b/>
                <w:szCs w:val="21"/>
              </w:rPr>
              <w:t>监测点位</w:t>
            </w:r>
          </w:p>
        </w:tc>
        <w:tc>
          <w:tcPr>
            <w:tcW w:w="4095" w:type="dxa"/>
            <w:vAlign w:val="center"/>
          </w:tcPr>
          <w:p>
            <w:pPr>
              <w:snapToGrid w:val="0"/>
              <w:spacing w:line="240" w:lineRule="exact"/>
              <w:jc w:val="center"/>
              <w:rPr>
                <w:b/>
                <w:szCs w:val="21"/>
              </w:rPr>
            </w:pPr>
            <w:r>
              <w:rPr>
                <w:b/>
                <w:szCs w:val="21"/>
              </w:rPr>
              <w:t>监测项目</w:t>
            </w:r>
          </w:p>
        </w:tc>
        <w:tc>
          <w:tcPr>
            <w:tcW w:w="1830" w:type="dxa"/>
            <w:vAlign w:val="center"/>
          </w:tcPr>
          <w:p>
            <w:pPr>
              <w:snapToGrid w:val="0"/>
              <w:spacing w:line="240" w:lineRule="exact"/>
              <w:jc w:val="center"/>
              <w:rPr>
                <w:b/>
                <w:szCs w:val="21"/>
              </w:rPr>
            </w:pPr>
            <w:r>
              <w:rPr>
                <w:b/>
                <w:szCs w:val="21"/>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trHeight w:val="417" w:hRule="atLeast"/>
          <w:tblHeader/>
        </w:trPr>
        <w:tc>
          <w:tcPr>
            <w:tcW w:w="924" w:type="dxa"/>
            <w:vMerge w:val="restart"/>
            <w:vAlign w:val="center"/>
          </w:tcPr>
          <w:p>
            <w:pPr>
              <w:snapToGrid w:val="0"/>
              <w:jc w:val="center"/>
              <w:rPr>
                <w:color w:val="000000" w:themeColor="text1"/>
                <w:szCs w:val="21"/>
              </w:rPr>
            </w:pPr>
            <w:r>
              <w:rPr>
                <w:rFonts w:hint="eastAsia"/>
                <w:color w:val="000000" w:themeColor="text1"/>
                <w:szCs w:val="21"/>
              </w:rPr>
              <w:t>废水</w:t>
            </w:r>
          </w:p>
        </w:tc>
        <w:tc>
          <w:tcPr>
            <w:tcW w:w="2333" w:type="dxa"/>
            <w:vAlign w:val="center"/>
          </w:tcPr>
          <w:p>
            <w:pPr>
              <w:snapToGrid w:val="0"/>
              <w:jc w:val="center"/>
              <w:rPr>
                <w:rFonts w:hint="eastAsia" w:eastAsia="宋体"/>
                <w:color w:val="000000" w:themeColor="text1"/>
                <w:szCs w:val="21"/>
                <w:lang w:val="en-US" w:eastAsia="zh-CN"/>
              </w:rPr>
            </w:pPr>
            <w:r>
              <w:rPr>
                <w:rFonts w:hint="eastAsia"/>
                <w:color w:val="000000" w:themeColor="text1"/>
                <w:szCs w:val="21"/>
                <w:lang w:val="en-US" w:eastAsia="zh-CN"/>
              </w:rPr>
              <w:t>出水口</w:t>
            </w:r>
          </w:p>
        </w:tc>
        <w:tc>
          <w:tcPr>
            <w:tcW w:w="4095" w:type="dxa"/>
            <w:vMerge w:val="restart"/>
            <w:vAlign w:val="center"/>
          </w:tcPr>
          <w:p>
            <w:pPr>
              <w:snapToGrid w:val="0"/>
              <w:jc w:val="center"/>
              <w:rPr>
                <w:rFonts w:hint="eastAsia"/>
                <w:color w:val="000000" w:themeColor="text1"/>
                <w:szCs w:val="21"/>
              </w:rPr>
            </w:pPr>
            <w:r>
              <w:rPr>
                <w:rFonts w:hint="eastAsia"/>
                <w:color w:val="000000" w:themeColor="text1"/>
                <w:szCs w:val="21"/>
              </w:rPr>
              <w:t>pH值、化学需氧量、五日生化需氧量、</w:t>
            </w:r>
          </w:p>
          <w:p>
            <w:pPr>
              <w:snapToGrid w:val="0"/>
              <w:jc w:val="center"/>
              <w:rPr>
                <w:color w:val="000000" w:themeColor="text1"/>
                <w:szCs w:val="21"/>
              </w:rPr>
            </w:pPr>
            <w:r>
              <w:rPr>
                <w:rFonts w:hint="eastAsia"/>
                <w:color w:val="000000" w:themeColor="text1"/>
                <w:szCs w:val="21"/>
              </w:rPr>
              <w:t>悬浮物、氨氮、动植物油、总余氯、色度、阴离子表面活性剂、挥发酚、粪大肠菌群*</w:t>
            </w:r>
          </w:p>
        </w:tc>
        <w:tc>
          <w:tcPr>
            <w:tcW w:w="1830" w:type="dxa"/>
            <w:vMerge w:val="restart"/>
            <w:vAlign w:val="center"/>
          </w:tcPr>
          <w:p>
            <w:pPr>
              <w:snapToGrid w:val="0"/>
              <w:jc w:val="center"/>
              <w:rPr>
                <w:color w:val="000000" w:themeColor="text1"/>
                <w:spacing w:val="-4"/>
                <w:szCs w:val="21"/>
              </w:rPr>
            </w:pPr>
            <w:r>
              <w:rPr>
                <w:rFonts w:hint="eastAsia"/>
                <w:color w:val="000000" w:themeColor="text1"/>
                <w:spacing w:val="-4"/>
                <w:szCs w:val="21"/>
              </w:rPr>
              <w:t>3</w:t>
            </w:r>
            <w:r>
              <w:rPr>
                <w:color w:val="000000" w:themeColor="text1"/>
                <w:spacing w:val="-4"/>
                <w:szCs w:val="21"/>
              </w:rPr>
              <w:t>次</w:t>
            </w:r>
            <w:r>
              <w:rPr>
                <w:color w:val="000000" w:themeColor="text1"/>
                <w:szCs w:val="21"/>
              </w:rPr>
              <w:t>/天</w:t>
            </w:r>
            <w:r>
              <w:rPr>
                <w:color w:val="000000" w:themeColor="text1"/>
                <w:spacing w:val="-4"/>
                <w:szCs w:val="21"/>
              </w:rPr>
              <w:t>，连续2天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7" w:hRule="atLeast"/>
          <w:tblHeader/>
        </w:trPr>
        <w:tc>
          <w:tcPr>
            <w:tcW w:w="924" w:type="dxa"/>
            <w:vMerge w:val="continue"/>
            <w:vAlign w:val="center"/>
          </w:tcPr>
          <w:p>
            <w:pPr>
              <w:snapToGrid w:val="0"/>
              <w:jc w:val="center"/>
            </w:pPr>
          </w:p>
        </w:tc>
        <w:tc>
          <w:tcPr>
            <w:tcW w:w="2333" w:type="dxa"/>
            <w:vAlign w:val="center"/>
          </w:tcPr>
          <w:p>
            <w:pPr>
              <w:snapToGrid w:val="0"/>
              <w:jc w:val="center"/>
              <w:rPr>
                <w:rFonts w:hint="eastAsia" w:eastAsia="宋体"/>
                <w:color w:val="000000" w:themeColor="text1"/>
                <w:szCs w:val="21"/>
                <w:lang w:val="en-US" w:eastAsia="zh-CN"/>
              </w:rPr>
            </w:pPr>
            <w:r>
              <w:rPr>
                <w:rFonts w:hint="eastAsia"/>
                <w:color w:val="000000" w:themeColor="text1"/>
                <w:szCs w:val="21"/>
                <w:lang w:val="en-US" w:eastAsia="zh-CN"/>
              </w:rPr>
              <w:t>进水口</w:t>
            </w:r>
          </w:p>
        </w:tc>
        <w:tc>
          <w:tcPr>
            <w:tcW w:w="4095" w:type="dxa"/>
            <w:vMerge w:val="continue"/>
            <w:vAlign w:val="center"/>
          </w:tcPr>
          <w:p>
            <w:pPr>
              <w:snapToGrid w:val="0"/>
              <w:jc w:val="center"/>
              <w:rPr>
                <w:rFonts w:hint="eastAsia"/>
                <w:color w:val="000000" w:themeColor="text1"/>
                <w:szCs w:val="21"/>
              </w:rPr>
            </w:pPr>
          </w:p>
        </w:tc>
        <w:tc>
          <w:tcPr>
            <w:tcW w:w="1830" w:type="dxa"/>
            <w:vMerge w:val="continue"/>
            <w:vAlign w:val="center"/>
          </w:tcPr>
          <w:p>
            <w:pPr>
              <w:snapToGrid w:val="0"/>
              <w:jc w:val="center"/>
              <w:rPr>
                <w:rFonts w:hint="eastAsia"/>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trHeight w:val="417" w:hRule="atLeast"/>
          <w:tblHeader/>
        </w:trPr>
        <w:tc>
          <w:tcPr>
            <w:tcW w:w="9182" w:type="dxa"/>
            <w:gridSpan w:val="4"/>
            <w:vAlign w:val="center"/>
          </w:tcPr>
          <w:p>
            <w:pPr>
              <w:snapToGrid w:val="0"/>
              <w:rPr>
                <w:rFonts w:hint="eastAsia"/>
                <w:color w:val="000000" w:themeColor="text1"/>
                <w:szCs w:val="21"/>
              </w:rPr>
            </w:pPr>
            <w:r>
              <w:rPr>
                <w:rFonts w:hint="eastAsia"/>
                <w:spacing w:val="-4"/>
                <w:szCs w:val="21"/>
              </w:rPr>
              <w:t>注：“*”表示该检测项目需分包。</w:t>
            </w:r>
          </w:p>
        </w:tc>
      </w:tr>
    </w:tbl>
    <w:p>
      <w:pPr>
        <w:pStyle w:val="4"/>
        <w:spacing w:beforeLines="50" w:afterLines="50" w:line="500" w:lineRule="exact"/>
        <w:rPr>
          <w:rFonts w:hint="eastAsia" w:ascii="Times New Roman" w:hAnsi="Times New Roman" w:eastAsia="宋体"/>
          <w:sz w:val="28"/>
          <w:szCs w:val="28"/>
          <w:lang w:val="en-US" w:eastAsia="zh-CN"/>
        </w:rPr>
      </w:pPr>
      <w:bookmarkStart w:id="71" w:name="_Toc20272"/>
      <w:r>
        <w:rPr>
          <w:rFonts w:hint="eastAsia" w:ascii="Times New Roman" w:hAnsi="Times New Roman" w:eastAsia="宋体"/>
          <w:sz w:val="28"/>
          <w:szCs w:val="28"/>
          <w:lang w:val="en-US" w:eastAsia="zh-CN"/>
        </w:rPr>
        <w:t>7</w:t>
      </w:r>
      <w:r>
        <w:rPr>
          <w:rFonts w:ascii="Times New Roman" w:hAnsi="Times New Roman" w:eastAsia="宋体"/>
          <w:sz w:val="28"/>
          <w:szCs w:val="28"/>
        </w:rPr>
        <w:t>.</w:t>
      </w:r>
      <w:r>
        <w:rPr>
          <w:rFonts w:hint="eastAsia" w:ascii="Times New Roman" w:hAnsi="Times New Roman" w:eastAsia="宋体"/>
          <w:sz w:val="28"/>
          <w:szCs w:val="28"/>
          <w:lang w:val="en-US" w:eastAsia="zh-CN"/>
        </w:rPr>
        <w:t>2.2</w:t>
      </w:r>
      <w:r>
        <w:rPr>
          <w:rFonts w:hint="eastAsia" w:ascii="Times New Roman" w:hAnsi="Times New Roman" w:eastAsia="宋体"/>
          <w:sz w:val="28"/>
          <w:szCs w:val="28"/>
        </w:rPr>
        <w:t xml:space="preserve"> </w:t>
      </w:r>
      <w:r>
        <w:rPr>
          <w:rFonts w:hint="eastAsia" w:ascii="Times New Roman" w:hAnsi="Times New Roman" w:eastAsia="宋体"/>
          <w:sz w:val="28"/>
          <w:szCs w:val="28"/>
          <w:lang w:val="en-US" w:eastAsia="zh-CN"/>
        </w:rPr>
        <w:t>废气</w:t>
      </w:r>
      <w:bookmarkEnd w:id="71"/>
    </w:p>
    <w:p>
      <w:pPr>
        <w:spacing w:line="500" w:lineRule="exact"/>
        <w:ind w:firstLine="570"/>
        <w:rPr>
          <w:rFonts w:hint="eastAsia"/>
          <w:sz w:val="24"/>
          <w:lang w:val="en-US" w:eastAsia="zh-CN"/>
        </w:rPr>
      </w:pPr>
      <w:r>
        <w:rPr>
          <w:rFonts w:hint="eastAsia"/>
          <w:sz w:val="24"/>
          <w:lang w:val="en-US" w:eastAsia="zh-CN"/>
        </w:rPr>
        <w:t>废气检测内容见表7-2。</w:t>
      </w:r>
    </w:p>
    <w:p>
      <w:pPr>
        <w:spacing w:line="500" w:lineRule="exact"/>
        <w:jc w:val="center"/>
        <w:rPr>
          <w:b/>
          <w:kern w:val="0"/>
          <w:szCs w:val="21"/>
          <w:lang w:val="zh-CN"/>
        </w:rPr>
      </w:pPr>
      <w:bookmarkStart w:id="72" w:name="_Toc211096939"/>
    </w:p>
    <w:p>
      <w:pPr>
        <w:spacing w:line="500" w:lineRule="exact"/>
        <w:jc w:val="center"/>
        <w:rPr>
          <w:b/>
          <w:kern w:val="0"/>
          <w:szCs w:val="21"/>
          <w:lang w:val="zh-CN"/>
        </w:rPr>
      </w:pPr>
    </w:p>
    <w:p>
      <w:pPr>
        <w:spacing w:line="500" w:lineRule="exact"/>
        <w:jc w:val="center"/>
        <w:rPr>
          <w:b/>
          <w:kern w:val="0"/>
          <w:szCs w:val="21"/>
          <w:lang w:val="zh-CN"/>
        </w:rPr>
      </w:pPr>
    </w:p>
    <w:p>
      <w:pPr>
        <w:spacing w:line="500" w:lineRule="exact"/>
        <w:jc w:val="center"/>
        <w:rPr>
          <w:b/>
          <w:kern w:val="0"/>
          <w:szCs w:val="21"/>
          <w:lang w:val="zh-CN"/>
        </w:rPr>
      </w:pPr>
      <w:r>
        <w:rPr>
          <w:b/>
          <w:kern w:val="0"/>
          <w:szCs w:val="21"/>
          <w:lang w:val="zh-CN"/>
        </w:rPr>
        <w:t>表</w:t>
      </w:r>
      <w:r>
        <w:rPr>
          <w:rFonts w:hint="eastAsia"/>
          <w:b/>
          <w:kern w:val="0"/>
          <w:szCs w:val="21"/>
          <w:lang w:val="en-US" w:eastAsia="zh-CN"/>
        </w:rPr>
        <w:t>7</w:t>
      </w:r>
      <w:r>
        <w:rPr>
          <w:b/>
          <w:kern w:val="0"/>
          <w:szCs w:val="21"/>
          <w:lang w:val="zh-CN"/>
        </w:rPr>
        <w:t>-</w:t>
      </w:r>
      <w:r>
        <w:rPr>
          <w:rFonts w:hint="eastAsia"/>
          <w:b/>
          <w:kern w:val="0"/>
          <w:szCs w:val="21"/>
          <w:lang w:val="en-US" w:eastAsia="zh-CN"/>
        </w:rPr>
        <w:t>2</w:t>
      </w:r>
      <w:r>
        <w:rPr>
          <w:rFonts w:hint="eastAsia"/>
          <w:b/>
          <w:kern w:val="0"/>
          <w:szCs w:val="21"/>
        </w:rPr>
        <w:t xml:space="preserve">  </w:t>
      </w:r>
      <w:r>
        <w:rPr>
          <w:rFonts w:hint="eastAsia"/>
          <w:b/>
          <w:kern w:val="0"/>
          <w:szCs w:val="21"/>
          <w:lang w:val="zh-CN"/>
        </w:rPr>
        <w:t>检测内容一览表</w:t>
      </w:r>
    </w:p>
    <w:tbl>
      <w:tblPr>
        <w:tblStyle w:val="32"/>
        <w:tblW w:w="9182"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4"/>
        <w:gridCol w:w="2333"/>
        <w:gridCol w:w="4095"/>
        <w:gridCol w:w="18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7" w:hRule="atLeast"/>
          <w:tblHeader/>
        </w:trPr>
        <w:tc>
          <w:tcPr>
            <w:tcW w:w="924" w:type="dxa"/>
            <w:vAlign w:val="center"/>
          </w:tcPr>
          <w:p>
            <w:pPr>
              <w:snapToGrid w:val="0"/>
              <w:spacing w:line="240" w:lineRule="exact"/>
              <w:jc w:val="center"/>
              <w:rPr>
                <w:b/>
                <w:szCs w:val="21"/>
              </w:rPr>
            </w:pPr>
            <w:r>
              <w:rPr>
                <w:b/>
                <w:szCs w:val="21"/>
              </w:rPr>
              <w:t>类别</w:t>
            </w:r>
          </w:p>
        </w:tc>
        <w:tc>
          <w:tcPr>
            <w:tcW w:w="2333" w:type="dxa"/>
            <w:vAlign w:val="center"/>
          </w:tcPr>
          <w:p>
            <w:pPr>
              <w:snapToGrid w:val="0"/>
              <w:spacing w:line="240" w:lineRule="exact"/>
              <w:jc w:val="center"/>
              <w:rPr>
                <w:b/>
                <w:szCs w:val="21"/>
              </w:rPr>
            </w:pPr>
            <w:r>
              <w:rPr>
                <w:b/>
                <w:szCs w:val="21"/>
              </w:rPr>
              <w:t>监测点位</w:t>
            </w:r>
          </w:p>
        </w:tc>
        <w:tc>
          <w:tcPr>
            <w:tcW w:w="4095" w:type="dxa"/>
            <w:vAlign w:val="center"/>
          </w:tcPr>
          <w:p>
            <w:pPr>
              <w:snapToGrid w:val="0"/>
              <w:spacing w:line="240" w:lineRule="exact"/>
              <w:jc w:val="center"/>
              <w:rPr>
                <w:b/>
                <w:szCs w:val="21"/>
              </w:rPr>
            </w:pPr>
            <w:r>
              <w:rPr>
                <w:b/>
                <w:szCs w:val="21"/>
              </w:rPr>
              <w:t>监测项目</w:t>
            </w:r>
          </w:p>
        </w:tc>
        <w:tc>
          <w:tcPr>
            <w:tcW w:w="1830" w:type="dxa"/>
            <w:vAlign w:val="center"/>
          </w:tcPr>
          <w:p>
            <w:pPr>
              <w:snapToGrid w:val="0"/>
              <w:spacing w:line="240" w:lineRule="exact"/>
              <w:jc w:val="center"/>
              <w:rPr>
                <w:b/>
                <w:szCs w:val="21"/>
              </w:rPr>
            </w:pPr>
            <w:r>
              <w:rPr>
                <w:b/>
                <w:szCs w:val="21"/>
              </w:rPr>
              <w:t>监测频次</w:t>
            </w:r>
          </w:p>
        </w:tc>
      </w:tr>
      <w:bookmarkEnd w:id="72"/>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tblHeader/>
        </w:trPr>
        <w:tc>
          <w:tcPr>
            <w:tcW w:w="924" w:type="dxa"/>
            <w:vAlign w:val="center"/>
          </w:tcPr>
          <w:p>
            <w:pPr>
              <w:snapToGrid w:val="0"/>
              <w:jc w:val="center"/>
              <w:rPr>
                <w:szCs w:val="21"/>
              </w:rPr>
            </w:pPr>
            <w:r>
              <w:rPr>
                <w:rFonts w:hint="eastAsia"/>
                <w:szCs w:val="21"/>
              </w:rPr>
              <w:t>废气</w:t>
            </w:r>
          </w:p>
        </w:tc>
        <w:tc>
          <w:tcPr>
            <w:tcW w:w="2333" w:type="dxa"/>
            <w:vAlign w:val="center"/>
          </w:tcPr>
          <w:p>
            <w:pPr>
              <w:snapToGrid w:val="0"/>
              <w:jc w:val="center"/>
              <w:rPr>
                <w:szCs w:val="21"/>
              </w:rPr>
            </w:pPr>
            <w:r>
              <w:rPr>
                <w:rFonts w:hint="eastAsia"/>
                <w:szCs w:val="21"/>
              </w:rPr>
              <w:t>厂界上风向1点、</w:t>
            </w:r>
          </w:p>
          <w:p>
            <w:pPr>
              <w:snapToGrid w:val="0"/>
              <w:jc w:val="center"/>
              <w:rPr>
                <w:szCs w:val="21"/>
              </w:rPr>
            </w:pPr>
            <w:r>
              <w:rPr>
                <w:rFonts w:hint="eastAsia"/>
                <w:szCs w:val="21"/>
              </w:rPr>
              <w:t>下风向2点</w:t>
            </w:r>
          </w:p>
        </w:tc>
        <w:tc>
          <w:tcPr>
            <w:tcW w:w="4095" w:type="dxa"/>
            <w:vAlign w:val="center"/>
          </w:tcPr>
          <w:p>
            <w:pPr>
              <w:snapToGrid w:val="0"/>
              <w:jc w:val="center"/>
              <w:rPr>
                <w:color w:val="FF0000"/>
                <w:szCs w:val="21"/>
              </w:rPr>
            </w:pPr>
            <w:r>
              <w:rPr>
                <w:rFonts w:hint="eastAsia"/>
                <w:color w:val="000000" w:themeColor="text1"/>
                <w:szCs w:val="21"/>
              </w:rPr>
              <w:t>氨、硫化氢、臭气浓度、氯气</w:t>
            </w:r>
          </w:p>
        </w:tc>
        <w:tc>
          <w:tcPr>
            <w:tcW w:w="1830" w:type="dxa"/>
            <w:vAlign w:val="center"/>
          </w:tcPr>
          <w:p>
            <w:pPr>
              <w:snapToGrid w:val="0"/>
              <w:jc w:val="center"/>
              <w:rPr>
                <w:spacing w:val="-4"/>
                <w:szCs w:val="21"/>
              </w:rPr>
            </w:pPr>
            <w:r>
              <w:rPr>
                <w:rFonts w:hint="eastAsia"/>
                <w:spacing w:val="-4"/>
                <w:szCs w:val="21"/>
              </w:rPr>
              <w:t>3</w:t>
            </w:r>
            <w:r>
              <w:rPr>
                <w:spacing w:val="-4"/>
                <w:szCs w:val="21"/>
              </w:rPr>
              <w:t>次</w:t>
            </w:r>
            <w:r>
              <w:rPr>
                <w:szCs w:val="21"/>
              </w:rPr>
              <w:t>/天</w:t>
            </w:r>
            <w:r>
              <w:rPr>
                <w:spacing w:val="-4"/>
                <w:szCs w:val="21"/>
              </w:rPr>
              <w:t>，连续2天</w:t>
            </w:r>
          </w:p>
        </w:tc>
      </w:tr>
    </w:tbl>
    <w:p>
      <w:pPr>
        <w:pStyle w:val="4"/>
        <w:spacing w:beforeLines="50" w:afterLines="50" w:line="500" w:lineRule="exact"/>
        <w:rPr>
          <w:rFonts w:hint="eastAsia" w:ascii="Times New Roman" w:hAnsi="Times New Roman" w:eastAsia="宋体"/>
          <w:sz w:val="28"/>
          <w:szCs w:val="28"/>
          <w:lang w:val="en-US" w:eastAsia="zh-CN"/>
        </w:rPr>
      </w:pPr>
      <w:bookmarkStart w:id="73" w:name="_Toc4636"/>
      <w:r>
        <w:rPr>
          <w:rFonts w:hint="eastAsia" w:ascii="Times New Roman" w:hAnsi="Times New Roman" w:eastAsia="宋体"/>
          <w:sz w:val="28"/>
          <w:szCs w:val="28"/>
          <w:lang w:val="en-US" w:eastAsia="zh-CN"/>
        </w:rPr>
        <w:t>7</w:t>
      </w:r>
      <w:r>
        <w:rPr>
          <w:rFonts w:ascii="Times New Roman" w:hAnsi="Times New Roman" w:eastAsia="宋体"/>
          <w:sz w:val="28"/>
          <w:szCs w:val="28"/>
        </w:rPr>
        <w:t>.</w:t>
      </w:r>
      <w:r>
        <w:rPr>
          <w:rFonts w:hint="eastAsia" w:ascii="Times New Roman" w:hAnsi="Times New Roman" w:eastAsia="宋体"/>
          <w:sz w:val="28"/>
          <w:szCs w:val="28"/>
          <w:lang w:val="en-US" w:eastAsia="zh-CN"/>
        </w:rPr>
        <w:t>2.2</w:t>
      </w:r>
      <w:r>
        <w:rPr>
          <w:rFonts w:hint="eastAsia" w:ascii="Times New Roman" w:hAnsi="Times New Roman" w:eastAsia="宋体"/>
          <w:sz w:val="28"/>
          <w:szCs w:val="28"/>
        </w:rPr>
        <w:t xml:space="preserve"> </w:t>
      </w:r>
      <w:r>
        <w:rPr>
          <w:rFonts w:hint="eastAsia" w:ascii="Times New Roman" w:hAnsi="Times New Roman" w:eastAsia="宋体"/>
          <w:sz w:val="28"/>
          <w:szCs w:val="28"/>
          <w:lang w:val="en-US" w:eastAsia="zh-CN"/>
        </w:rPr>
        <w:t>噪声</w:t>
      </w:r>
      <w:bookmarkEnd w:id="73"/>
    </w:p>
    <w:p>
      <w:pPr>
        <w:spacing w:line="500" w:lineRule="exact"/>
        <w:ind w:firstLine="570"/>
        <w:rPr>
          <w:rFonts w:hint="eastAsia"/>
          <w:sz w:val="24"/>
          <w:lang w:val="en-US" w:eastAsia="zh-CN"/>
        </w:rPr>
      </w:pPr>
      <w:r>
        <w:rPr>
          <w:rFonts w:hint="eastAsia"/>
          <w:sz w:val="24"/>
          <w:lang w:val="en-US" w:eastAsia="zh-CN"/>
        </w:rPr>
        <w:t>废气检测内容见表7-3。</w:t>
      </w:r>
    </w:p>
    <w:p>
      <w:pPr>
        <w:spacing w:line="500" w:lineRule="exact"/>
        <w:jc w:val="center"/>
        <w:rPr>
          <w:b/>
          <w:kern w:val="0"/>
          <w:szCs w:val="21"/>
          <w:lang w:val="zh-CN"/>
        </w:rPr>
      </w:pPr>
      <w:r>
        <w:rPr>
          <w:b/>
          <w:kern w:val="0"/>
          <w:szCs w:val="21"/>
          <w:lang w:val="zh-CN"/>
        </w:rPr>
        <w:t>表</w:t>
      </w:r>
      <w:r>
        <w:rPr>
          <w:rFonts w:hint="eastAsia"/>
          <w:b/>
          <w:kern w:val="0"/>
          <w:szCs w:val="21"/>
          <w:lang w:val="en-US" w:eastAsia="zh-CN"/>
        </w:rPr>
        <w:t>7</w:t>
      </w:r>
      <w:r>
        <w:rPr>
          <w:b/>
          <w:kern w:val="0"/>
          <w:szCs w:val="21"/>
          <w:lang w:val="zh-CN"/>
        </w:rPr>
        <w:t>-</w:t>
      </w:r>
      <w:r>
        <w:rPr>
          <w:rFonts w:hint="eastAsia"/>
          <w:b/>
          <w:kern w:val="0"/>
          <w:szCs w:val="21"/>
          <w:lang w:val="en-US" w:eastAsia="zh-CN"/>
        </w:rPr>
        <w:t>3</w:t>
      </w:r>
      <w:r>
        <w:rPr>
          <w:rFonts w:hint="eastAsia"/>
          <w:b/>
          <w:kern w:val="0"/>
          <w:szCs w:val="21"/>
        </w:rPr>
        <w:t xml:space="preserve">  </w:t>
      </w:r>
      <w:r>
        <w:rPr>
          <w:rFonts w:hint="eastAsia"/>
          <w:b/>
          <w:kern w:val="0"/>
          <w:szCs w:val="21"/>
          <w:lang w:val="zh-CN"/>
        </w:rPr>
        <w:t>检测内容一览表</w:t>
      </w:r>
    </w:p>
    <w:tbl>
      <w:tblPr>
        <w:tblStyle w:val="32"/>
        <w:tblW w:w="9182"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4"/>
        <w:gridCol w:w="2333"/>
        <w:gridCol w:w="4095"/>
        <w:gridCol w:w="18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7" w:hRule="atLeast"/>
          <w:tblHeader/>
        </w:trPr>
        <w:tc>
          <w:tcPr>
            <w:tcW w:w="924" w:type="dxa"/>
            <w:vAlign w:val="center"/>
          </w:tcPr>
          <w:p>
            <w:pPr>
              <w:snapToGrid w:val="0"/>
              <w:spacing w:line="240" w:lineRule="exact"/>
              <w:jc w:val="center"/>
              <w:rPr>
                <w:b/>
                <w:szCs w:val="21"/>
              </w:rPr>
            </w:pPr>
            <w:r>
              <w:rPr>
                <w:b/>
                <w:szCs w:val="21"/>
              </w:rPr>
              <w:t>类别</w:t>
            </w:r>
          </w:p>
        </w:tc>
        <w:tc>
          <w:tcPr>
            <w:tcW w:w="2333" w:type="dxa"/>
            <w:vAlign w:val="center"/>
          </w:tcPr>
          <w:p>
            <w:pPr>
              <w:snapToGrid w:val="0"/>
              <w:spacing w:line="240" w:lineRule="exact"/>
              <w:jc w:val="center"/>
              <w:rPr>
                <w:b/>
                <w:szCs w:val="21"/>
              </w:rPr>
            </w:pPr>
            <w:r>
              <w:rPr>
                <w:b/>
                <w:szCs w:val="21"/>
              </w:rPr>
              <w:t>监测点位</w:t>
            </w:r>
          </w:p>
        </w:tc>
        <w:tc>
          <w:tcPr>
            <w:tcW w:w="4095" w:type="dxa"/>
            <w:vAlign w:val="center"/>
          </w:tcPr>
          <w:p>
            <w:pPr>
              <w:snapToGrid w:val="0"/>
              <w:spacing w:line="240" w:lineRule="exact"/>
              <w:jc w:val="center"/>
              <w:rPr>
                <w:b/>
                <w:szCs w:val="21"/>
              </w:rPr>
            </w:pPr>
            <w:r>
              <w:rPr>
                <w:b/>
                <w:szCs w:val="21"/>
              </w:rPr>
              <w:t>监测项目</w:t>
            </w:r>
          </w:p>
        </w:tc>
        <w:tc>
          <w:tcPr>
            <w:tcW w:w="1830" w:type="dxa"/>
            <w:vAlign w:val="center"/>
          </w:tcPr>
          <w:p>
            <w:pPr>
              <w:snapToGrid w:val="0"/>
              <w:spacing w:line="240" w:lineRule="exact"/>
              <w:jc w:val="center"/>
              <w:rPr>
                <w:b/>
                <w:szCs w:val="21"/>
              </w:rPr>
            </w:pPr>
            <w:r>
              <w:rPr>
                <w:b/>
                <w:szCs w:val="21"/>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50" w:hRule="atLeast"/>
        </w:trPr>
        <w:tc>
          <w:tcPr>
            <w:tcW w:w="924" w:type="dxa"/>
            <w:vAlign w:val="center"/>
          </w:tcPr>
          <w:p>
            <w:pPr>
              <w:snapToGrid w:val="0"/>
              <w:jc w:val="center"/>
              <w:rPr>
                <w:spacing w:val="-4"/>
                <w:szCs w:val="21"/>
              </w:rPr>
            </w:pPr>
            <w:r>
              <w:rPr>
                <w:spacing w:val="-4"/>
                <w:szCs w:val="21"/>
              </w:rPr>
              <w:t>噪声</w:t>
            </w:r>
          </w:p>
        </w:tc>
        <w:tc>
          <w:tcPr>
            <w:tcW w:w="2333" w:type="dxa"/>
            <w:vAlign w:val="center"/>
          </w:tcPr>
          <w:p>
            <w:pPr>
              <w:snapToGrid w:val="0"/>
              <w:jc w:val="center"/>
              <w:rPr>
                <w:spacing w:val="-4"/>
                <w:szCs w:val="21"/>
              </w:rPr>
            </w:pPr>
            <w:r>
              <w:rPr>
                <w:rFonts w:hint="eastAsia"/>
                <w:bCs/>
                <w:kern w:val="28"/>
                <w:szCs w:val="32"/>
              </w:rPr>
              <w:t>医院</w:t>
            </w:r>
            <w:r>
              <w:rPr>
                <w:spacing w:val="-4"/>
                <w:szCs w:val="21"/>
              </w:rPr>
              <w:t>四周各布设1个点</w:t>
            </w:r>
          </w:p>
          <w:p>
            <w:pPr>
              <w:snapToGrid w:val="0"/>
              <w:jc w:val="center"/>
              <w:rPr>
                <w:spacing w:val="-4"/>
                <w:szCs w:val="21"/>
              </w:rPr>
            </w:pPr>
            <w:r>
              <w:rPr>
                <w:spacing w:val="-4"/>
                <w:szCs w:val="21"/>
              </w:rPr>
              <w:t>（东、南、西、北侧）</w:t>
            </w:r>
          </w:p>
        </w:tc>
        <w:tc>
          <w:tcPr>
            <w:tcW w:w="4095" w:type="dxa"/>
            <w:vAlign w:val="center"/>
          </w:tcPr>
          <w:p>
            <w:pPr>
              <w:snapToGrid w:val="0"/>
              <w:jc w:val="center"/>
            </w:pPr>
            <w:r>
              <w:rPr>
                <w:rFonts w:hint="eastAsia"/>
              </w:rPr>
              <w:t>厂界环境噪声</w:t>
            </w:r>
          </w:p>
        </w:tc>
        <w:tc>
          <w:tcPr>
            <w:tcW w:w="1830" w:type="dxa"/>
            <w:vAlign w:val="center"/>
          </w:tcPr>
          <w:p>
            <w:pPr>
              <w:snapToGrid w:val="0"/>
              <w:jc w:val="center"/>
              <w:rPr>
                <w:szCs w:val="21"/>
              </w:rPr>
            </w:pPr>
            <w:r>
              <w:rPr>
                <w:spacing w:val="-4"/>
                <w:szCs w:val="21"/>
              </w:rPr>
              <w:t>2次</w:t>
            </w:r>
            <w:r>
              <w:rPr>
                <w:szCs w:val="21"/>
              </w:rPr>
              <w:t>/天</w:t>
            </w:r>
          </w:p>
          <w:p>
            <w:pPr>
              <w:snapToGrid w:val="0"/>
              <w:jc w:val="center"/>
              <w:rPr>
                <w:szCs w:val="21"/>
              </w:rPr>
            </w:pPr>
            <w:r>
              <w:rPr>
                <w:szCs w:val="21"/>
              </w:rPr>
              <w:t>昼、夜各1次；</w:t>
            </w:r>
          </w:p>
          <w:p>
            <w:pPr>
              <w:snapToGrid w:val="0"/>
              <w:jc w:val="center"/>
              <w:rPr>
                <w:spacing w:val="-4"/>
                <w:szCs w:val="21"/>
              </w:rPr>
            </w:pPr>
            <w:r>
              <w:rPr>
                <w:spacing w:val="-4"/>
                <w:szCs w:val="21"/>
              </w:rPr>
              <w:t>连续2天</w:t>
            </w:r>
          </w:p>
        </w:tc>
      </w:tr>
    </w:tbl>
    <w:p>
      <w:pPr>
        <w:pStyle w:val="3"/>
        <w:spacing w:beforeLines="50" w:afterLines="50" w:line="540" w:lineRule="exact"/>
        <w:rPr>
          <w:rFonts w:hint="eastAsia"/>
          <w:sz w:val="32"/>
          <w:szCs w:val="32"/>
          <w:lang w:val="en-US" w:eastAsia="zh-CN"/>
        </w:rPr>
      </w:pPr>
      <w:bookmarkStart w:id="74" w:name="_Toc26570"/>
      <w:bookmarkStart w:id="75" w:name="_Toc7731"/>
      <w:bookmarkStart w:id="76" w:name="_Toc23194"/>
      <w:r>
        <w:rPr>
          <w:rFonts w:hint="eastAsia"/>
          <w:sz w:val="32"/>
          <w:szCs w:val="32"/>
          <w:lang w:val="en-US" w:eastAsia="zh-CN"/>
        </w:rPr>
        <w:t>8 质量保证及质量控制</w:t>
      </w:r>
      <w:bookmarkEnd w:id="74"/>
      <w:bookmarkEnd w:id="75"/>
      <w:bookmarkEnd w:id="76"/>
    </w:p>
    <w:p>
      <w:pPr>
        <w:spacing w:line="640" w:lineRule="exact"/>
        <w:ind w:firstLine="480" w:firstLineChars="200"/>
        <w:rPr>
          <w:sz w:val="24"/>
        </w:rPr>
      </w:pPr>
      <w:r>
        <w:rPr>
          <w:sz w:val="24"/>
        </w:rPr>
        <w:t>质量保证与质量控制严格执行国家环保局颁发的《环境监测技术规范》和国家有关采样、分析的标准及方法，实施全过程的质量保证。</w:t>
      </w:r>
    </w:p>
    <w:p>
      <w:pPr>
        <w:spacing w:line="640" w:lineRule="exact"/>
        <w:ind w:left="480" w:hanging="480" w:hangingChars="200"/>
        <w:rPr>
          <w:sz w:val="24"/>
        </w:rPr>
      </w:pPr>
      <w:r>
        <w:rPr>
          <w:rFonts w:hint="eastAsia"/>
          <w:sz w:val="24"/>
          <w:lang w:val="en-US" w:eastAsia="zh-CN"/>
        </w:rPr>
        <w:t>8.1</w:t>
      </w:r>
      <w:r>
        <w:rPr>
          <w:rFonts w:hint="eastAsia"/>
          <w:sz w:val="24"/>
        </w:rPr>
        <w:t>.1</w:t>
      </w:r>
      <w:r>
        <w:rPr>
          <w:sz w:val="24"/>
        </w:rPr>
        <w:t>按监测规定对</w:t>
      </w:r>
      <w:r>
        <w:rPr>
          <w:rFonts w:hint="eastAsia"/>
          <w:sz w:val="24"/>
        </w:rPr>
        <w:t>废气</w:t>
      </w:r>
      <w:r>
        <w:rPr>
          <w:sz w:val="24"/>
        </w:rPr>
        <w:t>测定仪器进行校准，采样前用标准气体流量计进行流量校准。</w:t>
      </w:r>
    </w:p>
    <w:p>
      <w:pPr>
        <w:spacing w:line="640" w:lineRule="exact"/>
        <w:ind w:left="480" w:hanging="480" w:hangingChars="200"/>
        <w:rPr>
          <w:sz w:val="24"/>
        </w:rPr>
      </w:pPr>
      <w:r>
        <w:rPr>
          <w:rFonts w:hint="eastAsia"/>
          <w:sz w:val="24"/>
          <w:lang w:val="en-US" w:eastAsia="zh-CN"/>
        </w:rPr>
        <w:t>8.1</w:t>
      </w:r>
      <w:r>
        <w:rPr>
          <w:rFonts w:hint="eastAsia"/>
          <w:sz w:val="24"/>
        </w:rPr>
        <w:t>.2</w:t>
      </w:r>
      <w:r>
        <w:rPr>
          <w:sz w:val="24"/>
        </w:rPr>
        <w:t xml:space="preserve"> 严格按照《</w:t>
      </w:r>
      <w:r>
        <w:rPr>
          <w:rFonts w:hint="eastAsia"/>
          <w:sz w:val="24"/>
        </w:rPr>
        <w:t>空气和废气监测分析方法</w:t>
      </w:r>
      <w:r>
        <w:rPr>
          <w:sz w:val="24"/>
        </w:rPr>
        <w:t>》（</w:t>
      </w:r>
      <w:r>
        <w:rPr>
          <w:rFonts w:hint="eastAsia"/>
          <w:sz w:val="24"/>
        </w:rPr>
        <w:t>第四版-增补版</w:t>
      </w:r>
      <w:r>
        <w:rPr>
          <w:sz w:val="24"/>
        </w:rPr>
        <w:t>）和标准分析方法进行采样及测试。</w:t>
      </w:r>
    </w:p>
    <w:p>
      <w:pPr>
        <w:spacing w:line="640" w:lineRule="exact"/>
        <w:ind w:left="480" w:hanging="480" w:hangingChars="200"/>
        <w:rPr>
          <w:sz w:val="24"/>
        </w:rPr>
      </w:pPr>
      <w:r>
        <w:rPr>
          <w:rFonts w:hint="eastAsia"/>
          <w:sz w:val="24"/>
          <w:lang w:val="en-US" w:eastAsia="zh-CN"/>
        </w:rPr>
        <w:t>8.1</w:t>
      </w:r>
      <w:r>
        <w:rPr>
          <w:rFonts w:hint="eastAsia"/>
          <w:sz w:val="24"/>
        </w:rPr>
        <w:t>.3</w:t>
      </w:r>
      <w:r>
        <w:rPr>
          <w:sz w:val="24"/>
        </w:rPr>
        <w:t>对废</w:t>
      </w:r>
      <w:r>
        <w:rPr>
          <w:rFonts w:hint="eastAsia"/>
          <w:sz w:val="24"/>
        </w:rPr>
        <w:t>气</w:t>
      </w:r>
      <w:r>
        <w:rPr>
          <w:sz w:val="24"/>
        </w:rPr>
        <w:t>样品，采集</w:t>
      </w:r>
      <w:r>
        <w:rPr>
          <w:rFonts w:hint="eastAsia"/>
          <w:sz w:val="24"/>
        </w:rPr>
        <w:t>指标</w:t>
      </w:r>
      <w:r>
        <w:rPr>
          <w:sz w:val="24"/>
        </w:rPr>
        <w:t>10%</w:t>
      </w:r>
      <w:r>
        <w:rPr>
          <w:rFonts w:hint="eastAsia"/>
          <w:sz w:val="24"/>
        </w:rPr>
        <w:t>的现场空白。</w:t>
      </w:r>
    </w:p>
    <w:p>
      <w:pPr>
        <w:spacing w:line="640" w:lineRule="exact"/>
        <w:ind w:left="480" w:hanging="480" w:hangingChars="200"/>
      </w:pPr>
      <w:r>
        <w:rPr>
          <w:rFonts w:hint="eastAsia"/>
          <w:sz w:val="24"/>
          <w:lang w:val="en-US" w:eastAsia="zh-CN"/>
        </w:rPr>
        <w:t>8.1</w:t>
      </w:r>
      <w:r>
        <w:rPr>
          <w:rFonts w:hint="eastAsia"/>
          <w:sz w:val="24"/>
        </w:rPr>
        <w:t>.4</w:t>
      </w:r>
      <w:r>
        <w:rPr>
          <w:sz w:val="24"/>
        </w:rPr>
        <w:t>对废水样品，采集10%</w:t>
      </w:r>
      <w:r>
        <w:rPr>
          <w:rFonts w:hint="eastAsia"/>
          <w:sz w:val="24"/>
        </w:rPr>
        <w:t>的现场空白及</w:t>
      </w:r>
      <w:r>
        <w:rPr>
          <w:sz w:val="24"/>
        </w:rPr>
        <w:t>现场平行样，在室内分析中采取平行双样、质控样等质控措施，质控数据应占每批分析样品的1</w:t>
      </w:r>
      <w:r>
        <w:rPr>
          <w:rFonts w:hint="eastAsia"/>
          <w:sz w:val="24"/>
        </w:rPr>
        <w:t>0</w:t>
      </w:r>
      <w:r>
        <w:rPr>
          <w:sz w:val="24"/>
        </w:rPr>
        <w:t>～20%。</w:t>
      </w:r>
    </w:p>
    <w:p>
      <w:pPr>
        <w:spacing w:line="640" w:lineRule="exact"/>
        <w:ind w:left="480" w:hanging="480" w:hangingChars="200"/>
        <w:jc w:val="left"/>
        <w:rPr>
          <w:sz w:val="24"/>
        </w:rPr>
      </w:pPr>
      <w:r>
        <w:rPr>
          <w:rFonts w:hint="eastAsia"/>
          <w:sz w:val="24"/>
          <w:lang w:val="en-US" w:eastAsia="zh-CN"/>
        </w:rPr>
        <w:t>8.1</w:t>
      </w:r>
      <w:r>
        <w:rPr>
          <w:rFonts w:hint="eastAsia"/>
          <w:sz w:val="24"/>
        </w:rPr>
        <w:t>.5</w:t>
      </w:r>
      <w:r>
        <w:rPr>
          <w:sz w:val="24"/>
        </w:rPr>
        <w:t>所用分析仪器经过了周期性计量检定。</w:t>
      </w:r>
    </w:p>
    <w:p>
      <w:pPr>
        <w:spacing w:line="640" w:lineRule="exact"/>
        <w:ind w:left="480" w:hanging="480" w:hangingChars="200"/>
        <w:jc w:val="left"/>
        <w:rPr>
          <w:sz w:val="24"/>
        </w:rPr>
      </w:pPr>
      <w:r>
        <w:rPr>
          <w:rFonts w:hint="eastAsia"/>
          <w:sz w:val="24"/>
          <w:lang w:val="en-US" w:eastAsia="zh-CN"/>
        </w:rPr>
        <w:t>8.1</w:t>
      </w:r>
      <w:r>
        <w:rPr>
          <w:rFonts w:hint="eastAsia"/>
          <w:sz w:val="24"/>
        </w:rPr>
        <w:t>.6</w:t>
      </w:r>
      <w:r>
        <w:rPr>
          <w:sz w:val="24"/>
        </w:rPr>
        <w:t>噪声测量前后测量仪器均经校准，灵敏度相差不大0.5dB(A)。监测时测量仪器配置防风罩，风速＞5m/s停止测试。</w:t>
      </w:r>
    </w:p>
    <w:p>
      <w:pPr>
        <w:spacing w:line="640" w:lineRule="exact"/>
        <w:ind w:left="479" w:leftChars="228"/>
        <w:rPr>
          <w:sz w:val="24"/>
        </w:rPr>
      </w:pPr>
      <w:r>
        <w:rPr>
          <w:rFonts w:hint="eastAsia"/>
          <w:sz w:val="24"/>
          <w:lang w:val="en-US" w:eastAsia="zh-CN"/>
        </w:rPr>
        <w:t>8.1</w:t>
      </w:r>
      <w:r>
        <w:rPr>
          <w:rFonts w:hint="eastAsia"/>
          <w:sz w:val="24"/>
        </w:rPr>
        <w:t>.7实验室分析人员按国家或行业标准分析方法对样品进行分析，质控样分析结果</w:t>
      </w:r>
      <w:r>
        <w:rPr>
          <w:rFonts w:hint="eastAsia"/>
          <w:sz w:val="24"/>
          <w:lang w:eastAsia="zh-CN"/>
        </w:rPr>
        <w:t>见</w:t>
      </w:r>
      <w:r>
        <w:rPr>
          <w:rFonts w:hint="eastAsia"/>
          <w:sz w:val="24"/>
        </w:rPr>
        <w:t>表</w:t>
      </w:r>
      <w:r>
        <w:rPr>
          <w:rFonts w:hint="eastAsia"/>
          <w:sz w:val="24"/>
          <w:lang w:val="en-US" w:eastAsia="zh-CN"/>
        </w:rPr>
        <w:t>8</w:t>
      </w:r>
      <w:r>
        <w:rPr>
          <w:rFonts w:hint="eastAsia"/>
          <w:sz w:val="24"/>
        </w:rPr>
        <w:t>-1。</w:t>
      </w:r>
    </w:p>
    <w:p>
      <w:pPr>
        <w:pStyle w:val="67"/>
        <w:spacing w:line="240" w:lineRule="auto"/>
        <w:rPr>
          <w:rFonts w:ascii="楷体" w:hAnsi="楷体" w:eastAsia="楷体" w:cs="楷体"/>
          <w:color w:val="auto"/>
          <w:szCs w:val="21"/>
        </w:rPr>
      </w:pPr>
      <w:r>
        <w:rPr>
          <w:rFonts w:hint="eastAsia"/>
          <w:color w:val="auto"/>
        </w:rPr>
        <w:t>表</w:t>
      </w:r>
      <w:r>
        <w:rPr>
          <w:rFonts w:hint="eastAsia"/>
          <w:color w:val="auto"/>
          <w:lang w:val="en-US" w:eastAsia="zh-CN"/>
        </w:rPr>
        <w:t>8</w:t>
      </w:r>
      <w:r>
        <w:rPr>
          <w:rFonts w:hint="eastAsia"/>
          <w:color w:val="auto"/>
        </w:rPr>
        <w:t>-</w:t>
      </w:r>
      <w:r>
        <w:rPr>
          <w:rFonts w:hint="eastAsia"/>
          <w:color w:val="auto"/>
          <w:lang w:val="en-US" w:eastAsia="zh-CN"/>
        </w:rPr>
        <w:t>1</w:t>
      </w:r>
      <w:r>
        <w:rPr>
          <w:rFonts w:hint="eastAsia"/>
          <w:color w:val="auto"/>
        </w:rPr>
        <w:t xml:space="preserve">  质控样分析结果统计表</w:t>
      </w:r>
      <w:r>
        <w:rPr>
          <w:rFonts w:hint="eastAsia" w:ascii="楷体" w:hAnsi="楷体" w:eastAsia="楷体" w:cs="楷体"/>
          <w:color w:val="auto"/>
          <w:szCs w:val="21"/>
        </w:rPr>
        <w:t xml:space="preserve"> </w:t>
      </w:r>
    </w:p>
    <w:tbl>
      <w:tblPr>
        <w:tblStyle w:val="32"/>
        <w:tblW w:w="892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320"/>
        <w:gridCol w:w="1615"/>
        <w:gridCol w:w="2029"/>
        <w:gridCol w:w="1420"/>
        <w:gridCol w:w="14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8" w:type="dxa"/>
            <w:vAlign w:val="center"/>
          </w:tcPr>
          <w:p>
            <w:pPr>
              <w:pStyle w:val="80"/>
              <w:spacing w:before="0" w:after="0" w:line="240" w:lineRule="exact"/>
              <w:jc w:val="center"/>
              <w:rPr>
                <w:rFonts w:eastAsia="宋体"/>
                <w:sz w:val="21"/>
                <w:szCs w:val="21"/>
              </w:rPr>
            </w:pPr>
            <w:r>
              <w:rPr>
                <w:rFonts w:eastAsia="宋体"/>
                <w:sz w:val="21"/>
                <w:szCs w:val="21"/>
              </w:rPr>
              <w:t>项目</w:t>
            </w:r>
          </w:p>
        </w:tc>
        <w:tc>
          <w:tcPr>
            <w:tcW w:w="1320" w:type="dxa"/>
            <w:vAlign w:val="center"/>
          </w:tcPr>
          <w:p>
            <w:pPr>
              <w:pStyle w:val="80"/>
              <w:spacing w:before="0" w:after="0" w:line="240" w:lineRule="exact"/>
              <w:jc w:val="center"/>
              <w:rPr>
                <w:rFonts w:eastAsia="宋体"/>
                <w:sz w:val="21"/>
                <w:szCs w:val="21"/>
              </w:rPr>
            </w:pPr>
            <w:r>
              <w:rPr>
                <w:rFonts w:eastAsia="宋体"/>
                <w:sz w:val="21"/>
                <w:szCs w:val="21"/>
              </w:rPr>
              <w:t>分析日期</w:t>
            </w:r>
          </w:p>
        </w:tc>
        <w:tc>
          <w:tcPr>
            <w:tcW w:w="1615" w:type="dxa"/>
            <w:vAlign w:val="center"/>
          </w:tcPr>
          <w:p>
            <w:pPr>
              <w:pStyle w:val="80"/>
              <w:spacing w:before="0" w:after="0" w:line="240" w:lineRule="exact"/>
              <w:jc w:val="center"/>
              <w:rPr>
                <w:rFonts w:eastAsia="宋体"/>
                <w:sz w:val="21"/>
                <w:szCs w:val="21"/>
              </w:rPr>
            </w:pPr>
            <w:r>
              <w:rPr>
                <w:rFonts w:eastAsia="宋体"/>
                <w:sz w:val="21"/>
                <w:szCs w:val="21"/>
              </w:rPr>
              <w:t>批号</w:t>
            </w:r>
          </w:p>
        </w:tc>
        <w:tc>
          <w:tcPr>
            <w:tcW w:w="2029" w:type="dxa"/>
            <w:vAlign w:val="center"/>
          </w:tcPr>
          <w:p>
            <w:pPr>
              <w:pStyle w:val="80"/>
              <w:spacing w:before="0" w:after="0" w:line="240" w:lineRule="exact"/>
              <w:jc w:val="center"/>
              <w:rPr>
                <w:rFonts w:eastAsia="宋体"/>
                <w:sz w:val="21"/>
                <w:szCs w:val="21"/>
              </w:rPr>
            </w:pPr>
            <w:r>
              <w:rPr>
                <w:rFonts w:eastAsia="宋体"/>
                <w:sz w:val="21"/>
                <w:szCs w:val="21"/>
              </w:rPr>
              <w:t>标准值及不确定度</w:t>
            </w:r>
          </w:p>
        </w:tc>
        <w:tc>
          <w:tcPr>
            <w:tcW w:w="1420" w:type="dxa"/>
            <w:vAlign w:val="center"/>
          </w:tcPr>
          <w:p>
            <w:pPr>
              <w:pStyle w:val="80"/>
              <w:spacing w:before="0" w:after="0" w:line="240" w:lineRule="exact"/>
              <w:jc w:val="center"/>
              <w:rPr>
                <w:rFonts w:eastAsia="宋体"/>
                <w:sz w:val="21"/>
                <w:szCs w:val="21"/>
              </w:rPr>
            </w:pPr>
            <w:r>
              <w:rPr>
                <w:rFonts w:eastAsia="宋体"/>
                <w:sz w:val="21"/>
                <w:szCs w:val="21"/>
              </w:rPr>
              <w:t>分析结果</w:t>
            </w:r>
          </w:p>
        </w:tc>
        <w:tc>
          <w:tcPr>
            <w:tcW w:w="1467" w:type="dxa"/>
            <w:vAlign w:val="center"/>
          </w:tcPr>
          <w:p>
            <w:pPr>
              <w:pStyle w:val="80"/>
              <w:spacing w:before="0" w:after="0" w:line="240" w:lineRule="exact"/>
              <w:jc w:val="center"/>
              <w:rPr>
                <w:rFonts w:eastAsia="宋体"/>
                <w:sz w:val="21"/>
                <w:szCs w:val="21"/>
              </w:rPr>
            </w:pPr>
            <w:r>
              <w:rPr>
                <w:rFonts w:eastAsia="宋体"/>
                <w:sz w:val="21"/>
                <w:szCs w:val="21"/>
              </w:rPr>
              <w:t>结果评价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8" w:type="dxa"/>
            <w:vAlign w:val="center"/>
          </w:tcPr>
          <w:p>
            <w:pPr>
              <w:pStyle w:val="56"/>
              <w:spacing w:before="0" w:after="0" w:line="240" w:lineRule="exact"/>
              <w:jc w:val="center"/>
              <w:rPr>
                <w:rFonts w:eastAsia="宋体"/>
                <w:sz w:val="21"/>
                <w:szCs w:val="21"/>
              </w:rPr>
            </w:pPr>
            <w:r>
              <w:rPr>
                <w:rFonts w:eastAsia="宋体"/>
                <w:sz w:val="21"/>
                <w:szCs w:val="21"/>
              </w:rPr>
              <w:t>化学</w:t>
            </w:r>
          </w:p>
          <w:p>
            <w:pPr>
              <w:pStyle w:val="56"/>
              <w:spacing w:before="0" w:after="0" w:line="240" w:lineRule="exact"/>
              <w:jc w:val="center"/>
              <w:rPr>
                <w:rFonts w:eastAsia="宋体"/>
                <w:sz w:val="21"/>
                <w:szCs w:val="21"/>
              </w:rPr>
            </w:pPr>
            <w:r>
              <w:rPr>
                <w:rFonts w:eastAsia="宋体"/>
                <w:sz w:val="21"/>
                <w:szCs w:val="21"/>
              </w:rPr>
              <w:t>需氧量</w:t>
            </w:r>
          </w:p>
        </w:tc>
        <w:tc>
          <w:tcPr>
            <w:tcW w:w="1320" w:type="dxa"/>
            <w:vAlign w:val="center"/>
          </w:tcPr>
          <w:p>
            <w:pPr>
              <w:pStyle w:val="56"/>
              <w:spacing w:before="0" w:after="0" w:line="240" w:lineRule="exact"/>
              <w:jc w:val="center"/>
              <w:rPr>
                <w:rFonts w:hint="default" w:eastAsia="宋体"/>
                <w:sz w:val="21"/>
                <w:szCs w:val="21"/>
                <w:lang w:val="en-US"/>
              </w:rPr>
            </w:pPr>
            <w:r>
              <w:rPr>
                <w:rFonts w:hint="eastAsia" w:eastAsia="宋体"/>
                <w:sz w:val="21"/>
                <w:szCs w:val="21"/>
                <w:lang w:val="en-US" w:eastAsia="zh-CN"/>
              </w:rPr>
              <w:t>2019.5.13</w:t>
            </w:r>
          </w:p>
        </w:tc>
        <w:tc>
          <w:tcPr>
            <w:tcW w:w="1615" w:type="dxa"/>
            <w:vAlign w:val="center"/>
          </w:tcPr>
          <w:p>
            <w:pPr>
              <w:pStyle w:val="56"/>
              <w:spacing w:before="0" w:after="0" w:line="240" w:lineRule="exact"/>
              <w:jc w:val="center"/>
              <w:rPr>
                <w:rFonts w:eastAsia="宋体"/>
                <w:sz w:val="21"/>
                <w:szCs w:val="21"/>
              </w:rPr>
            </w:pPr>
            <w:r>
              <w:rPr>
                <w:rFonts w:hint="eastAsia" w:eastAsia="仿宋_GB2312"/>
                <w:sz w:val="21"/>
                <w:szCs w:val="21"/>
                <w:lang w:val="en-US" w:eastAsia="zh-CN"/>
              </w:rPr>
              <w:t>200187</w:t>
            </w:r>
          </w:p>
        </w:tc>
        <w:tc>
          <w:tcPr>
            <w:tcW w:w="2029" w:type="dxa"/>
            <w:vAlign w:val="center"/>
          </w:tcPr>
          <w:p>
            <w:pPr>
              <w:pStyle w:val="56"/>
              <w:spacing w:before="0" w:after="0" w:line="240" w:lineRule="exact"/>
              <w:jc w:val="center"/>
              <w:rPr>
                <w:rFonts w:eastAsia="宋体"/>
                <w:sz w:val="21"/>
                <w:szCs w:val="21"/>
              </w:rPr>
            </w:pPr>
            <w:r>
              <w:rPr>
                <w:rFonts w:hint="eastAsia" w:eastAsia="仿宋_GB2312"/>
                <w:sz w:val="21"/>
                <w:szCs w:val="21"/>
                <w:lang w:val="en-US" w:eastAsia="zh-CN"/>
              </w:rPr>
              <w:t>135±7mg/L</w:t>
            </w:r>
          </w:p>
        </w:tc>
        <w:tc>
          <w:tcPr>
            <w:tcW w:w="1420" w:type="dxa"/>
            <w:vAlign w:val="center"/>
          </w:tcPr>
          <w:p>
            <w:pPr>
              <w:pStyle w:val="56"/>
              <w:spacing w:before="0" w:after="0" w:line="240" w:lineRule="exact"/>
              <w:jc w:val="center"/>
              <w:rPr>
                <w:rFonts w:hint="eastAsia" w:eastAsia="宋体"/>
                <w:sz w:val="21"/>
                <w:szCs w:val="21"/>
                <w:lang w:val="en-US" w:eastAsia="zh-CN"/>
              </w:rPr>
            </w:pPr>
            <w:r>
              <w:rPr>
                <w:rFonts w:hint="eastAsia" w:eastAsia="宋体"/>
                <w:sz w:val="21"/>
                <w:szCs w:val="21"/>
                <w:lang w:val="en-US" w:eastAsia="zh-CN"/>
              </w:rPr>
              <w:t>133</w:t>
            </w:r>
          </w:p>
        </w:tc>
        <w:tc>
          <w:tcPr>
            <w:tcW w:w="1467" w:type="dxa"/>
            <w:vAlign w:val="center"/>
          </w:tcPr>
          <w:p>
            <w:pPr>
              <w:pStyle w:val="56"/>
              <w:spacing w:before="0" w:after="0" w:line="240" w:lineRule="exact"/>
              <w:jc w:val="center"/>
              <w:rPr>
                <w:rFonts w:eastAsia="宋体"/>
                <w:b/>
                <w:bCs/>
                <w:sz w:val="21"/>
                <w:szCs w:val="21"/>
              </w:rPr>
            </w:pPr>
            <w:r>
              <w:rPr>
                <w:rFonts w:eastAsia="宋体"/>
                <w:b/>
                <w:bCs/>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8" w:type="dxa"/>
            <w:vAlign w:val="center"/>
          </w:tcPr>
          <w:p>
            <w:pPr>
              <w:pStyle w:val="56"/>
              <w:spacing w:before="0" w:after="0" w:line="240" w:lineRule="exact"/>
              <w:jc w:val="center"/>
              <w:rPr>
                <w:rFonts w:eastAsia="宋体"/>
                <w:sz w:val="21"/>
                <w:szCs w:val="21"/>
              </w:rPr>
            </w:pPr>
            <w:r>
              <w:rPr>
                <w:rFonts w:eastAsia="宋体"/>
                <w:sz w:val="21"/>
                <w:szCs w:val="21"/>
              </w:rPr>
              <w:t>氨氮</w:t>
            </w:r>
          </w:p>
        </w:tc>
        <w:tc>
          <w:tcPr>
            <w:tcW w:w="1320" w:type="dxa"/>
            <w:vAlign w:val="center"/>
          </w:tcPr>
          <w:p>
            <w:pPr>
              <w:pStyle w:val="56"/>
              <w:spacing w:before="0" w:after="0" w:line="240" w:lineRule="exact"/>
              <w:jc w:val="center"/>
              <w:rPr>
                <w:rFonts w:hint="default" w:eastAsia="宋体"/>
                <w:sz w:val="21"/>
                <w:szCs w:val="21"/>
                <w:lang w:val="en-US"/>
              </w:rPr>
            </w:pPr>
            <w:r>
              <w:rPr>
                <w:rFonts w:hint="eastAsia" w:eastAsia="宋体"/>
                <w:sz w:val="21"/>
                <w:szCs w:val="21"/>
                <w:lang w:val="en-US" w:eastAsia="zh-CN"/>
              </w:rPr>
              <w:t>2019.5.14</w:t>
            </w:r>
          </w:p>
        </w:tc>
        <w:tc>
          <w:tcPr>
            <w:tcW w:w="1615" w:type="dxa"/>
            <w:vAlign w:val="center"/>
          </w:tcPr>
          <w:p>
            <w:pPr>
              <w:pStyle w:val="56"/>
              <w:spacing w:before="0" w:after="0" w:line="240" w:lineRule="exact"/>
              <w:jc w:val="center"/>
              <w:rPr>
                <w:rFonts w:eastAsia="宋体"/>
                <w:sz w:val="21"/>
                <w:szCs w:val="21"/>
              </w:rPr>
            </w:pPr>
            <w:r>
              <w:rPr>
                <w:rFonts w:hint="eastAsia" w:eastAsia="仿宋_GB2312"/>
                <w:sz w:val="21"/>
                <w:szCs w:val="21"/>
                <w:lang w:val="en-US" w:eastAsia="zh-CN"/>
              </w:rPr>
              <w:t>200574</w:t>
            </w:r>
          </w:p>
        </w:tc>
        <w:tc>
          <w:tcPr>
            <w:tcW w:w="2029" w:type="dxa"/>
            <w:vAlign w:val="center"/>
          </w:tcPr>
          <w:p>
            <w:pPr>
              <w:pStyle w:val="56"/>
              <w:spacing w:before="0" w:after="0" w:line="240" w:lineRule="exact"/>
              <w:jc w:val="center"/>
              <w:rPr>
                <w:rFonts w:eastAsia="宋体"/>
                <w:sz w:val="21"/>
                <w:szCs w:val="21"/>
              </w:rPr>
            </w:pPr>
            <w:r>
              <w:rPr>
                <w:rFonts w:hint="eastAsia" w:eastAsia="仿宋_GB2312"/>
                <w:sz w:val="21"/>
                <w:szCs w:val="21"/>
                <w:lang w:val="en-US" w:eastAsia="zh-CN"/>
              </w:rPr>
              <w:t>1.50±0.08mg/L</w:t>
            </w:r>
          </w:p>
        </w:tc>
        <w:tc>
          <w:tcPr>
            <w:tcW w:w="1420" w:type="dxa"/>
            <w:vAlign w:val="center"/>
          </w:tcPr>
          <w:p>
            <w:pPr>
              <w:pStyle w:val="56"/>
              <w:spacing w:before="0" w:after="0" w:line="240" w:lineRule="exact"/>
              <w:jc w:val="center"/>
              <w:rPr>
                <w:rFonts w:hint="eastAsia" w:eastAsia="宋体"/>
                <w:sz w:val="21"/>
                <w:szCs w:val="21"/>
                <w:lang w:val="en-US" w:eastAsia="zh-CN"/>
              </w:rPr>
            </w:pPr>
            <w:r>
              <w:rPr>
                <w:rFonts w:hint="eastAsia" w:eastAsia="宋体"/>
                <w:sz w:val="21"/>
                <w:szCs w:val="21"/>
                <w:lang w:val="en-US" w:eastAsia="zh-CN"/>
              </w:rPr>
              <w:t>1.54</w:t>
            </w:r>
          </w:p>
        </w:tc>
        <w:tc>
          <w:tcPr>
            <w:tcW w:w="1467" w:type="dxa"/>
            <w:vAlign w:val="center"/>
          </w:tcPr>
          <w:p>
            <w:pPr>
              <w:pStyle w:val="56"/>
              <w:spacing w:before="0" w:after="0" w:line="240" w:lineRule="exact"/>
              <w:jc w:val="center"/>
              <w:rPr>
                <w:rFonts w:eastAsia="宋体"/>
                <w:b/>
                <w:bCs/>
                <w:sz w:val="21"/>
                <w:szCs w:val="21"/>
              </w:rPr>
            </w:pPr>
            <w:r>
              <w:rPr>
                <w:rFonts w:eastAsia="宋体"/>
                <w:b/>
                <w:bCs/>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98" w:type="dxa"/>
            <w:gridSpan w:val="2"/>
            <w:vAlign w:val="center"/>
          </w:tcPr>
          <w:p>
            <w:pPr>
              <w:pStyle w:val="56"/>
              <w:spacing w:before="0" w:after="0" w:line="240" w:lineRule="exact"/>
              <w:jc w:val="center"/>
              <w:rPr>
                <w:rFonts w:eastAsia="宋体"/>
                <w:b/>
                <w:bCs/>
                <w:sz w:val="21"/>
                <w:szCs w:val="21"/>
              </w:rPr>
            </w:pPr>
            <w:r>
              <w:rPr>
                <w:rFonts w:eastAsia="宋体"/>
                <w:b/>
                <w:bCs/>
                <w:sz w:val="21"/>
                <w:szCs w:val="21"/>
              </w:rPr>
              <w:t>质控样来源</w:t>
            </w:r>
          </w:p>
        </w:tc>
        <w:tc>
          <w:tcPr>
            <w:tcW w:w="6531" w:type="dxa"/>
            <w:gridSpan w:val="4"/>
            <w:vAlign w:val="center"/>
          </w:tcPr>
          <w:p>
            <w:pPr>
              <w:pStyle w:val="56"/>
              <w:spacing w:before="0" w:after="0" w:line="240" w:lineRule="exact"/>
              <w:jc w:val="center"/>
              <w:rPr>
                <w:rFonts w:eastAsia="宋体"/>
                <w:b/>
                <w:bCs/>
                <w:sz w:val="21"/>
                <w:szCs w:val="21"/>
              </w:rPr>
            </w:pPr>
            <w:r>
              <w:rPr>
                <w:rFonts w:eastAsia="宋体"/>
                <w:b/>
                <w:bCs/>
                <w:sz w:val="21"/>
                <w:szCs w:val="21"/>
              </w:rPr>
              <w:t>环境保护部标准样品研究所</w:t>
            </w:r>
          </w:p>
        </w:tc>
      </w:tr>
    </w:tbl>
    <w:p>
      <w:pPr>
        <w:rPr>
          <w:rFonts w:hint="eastAsia"/>
          <w:lang w:val="en-US" w:eastAsia="zh-CN"/>
        </w:rPr>
      </w:pPr>
    </w:p>
    <w:p>
      <w:pPr>
        <w:pStyle w:val="4"/>
        <w:spacing w:beforeLines="50" w:afterLines="50" w:line="460" w:lineRule="exact"/>
        <w:rPr>
          <w:rFonts w:ascii="Times New Roman" w:hAnsi="Times New Roman" w:eastAsia="宋体"/>
          <w:sz w:val="28"/>
          <w:szCs w:val="28"/>
        </w:rPr>
      </w:pPr>
      <w:bookmarkStart w:id="77" w:name="_Toc32031"/>
      <w:r>
        <w:rPr>
          <w:rFonts w:hint="eastAsia" w:ascii="Times New Roman" w:hAnsi="Times New Roman" w:eastAsia="宋体"/>
          <w:sz w:val="28"/>
          <w:szCs w:val="28"/>
          <w:lang w:val="en-US" w:eastAsia="zh-CN"/>
        </w:rPr>
        <w:t>8</w:t>
      </w:r>
      <w:r>
        <w:rPr>
          <w:rFonts w:ascii="Times New Roman" w:hAnsi="Times New Roman" w:eastAsia="宋体"/>
          <w:sz w:val="28"/>
          <w:szCs w:val="28"/>
        </w:rPr>
        <w:t>.</w:t>
      </w:r>
      <w:r>
        <w:rPr>
          <w:rFonts w:hint="eastAsia" w:ascii="Times New Roman" w:hAnsi="Times New Roman" w:eastAsia="宋体"/>
          <w:sz w:val="28"/>
          <w:szCs w:val="28"/>
          <w:lang w:val="en-US" w:eastAsia="zh-CN"/>
        </w:rPr>
        <w:t>2</w:t>
      </w:r>
      <w:r>
        <w:rPr>
          <w:rFonts w:ascii="Times New Roman" w:hAnsi="Times New Roman" w:eastAsia="宋体"/>
          <w:sz w:val="28"/>
          <w:szCs w:val="28"/>
        </w:rPr>
        <w:t xml:space="preserve"> 监测分析方法</w:t>
      </w:r>
      <w:bookmarkEnd w:id="77"/>
    </w:p>
    <w:p>
      <w:pPr>
        <w:pStyle w:val="11"/>
        <w:rPr>
          <w:rFonts w:hint="eastAsia" w:eastAsia="宋体"/>
          <w:lang w:val="en-US" w:eastAsia="zh-CN"/>
        </w:rPr>
      </w:pPr>
      <w:r>
        <w:rPr>
          <w:sz w:val="24"/>
        </w:rPr>
        <w:t>本验收项目监测分析方法见表</w:t>
      </w:r>
      <w:r>
        <w:rPr>
          <w:rFonts w:hint="eastAsia"/>
          <w:sz w:val="24"/>
          <w:lang w:val="en-US" w:eastAsia="zh-CN"/>
        </w:rPr>
        <w:t>8-2。</w:t>
      </w:r>
    </w:p>
    <w:p>
      <w:pPr>
        <w:spacing w:line="460" w:lineRule="exact"/>
        <w:jc w:val="center"/>
        <w:rPr>
          <w:b/>
          <w:kern w:val="0"/>
          <w:szCs w:val="21"/>
          <w:lang w:val="zh-CN"/>
        </w:rPr>
      </w:pPr>
      <w:bookmarkStart w:id="78" w:name="_Toc199843335"/>
      <w:bookmarkStart w:id="79" w:name="_Toc211096940"/>
      <w:r>
        <w:rPr>
          <w:b/>
          <w:kern w:val="0"/>
          <w:szCs w:val="21"/>
          <w:lang w:val="zh-CN"/>
        </w:rPr>
        <w:t>表</w:t>
      </w:r>
      <w:r>
        <w:rPr>
          <w:rFonts w:hint="eastAsia"/>
          <w:b/>
          <w:kern w:val="0"/>
          <w:szCs w:val="21"/>
          <w:lang w:val="en-US" w:eastAsia="zh-CN"/>
        </w:rPr>
        <w:t>8-2</w:t>
      </w:r>
      <w:r>
        <w:rPr>
          <w:rFonts w:hint="eastAsia"/>
          <w:b/>
          <w:kern w:val="0"/>
          <w:szCs w:val="21"/>
          <w:lang w:val="zh-CN"/>
        </w:rPr>
        <w:t xml:space="preserve"> </w:t>
      </w:r>
      <w:r>
        <w:rPr>
          <w:rFonts w:hint="eastAsia"/>
          <w:b/>
          <w:kern w:val="0"/>
          <w:szCs w:val="21"/>
        </w:rPr>
        <w:t xml:space="preserve"> </w:t>
      </w:r>
      <w:r>
        <w:rPr>
          <w:b/>
          <w:kern w:val="0"/>
          <w:szCs w:val="21"/>
          <w:lang w:val="zh-CN"/>
        </w:rPr>
        <w:t>监测分析方法一览表</w:t>
      </w:r>
    </w:p>
    <w:tbl>
      <w:tblPr>
        <w:tblStyle w:val="32"/>
        <w:tblW w:w="893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125"/>
        <w:gridCol w:w="3930"/>
        <w:gridCol w:w="1891"/>
        <w:gridCol w:w="12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97" w:hRule="atLeast"/>
          <w:tblHeader/>
        </w:trPr>
        <w:tc>
          <w:tcPr>
            <w:tcW w:w="729" w:type="dxa"/>
            <w:vAlign w:val="center"/>
          </w:tcPr>
          <w:p>
            <w:pPr>
              <w:spacing w:line="260" w:lineRule="exact"/>
              <w:jc w:val="center"/>
              <w:rPr>
                <w:b/>
                <w:szCs w:val="21"/>
              </w:rPr>
            </w:pPr>
            <w:r>
              <w:rPr>
                <w:b/>
                <w:szCs w:val="21"/>
              </w:rPr>
              <w:t>类别</w:t>
            </w:r>
          </w:p>
        </w:tc>
        <w:tc>
          <w:tcPr>
            <w:tcW w:w="1125" w:type="dxa"/>
            <w:vAlign w:val="center"/>
          </w:tcPr>
          <w:p>
            <w:pPr>
              <w:spacing w:line="260" w:lineRule="exact"/>
              <w:jc w:val="center"/>
              <w:rPr>
                <w:b/>
                <w:szCs w:val="21"/>
              </w:rPr>
            </w:pPr>
            <w:r>
              <w:rPr>
                <w:b/>
                <w:szCs w:val="21"/>
              </w:rPr>
              <w:t>监测项目</w:t>
            </w:r>
          </w:p>
        </w:tc>
        <w:tc>
          <w:tcPr>
            <w:tcW w:w="3930" w:type="dxa"/>
            <w:vAlign w:val="center"/>
          </w:tcPr>
          <w:p>
            <w:pPr>
              <w:spacing w:line="260" w:lineRule="exact"/>
              <w:jc w:val="center"/>
              <w:rPr>
                <w:b/>
                <w:szCs w:val="21"/>
              </w:rPr>
            </w:pPr>
            <w:r>
              <w:rPr>
                <w:b/>
                <w:szCs w:val="21"/>
              </w:rPr>
              <w:t>监测标准（方法）名称及编号（含年号）</w:t>
            </w:r>
          </w:p>
        </w:tc>
        <w:tc>
          <w:tcPr>
            <w:tcW w:w="1891" w:type="dxa"/>
            <w:tcBorders>
              <w:right w:val="single" w:color="auto" w:sz="4" w:space="0"/>
            </w:tcBorders>
            <w:vAlign w:val="center"/>
          </w:tcPr>
          <w:p>
            <w:pPr>
              <w:spacing w:line="260" w:lineRule="exact"/>
              <w:jc w:val="center"/>
              <w:rPr>
                <w:b/>
                <w:szCs w:val="21"/>
              </w:rPr>
            </w:pPr>
            <w:r>
              <w:rPr>
                <w:b/>
                <w:szCs w:val="21"/>
              </w:rPr>
              <w:t>仪器名称及编号</w:t>
            </w:r>
          </w:p>
        </w:tc>
        <w:tc>
          <w:tcPr>
            <w:tcW w:w="1256" w:type="dxa"/>
            <w:tcBorders>
              <w:left w:val="single" w:color="auto" w:sz="4" w:space="0"/>
            </w:tcBorders>
            <w:vAlign w:val="center"/>
          </w:tcPr>
          <w:p>
            <w:pPr>
              <w:spacing w:line="260" w:lineRule="exact"/>
              <w:jc w:val="center"/>
              <w:rPr>
                <w:rFonts w:hint="eastAsia" w:eastAsia="宋体"/>
                <w:b/>
                <w:szCs w:val="21"/>
                <w:lang w:val="en-US" w:eastAsia="zh-CN"/>
              </w:rPr>
            </w:pPr>
            <w:r>
              <w:rPr>
                <w:rFonts w:hint="eastAsia"/>
                <w:b/>
                <w:szCs w:val="21"/>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restart"/>
            <w:vAlign w:val="center"/>
          </w:tcPr>
          <w:p>
            <w:pPr>
              <w:jc w:val="center"/>
              <w:rPr>
                <w:szCs w:val="21"/>
              </w:rPr>
            </w:pPr>
            <w:r>
              <w:rPr>
                <w:rFonts w:hint="eastAsia"/>
                <w:szCs w:val="21"/>
              </w:rPr>
              <w:t>废气</w:t>
            </w:r>
          </w:p>
        </w:tc>
        <w:tc>
          <w:tcPr>
            <w:tcW w:w="1125" w:type="dxa"/>
            <w:vAlign w:val="center"/>
          </w:tcPr>
          <w:p>
            <w:pPr>
              <w:jc w:val="center"/>
              <w:rPr>
                <w:color w:val="FF0000"/>
                <w:szCs w:val="21"/>
              </w:rPr>
            </w:pPr>
            <w:r>
              <w:rPr>
                <w:rFonts w:hint="eastAsia"/>
                <w:color w:val="000000" w:themeColor="text1"/>
                <w:szCs w:val="21"/>
              </w:rPr>
              <w:t>氨</w:t>
            </w:r>
          </w:p>
        </w:tc>
        <w:tc>
          <w:tcPr>
            <w:tcW w:w="3930" w:type="dxa"/>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环境空气 氨的测定 次氯酸钠-</w:t>
            </w:r>
          </w:p>
          <w:p>
            <w:pPr>
              <w:pStyle w:val="56"/>
              <w:widowControl/>
              <w:overflowPunct/>
              <w:adjustRightInd/>
              <w:spacing w:before="0" w:after="0" w:line="280" w:lineRule="exact"/>
              <w:jc w:val="center"/>
              <w:textAlignment w:val="auto"/>
              <w:rPr>
                <w:szCs w:val="21"/>
              </w:rPr>
            </w:pPr>
            <w:r>
              <w:rPr>
                <w:rFonts w:eastAsia="宋体"/>
                <w:sz w:val="21"/>
                <w:szCs w:val="21"/>
              </w:rPr>
              <w:t>水杨酸分光光度法(HJ534-2009)</w:t>
            </w:r>
          </w:p>
        </w:tc>
        <w:tc>
          <w:tcPr>
            <w:tcW w:w="1891" w:type="dxa"/>
            <w:tcBorders>
              <w:righ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UV-5100紫外</w:t>
            </w:r>
          </w:p>
          <w:p>
            <w:pPr>
              <w:pStyle w:val="56"/>
              <w:widowControl/>
              <w:overflowPunct/>
              <w:adjustRightInd/>
              <w:spacing w:before="0" w:after="0" w:line="280" w:lineRule="exact"/>
              <w:jc w:val="center"/>
              <w:textAlignment w:val="auto"/>
              <w:rPr>
                <w:szCs w:val="21"/>
              </w:rPr>
            </w:pPr>
            <w:r>
              <w:rPr>
                <w:rFonts w:eastAsia="宋体"/>
                <w:sz w:val="21"/>
                <w:szCs w:val="21"/>
              </w:rPr>
              <w:t>可见分光光度计，JKJC-007</w:t>
            </w:r>
          </w:p>
        </w:tc>
        <w:tc>
          <w:tcPr>
            <w:tcW w:w="1256" w:type="dxa"/>
            <w:tcBorders>
              <w:left w:val="single" w:color="auto" w:sz="4" w:space="0"/>
            </w:tcBorders>
            <w:vAlign w:val="center"/>
          </w:tcPr>
          <w:p>
            <w:pPr>
              <w:pStyle w:val="56"/>
              <w:widowControl/>
              <w:overflowPunct/>
              <w:adjustRightInd/>
              <w:spacing w:before="0" w:after="0" w:line="280" w:lineRule="exact"/>
              <w:jc w:val="center"/>
              <w:textAlignment w:val="auto"/>
              <w:rPr>
                <w:rFonts w:hint="eastAsia" w:eastAsia="宋体"/>
                <w:sz w:val="21"/>
                <w:szCs w:val="21"/>
                <w:lang w:val="en-US" w:eastAsia="zh-CN"/>
              </w:rPr>
            </w:pPr>
            <w:r>
              <w:rPr>
                <w:rFonts w:hint="eastAsia" w:eastAsia="宋体"/>
                <w:sz w:val="21"/>
                <w:szCs w:val="21"/>
                <w:lang w:val="en-US" w:eastAsia="zh-CN"/>
              </w:rPr>
              <w:t>0.004</w:t>
            </w:r>
            <w:r>
              <w:rPr>
                <w:b w:val="0"/>
                <w:bCs/>
                <w:szCs w:val="21"/>
              </w:rPr>
              <w:t>mg</w:t>
            </w:r>
            <w:r>
              <w:rPr>
                <w:rFonts w:hint="eastAsia"/>
                <w:b w:val="0"/>
                <w:bCs/>
                <w:szCs w:val="21"/>
              </w:rPr>
              <w:t>/m</w:t>
            </w:r>
            <w:r>
              <w:rPr>
                <w:rFonts w:hint="eastAsia"/>
                <w:b w:val="0"/>
                <w:b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硫化氢</w:t>
            </w:r>
          </w:p>
        </w:tc>
        <w:tc>
          <w:tcPr>
            <w:tcW w:w="3930" w:type="dxa"/>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亚甲基蓝分光光度法《空气和废气监测分析方法》(第四版增补版)国家环境保护</w:t>
            </w:r>
          </w:p>
          <w:p>
            <w:pPr>
              <w:pStyle w:val="56"/>
              <w:widowControl/>
              <w:overflowPunct/>
              <w:adjustRightInd/>
              <w:spacing w:before="0" w:after="0" w:line="280" w:lineRule="exact"/>
              <w:jc w:val="center"/>
              <w:textAlignment w:val="auto"/>
              <w:rPr>
                <w:szCs w:val="21"/>
              </w:rPr>
            </w:pPr>
            <w:r>
              <w:rPr>
                <w:rFonts w:eastAsia="宋体"/>
                <w:sz w:val="21"/>
                <w:szCs w:val="21"/>
              </w:rPr>
              <w:t>总局2003年</w:t>
            </w:r>
          </w:p>
        </w:tc>
        <w:tc>
          <w:tcPr>
            <w:tcW w:w="1891" w:type="dxa"/>
            <w:tcBorders>
              <w:righ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UV-5100紫外</w:t>
            </w:r>
          </w:p>
          <w:p>
            <w:pPr>
              <w:pStyle w:val="56"/>
              <w:widowControl/>
              <w:overflowPunct/>
              <w:adjustRightInd/>
              <w:spacing w:before="0" w:after="0" w:line="280" w:lineRule="exact"/>
              <w:jc w:val="center"/>
              <w:textAlignment w:val="auto"/>
              <w:rPr>
                <w:szCs w:val="21"/>
              </w:rPr>
            </w:pPr>
            <w:r>
              <w:rPr>
                <w:rFonts w:eastAsia="宋体"/>
                <w:sz w:val="21"/>
                <w:szCs w:val="21"/>
              </w:rPr>
              <w:t>可见分光光度计</w:t>
            </w:r>
            <w:r>
              <w:rPr>
                <w:rFonts w:hint="eastAsia" w:eastAsia="宋体"/>
                <w:sz w:val="21"/>
                <w:szCs w:val="21"/>
              </w:rPr>
              <w:t>，</w:t>
            </w:r>
            <w:r>
              <w:rPr>
                <w:rFonts w:eastAsia="宋体"/>
                <w:sz w:val="21"/>
                <w:szCs w:val="21"/>
              </w:rPr>
              <w:t>JKJC-007</w:t>
            </w:r>
          </w:p>
        </w:tc>
        <w:tc>
          <w:tcPr>
            <w:tcW w:w="1256" w:type="dxa"/>
            <w:tcBorders>
              <w:lef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hint="eastAsia"/>
                <w:b w:val="0"/>
                <w:bCs/>
                <w:szCs w:val="21"/>
                <w:lang w:val="en-US" w:eastAsia="zh-CN"/>
              </w:rPr>
              <w:t>0.001</w:t>
            </w:r>
            <w:r>
              <w:rPr>
                <w:b w:val="0"/>
                <w:bCs/>
                <w:szCs w:val="21"/>
              </w:rPr>
              <w:t>mg</w:t>
            </w:r>
            <w:r>
              <w:rPr>
                <w:rFonts w:hint="eastAsia"/>
                <w:b w:val="0"/>
                <w:bCs/>
                <w:szCs w:val="21"/>
              </w:rPr>
              <w:t>/m</w:t>
            </w:r>
            <w:r>
              <w:rPr>
                <w:rFonts w:hint="eastAsia"/>
                <w:b w:val="0"/>
                <w:b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臭气浓度</w:t>
            </w:r>
          </w:p>
        </w:tc>
        <w:tc>
          <w:tcPr>
            <w:tcW w:w="3930" w:type="dxa"/>
            <w:vAlign w:val="center"/>
          </w:tcPr>
          <w:p>
            <w:pPr>
              <w:jc w:val="center"/>
              <w:rPr>
                <w:rFonts w:hint="eastAsia"/>
                <w:szCs w:val="21"/>
              </w:rPr>
            </w:pPr>
            <w:r>
              <w:rPr>
                <w:rFonts w:hint="eastAsia"/>
                <w:szCs w:val="21"/>
              </w:rPr>
              <w:t>空气质量 恶臭的测定</w:t>
            </w:r>
          </w:p>
          <w:p>
            <w:pPr>
              <w:jc w:val="center"/>
              <w:rPr>
                <w:szCs w:val="21"/>
              </w:rPr>
            </w:pPr>
            <w:r>
              <w:rPr>
                <w:rFonts w:hint="eastAsia"/>
                <w:szCs w:val="21"/>
              </w:rPr>
              <w:t xml:space="preserve"> 三点比较式臭袋法（GB/T14675-1993）</w:t>
            </w:r>
          </w:p>
        </w:tc>
        <w:tc>
          <w:tcPr>
            <w:tcW w:w="1891" w:type="dxa"/>
            <w:tcBorders>
              <w:right w:val="single" w:color="auto" w:sz="4" w:space="0"/>
            </w:tcBorders>
            <w:vAlign w:val="center"/>
          </w:tcPr>
          <w:p>
            <w:pPr>
              <w:jc w:val="center"/>
              <w:rPr>
                <w:szCs w:val="21"/>
              </w:rPr>
            </w:pPr>
            <w:r>
              <w:rPr>
                <w:rFonts w:hint="eastAsia"/>
                <w:szCs w:val="21"/>
              </w:rPr>
              <w:t>3L气袋</w:t>
            </w:r>
          </w:p>
        </w:tc>
        <w:tc>
          <w:tcPr>
            <w:tcW w:w="1256" w:type="dxa"/>
            <w:tcBorders>
              <w:left w:val="single" w:color="auto" w:sz="4" w:space="0"/>
            </w:tcBorders>
            <w:vAlign w:val="center"/>
          </w:tcPr>
          <w:p>
            <w:pPr>
              <w:jc w:val="center"/>
              <w:rPr>
                <w:rFonts w:hint="eastAsia"/>
                <w:szCs w:val="21"/>
                <w:lang w:val="en-US" w:eastAsia="zh-CN"/>
              </w:rPr>
            </w:pPr>
            <w:r>
              <w:rPr>
                <w:rFonts w:hint="eastAsia"/>
                <w:szCs w:val="21"/>
                <w:lang w:val="en-US" w:eastAsia="zh-CN"/>
              </w:rPr>
              <w:t>10</w:t>
            </w:r>
          </w:p>
          <w:p>
            <w:pPr>
              <w:jc w:val="center"/>
              <w:rPr>
                <w:rFonts w:hint="eastAsia" w:eastAsia="宋体"/>
                <w:szCs w:val="21"/>
                <w:lang w:val="en-US" w:eastAsia="zh-CN"/>
              </w:rPr>
            </w:pPr>
            <w:r>
              <w:rPr>
                <w:rFonts w:hint="eastAsia"/>
                <w:szCs w:val="21"/>
                <w:lang w:val="en-US" w:eastAsia="zh-CN"/>
              </w:rPr>
              <w:t>（无量纲）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氯气</w:t>
            </w:r>
          </w:p>
        </w:tc>
        <w:tc>
          <w:tcPr>
            <w:tcW w:w="3930" w:type="dxa"/>
            <w:vAlign w:val="center"/>
          </w:tcPr>
          <w:p>
            <w:pPr>
              <w:jc w:val="center"/>
              <w:rPr>
                <w:szCs w:val="21"/>
              </w:rPr>
            </w:pPr>
            <w:r>
              <w:rPr>
                <w:rFonts w:hint="eastAsia"/>
                <w:szCs w:val="21"/>
              </w:rPr>
              <w:t xml:space="preserve">固定污染源排气中氯气的测定 </w:t>
            </w:r>
          </w:p>
          <w:p>
            <w:pPr>
              <w:jc w:val="center"/>
              <w:rPr>
                <w:szCs w:val="21"/>
              </w:rPr>
            </w:pPr>
            <w:r>
              <w:rPr>
                <w:rFonts w:hint="eastAsia"/>
                <w:szCs w:val="21"/>
              </w:rPr>
              <w:t>甲基橙分光光度法(HJ/T30-1999)</w:t>
            </w:r>
          </w:p>
        </w:tc>
        <w:tc>
          <w:tcPr>
            <w:tcW w:w="1891" w:type="dxa"/>
            <w:tcBorders>
              <w:right w:val="single" w:color="auto" w:sz="4" w:space="0"/>
            </w:tcBorders>
            <w:vAlign w:val="center"/>
          </w:tcPr>
          <w:p>
            <w:pPr>
              <w:jc w:val="center"/>
              <w:rPr>
                <w:szCs w:val="21"/>
              </w:rPr>
            </w:pPr>
            <w:r>
              <w:rPr>
                <w:szCs w:val="21"/>
              </w:rPr>
              <w:t>UV-5100紫外</w:t>
            </w:r>
          </w:p>
          <w:p>
            <w:pPr>
              <w:jc w:val="center"/>
              <w:rPr>
                <w:szCs w:val="21"/>
              </w:rPr>
            </w:pPr>
            <w:r>
              <w:rPr>
                <w:szCs w:val="21"/>
              </w:rPr>
              <w:t>可见分光光度计</w:t>
            </w:r>
            <w:r>
              <w:rPr>
                <w:rFonts w:hint="eastAsia"/>
                <w:szCs w:val="21"/>
              </w:rPr>
              <w:t>，</w:t>
            </w:r>
            <w:r>
              <w:rPr>
                <w:szCs w:val="21"/>
              </w:rPr>
              <w:t>JKJC-007</w:t>
            </w:r>
          </w:p>
        </w:tc>
        <w:tc>
          <w:tcPr>
            <w:tcW w:w="1256" w:type="dxa"/>
            <w:tcBorders>
              <w:left w:val="single" w:color="auto" w:sz="4" w:space="0"/>
            </w:tcBorders>
            <w:vAlign w:val="center"/>
          </w:tcPr>
          <w:p>
            <w:pPr>
              <w:jc w:val="center"/>
              <w:rPr>
                <w:rFonts w:hint="eastAsia" w:eastAsia="宋体"/>
                <w:szCs w:val="21"/>
                <w:lang w:val="en-US" w:eastAsia="zh-CN"/>
              </w:rPr>
            </w:pPr>
            <w:r>
              <w:rPr>
                <w:rFonts w:hint="eastAsia"/>
                <w:szCs w:val="21"/>
                <w:lang w:val="en-US" w:eastAsia="zh-CN"/>
              </w:rPr>
              <w:t>0.03</w:t>
            </w:r>
            <w:r>
              <w:rPr>
                <w:b w:val="0"/>
                <w:bCs/>
                <w:szCs w:val="21"/>
              </w:rPr>
              <w:t>mg</w:t>
            </w:r>
            <w:r>
              <w:rPr>
                <w:rFonts w:hint="eastAsia"/>
                <w:b w:val="0"/>
                <w:bCs/>
                <w:szCs w:val="21"/>
              </w:rPr>
              <w:t>/m</w:t>
            </w:r>
            <w:r>
              <w:rPr>
                <w:rFonts w:hint="eastAsia"/>
                <w:b w:val="0"/>
                <w:b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restart"/>
            <w:vAlign w:val="center"/>
          </w:tcPr>
          <w:p>
            <w:pPr>
              <w:jc w:val="center"/>
              <w:rPr>
                <w:szCs w:val="21"/>
              </w:rPr>
            </w:pPr>
            <w:r>
              <w:rPr>
                <w:rFonts w:hint="eastAsia"/>
                <w:szCs w:val="21"/>
              </w:rPr>
              <w:t>废水</w:t>
            </w:r>
          </w:p>
        </w:tc>
        <w:tc>
          <w:tcPr>
            <w:tcW w:w="1125" w:type="dxa"/>
            <w:vAlign w:val="center"/>
          </w:tcPr>
          <w:p>
            <w:pPr>
              <w:jc w:val="center"/>
              <w:rPr>
                <w:szCs w:val="21"/>
              </w:rPr>
            </w:pPr>
            <w:r>
              <w:rPr>
                <w:rFonts w:hint="eastAsia"/>
                <w:szCs w:val="21"/>
              </w:rPr>
              <w:t>pH值</w:t>
            </w:r>
          </w:p>
        </w:tc>
        <w:tc>
          <w:tcPr>
            <w:tcW w:w="3930" w:type="dxa"/>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水质 pH</w:t>
            </w:r>
            <w:r>
              <w:rPr>
                <w:rFonts w:hint="eastAsia" w:eastAsia="宋体"/>
                <w:sz w:val="21"/>
                <w:szCs w:val="21"/>
              </w:rPr>
              <w:t>值</w:t>
            </w:r>
            <w:r>
              <w:rPr>
                <w:rFonts w:eastAsia="宋体"/>
                <w:sz w:val="21"/>
                <w:szCs w:val="21"/>
              </w:rPr>
              <w:t>的测定 玻璃电极法</w:t>
            </w:r>
          </w:p>
          <w:p>
            <w:pPr>
              <w:pStyle w:val="56"/>
              <w:widowControl/>
              <w:overflowPunct/>
              <w:adjustRightInd/>
              <w:spacing w:before="0" w:after="0" w:line="280" w:lineRule="exact"/>
              <w:jc w:val="center"/>
              <w:textAlignment w:val="auto"/>
              <w:rPr>
                <w:szCs w:val="21"/>
              </w:rPr>
            </w:pPr>
            <w:r>
              <w:rPr>
                <w:rFonts w:eastAsia="宋体"/>
                <w:sz w:val="21"/>
                <w:szCs w:val="21"/>
              </w:rPr>
              <w:t>(GB 6920-1986)</w:t>
            </w:r>
          </w:p>
        </w:tc>
        <w:tc>
          <w:tcPr>
            <w:tcW w:w="1891" w:type="dxa"/>
            <w:tcBorders>
              <w:right w:val="single" w:color="auto" w:sz="4" w:space="0"/>
            </w:tcBorders>
            <w:vAlign w:val="center"/>
          </w:tcPr>
          <w:p>
            <w:pPr>
              <w:pStyle w:val="56"/>
              <w:widowControl/>
              <w:overflowPunct/>
              <w:adjustRightInd/>
              <w:spacing w:before="0" w:after="0" w:line="280" w:lineRule="exact"/>
              <w:jc w:val="center"/>
              <w:textAlignment w:val="auto"/>
              <w:rPr>
                <w:szCs w:val="21"/>
              </w:rPr>
            </w:pPr>
            <w:r>
              <w:rPr>
                <w:rFonts w:eastAsia="宋体"/>
                <w:sz w:val="21"/>
                <w:szCs w:val="21"/>
              </w:rPr>
              <w:t>FE20KpH计，</w:t>
            </w:r>
            <w:r>
              <w:rPr>
                <w:rFonts w:hint="eastAsia" w:eastAsia="宋体"/>
                <w:sz w:val="21"/>
                <w:szCs w:val="21"/>
              </w:rPr>
              <w:t>JKFX-016</w:t>
            </w:r>
          </w:p>
        </w:tc>
        <w:tc>
          <w:tcPr>
            <w:tcW w:w="1256" w:type="dxa"/>
            <w:tcBorders>
              <w:left w:val="single" w:color="auto" w:sz="4" w:space="0"/>
            </w:tcBorders>
            <w:vAlign w:val="center"/>
          </w:tcPr>
          <w:p>
            <w:pPr>
              <w:pStyle w:val="56"/>
              <w:widowControl/>
              <w:overflowPunct/>
              <w:adjustRightInd/>
              <w:spacing w:before="0" w:after="0" w:line="280" w:lineRule="exact"/>
              <w:jc w:val="center"/>
              <w:textAlignment w:val="auto"/>
              <w:rPr>
                <w:rFonts w:hint="eastAsia" w:eastAsia="宋体"/>
                <w:sz w:val="21"/>
                <w:szCs w:val="21"/>
                <w:lang w:val="en-US" w:eastAsia="zh-CN"/>
              </w:rPr>
            </w:pPr>
            <w:r>
              <w:rPr>
                <w:rFonts w:hint="eastAsia" w:eastAsia="宋体"/>
                <w:sz w:val="21"/>
                <w:szCs w:val="21"/>
                <w:lang w:val="en-US" w:eastAsia="zh-CN"/>
              </w:rPr>
              <w:t>0.01</w:t>
            </w:r>
          </w:p>
          <w:p>
            <w:pPr>
              <w:pStyle w:val="56"/>
              <w:widowControl/>
              <w:overflowPunct/>
              <w:adjustRightInd/>
              <w:spacing w:before="0" w:after="0" w:line="280" w:lineRule="exact"/>
              <w:jc w:val="center"/>
              <w:textAlignment w:val="auto"/>
              <w:rPr>
                <w:rFonts w:hint="eastAsia" w:eastAsia="宋体"/>
                <w:sz w:val="21"/>
                <w:szCs w:val="21"/>
                <w:lang w:val="en-US" w:eastAsia="zh-CN"/>
              </w:rPr>
            </w:pPr>
            <w:r>
              <w:rPr>
                <w:rFonts w:hint="eastAsia" w:eastAsia="宋体"/>
                <w:sz w:val="21"/>
                <w:szCs w:val="21"/>
                <w:lang w:val="en-US" w:eastAsia="zh-CN"/>
              </w:rPr>
              <w:t>（无量纲）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rFonts w:hint="eastAsia"/>
                <w:szCs w:val="21"/>
              </w:rPr>
            </w:pPr>
            <w:r>
              <w:rPr>
                <w:rFonts w:hint="eastAsia"/>
                <w:szCs w:val="21"/>
              </w:rPr>
              <w:t>化学</w:t>
            </w:r>
          </w:p>
          <w:p>
            <w:pPr>
              <w:jc w:val="center"/>
              <w:rPr>
                <w:szCs w:val="21"/>
              </w:rPr>
            </w:pPr>
            <w:r>
              <w:rPr>
                <w:rFonts w:hint="eastAsia"/>
                <w:szCs w:val="21"/>
              </w:rPr>
              <w:t>需氧量</w:t>
            </w:r>
          </w:p>
        </w:tc>
        <w:tc>
          <w:tcPr>
            <w:tcW w:w="3930" w:type="dxa"/>
            <w:vAlign w:val="center"/>
          </w:tcPr>
          <w:p>
            <w:pPr>
              <w:jc w:val="center"/>
              <w:rPr>
                <w:szCs w:val="21"/>
              </w:rPr>
            </w:pPr>
            <w:r>
              <w:rPr>
                <w:szCs w:val="21"/>
              </w:rPr>
              <w:t>水质 化学需氧量的测定 重铬酸盐法(HJ828-2017)</w:t>
            </w:r>
          </w:p>
        </w:tc>
        <w:tc>
          <w:tcPr>
            <w:tcW w:w="1891" w:type="dxa"/>
            <w:tcBorders>
              <w:right w:val="single" w:color="auto" w:sz="4" w:space="0"/>
            </w:tcBorders>
            <w:vAlign w:val="center"/>
          </w:tcPr>
          <w:p>
            <w:pPr>
              <w:jc w:val="center"/>
              <w:rPr>
                <w:szCs w:val="21"/>
              </w:rPr>
            </w:pPr>
            <w:r>
              <w:rPr>
                <w:rFonts w:hint="eastAsia"/>
                <w:color w:val="000000"/>
                <w:szCs w:val="21"/>
              </w:rPr>
              <w:t>KHCOD-8K</w:t>
            </w:r>
            <w:r>
              <w:rPr>
                <w:color w:val="000000"/>
                <w:szCs w:val="21"/>
              </w:rPr>
              <w:t>消解器，</w:t>
            </w:r>
            <w:r>
              <w:rPr>
                <w:rFonts w:hint="eastAsia"/>
                <w:color w:val="000000"/>
                <w:szCs w:val="21"/>
              </w:rPr>
              <w:t>JKFX-FZ-013</w:t>
            </w:r>
          </w:p>
        </w:tc>
        <w:tc>
          <w:tcPr>
            <w:tcW w:w="1256" w:type="dxa"/>
            <w:tcBorders>
              <w:left w:val="single" w:color="auto" w:sz="4" w:space="0"/>
            </w:tcBorders>
            <w:vAlign w:val="center"/>
          </w:tcPr>
          <w:p>
            <w:pPr>
              <w:jc w:val="center"/>
              <w:rPr>
                <w:color w:val="000000"/>
                <w:szCs w:val="21"/>
              </w:rPr>
            </w:pPr>
            <w:r>
              <w:rPr>
                <w:rFonts w:hint="eastAsia" w:cs="Times New Roman"/>
                <w:b w:val="0"/>
                <w:bCs/>
                <w:sz w:val="21"/>
                <w:szCs w:val="21"/>
                <w:vertAlign w:val="baseline"/>
                <w:lang w:val="en-US" w:eastAsia="zh-CN"/>
              </w:rPr>
              <w:t>4</w:t>
            </w:r>
            <w:r>
              <w:rPr>
                <w:rFonts w:hint="default" w:ascii="Times New Roman" w:hAnsi="Times New Roman" w:eastAsia="宋体" w:cs="Times New Roman"/>
                <w:b w:val="0"/>
                <w:bCs/>
                <w:sz w:val="21"/>
                <w:szCs w:val="21"/>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五日生化</w:t>
            </w:r>
          </w:p>
          <w:p>
            <w:pPr>
              <w:jc w:val="center"/>
              <w:rPr>
                <w:szCs w:val="21"/>
              </w:rPr>
            </w:pPr>
            <w:r>
              <w:rPr>
                <w:rFonts w:hint="eastAsia"/>
                <w:szCs w:val="21"/>
              </w:rPr>
              <w:t>需氧量</w:t>
            </w:r>
          </w:p>
        </w:tc>
        <w:tc>
          <w:tcPr>
            <w:tcW w:w="3930" w:type="dxa"/>
            <w:vAlign w:val="center"/>
          </w:tcPr>
          <w:p>
            <w:pPr>
              <w:pStyle w:val="56"/>
              <w:spacing w:before="0" w:after="0" w:line="240" w:lineRule="auto"/>
              <w:jc w:val="center"/>
              <w:rPr>
                <w:rFonts w:eastAsia="宋体"/>
                <w:sz w:val="21"/>
                <w:szCs w:val="21"/>
              </w:rPr>
            </w:pPr>
            <w:r>
              <w:rPr>
                <w:rFonts w:eastAsia="宋体"/>
                <w:sz w:val="21"/>
                <w:szCs w:val="21"/>
              </w:rPr>
              <w:t>水质 五日生化需氧量(BOD</w:t>
            </w:r>
            <w:r>
              <w:rPr>
                <w:rFonts w:eastAsia="宋体"/>
                <w:sz w:val="21"/>
                <w:szCs w:val="21"/>
                <w:vertAlign w:val="subscript"/>
              </w:rPr>
              <w:t>5</w:t>
            </w:r>
            <w:r>
              <w:rPr>
                <w:rFonts w:eastAsia="宋体"/>
                <w:sz w:val="21"/>
                <w:szCs w:val="21"/>
              </w:rPr>
              <w:t>)的测定</w:t>
            </w:r>
          </w:p>
          <w:p>
            <w:pPr>
              <w:pStyle w:val="56"/>
              <w:spacing w:before="0" w:after="0" w:line="240" w:lineRule="auto"/>
              <w:jc w:val="center"/>
              <w:rPr>
                <w:szCs w:val="21"/>
              </w:rPr>
            </w:pPr>
            <w:r>
              <w:rPr>
                <w:rFonts w:eastAsia="宋体"/>
                <w:sz w:val="21"/>
                <w:szCs w:val="21"/>
              </w:rPr>
              <w:t>稀释与接种法(HJ505-2009)</w:t>
            </w:r>
          </w:p>
        </w:tc>
        <w:tc>
          <w:tcPr>
            <w:tcW w:w="1891" w:type="dxa"/>
            <w:tcBorders>
              <w:right w:val="single" w:color="auto" w:sz="4" w:space="0"/>
            </w:tcBorders>
            <w:vAlign w:val="center"/>
          </w:tcPr>
          <w:p>
            <w:pPr>
              <w:pStyle w:val="56"/>
              <w:spacing w:before="0" w:after="0" w:line="240" w:lineRule="auto"/>
              <w:jc w:val="center"/>
              <w:rPr>
                <w:rFonts w:eastAsia="宋体"/>
                <w:spacing w:val="-5"/>
                <w:sz w:val="21"/>
                <w:szCs w:val="21"/>
              </w:rPr>
            </w:pPr>
            <w:r>
              <w:rPr>
                <w:rFonts w:eastAsia="宋体"/>
                <w:spacing w:val="-5"/>
                <w:sz w:val="21"/>
                <w:szCs w:val="21"/>
              </w:rPr>
              <w:t>LRH-150F</w:t>
            </w:r>
          </w:p>
          <w:p>
            <w:pPr>
              <w:pStyle w:val="56"/>
              <w:spacing w:before="0" w:after="0" w:line="240" w:lineRule="auto"/>
              <w:jc w:val="center"/>
              <w:rPr>
                <w:szCs w:val="21"/>
              </w:rPr>
            </w:pPr>
            <w:r>
              <w:rPr>
                <w:rFonts w:eastAsia="宋体"/>
                <w:spacing w:val="-5"/>
                <w:sz w:val="21"/>
                <w:szCs w:val="21"/>
              </w:rPr>
              <w:t>生化培养箱，</w:t>
            </w:r>
            <w:r>
              <w:rPr>
                <w:rFonts w:hint="eastAsia" w:eastAsia="宋体"/>
                <w:spacing w:val="-5"/>
                <w:sz w:val="21"/>
                <w:szCs w:val="21"/>
              </w:rPr>
              <w:t>JKFX-023</w:t>
            </w:r>
          </w:p>
        </w:tc>
        <w:tc>
          <w:tcPr>
            <w:tcW w:w="1256" w:type="dxa"/>
            <w:tcBorders>
              <w:left w:val="single" w:color="auto" w:sz="4" w:space="0"/>
            </w:tcBorders>
            <w:vAlign w:val="center"/>
          </w:tcPr>
          <w:p>
            <w:pPr>
              <w:pStyle w:val="56"/>
              <w:spacing w:before="0" w:after="0" w:line="240" w:lineRule="auto"/>
              <w:jc w:val="center"/>
              <w:rPr>
                <w:rFonts w:eastAsia="宋体"/>
                <w:spacing w:val="-5"/>
                <w:sz w:val="21"/>
                <w:szCs w:val="21"/>
              </w:rPr>
            </w:pPr>
            <w:r>
              <w:rPr>
                <w:rFonts w:hint="eastAsia" w:eastAsia="宋体" w:cs="Times New Roman"/>
                <w:b w:val="0"/>
                <w:bCs/>
                <w:sz w:val="21"/>
                <w:szCs w:val="21"/>
                <w:vertAlign w:val="baseline"/>
                <w:lang w:val="en-US" w:eastAsia="zh-CN"/>
              </w:rPr>
              <w:t>0.</w:t>
            </w:r>
            <w:r>
              <w:rPr>
                <w:rFonts w:hint="default" w:ascii="Times New Roman" w:hAnsi="Times New Roman" w:eastAsia="宋体" w:cs="Times New Roman"/>
                <w:b w:val="0"/>
                <w:bCs/>
                <w:sz w:val="21"/>
                <w:szCs w:val="21"/>
                <w:vertAlign w:val="baseline"/>
                <w:lang w:val="en-US" w:eastAsia="zh-CN"/>
              </w:rPr>
              <w:t>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氨氮</w:t>
            </w:r>
          </w:p>
        </w:tc>
        <w:tc>
          <w:tcPr>
            <w:tcW w:w="3930" w:type="dxa"/>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水质 氨氮的测定 纳氏试剂分光光度法</w:t>
            </w:r>
          </w:p>
          <w:p>
            <w:pPr>
              <w:pStyle w:val="56"/>
              <w:widowControl/>
              <w:overflowPunct/>
              <w:adjustRightInd/>
              <w:spacing w:before="0" w:after="0" w:line="280" w:lineRule="exact"/>
              <w:jc w:val="center"/>
              <w:textAlignment w:val="auto"/>
              <w:rPr>
                <w:szCs w:val="21"/>
              </w:rPr>
            </w:pPr>
            <w:r>
              <w:rPr>
                <w:rFonts w:eastAsia="宋体"/>
                <w:sz w:val="21"/>
                <w:szCs w:val="21"/>
              </w:rPr>
              <w:t>(HJ 535-2009)</w:t>
            </w:r>
          </w:p>
        </w:tc>
        <w:tc>
          <w:tcPr>
            <w:tcW w:w="1891" w:type="dxa"/>
            <w:tcBorders>
              <w:righ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UV-5100紫外</w:t>
            </w:r>
          </w:p>
          <w:p>
            <w:pPr>
              <w:pStyle w:val="56"/>
              <w:widowControl/>
              <w:overflowPunct/>
              <w:adjustRightInd/>
              <w:spacing w:before="0" w:after="0" w:line="280" w:lineRule="exact"/>
              <w:jc w:val="center"/>
              <w:textAlignment w:val="auto"/>
              <w:rPr>
                <w:szCs w:val="21"/>
              </w:rPr>
            </w:pPr>
            <w:r>
              <w:rPr>
                <w:rFonts w:eastAsia="宋体"/>
                <w:sz w:val="21"/>
                <w:szCs w:val="21"/>
              </w:rPr>
              <w:t>可见分光光度计，</w:t>
            </w:r>
            <w:r>
              <w:rPr>
                <w:rFonts w:hint="eastAsia" w:eastAsia="宋体"/>
                <w:sz w:val="21"/>
                <w:szCs w:val="21"/>
              </w:rPr>
              <w:t>JKFX-010</w:t>
            </w:r>
          </w:p>
        </w:tc>
        <w:tc>
          <w:tcPr>
            <w:tcW w:w="1256" w:type="dxa"/>
            <w:tcBorders>
              <w:lef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hint="default" w:ascii="Times New Roman" w:hAnsi="Times New Roman" w:eastAsia="宋体" w:cs="Times New Roman"/>
                <w:b w:val="0"/>
                <w:bCs/>
                <w:sz w:val="21"/>
                <w:szCs w:val="21"/>
                <w:vertAlign w:val="baseline"/>
                <w:lang w:val="en-US" w:eastAsia="zh-CN"/>
              </w:rPr>
              <w:t>0.025mg/L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动植物油</w:t>
            </w:r>
          </w:p>
        </w:tc>
        <w:tc>
          <w:tcPr>
            <w:tcW w:w="3930" w:type="dxa"/>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 xml:space="preserve">水质 石油类和动植物油的测定 </w:t>
            </w:r>
          </w:p>
          <w:p>
            <w:pPr>
              <w:pStyle w:val="56"/>
              <w:widowControl/>
              <w:overflowPunct/>
              <w:adjustRightInd/>
              <w:spacing w:before="0" w:after="0" w:line="280" w:lineRule="exact"/>
              <w:jc w:val="center"/>
              <w:textAlignment w:val="auto"/>
              <w:rPr>
                <w:szCs w:val="21"/>
              </w:rPr>
            </w:pPr>
            <w:r>
              <w:rPr>
                <w:rFonts w:eastAsia="宋体"/>
                <w:sz w:val="21"/>
                <w:szCs w:val="21"/>
              </w:rPr>
              <w:t>红外分光光度法(HJ637-2012)</w:t>
            </w:r>
          </w:p>
        </w:tc>
        <w:tc>
          <w:tcPr>
            <w:tcW w:w="1891" w:type="dxa"/>
            <w:tcBorders>
              <w:righ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MAI-50G红外</w:t>
            </w:r>
          </w:p>
          <w:p>
            <w:pPr>
              <w:pStyle w:val="56"/>
              <w:widowControl/>
              <w:overflowPunct/>
              <w:adjustRightInd/>
              <w:spacing w:before="0" w:after="0" w:line="280" w:lineRule="exact"/>
              <w:jc w:val="center"/>
              <w:textAlignment w:val="auto"/>
              <w:rPr>
                <w:szCs w:val="21"/>
              </w:rPr>
            </w:pPr>
            <w:r>
              <w:rPr>
                <w:rFonts w:eastAsia="宋体"/>
                <w:sz w:val="21"/>
                <w:szCs w:val="21"/>
              </w:rPr>
              <w:t>测油仪，</w:t>
            </w:r>
            <w:r>
              <w:rPr>
                <w:rFonts w:hint="eastAsia" w:eastAsia="宋体"/>
                <w:sz w:val="21"/>
                <w:szCs w:val="21"/>
              </w:rPr>
              <w:t>JKFX-009</w:t>
            </w:r>
          </w:p>
        </w:tc>
        <w:tc>
          <w:tcPr>
            <w:tcW w:w="1256" w:type="dxa"/>
            <w:tcBorders>
              <w:lef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hint="default" w:ascii="Times New Roman" w:hAnsi="Times New Roman" w:eastAsia="宋体" w:cs="Times New Roman"/>
                <w:b w:val="0"/>
                <w:bCs/>
                <w:sz w:val="21"/>
                <w:szCs w:val="21"/>
                <w:vertAlign w:val="baseline"/>
                <w:lang w:val="en-US" w:eastAsia="zh-CN"/>
              </w:rPr>
              <w:t>0.01mg/L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总余氯</w:t>
            </w:r>
          </w:p>
        </w:tc>
        <w:tc>
          <w:tcPr>
            <w:tcW w:w="3930" w:type="dxa"/>
            <w:vAlign w:val="center"/>
          </w:tcPr>
          <w:p>
            <w:pPr>
              <w:spacing w:line="260" w:lineRule="exact"/>
              <w:jc w:val="center"/>
              <w:rPr>
                <w:szCs w:val="21"/>
              </w:rPr>
            </w:pPr>
            <w:r>
              <w:rPr>
                <w:rFonts w:hint="eastAsia"/>
                <w:color w:val="auto"/>
                <w:szCs w:val="21"/>
              </w:rPr>
              <w:t>生活饮用水标准</w:t>
            </w:r>
            <w:r>
              <w:rPr>
                <w:rFonts w:hint="eastAsia"/>
                <w:szCs w:val="21"/>
              </w:rPr>
              <w:t>检验方法 消毒剂指标</w:t>
            </w:r>
          </w:p>
          <w:p>
            <w:pPr>
              <w:spacing w:line="260" w:lineRule="exact"/>
              <w:jc w:val="center"/>
              <w:rPr>
                <w:szCs w:val="21"/>
              </w:rPr>
            </w:pPr>
            <w:r>
              <w:rPr>
                <w:rFonts w:hint="eastAsia"/>
                <w:szCs w:val="21"/>
              </w:rPr>
              <w:t>(3 氯胺 DPD分光光度法)</w:t>
            </w:r>
          </w:p>
          <w:p>
            <w:pPr>
              <w:spacing w:line="260" w:lineRule="exact"/>
              <w:jc w:val="center"/>
              <w:rPr>
                <w:szCs w:val="21"/>
              </w:rPr>
            </w:pPr>
            <w:r>
              <w:rPr>
                <w:rFonts w:hint="eastAsia"/>
                <w:szCs w:val="21"/>
              </w:rPr>
              <w:t>(GB/T 5750.11-2006)</w:t>
            </w:r>
          </w:p>
        </w:tc>
        <w:tc>
          <w:tcPr>
            <w:tcW w:w="1891" w:type="dxa"/>
            <w:tcBorders>
              <w:right w:val="single" w:color="auto" w:sz="4" w:space="0"/>
            </w:tcBorders>
            <w:vAlign w:val="center"/>
          </w:tcPr>
          <w:p>
            <w:pPr>
              <w:spacing w:line="260" w:lineRule="exact"/>
              <w:jc w:val="center"/>
              <w:rPr>
                <w:szCs w:val="21"/>
              </w:rPr>
            </w:pPr>
            <w:r>
              <w:rPr>
                <w:szCs w:val="21"/>
              </w:rPr>
              <w:t>50ml滴定管</w:t>
            </w:r>
          </w:p>
        </w:tc>
        <w:tc>
          <w:tcPr>
            <w:tcW w:w="1256" w:type="dxa"/>
            <w:tcBorders>
              <w:left w:val="single" w:color="auto" w:sz="4" w:space="0"/>
            </w:tcBorders>
            <w:vAlign w:val="center"/>
          </w:tcPr>
          <w:p>
            <w:pPr>
              <w:spacing w:line="260" w:lineRule="exact"/>
              <w:jc w:val="center"/>
              <w:rPr>
                <w:szCs w:val="21"/>
              </w:rPr>
            </w:pPr>
            <w:r>
              <w:rPr>
                <w:rFonts w:hint="eastAsia"/>
                <w:szCs w:val="21"/>
                <w:lang w:val="en-US" w:eastAsia="zh-CN"/>
              </w:rPr>
              <w:t>0.02mg/L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色度</w:t>
            </w:r>
          </w:p>
        </w:tc>
        <w:tc>
          <w:tcPr>
            <w:tcW w:w="3930" w:type="dxa"/>
            <w:vAlign w:val="center"/>
          </w:tcPr>
          <w:p>
            <w:pPr>
              <w:jc w:val="center"/>
              <w:rPr>
                <w:szCs w:val="21"/>
              </w:rPr>
            </w:pPr>
            <w:r>
              <w:rPr>
                <w:szCs w:val="21"/>
              </w:rPr>
              <w:t>水质 色度的测定</w:t>
            </w:r>
          </w:p>
          <w:p>
            <w:pPr>
              <w:jc w:val="center"/>
              <w:rPr>
                <w:szCs w:val="21"/>
              </w:rPr>
            </w:pPr>
            <w:r>
              <w:rPr>
                <w:rFonts w:hint="eastAsia"/>
                <w:szCs w:val="21"/>
              </w:rPr>
              <w:t>稀释倍数法</w:t>
            </w:r>
            <w:r>
              <w:rPr>
                <w:szCs w:val="21"/>
              </w:rPr>
              <w:t>(GB</w:t>
            </w:r>
            <w:r>
              <w:rPr>
                <w:rFonts w:hint="eastAsia"/>
                <w:szCs w:val="21"/>
                <w:lang w:val="en-US" w:eastAsia="zh-CN"/>
              </w:rPr>
              <w:t xml:space="preserve"> </w:t>
            </w:r>
            <w:r>
              <w:rPr>
                <w:szCs w:val="21"/>
              </w:rPr>
              <w:t>11903-1989)</w:t>
            </w:r>
          </w:p>
        </w:tc>
        <w:tc>
          <w:tcPr>
            <w:tcW w:w="1891" w:type="dxa"/>
            <w:tcBorders>
              <w:right w:val="single" w:color="auto" w:sz="4" w:space="0"/>
            </w:tcBorders>
            <w:vAlign w:val="center"/>
          </w:tcPr>
          <w:p>
            <w:pPr>
              <w:jc w:val="center"/>
              <w:rPr>
                <w:szCs w:val="21"/>
              </w:rPr>
            </w:pPr>
            <w:r>
              <w:rPr>
                <w:color w:val="000000"/>
                <w:szCs w:val="21"/>
              </w:rPr>
              <w:t>10mL比色管</w:t>
            </w:r>
          </w:p>
        </w:tc>
        <w:tc>
          <w:tcPr>
            <w:tcW w:w="1256" w:type="dxa"/>
            <w:tcBorders>
              <w:left w:val="single" w:color="auto" w:sz="4" w:space="0"/>
            </w:tcBorders>
            <w:vAlign w:val="center"/>
          </w:tcPr>
          <w:p>
            <w:pPr>
              <w:jc w:val="center"/>
              <w:rPr>
                <w:color w:val="000000"/>
                <w:szCs w:val="21"/>
              </w:rPr>
            </w:pPr>
            <w:r>
              <w:rPr>
                <w:rFonts w:hint="eastAsia" w:cs="Times New Roman"/>
                <w:b w:val="0"/>
                <w:bCs/>
                <w:color w:val="auto"/>
                <w:sz w:val="21"/>
                <w:szCs w:val="21"/>
                <w:vertAlign w:val="baseline"/>
                <w:lang w:val="en-US" w:eastAsia="zh-CN"/>
              </w:rPr>
              <w:t>2倍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阴离子表面活性剂</w:t>
            </w:r>
          </w:p>
        </w:tc>
        <w:tc>
          <w:tcPr>
            <w:tcW w:w="3930" w:type="dxa"/>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水质 阴离子表面活性剂的测定</w:t>
            </w:r>
          </w:p>
          <w:p>
            <w:pPr>
              <w:pStyle w:val="56"/>
              <w:widowControl/>
              <w:overflowPunct/>
              <w:adjustRightInd/>
              <w:spacing w:before="0" w:after="0" w:line="280" w:lineRule="exact"/>
              <w:jc w:val="center"/>
              <w:textAlignment w:val="auto"/>
              <w:rPr>
                <w:szCs w:val="21"/>
              </w:rPr>
            </w:pPr>
            <w:r>
              <w:rPr>
                <w:rFonts w:eastAsia="宋体"/>
                <w:sz w:val="21"/>
                <w:szCs w:val="21"/>
              </w:rPr>
              <w:t>亚甲蓝分光光度法(GB7494-1987)</w:t>
            </w:r>
          </w:p>
        </w:tc>
        <w:tc>
          <w:tcPr>
            <w:tcW w:w="1891" w:type="dxa"/>
            <w:tcBorders>
              <w:righ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eastAsia="宋体"/>
                <w:sz w:val="21"/>
                <w:szCs w:val="21"/>
              </w:rPr>
              <w:t>UV-5100紫外</w:t>
            </w:r>
          </w:p>
          <w:p>
            <w:pPr>
              <w:pStyle w:val="56"/>
              <w:widowControl/>
              <w:overflowPunct/>
              <w:adjustRightInd/>
              <w:spacing w:before="0" w:after="0" w:line="280" w:lineRule="exact"/>
              <w:jc w:val="center"/>
              <w:textAlignment w:val="auto"/>
              <w:rPr>
                <w:szCs w:val="21"/>
              </w:rPr>
            </w:pPr>
            <w:r>
              <w:rPr>
                <w:rFonts w:eastAsia="宋体"/>
                <w:sz w:val="21"/>
                <w:szCs w:val="21"/>
              </w:rPr>
              <w:t>可见分光光度计，</w:t>
            </w:r>
            <w:r>
              <w:rPr>
                <w:rFonts w:hint="eastAsia" w:eastAsia="宋体"/>
                <w:sz w:val="21"/>
                <w:szCs w:val="21"/>
              </w:rPr>
              <w:t>JKFX-010</w:t>
            </w:r>
          </w:p>
        </w:tc>
        <w:tc>
          <w:tcPr>
            <w:tcW w:w="1256" w:type="dxa"/>
            <w:tcBorders>
              <w:left w:val="single" w:color="auto" w:sz="4" w:space="0"/>
            </w:tcBorders>
            <w:vAlign w:val="center"/>
          </w:tcPr>
          <w:p>
            <w:pPr>
              <w:pStyle w:val="56"/>
              <w:widowControl/>
              <w:overflowPunct/>
              <w:adjustRightInd/>
              <w:spacing w:before="0" w:after="0" w:line="280" w:lineRule="exact"/>
              <w:jc w:val="center"/>
              <w:textAlignment w:val="auto"/>
              <w:rPr>
                <w:rFonts w:eastAsia="宋体"/>
                <w:sz w:val="21"/>
                <w:szCs w:val="21"/>
              </w:rPr>
            </w:pPr>
            <w:r>
              <w:rPr>
                <w:rFonts w:hint="default" w:ascii="Times New Roman" w:hAnsi="Times New Roman" w:eastAsia="宋体" w:cs="Times New Roman"/>
                <w:b w:val="0"/>
                <w:bCs/>
                <w:sz w:val="21"/>
                <w:szCs w:val="21"/>
                <w:vertAlign w:val="baseline"/>
                <w:lang w:val="en-US" w:eastAsia="zh-CN"/>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挥发酚</w:t>
            </w:r>
          </w:p>
        </w:tc>
        <w:tc>
          <w:tcPr>
            <w:tcW w:w="3930" w:type="dxa"/>
            <w:vAlign w:val="center"/>
          </w:tcPr>
          <w:p>
            <w:pPr>
              <w:jc w:val="center"/>
              <w:rPr>
                <w:szCs w:val="21"/>
              </w:rPr>
            </w:pPr>
            <w:r>
              <w:rPr>
                <w:szCs w:val="21"/>
              </w:rPr>
              <w:t xml:space="preserve">水质 挥发酚的测定 </w:t>
            </w:r>
          </w:p>
          <w:p>
            <w:pPr>
              <w:jc w:val="center"/>
              <w:rPr>
                <w:szCs w:val="21"/>
              </w:rPr>
            </w:pPr>
            <w:r>
              <w:rPr>
                <w:szCs w:val="21"/>
              </w:rPr>
              <w:t>4-氨基安替比林分光光度法(HJ503-2009)</w:t>
            </w:r>
          </w:p>
        </w:tc>
        <w:tc>
          <w:tcPr>
            <w:tcW w:w="1891" w:type="dxa"/>
            <w:tcBorders>
              <w:right w:val="single" w:color="auto" w:sz="4" w:space="0"/>
            </w:tcBorders>
            <w:vAlign w:val="center"/>
          </w:tcPr>
          <w:p>
            <w:pPr>
              <w:jc w:val="center"/>
              <w:rPr>
                <w:szCs w:val="21"/>
              </w:rPr>
            </w:pPr>
            <w:r>
              <w:rPr>
                <w:szCs w:val="21"/>
              </w:rPr>
              <w:t>UV-5100紫外</w:t>
            </w:r>
          </w:p>
          <w:p>
            <w:pPr>
              <w:jc w:val="center"/>
              <w:rPr>
                <w:szCs w:val="21"/>
              </w:rPr>
            </w:pPr>
            <w:r>
              <w:rPr>
                <w:szCs w:val="21"/>
              </w:rPr>
              <w:t>可见分光光度计，</w:t>
            </w:r>
            <w:r>
              <w:rPr>
                <w:rFonts w:hint="eastAsia"/>
                <w:szCs w:val="21"/>
              </w:rPr>
              <w:t>JKFX-010</w:t>
            </w:r>
          </w:p>
        </w:tc>
        <w:tc>
          <w:tcPr>
            <w:tcW w:w="1256" w:type="dxa"/>
            <w:tcBorders>
              <w:left w:val="single" w:color="auto" w:sz="4" w:space="0"/>
            </w:tcBorders>
            <w:vAlign w:val="center"/>
          </w:tcPr>
          <w:p>
            <w:pPr>
              <w:jc w:val="center"/>
              <w:rPr>
                <w:szCs w:val="21"/>
              </w:rPr>
            </w:pPr>
            <w:r>
              <w:rPr>
                <w:rFonts w:hint="default" w:ascii="Times New Roman" w:hAnsi="Times New Roman" w:eastAsia="宋体" w:cs="Times New Roman"/>
                <w:b w:val="0"/>
                <w:bCs/>
                <w:sz w:val="21"/>
                <w:szCs w:val="21"/>
                <w:vertAlign w:val="baseline"/>
                <w:lang w:val="en-US" w:eastAsia="zh-CN"/>
              </w:rPr>
              <w:t>0.0003mg/L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Merge w:val="continue"/>
            <w:vAlign w:val="center"/>
          </w:tcPr>
          <w:p>
            <w:pPr>
              <w:jc w:val="center"/>
              <w:rPr>
                <w:szCs w:val="21"/>
              </w:rPr>
            </w:pPr>
          </w:p>
        </w:tc>
        <w:tc>
          <w:tcPr>
            <w:tcW w:w="1125" w:type="dxa"/>
            <w:vAlign w:val="center"/>
          </w:tcPr>
          <w:p>
            <w:pPr>
              <w:jc w:val="center"/>
              <w:rPr>
                <w:szCs w:val="21"/>
              </w:rPr>
            </w:pPr>
            <w:r>
              <w:rPr>
                <w:rFonts w:hint="eastAsia"/>
                <w:szCs w:val="21"/>
              </w:rPr>
              <w:t>悬浮物</w:t>
            </w:r>
          </w:p>
        </w:tc>
        <w:tc>
          <w:tcPr>
            <w:tcW w:w="3930" w:type="dxa"/>
            <w:vAlign w:val="center"/>
          </w:tcPr>
          <w:p>
            <w:pPr>
              <w:jc w:val="center"/>
              <w:rPr>
                <w:szCs w:val="21"/>
              </w:rPr>
            </w:pPr>
            <w:r>
              <w:rPr>
                <w:szCs w:val="21"/>
              </w:rPr>
              <w:t>水质 悬浮物的测定 重量法(GB11901-1989)</w:t>
            </w:r>
          </w:p>
        </w:tc>
        <w:tc>
          <w:tcPr>
            <w:tcW w:w="1891" w:type="dxa"/>
            <w:tcBorders>
              <w:right w:val="single" w:color="auto" w:sz="4" w:space="0"/>
            </w:tcBorders>
            <w:vAlign w:val="center"/>
          </w:tcPr>
          <w:p>
            <w:pPr>
              <w:jc w:val="center"/>
              <w:rPr>
                <w:szCs w:val="21"/>
              </w:rPr>
            </w:pPr>
            <w:r>
              <w:rPr>
                <w:spacing w:val="-5"/>
                <w:kern w:val="0"/>
                <w:szCs w:val="21"/>
              </w:rPr>
              <w:t>LE204E电子天平，</w:t>
            </w:r>
            <w:r>
              <w:rPr>
                <w:rFonts w:hint="eastAsia"/>
                <w:spacing w:val="-5"/>
                <w:kern w:val="0"/>
                <w:szCs w:val="21"/>
              </w:rPr>
              <w:t>JKFX-013</w:t>
            </w:r>
          </w:p>
        </w:tc>
        <w:tc>
          <w:tcPr>
            <w:tcW w:w="1256" w:type="dxa"/>
            <w:tcBorders>
              <w:left w:val="single" w:color="auto" w:sz="4" w:space="0"/>
            </w:tcBorders>
            <w:vAlign w:val="center"/>
          </w:tcPr>
          <w:p>
            <w:pPr>
              <w:jc w:val="center"/>
              <w:rPr>
                <w:spacing w:val="-5"/>
                <w:kern w:val="0"/>
                <w:szCs w:val="21"/>
              </w:rPr>
            </w:pPr>
            <w:r>
              <w:rPr>
                <w:rFonts w:hint="eastAsia" w:eastAsia="宋体" w:cs="Times New Roman"/>
                <w:b w:val="0"/>
                <w:bCs/>
                <w:sz w:val="21"/>
                <w:szCs w:val="21"/>
                <w:vertAlign w:val="baseline"/>
                <w:lang w:val="en-US" w:eastAsia="zh-CN"/>
              </w:rPr>
              <w:t>4</w:t>
            </w:r>
            <w:r>
              <w:rPr>
                <w:rFonts w:hint="default" w:ascii="Times New Roman" w:hAnsi="Times New Roman" w:eastAsia="宋体" w:cs="Times New Roman"/>
                <w:b w:val="0"/>
                <w:bCs/>
                <w:sz w:val="21"/>
                <w:szCs w:val="21"/>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atLeast"/>
        </w:trPr>
        <w:tc>
          <w:tcPr>
            <w:tcW w:w="729" w:type="dxa"/>
            <w:vAlign w:val="center"/>
          </w:tcPr>
          <w:p>
            <w:pPr>
              <w:jc w:val="center"/>
              <w:rPr>
                <w:color w:val="000099"/>
                <w:szCs w:val="21"/>
              </w:rPr>
            </w:pPr>
            <w:r>
              <w:rPr>
                <w:szCs w:val="21"/>
              </w:rPr>
              <w:t>噪声</w:t>
            </w:r>
          </w:p>
        </w:tc>
        <w:tc>
          <w:tcPr>
            <w:tcW w:w="1125" w:type="dxa"/>
            <w:vAlign w:val="center"/>
          </w:tcPr>
          <w:p>
            <w:pPr>
              <w:jc w:val="center"/>
              <w:rPr>
                <w:spacing w:val="-6"/>
                <w:szCs w:val="21"/>
              </w:rPr>
            </w:pPr>
            <w:r>
              <w:rPr>
                <w:spacing w:val="-6"/>
                <w:szCs w:val="21"/>
              </w:rPr>
              <w:t>厂界环境</w:t>
            </w:r>
          </w:p>
          <w:p>
            <w:pPr>
              <w:jc w:val="center"/>
              <w:rPr>
                <w:szCs w:val="21"/>
              </w:rPr>
            </w:pPr>
            <w:r>
              <w:rPr>
                <w:spacing w:val="-6"/>
                <w:szCs w:val="21"/>
              </w:rPr>
              <w:t>噪声</w:t>
            </w:r>
          </w:p>
        </w:tc>
        <w:tc>
          <w:tcPr>
            <w:tcW w:w="3930" w:type="dxa"/>
            <w:vAlign w:val="center"/>
          </w:tcPr>
          <w:p>
            <w:pPr>
              <w:jc w:val="center"/>
              <w:rPr>
                <w:spacing w:val="-6"/>
                <w:szCs w:val="21"/>
              </w:rPr>
            </w:pPr>
            <w:r>
              <w:rPr>
                <w:spacing w:val="-6"/>
                <w:szCs w:val="21"/>
              </w:rPr>
              <w:t>工业企业厂界环境噪声排放标准</w:t>
            </w:r>
          </w:p>
          <w:p>
            <w:pPr>
              <w:jc w:val="center"/>
              <w:rPr>
                <w:szCs w:val="21"/>
              </w:rPr>
            </w:pPr>
            <w:r>
              <w:rPr>
                <w:szCs w:val="21"/>
              </w:rPr>
              <w:t>（GB</w:t>
            </w:r>
            <w:r>
              <w:rPr>
                <w:rFonts w:hint="eastAsia"/>
                <w:szCs w:val="21"/>
              </w:rPr>
              <w:t xml:space="preserve"> </w:t>
            </w:r>
            <w:r>
              <w:rPr>
                <w:szCs w:val="21"/>
              </w:rPr>
              <w:t>12348-2008）</w:t>
            </w:r>
          </w:p>
        </w:tc>
        <w:tc>
          <w:tcPr>
            <w:tcW w:w="1891" w:type="dxa"/>
            <w:tcBorders>
              <w:right w:val="single" w:color="auto" w:sz="4" w:space="0"/>
            </w:tcBorders>
            <w:vAlign w:val="center"/>
          </w:tcPr>
          <w:p>
            <w:pPr>
              <w:jc w:val="center"/>
              <w:rPr>
                <w:szCs w:val="21"/>
              </w:rPr>
            </w:pPr>
            <w:r>
              <w:rPr>
                <w:szCs w:val="21"/>
              </w:rPr>
              <w:t>AWA5680-3多功能声级计，JKJC-026</w:t>
            </w:r>
          </w:p>
        </w:tc>
        <w:tc>
          <w:tcPr>
            <w:tcW w:w="1256" w:type="dxa"/>
            <w:tcBorders>
              <w:left w:val="single" w:color="auto" w:sz="4" w:space="0"/>
            </w:tcBorders>
            <w:vAlign w:val="center"/>
          </w:tcPr>
          <w:p>
            <w:pPr>
              <w:jc w:val="center"/>
              <w:rPr>
                <w:rFonts w:hint="eastAsia" w:eastAsia="宋体"/>
                <w:szCs w:val="21"/>
                <w:lang w:val="en-US" w:eastAsia="zh-CN"/>
              </w:rPr>
            </w:pPr>
            <w:r>
              <w:rPr>
                <w:rFonts w:hint="eastAsia"/>
                <w:szCs w:val="21"/>
                <w:lang w:val="en-US" w:eastAsia="zh-CN"/>
              </w:rPr>
              <w:t>/</w:t>
            </w:r>
          </w:p>
        </w:tc>
      </w:tr>
      <w:bookmarkEnd w:id="78"/>
      <w:bookmarkEnd w:id="79"/>
    </w:tbl>
    <w:p>
      <w:pPr>
        <w:pStyle w:val="4"/>
        <w:spacing w:before="0" w:after="0" w:line="620" w:lineRule="exact"/>
        <w:rPr>
          <w:rFonts w:hint="eastAsia" w:ascii="Times New Roman" w:hAnsi="Times New Roman" w:eastAsia="宋体"/>
          <w:sz w:val="28"/>
          <w:szCs w:val="28"/>
        </w:rPr>
      </w:pPr>
      <w:bookmarkStart w:id="80" w:name="_Toc10504"/>
      <w:bookmarkStart w:id="81" w:name="_Toc22012"/>
      <w:bookmarkStart w:id="82" w:name="_Toc25846"/>
      <w:bookmarkStart w:id="83" w:name="_Toc457060376"/>
      <w:bookmarkStart w:id="84" w:name="_Toc454875028"/>
      <w:bookmarkStart w:id="85" w:name="_Toc11022"/>
      <w:bookmarkStart w:id="86" w:name="_Toc203361028"/>
      <w:bookmarkStart w:id="87" w:name="_Toc211096941"/>
      <w:bookmarkStart w:id="88" w:name="_Toc103233834"/>
      <w:bookmarkStart w:id="89" w:name="_Toc203361945"/>
      <w:bookmarkStart w:id="90" w:name="_Toc203362099"/>
      <w:bookmarkStart w:id="91" w:name="_Toc211096944"/>
      <w:r>
        <w:rPr>
          <w:rFonts w:hint="eastAsia" w:ascii="Times New Roman" w:hAnsi="Times New Roman" w:eastAsia="宋体"/>
          <w:sz w:val="28"/>
          <w:szCs w:val="28"/>
        </w:rPr>
        <w:t>8.</w:t>
      </w:r>
      <w:r>
        <w:rPr>
          <w:rFonts w:hint="eastAsia" w:ascii="Times New Roman" w:hAnsi="Times New Roman" w:eastAsia="宋体"/>
          <w:sz w:val="28"/>
          <w:szCs w:val="28"/>
          <w:lang w:val="en-US" w:eastAsia="zh-CN"/>
        </w:rPr>
        <w:t>3</w:t>
      </w:r>
      <w:r>
        <w:rPr>
          <w:rFonts w:hint="eastAsia" w:ascii="Times New Roman" w:hAnsi="Times New Roman" w:eastAsia="宋体"/>
          <w:sz w:val="28"/>
          <w:szCs w:val="28"/>
        </w:rPr>
        <w:t xml:space="preserve"> 水质监测分析过程中的质量保证和质量控制</w:t>
      </w:r>
      <w:bookmarkEnd w:id="80"/>
      <w:bookmarkEnd w:id="81"/>
      <w:bookmarkEnd w:id="82"/>
    </w:p>
    <w:p>
      <w:pPr>
        <w:adjustRightInd w:val="0"/>
        <w:snapToGrid w:val="0"/>
        <w:spacing w:line="600" w:lineRule="exact"/>
        <w:ind w:firstLine="480" w:firstLineChars="200"/>
        <w:rPr>
          <w:sz w:val="24"/>
        </w:rPr>
      </w:pPr>
      <w:r>
        <w:rPr>
          <w:sz w:val="24"/>
        </w:rPr>
        <w:t>水样的采集、运输、保存、实验室分析和数据计算的全过程均按《环境水质监测质量保证手册》（第四版）的要求进行。采样过程中应采集一定比例的平行样；实验室分析过程一般应使用标准物质、采用空白试验、平行样测定、加标回收率测定等，并对质控数据分析，附质控数据分析表。现场监测保证2名监测人员参加，监测人员均持证上岗。</w:t>
      </w:r>
    </w:p>
    <w:p>
      <w:pPr>
        <w:pStyle w:val="4"/>
        <w:spacing w:before="0" w:after="0" w:line="620" w:lineRule="exact"/>
        <w:rPr>
          <w:rFonts w:hint="eastAsia" w:ascii="Times New Roman" w:hAnsi="Times New Roman" w:eastAsia="宋体"/>
          <w:sz w:val="28"/>
          <w:szCs w:val="28"/>
        </w:rPr>
      </w:pPr>
      <w:bookmarkStart w:id="92" w:name="_Toc13599"/>
      <w:bookmarkStart w:id="93" w:name="_Toc3377"/>
      <w:bookmarkStart w:id="94" w:name="_Toc15763"/>
      <w:r>
        <w:rPr>
          <w:rFonts w:hint="eastAsia" w:ascii="Times New Roman" w:hAnsi="Times New Roman" w:eastAsia="宋体"/>
          <w:sz w:val="28"/>
          <w:szCs w:val="28"/>
        </w:rPr>
        <w:t>8.</w:t>
      </w:r>
      <w:r>
        <w:rPr>
          <w:rFonts w:hint="eastAsia" w:ascii="Times New Roman" w:hAnsi="Times New Roman" w:eastAsia="宋体"/>
          <w:sz w:val="28"/>
          <w:szCs w:val="28"/>
          <w:lang w:val="en-US" w:eastAsia="zh-CN"/>
        </w:rPr>
        <w:t>4</w:t>
      </w:r>
      <w:r>
        <w:rPr>
          <w:rFonts w:hint="eastAsia" w:ascii="Times New Roman" w:hAnsi="Times New Roman" w:eastAsia="宋体"/>
          <w:sz w:val="28"/>
          <w:szCs w:val="28"/>
        </w:rPr>
        <w:t xml:space="preserve"> 气体监测分析过程中的质量保证和质量控制</w:t>
      </w:r>
      <w:bookmarkEnd w:id="92"/>
      <w:bookmarkEnd w:id="93"/>
      <w:bookmarkEnd w:id="94"/>
    </w:p>
    <w:p>
      <w:pPr>
        <w:adjustRightInd w:val="0"/>
        <w:snapToGrid w:val="0"/>
        <w:spacing w:line="600" w:lineRule="exact"/>
        <w:ind w:firstLine="480" w:firstLineChars="200"/>
        <w:rPr>
          <w:rFonts w:hint="eastAsia"/>
          <w:sz w:val="24"/>
        </w:rPr>
      </w:pPr>
      <w:r>
        <w:rPr>
          <w:rFonts w:hint="eastAsia"/>
          <w:sz w:val="24"/>
        </w:rPr>
        <w:t>（1）尽量避免被测排放物中共存污染物对分析的交叉干扰。</w:t>
      </w:r>
    </w:p>
    <w:p>
      <w:pPr>
        <w:adjustRightInd w:val="0"/>
        <w:snapToGrid w:val="0"/>
        <w:spacing w:line="600" w:lineRule="exact"/>
        <w:ind w:firstLine="480" w:firstLineChars="200"/>
        <w:rPr>
          <w:rFonts w:hint="eastAsia"/>
          <w:sz w:val="24"/>
        </w:rPr>
      </w:pPr>
      <w:r>
        <w:rPr>
          <w:rFonts w:hint="eastAsia"/>
          <w:sz w:val="24"/>
        </w:rPr>
        <w:t>（2）被测排放物的浓度在仪器量程的有效范围（即30%～70%之间）。</w:t>
      </w:r>
    </w:p>
    <w:p>
      <w:pPr>
        <w:adjustRightInd w:val="0"/>
        <w:snapToGrid w:val="0"/>
        <w:spacing w:line="600" w:lineRule="exact"/>
        <w:ind w:firstLine="480" w:firstLineChars="200"/>
        <w:rPr>
          <w:rFonts w:hint="eastAsia"/>
          <w:sz w:val="24"/>
        </w:rPr>
      </w:pPr>
      <w:r>
        <w:rPr>
          <w:rFonts w:hint="eastAsia"/>
          <w:sz w:val="24"/>
        </w:rPr>
        <w:t>（3）烟尘采样器在进入现场前应对采样器流量计、流速计等进行校核。烟气监测（分析）仪器在测试前按监测因子分别用标准气体和流量计对其进行校核（标定），在测试时应保证其采样流量的准确。附烟气监测校核质控表。现场监测保证2名监测人员参加，监测人员均持证上岗</w:t>
      </w:r>
    </w:p>
    <w:p>
      <w:pPr>
        <w:pStyle w:val="4"/>
        <w:spacing w:before="0" w:after="0" w:line="620" w:lineRule="exact"/>
        <w:rPr>
          <w:rFonts w:hint="eastAsia" w:ascii="Times New Roman" w:hAnsi="Times New Roman" w:eastAsia="宋体"/>
          <w:sz w:val="28"/>
          <w:szCs w:val="28"/>
        </w:rPr>
      </w:pPr>
      <w:bookmarkStart w:id="95" w:name="_Toc8233"/>
      <w:bookmarkStart w:id="96" w:name="_Toc19650"/>
      <w:bookmarkStart w:id="97" w:name="_Toc28682"/>
      <w:r>
        <w:rPr>
          <w:rFonts w:hint="eastAsia" w:ascii="Times New Roman" w:hAnsi="Times New Roman" w:eastAsia="宋体"/>
          <w:sz w:val="28"/>
          <w:szCs w:val="28"/>
        </w:rPr>
        <w:t>8.</w:t>
      </w:r>
      <w:r>
        <w:rPr>
          <w:rFonts w:hint="eastAsia" w:ascii="Times New Roman" w:hAnsi="Times New Roman" w:eastAsia="宋体"/>
          <w:sz w:val="28"/>
          <w:szCs w:val="28"/>
          <w:lang w:val="en-US" w:eastAsia="zh-CN"/>
        </w:rPr>
        <w:t>5</w:t>
      </w:r>
      <w:r>
        <w:rPr>
          <w:rFonts w:hint="eastAsia" w:ascii="Times New Roman" w:hAnsi="Times New Roman" w:eastAsia="宋体"/>
          <w:sz w:val="28"/>
          <w:szCs w:val="28"/>
        </w:rPr>
        <w:t xml:space="preserve"> 噪声监测分析过程中的质量保证和质量控制</w:t>
      </w:r>
      <w:bookmarkEnd w:id="95"/>
      <w:bookmarkEnd w:id="96"/>
      <w:bookmarkEnd w:id="97"/>
    </w:p>
    <w:p>
      <w:pPr>
        <w:adjustRightInd w:val="0"/>
        <w:snapToGrid w:val="0"/>
        <w:spacing w:line="600" w:lineRule="exact"/>
        <w:ind w:firstLine="480" w:firstLineChars="200"/>
        <w:rPr>
          <w:rFonts w:hint="eastAsia"/>
          <w:sz w:val="24"/>
        </w:rPr>
      </w:pPr>
      <w:r>
        <w:rPr>
          <w:rFonts w:hint="eastAsia"/>
          <w:sz w:val="24"/>
        </w:rPr>
        <w:t>声级计在测试前后用标准发生源进行校准，测量前后仪器的灵敏度相差不大于0.5dB，若大于0.5dB测试数据无效。现场监测保证2名监测人员参加，监测人员均持证上岗。</w:t>
      </w:r>
    </w:p>
    <w:p>
      <w:pPr>
        <w:pStyle w:val="3"/>
        <w:spacing w:before="0" w:after="0" w:line="540" w:lineRule="exact"/>
        <w:rPr>
          <w:sz w:val="32"/>
          <w:szCs w:val="32"/>
        </w:rPr>
      </w:pPr>
      <w:bookmarkStart w:id="98" w:name="_Toc13764"/>
      <w:r>
        <w:rPr>
          <w:rFonts w:hint="eastAsia"/>
          <w:sz w:val="32"/>
          <w:szCs w:val="32"/>
          <w:lang w:val="en-US" w:eastAsia="zh-CN"/>
        </w:rPr>
        <w:t>9</w:t>
      </w:r>
      <w:r>
        <w:rPr>
          <w:sz w:val="32"/>
          <w:szCs w:val="32"/>
        </w:rPr>
        <w:t xml:space="preserve"> 验收监测结果与评价</w:t>
      </w:r>
      <w:bookmarkEnd w:id="83"/>
      <w:bookmarkEnd w:id="84"/>
      <w:bookmarkEnd w:id="85"/>
      <w:bookmarkEnd w:id="98"/>
    </w:p>
    <w:p>
      <w:pPr>
        <w:pStyle w:val="4"/>
        <w:spacing w:before="0" w:after="0" w:line="620" w:lineRule="exact"/>
        <w:rPr>
          <w:rFonts w:ascii="Times New Roman" w:hAnsi="Times New Roman" w:eastAsia="宋体"/>
          <w:sz w:val="28"/>
          <w:szCs w:val="28"/>
        </w:rPr>
      </w:pPr>
      <w:bookmarkStart w:id="99" w:name="_Toc22288"/>
      <w:bookmarkStart w:id="100" w:name="_Toc436932395"/>
      <w:bookmarkStart w:id="101" w:name="_Toc454875029"/>
      <w:bookmarkStart w:id="102" w:name="_Toc444181615"/>
      <w:bookmarkStart w:id="103" w:name="_Toc26009"/>
      <w:bookmarkStart w:id="104" w:name="_Toc457060377"/>
      <w:r>
        <w:rPr>
          <w:rFonts w:hint="eastAsia" w:ascii="Times New Roman" w:hAnsi="Times New Roman" w:eastAsia="宋体"/>
          <w:sz w:val="28"/>
          <w:szCs w:val="28"/>
          <w:lang w:val="en-US" w:eastAsia="zh-CN"/>
        </w:rPr>
        <w:t>9</w:t>
      </w:r>
      <w:r>
        <w:rPr>
          <w:rFonts w:ascii="Times New Roman" w:hAnsi="Times New Roman" w:eastAsia="宋体"/>
          <w:sz w:val="28"/>
          <w:szCs w:val="28"/>
        </w:rPr>
        <w:t>.1</w:t>
      </w:r>
      <w:r>
        <w:rPr>
          <w:rFonts w:hint="eastAsia" w:ascii="Times New Roman" w:hAnsi="Times New Roman" w:eastAsia="宋体"/>
          <w:sz w:val="28"/>
          <w:szCs w:val="28"/>
        </w:rPr>
        <w:t xml:space="preserve"> </w:t>
      </w:r>
      <w:r>
        <w:rPr>
          <w:rFonts w:ascii="Times New Roman" w:hAnsi="Times New Roman" w:eastAsia="宋体"/>
          <w:sz w:val="28"/>
          <w:szCs w:val="28"/>
        </w:rPr>
        <w:t>验收监测期间工况分析</w:t>
      </w:r>
      <w:bookmarkEnd w:id="99"/>
      <w:bookmarkEnd w:id="100"/>
      <w:bookmarkEnd w:id="101"/>
      <w:bookmarkEnd w:id="102"/>
      <w:bookmarkEnd w:id="103"/>
      <w:bookmarkEnd w:id="104"/>
    </w:p>
    <w:p>
      <w:pPr>
        <w:adjustRightInd w:val="0"/>
        <w:snapToGrid w:val="0"/>
        <w:spacing w:line="600" w:lineRule="exact"/>
        <w:ind w:firstLine="480" w:firstLineChars="200"/>
        <w:rPr>
          <w:color w:val="000000" w:themeColor="text1"/>
          <w:sz w:val="24"/>
        </w:rPr>
      </w:pPr>
      <w:bookmarkStart w:id="105" w:name="_Toc12815"/>
      <w:bookmarkStart w:id="106" w:name="_Toc457060378"/>
      <w:bookmarkStart w:id="107" w:name="_Toc454875030"/>
      <w:r>
        <w:rPr>
          <w:sz w:val="24"/>
        </w:rPr>
        <w:t>201</w:t>
      </w:r>
      <w:r>
        <w:rPr>
          <w:rFonts w:hint="eastAsia"/>
          <w:sz w:val="24"/>
          <w:lang w:val="en-US" w:eastAsia="zh-CN"/>
        </w:rPr>
        <w:t>8</w:t>
      </w:r>
      <w:r>
        <w:rPr>
          <w:sz w:val="24"/>
        </w:rPr>
        <w:t>年</w:t>
      </w:r>
      <w:r>
        <w:rPr>
          <w:rFonts w:hint="eastAsia"/>
          <w:sz w:val="24"/>
          <w:lang w:val="en-US" w:eastAsia="zh-CN"/>
        </w:rPr>
        <w:t>5</w:t>
      </w:r>
      <w:r>
        <w:rPr>
          <w:rFonts w:hint="eastAsia"/>
          <w:sz w:val="24"/>
        </w:rPr>
        <w:t>月</w:t>
      </w:r>
      <w:r>
        <w:rPr>
          <w:rFonts w:hint="eastAsia"/>
          <w:sz w:val="24"/>
          <w:lang w:val="en-US" w:eastAsia="zh-CN"/>
        </w:rPr>
        <w:t>15</w:t>
      </w:r>
      <w:r>
        <w:rPr>
          <w:rFonts w:hint="eastAsia"/>
          <w:sz w:val="24"/>
        </w:rPr>
        <w:t>日至</w:t>
      </w:r>
      <w:r>
        <w:rPr>
          <w:rFonts w:hint="eastAsia"/>
          <w:sz w:val="24"/>
          <w:lang w:val="en-US" w:eastAsia="zh-CN"/>
        </w:rPr>
        <w:t>5</w:t>
      </w:r>
      <w:r>
        <w:rPr>
          <w:rFonts w:hint="eastAsia"/>
          <w:sz w:val="24"/>
        </w:rPr>
        <w:t>月</w:t>
      </w:r>
      <w:r>
        <w:rPr>
          <w:rFonts w:hint="eastAsia"/>
          <w:sz w:val="24"/>
          <w:lang w:val="en-US" w:eastAsia="zh-CN"/>
        </w:rPr>
        <w:t>16</w:t>
      </w:r>
      <w:r>
        <w:rPr>
          <w:rFonts w:hint="eastAsia"/>
          <w:sz w:val="24"/>
        </w:rPr>
        <w:t>日</w:t>
      </w:r>
      <w:r>
        <w:rPr>
          <w:sz w:val="24"/>
        </w:rPr>
        <w:t>，我公司对该项目进行了现场监测，监测期间</w:t>
      </w:r>
      <w:r>
        <w:rPr>
          <w:rFonts w:hint="eastAsia"/>
          <w:sz w:val="24"/>
        </w:rPr>
        <w:t>医院</w:t>
      </w:r>
      <w:r>
        <w:rPr>
          <w:sz w:val="24"/>
        </w:rPr>
        <w:t>设备、环保设施运行正常，</w:t>
      </w:r>
      <w:r>
        <w:rPr>
          <w:rFonts w:hint="eastAsia"/>
          <w:sz w:val="24"/>
        </w:rPr>
        <w:t>但因医院营运时间不长，短期内工况无法达到75%以上，</w:t>
      </w:r>
      <w:r>
        <w:rPr>
          <w:rFonts w:hint="eastAsia"/>
          <w:color w:val="000000" w:themeColor="text1"/>
          <w:sz w:val="24"/>
        </w:rPr>
        <w:t>根据《</w:t>
      </w:r>
      <w:r>
        <w:rPr>
          <w:color w:val="000000" w:themeColor="text1"/>
        </w:rPr>
        <w:fldChar w:fldCharType="begin"/>
      </w:r>
      <w:r>
        <w:rPr>
          <w:color w:val="000000" w:themeColor="text1"/>
        </w:rPr>
        <w:instrText xml:space="preserve"> HYPERLINK "http://kjs.mep.gov.cn/hjbhbz/bzwb/other/hbysjsgf/201605/./W020160504369505584942.pdf" </w:instrText>
      </w:r>
      <w:r>
        <w:rPr>
          <w:color w:val="000000" w:themeColor="text1"/>
        </w:rPr>
        <w:fldChar w:fldCharType="separate"/>
      </w:r>
      <w:r>
        <w:rPr>
          <w:color w:val="000000" w:themeColor="text1"/>
          <w:sz w:val="24"/>
        </w:rPr>
        <w:t>建设项目竣工环境保护验收技术规范 医疗机构</w:t>
      </w:r>
      <w:r>
        <w:rPr>
          <w:color w:val="000000" w:themeColor="text1"/>
          <w:sz w:val="24"/>
        </w:rPr>
        <w:fldChar w:fldCharType="end"/>
      </w:r>
      <w:r>
        <w:rPr>
          <w:rFonts w:hint="eastAsia"/>
          <w:color w:val="000000" w:themeColor="text1"/>
          <w:sz w:val="24"/>
        </w:rPr>
        <w:t>》（</w:t>
      </w:r>
      <w:r>
        <w:rPr>
          <w:color w:val="000000" w:themeColor="text1"/>
          <w:sz w:val="24"/>
        </w:rPr>
        <w:t>HJ 794-2016</w:t>
      </w:r>
      <w:r>
        <w:rPr>
          <w:rFonts w:hint="eastAsia"/>
          <w:color w:val="000000" w:themeColor="text1"/>
          <w:sz w:val="24"/>
        </w:rPr>
        <w:t>）的相关规定，如果医院短期内营运规模确实达不到设计规模的75%以上时，验收监测在医院正常营运工况下进行，记录住院床位数，验收期间运行</w:t>
      </w:r>
      <w:r>
        <w:rPr>
          <w:color w:val="000000" w:themeColor="text1"/>
          <w:sz w:val="24"/>
        </w:rPr>
        <w:t>工况详见表</w:t>
      </w:r>
      <w:r>
        <w:rPr>
          <w:rFonts w:hint="eastAsia"/>
          <w:color w:val="000000" w:themeColor="text1"/>
          <w:sz w:val="24"/>
          <w:lang w:val="en-US" w:eastAsia="zh-CN"/>
        </w:rPr>
        <w:t>9</w:t>
      </w:r>
      <w:r>
        <w:rPr>
          <w:color w:val="000000" w:themeColor="text1"/>
          <w:sz w:val="24"/>
        </w:rPr>
        <w:t>-1。</w:t>
      </w:r>
    </w:p>
    <w:p>
      <w:pPr>
        <w:pStyle w:val="30"/>
        <w:spacing w:after="0" w:line="620" w:lineRule="exact"/>
        <w:ind w:firstLine="0" w:firstLineChars="0"/>
        <w:jc w:val="center"/>
        <w:rPr>
          <w:rFonts w:asciiTheme="minorEastAsia" w:hAnsiTheme="minorEastAsia" w:eastAsiaTheme="minorEastAsia" w:cstheme="minorEastAsia"/>
          <w:b/>
          <w:color w:val="auto"/>
          <w:sz w:val="21"/>
          <w:szCs w:val="21"/>
        </w:rPr>
      </w:pPr>
      <w:r>
        <w:rPr>
          <w:rFonts w:eastAsiaTheme="minorEastAsia"/>
          <w:b/>
          <w:color w:val="auto"/>
          <w:sz w:val="21"/>
          <w:szCs w:val="21"/>
        </w:rPr>
        <w:t>表</w:t>
      </w:r>
      <w:r>
        <w:rPr>
          <w:rFonts w:hint="eastAsia" w:eastAsiaTheme="minorEastAsia"/>
          <w:b/>
          <w:color w:val="auto"/>
          <w:sz w:val="21"/>
          <w:szCs w:val="21"/>
          <w:lang w:val="en-US" w:eastAsia="zh-CN"/>
        </w:rPr>
        <w:t>9</w:t>
      </w:r>
      <w:r>
        <w:rPr>
          <w:rFonts w:eastAsiaTheme="minorEastAsia"/>
          <w:b/>
          <w:color w:val="auto"/>
          <w:sz w:val="21"/>
          <w:szCs w:val="21"/>
        </w:rPr>
        <w:t xml:space="preserve">-1 </w:t>
      </w:r>
      <w:r>
        <w:rPr>
          <w:rFonts w:hint="eastAsia" w:asciiTheme="minorEastAsia" w:hAnsiTheme="minorEastAsia" w:eastAsiaTheme="minorEastAsia" w:cstheme="minorEastAsia"/>
          <w:b/>
          <w:color w:val="auto"/>
          <w:sz w:val="21"/>
          <w:szCs w:val="21"/>
        </w:rPr>
        <w:t>项目监测期间工况表</w:t>
      </w:r>
    </w:p>
    <w:tbl>
      <w:tblPr>
        <w:tblStyle w:val="32"/>
        <w:tblW w:w="8987" w:type="dxa"/>
        <w:tblInd w:w="10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1395"/>
        <w:gridCol w:w="2152"/>
        <w:gridCol w:w="2153"/>
        <w:gridCol w:w="16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81" w:type="dxa"/>
            <w:vAlign w:val="center"/>
          </w:tcPr>
          <w:p>
            <w:pPr>
              <w:pStyle w:val="30"/>
              <w:spacing w:after="0"/>
              <w:ind w:firstLine="0" w:firstLineChars="0"/>
              <w:jc w:val="center"/>
              <w:rPr>
                <w:rFonts w:eastAsiaTheme="minorEastAsia"/>
                <w:b/>
                <w:color w:val="000000" w:themeColor="text1"/>
                <w:sz w:val="21"/>
                <w:szCs w:val="21"/>
              </w:rPr>
            </w:pPr>
            <w:r>
              <w:rPr>
                <w:rFonts w:eastAsiaTheme="minorEastAsia"/>
                <w:b/>
                <w:color w:val="000000" w:themeColor="text1"/>
                <w:sz w:val="21"/>
                <w:szCs w:val="21"/>
              </w:rPr>
              <w:t>监测时间</w:t>
            </w:r>
          </w:p>
        </w:tc>
        <w:tc>
          <w:tcPr>
            <w:tcW w:w="1395" w:type="dxa"/>
            <w:vAlign w:val="center"/>
          </w:tcPr>
          <w:p>
            <w:pPr>
              <w:pStyle w:val="30"/>
              <w:spacing w:after="0"/>
              <w:ind w:firstLine="0" w:firstLineChars="0"/>
              <w:jc w:val="center"/>
              <w:rPr>
                <w:rFonts w:eastAsiaTheme="minorEastAsia"/>
                <w:b/>
                <w:color w:val="000000" w:themeColor="text1"/>
                <w:sz w:val="21"/>
                <w:szCs w:val="21"/>
              </w:rPr>
            </w:pPr>
            <w:r>
              <w:rPr>
                <w:rFonts w:hint="eastAsia" w:eastAsiaTheme="minorEastAsia"/>
                <w:b/>
                <w:color w:val="000000" w:themeColor="text1"/>
                <w:sz w:val="21"/>
                <w:szCs w:val="21"/>
              </w:rPr>
              <w:t>类别</w:t>
            </w:r>
          </w:p>
        </w:tc>
        <w:tc>
          <w:tcPr>
            <w:tcW w:w="2152" w:type="dxa"/>
            <w:vAlign w:val="center"/>
          </w:tcPr>
          <w:p>
            <w:pPr>
              <w:pStyle w:val="30"/>
              <w:spacing w:after="0"/>
              <w:ind w:firstLine="0" w:firstLineChars="0"/>
              <w:jc w:val="center"/>
              <w:rPr>
                <w:rFonts w:eastAsiaTheme="minorEastAsia"/>
                <w:b/>
                <w:color w:val="000000" w:themeColor="text1"/>
                <w:sz w:val="21"/>
                <w:szCs w:val="21"/>
              </w:rPr>
            </w:pPr>
            <w:r>
              <w:rPr>
                <w:rFonts w:hint="default" w:ascii="Times New Roman" w:hAnsi="Times New Roman" w:eastAsia="宋体" w:cs="Times New Roman"/>
                <w:b/>
                <w:bCs/>
                <w:sz w:val="21"/>
                <w:szCs w:val="21"/>
                <w:vertAlign w:val="baseline"/>
                <w:lang w:val="en-US" w:eastAsia="zh-CN"/>
              </w:rPr>
              <w:t>设计量</w:t>
            </w:r>
          </w:p>
        </w:tc>
        <w:tc>
          <w:tcPr>
            <w:tcW w:w="2153" w:type="dxa"/>
            <w:vAlign w:val="center"/>
          </w:tcPr>
          <w:p>
            <w:pPr>
              <w:pStyle w:val="30"/>
              <w:spacing w:after="0"/>
              <w:ind w:firstLine="0" w:firstLineChars="0"/>
              <w:jc w:val="center"/>
              <w:rPr>
                <w:rFonts w:eastAsiaTheme="minorEastAsia"/>
                <w:b/>
                <w:color w:val="000000" w:themeColor="text1"/>
                <w:sz w:val="21"/>
                <w:szCs w:val="21"/>
              </w:rPr>
            </w:pPr>
            <w:r>
              <w:rPr>
                <w:rFonts w:hint="default" w:ascii="Times New Roman" w:hAnsi="Times New Roman" w:eastAsia="宋体" w:cs="Times New Roman"/>
                <w:b/>
                <w:bCs/>
                <w:sz w:val="21"/>
                <w:szCs w:val="21"/>
                <w:vertAlign w:val="baseline"/>
                <w:lang w:val="en-US" w:eastAsia="zh-CN"/>
              </w:rPr>
              <w:t>监测期间实际量</w:t>
            </w:r>
          </w:p>
        </w:tc>
        <w:tc>
          <w:tcPr>
            <w:tcW w:w="1606" w:type="dxa"/>
            <w:vAlign w:val="center"/>
          </w:tcPr>
          <w:p>
            <w:pPr>
              <w:pStyle w:val="30"/>
              <w:spacing w:after="0"/>
              <w:ind w:firstLine="0" w:firstLineChars="0"/>
              <w:jc w:val="center"/>
              <w:rPr>
                <w:rFonts w:eastAsiaTheme="minorEastAsia"/>
                <w:b/>
                <w:color w:val="000000" w:themeColor="text1"/>
                <w:sz w:val="21"/>
                <w:szCs w:val="21"/>
              </w:rPr>
            </w:pPr>
            <w:r>
              <w:rPr>
                <w:rFonts w:hint="eastAsia" w:eastAsiaTheme="minorEastAsia"/>
                <w:b/>
                <w:color w:val="000000" w:themeColor="text1"/>
                <w:sz w:val="21"/>
                <w:szCs w:val="21"/>
              </w:rPr>
              <w:t>运营</w:t>
            </w:r>
            <w:r>
              <w:rPr>
                <w:rFonts w:eastAsiaTheme="minorEastAsia"/>
                <w:b/>
                <w:color w:val="000000" w:themeColor="text1"/>
                <w:sz w:val="21"/>
                <w:szCs w:val="21"/>
              </w:rPr>
              <w:t>负荷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81" w:type="dxa"/>
            <w:vAlign w:val="center"/>
          </w:tcPr>
          <w:p>
            <w:pPr>
              <w:pStyle w:val="56"/>
              <w:spacing w:before="0" w:after="0" w:line="240" w:lineRule="exact"/>
              <w:jc w:val="center"/>
              <w:rPr>
                <w:rFonts w:eastAsiaTheme="minorEastAsia"/>
                <w:color w:val="000000" w:themeColor="text1"/>
                <w:sz w:val="21"/>
                <w:szCs w:val="21"/>
                <w:lang w:val="en-US"/>
              </w:rPr>
            </w:pPr>
            <w:r>
              <w:rPr>
                <w:rFonts w:hint="eastAsia" w:eastAsia="宋体"/>
                <w:color w:val="000000" w:themeColor="text1"/>
                <w:sz w:val="21"/>
                <w:szCs w:val="21"/>
                <w:lang w:val="en-US" w:eastAsia="zh-CN"/>
              </w:rPr>
              <w:t>2018.5.15</w:t>
            </w:r>
          </w:p>
        </w:tc>
        <w:tc>
          <w:tcPr>
            <w:tcW w:w="1395" w:type="dxa"/>
            <w:vMerge w:val="restart"/>
            <w:vAlign w:val="center"/>
          </w:tcPr>
          <w:p>
            <w:pPr>
              <w:tabs>
                <w:tab w:val="left" w:pos="3987"/>
              </w:tabs>
              <w:spacing w:line="240" w:lineRule="exact"/>
              <w:jc w:val="center"/>
              <w:rPr>
                <w:rFonts w:eastAsiaTheme="minorEastAsia"/>
                <w:color w:val="000000" w:themeColor="text1"/>
                <w:szCs w:val="21"/>
              </w:rPr>
            </w:pPr>
            <w:r>
              <w:rPr>
                <w:rFonts w:hint="eastAsia" w:ascii="宋体" w:hAnsi="宋体" w:cs="宋体"/>
                <w:color w:val="000000" w:themeColor="text1"/>
                <w:szCs w:val="21"/>
              </w:rPr>
              <w:t>住院床位数</w:t>
            </w:r>
          </w:p>
        </w:tc>
        <w:tc>
          <w:tcPr>
            <w:tcW w:w="2152" w:type="dxa"/>
            <w:vAlign w:val="center"/>
          </w:tcPr>
          <w:p>
            <w:pPr>
              <w:tabs>
                <w:tab w:val="left" w:pos="3987"/>
              </w:tabs>
              <w:spacing w:line="240" w:lineRule="exact"/>
              <w:jc w:val="center"/>
              <w:rPr>
                <w:rFonts w:eastAsiaTheme="minorEastAsia"/>
                <w:bCs/>
                <w:color w:val="000000" w:themeColor="text1"/>
                <w:szCs w:val="21"/>
                <w:highlight w:val="none"/>
              </w:rPr>
            </w:pPr>
            <w:r>
              <w:rPr>
                <w:rFonts w:hint="eastAsia" w:eastAsiaTheme="minorEastAsia"/>
                <w:bCs/>
                <w:color w:val="000000" w:themeColor="text1"/>
                <w:szCs w:val="21"/>
                <w:highlight w:val="none"/>
                <w:lang w:val="en-US" w:eastAsia="zh-CN"/>
              </w:rPr>
              <w:t>69</w:t>
            </w:r>
            <w:r>
              <w:rPr>
                <w:rFonts w:hint="eastAsia" w:eastAsiaTheme="minorEastAsia"/>
                <w:bCs/>
                <w:color w:val="000000" w:themeColor="text1"/>
                <w:szCs w:val="21"/>
                <w:highlight w:val="none"/>
              </w:rPr>
              <w:t>张</w:t>
            </w:r>
          </w:p>
        </w:tc>
        <w:tc>
          <w:tcPr>
            <w:tcW w:w="2153" w:type="dxa"/>
            <w:vAlign w:val="center"/>
          </w:tcPr>
          <w:p>
            <w:pPr>
              <w:tabs>
                <w:tab w:val="left" w:pos="3987"/>
              </w:tabs>
              <w:spacing w:line="240" w:lineRule="exact"/>
              <w:jc w:val="center"/>
              <w:rPr>
                <w:rFonts w:eastAsiaTheme="minorEastAsia"/>
                <w:bCs/>
                <w:color w:val="000000" w:themeColor="text1"/>
                <w:szCs w:val="21"/>
                <w:highlight w:val="none"/>
              </w:rPr>
            </w:pPr>
            <w:r>
              <w:rPr>
                <w:rFonts w:hint="eastAsia" w:eastAsiaTheme="minorEastAsia"/>
                <w:bCs/>
                <w:color w:val="000000" w:themeColor="text1"/>
                <w:szCs w:val="21"/>
                <w:highlight w:val="none"/>
                <w:lang w:val="en-US" w:eastAsia="zh-CN"/>
              </w:rPr>
              <w:t>7</w:t>
            </w:r>
            <w:r>
              <w:rPr>
                <w:rFonts w:hint="eastAsia" w:eastAsiaTheme="minorEastAsia"/>
                <w:bCs/>
                <w:color w:val="000000" w:themeColor="text1"/>
                <w:szCs w:val="21"/>
                <w:highlight w:val="none"/>
              </w:rPr>
              <w:t>张</w:t>
            </w:r>
          </w:p>
        </w:tc>
        <w:tc>
          <w:tcPr>
            <w:tcW w:w="1606" w:type="dxa"/>
            <w:vAlign w:val="center"/>
          </w:tcPr>
          <w:p>
            <w:pPr>
              <w:widowControl/>
              <w:jc w:val="center"/>
              <w:textAlignment w:val="center"/>
              <w:rPr>
                <w:rFonts w:eastAsiaTheme="minorEastAsia"/>
                <w:bCs/>
                <w:color w:val="000000" w:themeColor="text1"/>
                <w:szCs w:val="21"/>
                <w:highlight w:val="none"/>
              </w:rPr>
            </w:pPr>
            <w:r>
              <w:rPr>
                <w:rFonts w:hint="eastAsia" w:eastAsiaTheme="minorEastAsia"/>
                <w:bCs/>
                <w:color w:val="000000" w:themeColor="text1"/>
                <w:szCs w:val="21"/>
                <w:highlight w:val="none"/>
                <w:lang w:val="en-US" w:eastAsia="zh-CN"/>
              </w:rPr>
              <w:t>10</w:t>
            </w:r>
            <w:r>
              <w:rPr>
                <w:rFonts w:hint="eastAsia" w:eastAsiaTheme="minorEastAsia"/>
                <w:bCs/>
                <w:color w:val="000000" w:themeColor="text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81" w:type="dxa"/>
            <w:vAlign w:val="center"/>
          </w:tcPr>
          <w:p>
            <w:pPr>
              <w:pStyle w:val="56"/>
              <w:spacing w:before="0" w:after="0" w:line="240" w:lineRule="exact"/>
              <w:jc w:val="center"/>
              <w:rPr>
                <w:rFonts w:eastAsiaTheme="minorEastAsia"/>
                <w:b/>
                <w:color w:val="000000" w:themeColor="text1"/>
                <w:sz w:val="21"/>
                <w:szCs w:val="21"/>
                <w:lang w:val="en-US"/>
              </w:rPr>
            </w:pPr>
            <w:r>
              <w:rPr>
                <w:rFonts w:hint="eastAsia" w:eastAsia="宋体"/>
                <w:color w:val="000000" w:themeColor="text1"/>
                <w:sz w:val="21"/>
                <w:szCs w:val="21"/>
                <w:lang w:val="en-US" w:eastAsia="zh-CN"/>
              </w:rPr>
              <w:t>2018.5.16</w:t>
            </w:r>
          </w:p>
        </w:tc>
        <w:tc>
          <w:tcPr>
            <w:tcW w:w="1395" w:type="dxa"/>
            <w:vMerge w:val="continue"/>
            <w:vAlign w:val="center"/>
          </w:tcPr>
          <w:p>
            <w:pPr>
              <w:tabs>
                <w:tab w:val="left" w:pos="3987"/>
              </w:tabs>
              <w:spacing w:line="240" w:lineRule="exact"/>
              <w:jc w:val="center"/>
              <w:rPr>
                <w:rFonts w:eastAsiaTheme="minorEastAsia"/>
                <w:color w:val="000000" w:themeColor="text1"/>
                <w:szCs w:val="21"/>
              </w:rPr>
            </w:pPr>
          </w:p>
        </w:tc>
        <w:tc>
          <w:tcPr>
            <w:tcW w:w="2152" w:type="dxa"/>
            <w:vAlign w:val="center"/>
          </w:tcPr>
          <w:p>
            <w:pPr>
              <w:tabs>
                <w:tab w:val="left" w:pos="3987"/>
              </w:tabs>
              <w:spacing w:line="240" w:lineRule="exact"/>
              <w:jc w:val="center"/>
              <w:rPr>
                <w:rFonts w:eastAsiaTheme="minorEastAsia"/>
                <w:bCs/>
                <w:color w:val="000000" w:themeColor="text1"/>
                <w:szCs w:val="21"/>
                <w:highlight w:val="none"/>
              </w:rPr>
            </w:pPr>
            <w:r>
              <w:rPr>
                <w:rFonts w:hint="eastAsia" w:eastAsiaTheme="minorEastAsia"/>
                <w:bCs/>
                <w:color w:val="000000" w:themeColor="text1"/>
                <w:szCs w:val="21"/>
                <w:highlight w:val="none"/>
                <w:lang w:val="en-US" w:eastAsia="zh-CN"/>
              </w:rPr>
              <w:t>69</w:t>
            </w:r>
            <w:r>
              <w:rPr>
                <w:rFonts w:hint="eastAsia" w:eastAsiaTheme="minorEastAsia"/>
                <w:bCs/>
                <w:color w:val="000000" w:themeColor="text1"/>
                <w:szCs w:val="21"/>
                <w:highlight w:val="none"/>
              </w:rPr>
              <w:t>张</w:t>
            </w:r>
          </w:p>
        </w:tc>
        <w:tc>
          <w:tcPr>
            <w:tcW w:w="2153" w:type="dxa"/>
            <w:vAlign w:val="center"/>
          </w:tcPr>
          <w:p>
            <w:pPr>
              <w:tabs>
                <w:tab w:val="left" w:pos="3987"/>
              </w:tabs>
              <w:spacing w:line="240" w:lineRule="exact"/>
              <w:jc w:val="center"/>
              <w:rPr>
                <w:rFonts w:eastAsiaTheme="minorEastAsia"/>
                <w:bCs/>
                <w:color w:val="000000" w:themeColor="text1"/>
                <w:szCs w:val="21"/>
                <w:highlight w:val="none"/>
              </w:rPr>
            </w:pPr>
            <w:r>
              <w:rPr>
                <w:rFonts w:hint="eastAsia" w:eastAsiaTheme="minorEastAsia"/>
                <w:bCs/>
                <w:color w:val="000000" w:themeColor="text1"/>
                <w:szCs w:val="21"/>
                <w:highlight w:val="none"/>
                <w:lang w:val="en-US" w:eastAsia="zh-CN"/>
              </w:rPr>
              <w:t>8</w:t>
            </w:r>
            <w:r>
              <w:rPr>
                <w:rFonts w:hint="eastAsia" w:eastAsiaTheme="minorEastAsia"/>
                <w:bCs/>
                <w:color w:val="000000" w:themeColor="text1"/>
                <w:szCs w:val="21"/>
                <w:highlight w:val="none"/>
              </w:rPr>
              <w:t>张</w:t>
            </w:r>
          </w:p>
        </w:tc>
        <w:tc>
          <w:tcPr>
            <w:tcW w:w="1606" w:type="dxa"/>
            <w:vAlign w:val="center"/>
          </w:tcPr>
          <w:p>
            <w:pPr>
              <w:widowControl/>
              <w:jc w:val="center"/>
              <w:textAlignment w:val="center"/>
              <w:rPr>
                <w:rFonts w:eastAsiaTheme="minorEastAsia"/>
                <w:bCs/>
                <w:color w:val="000000" w:themeColor="text1"/>
                <w:szCs w:val="21"/>
                <w:highlight w:val="none"/>
              </w:rPr>
            </w:pPr>
            <w:r>
              <w:rPr>
                <w:rFonts w:hint="eastAsia" w:eastAsiaTheme="minorEastAsia"/>
                <w:bCs/>
                <w:color w:val="000000" w:themeColor="text1"/>
                <w:szCs w:val="21"/>
                <w:highlight w:val="none"/>
                <w:lang w:val="en-US" w:eastAsia="zh-CN"/>
              </w:rPr>
              <w:t>11</w:t>
            </w:r>
            <w:r>
              <w:rPr>
                <w:rFonts w:hint="eastAsia" w:eastAsiaTheme="minorEastAsia"/>
                <w:bCs/>
                <w:color w:val="000000" w:themeColor="text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81" w:type="dxa"/>
            <w:vAlign w:val="center"/>
          </w:tcPr>
          <w:p>
            <w:pPr>
              <w:pStyle w:val="56"/>
              <w:spacing w:before="0" w:after="0" w:line="240" w:lineRule="exact"/>
              <w:jc w:val="center"/>
              <w:rPr>
                <w:rFonts w:hint="eastAsia" w:eastAsia="宋体"/>
                <w:color w:val="000000" w:themeColor="text1"/>
                <w:sz w:val="21"/>
                <w:szCs w:val="21"/>
                <w:lang w:val="en-US" w:eastAsia="zh-CN"/>
              </w:rPr>
            </w:pPr>
          </w:p>
        </w:tc>
        <w:tc>
          <w:tcPr>
            <w:tcW w:w="1395" w:type="dxa"/>
            <w:vAlign w:val="center"/>
          </w:tcPr>
          <w:p>
            <w:pPr>
              <w:tabs>
                <w:tab w:val="left" w:pos="3987"/>
              </w:tabs>
              <w:spacing w:line="240" w:lineRule="exact"/>
              <w:jc w:val="center"/>
              <w:rPr>
                <w:rFonts w:eastAsiaTheme="minorEastAsia"/>
                <w:color w:val="000000" w:themeColor="text1"/>
                <w:szCs w:val="21"/>
              </w:rPr>
            </w:pPr>
          </w:p>
        </w:tc>
        <w:tc>
          <w:tcPr>
            <w:tcW w:w="2152" w:type="dxa"/>
            <w:vAlign w:val="center"/>
          </w:tcPr>
          <w:p>
            <w:pPr>
              <w:tabs>
                <w:tab w:val="left" w:pos="3987"/>
              </w:tabs>
              <w:spacing w:line="240" w:lineRule="exact"/>
              <w:jc w:val="center"/>
              <w:rPr>
                <w:rFonts w:hint="eastAsia" w:eastAsiaTheme="minorEastAsia"/>
                <w:bCs/>
                <w:color w:val="000000" w:themeColor="text1"/>
                <w:szCs w:val="21"/>
                <w:highlight w:val="none"/>
                <w:lang w:val="en-US" w:eastAsia="zh-CN"/>
              </w:rPr>
            </w:pPr>
          </w:p>
        </w:tc>
        <w:tc>
          <w:tcPr>
            <w:tcW w:w="2153" w:type="dxa"/>
            <w:vAlign w:val="center"/>
          </w:tcPr>
          <w:p>
            <w:pPr>
              <w:tabs>
                <w:tab w:val="left" w:pos="3987"/>
              </w:tabs>
              <w:spacing w:line="240" w:lineRule="exact"/>
              <w:jc w:val="center"/>
              <w:rPr>
                <w:rFonts w:hint="eastAsia" w:eastAsiaTheme="minorEastAsia"/>
                <w:bCs/>
                <w:color w:val="000000" w:themeColor="text1"/>
                <w:szCs w:val="21"/>
                <w:highlight w:val="none"/>
                <w:lang w:val="en-US" w:eastAsia="zh-CN"/>
              </w:rPr>
            </w:pPr>
          </w:p>
        </w:tc>
        <w:tc>
          <w:tcPr>
            <w:tcW w:w="1606" w:type="dxa"/>
            <w:vAlign w:val="center"/>
          </w:tcPr>
          <w:p>
            <w:pPr>
              <w:widowControl/>
              <w:jc w:val="center"/>
              <w:textAlignment w:val="center"/>
              <w:rPr>
                <w:rFonts w:hint="eastAsia" w:eastAsiaTheme="minorEastAsia"/>
                <w:bCs/>
                <w:color w:val="000000" w:themeColor="text1"/>
                <w:szCs w:val="21"/>
                <w:highlight w:val="none"/>
                <w:lang w:val="en-US" w:eastAsia="zh-CN"/>
              </w:rPr>
            </w:pPr>
          </w:p>
        </w:tc>
      </w:tr>
    </w:tbl>
    <w:p>
      <w:pPr>
        <w:pStyle w:val="4"/>
        <w:spacing w:before="0" w:after="0" w:line="620" w:lineRule="exact"/>
        <w:rPr>
          <w:rFonts w:ascii="Times New Roman" w:hAnsi="Times New Roman" w:eastAsia="宋体"/>
          <w:sz w:val="28"/>
          <w:szCs w:val="28"/>
        </w:rPr>
      </w:pPr>
      <w:bookmarkStart w:id="108" w:name="_Toc23022"/>
      <w:r>
        <w:rPr>
          <w:rFonts w:hint="eastAsia" w:ascii="Times New Roman" w:hAnsi="Times New Roman" w:eastAsia="宋体"/>
          <w:sz w:val="28"/>
          <w:szCs w:val="28"/>
          <w:lang w:val="en-US" w:eastAsia="zh-CN"/>
        </w:rPr>
        <w:t>9</w:t>
      </w:r>
      <w:r>
        <w:rPr>
          <w:rFonts w:hint="eastAsia" w:ascii="Times New Roman" w:hAnsi="Times New Roman" w:eastAsia="宋体"/>
          <w:sz w:val="28"/>
          <w:szCs w:val="28"/>
        </w:rPr>
        <w:t>.2 废气监测结果及评价</w:t>
      </w:r>
      <w:bookmarkEnd w:id="105"/>
      <w:bookmarkEnd w:id="106"/>
      <w:bookmarkEnd w:id="107"/>
      <w:bookmarkEnd w:id="108"/>
    </w:p>
    <w:p>
      <w:pPr>
        <w:spacing w:line="620" w:lineRule="exact"/>
        <w:ind w:firstLine="480" w:firstLineChars="200"/>
        <w:rPr>
          <w:sz w:val="24"/>
        </w:rPr>
      </w:pPr>
      <w:r>
        <w:rPr>
          <w:rFonts w:hint="eastAsia"/>
          <w:sz w:val="24"/>
        </w:rPr>
        <w:t>验收监测期间，我公司对该项目厂界上风向、下风向无组织</w:t>
      </w:r>
      <w:r>
        <w:rPr>
          <w:sz w:val="24"/>
        </w:rPr>
        <w:t>废</w:t>
      </w:r>
      <w:r>
        <w:rPr>
          <w:rFonts w:hint="eastAsia"/>
          <w:sz w:val="24"/>
        </w:rPr>
        <w:t>气</w:t>
      </w:r>
      <w:r>
        <w:rPr>
          <w:sz w:val="24"/>
        </w:rPr>
        <w:t>实施了监测，</w:t>
      </w:r>
      <w:r>
        <w:rPr>
          <w:rFonts w:hint="eastAsia"/>
          <w:sz w:val="24"/>
        </w:rPr>
        <w:t>监测期间气象参数及监测</w:t>
      </w:r>
      <w:r>
        <w:rPr>
          <w:sz w:val="24"/>
        </w:rPr>
        <w:t>结果</w:t>
      </w:r>
      <w:r>
        <w:rPr>
          <w:rFonts w:hint="eastAsia"/>
          <w:sz w:val="24"/>
        </w:rPr>
        <w:t>详</w:t>
      </w:r>
      <w:r>
        <w:rPr>
          <w:sz w:val="24"/>
        </w:rPr>
        <w:t>见表</w:t>
      </w:r>
      <w:r>
        <w:rPr>
          <w:rFonts w:hint="eastAsia"/>
          <w:sz w:val="24"/>
          <w:lang w:val="en-US" w:eastAsia="zh-CN"/>
        </w:rPr>
        <w:t>9</w:t>
      </w:r>
      <w:r>
        <w:rPr>
          <w:rFonts w:hint="eastAsia"/>
          <w:sz w:val="24"/>
        </w:rPr>
        <w:t>-2和表</w:t>
      </w:r>
      <w:r>
        <w:rPr>
          <w:rFonts w:hint="eastAsia"/>
          <w:sz w:val="24"/>
          <w:lang w:val="en-US" w:eastAsia="zh-CN"/>
        </w:rPr>
        <w:t>9</w:t>
      </w:r>
      <w:r>
        <w:rPr>
          <w:rFonts w:hint="eastAsia"/>
          <w:sz w:val="24"/>
        </w:rPr>
        <w:t>-3。</w:t>
      </w:r>
    </w:p>
    <w:p>
      <w:pPr>
        <w:pStyle w:val="30"/>
        <w:spacing w:after="0" w:line="620" w:lineRule="exact"/>
        <w:ind w:firstLine="0" w:firstLineChars="0"/>
        <w:jc w:val="center"/>
        <w:rPr>
          <w:b/>
          <w:sz w:val="21"/>
          <w:szCs w:val="21"/>
        </w:rPr>
      </w:pPr>
      <w:r>
        <w:rPr>
          <w:b/>
          <w:sz w:val="21"/>
          <w:szCs w:val="21"/>
        </w:rPr>
        <w:t>表</w:t>
      </w:r>
      <w:r>
        <w:rPr>
          <w:rFonts w:hint="eastAsia"/>
          <w:b/>
          <w:sz w:val="21"/>
          <w:szCs w:val="21"/>
          <w:lang w:val="en-US" w:eastAsia="zh-CN"/>
        </w:rPr>
        <w:t>9</w:t>
      </w:r>
      <w:r>
        <w:rPr>
          <w:rFonts w:hint="eastAsia"/>
          <w:b/>
          <w:sz w:val="21"/>
          <w:szCs w:val="21"/>
        </w:rPr>
        <w:t>-2  项目监测期间气象参数</w:t>
      </w:r>
    </w:p>
    <w:tbl>
      <w:tblPr>
        <w:tblStyle w:val="32"/>
        <w:tblW w:w="9054" w:type="dxa"/>
        <w:tblInd w:w="10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1489"/>
        <w:gridCol w:w="1489"/>
        <w:gridCol w:w="1489"/>
        <w:gridCol w:w="1489"/>
        <w:gridCol w:w="14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06" w:type="dxa"/>
            <w:vAlign w:val="center"/>
          </w:tcPr>
          <w:p>
            <w:pPr>
              <w:pStyle w:val="30"/>
              <w:spacing w:after="0"/>
              <w:ind w:firstLine="0" w:firstLineChars="0"/>
              <w:jc w:val="center"/>
              <w:rPr>
                <w:rFonts w:eastAsiaTheme="minorEastAsia"/>
                <w:b/>
                <w:color w:val="000000"/>
                <w:sz w:val="21"/>
                <w:szCs w:val="21"/>
              </w:rPr>
            </w:pPr>
            <w:r>
              <w:rPr>
                <w:rFonts w:eastAsiaTheme="minorEastAsia"/>
                <w:b/>
                <w:color w:val="000000"/>
                <w:sz w:val="21"/>
                <w:szCs w:val="21"/>
              </w:rPr>
              <w:t>监测点位</w:t>
            </w:r>
          </w:p>
        </w:tc>
        <w:tc>
          <w:tcPr>
            <w:tcW w:w="1489" w:type="dxa"/>
            <w:vAlign w:val="center"/>
          </w:tcPr>
          <w:p>
            <w:pPr>
              <w:pStyle w:val="30"/>
              <w:spacing w:after="0"/>
              <w:ind w:firstLine="0" w:firstLineChars="0"/>
              <w:jc w:val="center"/>
              <w:rPr>
                <w:rFonts w:eastAsiaTheme="minorEastAsia"/>
                <w:b/>
                <w:color w:val="000000"/>
                <w:sz w:val="21"/>
                <w:szCs w:val="21"/>
              </w:rPr>
            </w:pPr>
            <w:r>
              <w:rPr>
                <w:rFonts w:eastAsiaTheme="minorEastAsia"/>
                <w:b/>
                <w:color w:val="000000"/>
                <w:sz w:val="21"/>
                <w:szCs w:val="21"/>
              </w:rPr>
              <w:t>监测日期</w:t>
            </w:r>
          </w:p>
        </w:tc>
        <w:tc>
          <w:tcPr>
            <w:tcW w:w="1489" w:type="dxa"/>
            <w:vAlign w:val="center"/>
          </w:tcPr>
          <w:p>
            <w:pPr>
              <w:pStyle w:val="30"/>
              <w:spacing w:after="0"/>
              <w:ind w:firstLine="0" w:firstLineChars="0"/>
              <w:jc w:val="center"/>
              <w:rPr>
                <w:rFonts w:eastAsiaTheme="minorEastAsia"/>
                <w:b/>
                <w:color w:val="000000"/>
                <w:sz w:val="21"/>
                <w:szCs w:val="21"/>
              </w:rPr>
            </w:pPr>
            <w:r>
              <w:rPr>
                <w:rFonts w:eastAsiaTheme="minorEastAsia"/>
                <w:b/>
                <w:color w:val="000000"/>
                <w:sz w:val="21"/>
                <w:szCs w:val="21"/>
              </w:rPr>
              <w:t>温度（℃）</w:t>
            </w:r>
          </w:p>
        </w:tc>
        <w:tc>
          <w:tcPr>
            <w:tcW w:w="1489" w:type="dxa"/>
            <w:vAlign w:val="center"/>
          </w:tcPr>
          <w:p>
            <w:pPr>
              <w:pStyle w:val="30"/>
              <w:spacing w:after="0"/>
              <w:ind w:firstLine="0" w:firstLineChars="0"/>
              <w:jc w:val="center"/>
              <w:rPr>
                <w:rFonts w:eastAsiaTheme="minorEastAsia"/>
                <w:b/>
                <w:color w:val="000000"/>
                <w:sz w:val="21"/>
                <w:szCs w:val="21"/>
              </w:rPr>
            </w:pPr>
            <w:r>
              <w:rPr>
                <w:rFonts w:eastAsiaTheme="minorEastAsia"/>
                <w:b/>
                <w:color w:val="000000"/>
                <w:sz w:val="21"/>
                <w:szCs w:val="21"/>
              </w:rPr>
              <w:t>气压（kPa）</w:t>
            </w:r>
          </w:p>
        </w:tc>
        <w:tc>
          <w:tcPr>
            <w:tcW w:w="1489" w:type="dxa"/>
            <w:vAlign w:val="center"/>
          </w:tcPr>
          <w:p>
            <w:pPr>
              <w:pStyle w:val="30"/>
              <w:spacing w:after="0"/>
              <w:ind w:firstLine="0" w:firstLineChars="0"/>
              <w:jc w:val="center"/>
              <w:rPr>
                <w:rFonts w:eastAsiaTheme="minorEastAsia"/>
                <w:b/>
                <w:color w:val="000000"/>
                <w:sz w:val="21"/>
                <w:szCs w:val="21"/>
              </w:rPr>
            </w:pPr>
            <w:r>
              <w:rPr>
                <w:rFonts w:eastAsiaTheme="minorEastAsia"/>
                <w:b/>
                <w:color w:val="000000"/>
                <w:sz w:val="21"/>
                <w:szCs w:val="21"/>
              </w:rPr>
              <w:t>风向</w:t>
            </w:r>
          </w:p>
        </w:tc>
        <w:tc>
          <w:tcPr>
            <w:tcW w:w="1492" w:type="dxa"/>
            <w:vAlign w:val="center"/>
          </w:tcPr>
          <w:p>
            <w:pPr>
              <w:pStyle w:val="30"/>
              <w:spacing w:after="0"/>
              <w:ind w:firstLine="0" w:firstLineChars="0"/>
              <w:jc w:val="center"/>
              <w:rPr>
                <w:rFonts w:eastAsiaTheme="minorEastAsia"/>
                <w:b/>
                <w:color w:val="000000"/>
                <w:sz w:val="21"/>
                <w:szCs w:val="21"/>
              </w:rPr>
            </w:pPr>
            <w:r>
              <w:rPr>
                <w:rFonts w:eastAsiaTheme="minorEastAsia"/>
                <w:b/>
                <w:color w:val="000000"/>
                <w:sz w:val="21"/>
                <w:szCs w:val="21"/>
              </w:rPr>
              <w:t>风速（m/s）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06" w:type="dxa"/>
            <w:vMerge w:val="restart"/>
            <w:vAlign w:val="center"/>
          </w:tcPr>
          <w:p>
            <w:pPr>
              <w:tabs>
                <w:tab w:val="left" w:pos="3987"/>
              </w:tabs>
              <w:jc w:val="center"/>
              <w:rPr>
                <w:rFonts w:eastAsiaTheme="minorEastAsia"/>
                <w:sz w:val="21"/>
                <w:szCs w:val="21"/>
              </w:rPr>
            </w:pPr>
            <w:r>
              <w:rPr>
                <w:rFonts w:hint="eastAsia"/>
                <w:spacing w:val="-4"/>
                <w:szCs w:val="21"/>
              </w:rPr>
              <w:t>厂界上风向○1</w:t>
            </w:r>
          </w:p>
        </w:tc>
        <w:tc>
          <w:tcPr>
            <w:tcW w:w="1489" w:type="dxa"/>
            <w:vAlign w:val="center"/>
          </w:tcPr>
          <w:p>
            <w:pPr>
              <w:tabs>
                <w:tab w:val="left" w:pos="3987"/>
              </w:tabs>
              <w:jc w:val="center"/>
              <w:rPr>
                <w:rFonts w:hint="eastAsia"/>
                <w:spacing w:val="-4"/>
                <w:szCs w:val="21"/>
                <w:lang w:val="en-US"/>
              </w:rPr>
            </w:pPr>
            <w:r>
              <w:rPr>
                <w:rFonts w:hint="default"/>
                <w:spacing w:val="-4"/>
                <w:szCs w:val="21"/>
                <w:lang w:val="en-US" w:eastAsia="zh-CN"/>
              </w:rPr>
              <w:t>2018.5.15</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31.6</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99.9</w:t>
            </w:r>
          </w:p>
        </w:tc>
        <w:tc>
          <w:tcPr>
            <w:tcW w:w="1489" w:type="dxa"/>
            <w:vAlign w:val="center"/>
          </w:tcPr>
          <w:p>
            <w:pPr>
              <w:tabs>
                <w:tab w:val="left" w:pos="3987"/>
              </w:tabs>
              <w:jc w:val="center"/>
              <w:rPr>
                <w:rFonts w:hint="eastAsia"/>
                <w:spacing w:val="-4"/>
                <w:szCs w:val="21"/>
                <w:lang w:val="en-US" w:eastAsia="zh-CN"/>
              </w:rPr>
            </w:pPr>
            <w:r>
              <w:rPr>
                <w:rFonts w:hint="eastAsia"/>
                <w:spacing w:val="-4"/>
                <w:szCs w:val="21"/>
                <w:lang w:val="en-US" w:eastAsia="zh-CN"/>
              </w:rPr>
              <w:t>正南</w:t>
            </w:r>
          </w:p>
        </w:tc>
        <w:tc>
          <w:tcPr>
            <w:tcW w:w="1492"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06" w:type="dxa"/>
            <w:vMerge w:val="continue"/>
            <w:vAlign w:val="center"/>
          </w:tcPr>
          <w:p>
            <w:pPr>
              <w:pStyle w:val="30"/>
              <w:spacing w:after="0"/>
              <w:ind w:firstLine="0" w:firstLineChars="0"/>
              <w:jc w:val="center"/>
              <w:rPr>
                <w:rFonts w:eastAsiaTheme="minorEastAsia"/>
                <w:b/>
                <w:sz w:val="21"/>
                <w:szCs w:val="21"/>
              </w:rPr>
            </w:pPr>
          </w:p>
        </w:tc>
        <w:tc>
          <w:tcPr>
            <w:tcW w:w="1489" w:type="dxa"/>
            <w:vAlign w:val="center"/>
          </w:tcPr>
          <w:p>
            <w:pPr>
              <w:tabs>
                <w:tab w:val="left" w:pos="3987"/>
              </w:tabs>
              <w:jc w:val="center"/>
              <w:rPr>
                <w:rFonts w:hint="eastAsia"/>
                <w:spacing w:val="-4"/>
                <w:szCs w:val="21"/>
                <w:lang w:val="en-US"/>
              </w:rPr>
            </w:pPr>
            <w:r>
              <w:rPr>
                <w:rFonts w:hint="default"/>
                <w:spacing w:val="-4"/>
                <w:szCs w:val="21"/>
                <w:lang w:val="en-US" w:eastAsia="zh-CN"/>
              </w:rPr>
              <w:t>2018.5.16</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26.3</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97.4</w:t>
            </w:r>
          </w:p>
        </w:tc>
        <w:tc>
          <w:tcPr>
            <w:tcW w:w="1489" w:type="dxa"/>
            <w:vAlign w:val="center"/>
          </w:tcPr>
          <w:p>
            <w:pPr>
              <w:tabs>
                <w:tab w:val="left" w:pos="3987"/>
              </w:tabs>
              <w:jc w:val="center"/>
              <w:rPr>
                <w:rFonts w:hint="eastAsia"/>
                <w:spacing w:val="-4"/>
                <w:szCs w:val="21"/>
                <w:lang w:val="en-US" w:eastAsia="zh-CN"/>
              </w:rPr>
            </w:pPr>
            <w:r>
              <w:rPr>
                <w:rFonts w:hint="eastAsia"/>
                <w:spacing w:val="-4"/>
                <w:szCs w:val="21"/>
                <w:lang w:val="en-US" w:eastAsia="zh-CN"/>
              </w:rPr>
              <w:t>正南</w:t>
            </w:r>
          </w:p>
        </w:tc>
        <w:tc>
          <w:tcPr>
            <w:tcW w:w="1492"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06" w:type="dxa"/>
            <w:vMerge w:val="restart"/>
            <w:vAlign w:val="center"/>
          </w:tcPr>
          <w:p>
            <w:pPr>
              <w:tabs>
                <w:tab w:val="left" w:pos="3987"/>
              </w:tabs>
              <w:jc w:val="center"/>
              <w:rPr>
                <w:rFonts w:eastAsiaTheme="minorEastAsia"/>
                <w:sz w:val="21"/>
                <w:szCs w:val="21"/>
              </w:rPr>
            </w:pPr>
            <w:r>
              <w:rPr>
                <w:rFonts w:hint="eastAsia"/>
                <w:spacing w:val="-4"/>
                <w:szCs w:val="21"/>
              </w:rPr>
              <w:t>厂界</w:t>
            </w:r>
            <w:r>
              <w:rPr>
                <w:rFonts w:hint="eastAsia"/>
                <w:szCs w:val="21"/>
              </w:rPr>
              <w:t>下风向</w:t>
            </w:r>
            <w:r>
              <w:rPr>
                <w:rFonts w:hint="eastAsia"/>
                <w:spacing w:val="-4"/>
                <w:szCs w:val="21"/>
              </w:rPr>
              <w:t>○2</w:t>
            </w:r>
          </w:p>
        </w:tc>
        <w:tc>
          <w:tcPr>
            <w:tcW w:w="1489" w:type="dxa"/>
            <w:vAlign w:val="center"/>
          </w:tcPr>
          <w:p>
            <w:pPr>
              <w:tabs>
                <w:tab w:val="left" w:pos="3987"/>
              </w:tabs>
              <w:jc w:val="center"/>
              <w:rPr>
                <w:rFonts w:hint="eastAsia"/>
                <w:spacing w:val="-4"/>
                <w:szCs w:val="21"/>
                <w:lang w:val="en-US"/>
              </w:rPr>
            </w:pPr>
            <w:r>
              <w:rPr>
                <w:rFonts w:hint="default"/>
                <w:spacing w:val="-4"/>
                <w:szCs w:val="21"/>
                <w:lang w:val="en-US" w:eastAsia="zh-CN"/>
              </w:rPr>
              <w:t>2018.5.15</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23.6</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97.4</w:t>
            </w:r>
          </w:p>
        </w:tc>
        <w:tc>
          <w:tcPr>
            <w:tcW w:w="1489" w:type="dxa"/>
            <w:vAlign w:val="center"/>
          </w:tcPr>
          <w:p>
            <w:pPr>
              <w:tabs>
                <w:tab w:val="left" w:pos="3987"/>
              </w:tabs>
              <w:jc w:val="center"/>
              <w:rPr>
                <w:rFonts w:hint="eastAsia"/>
                <w:spacing w:val="-4"/>
                <w:szCs w:val="21"/>
                <w:lang w:val="en-US" w:eastAsia="zh-CN"/>
              </w:rPr>
            </w:pPr>
            <w:r>
              <w:rPr>
                <w:rFonts w:hint="eastAsia"/>
                <w:spacing w:val="-4"/>
                <w:szCs w:val="21"/>
                <w:lang w:val="en-US" w:eastAsia="zh-CN"/>
              </w:rPr>
              <w:t>正南</w:t>
            </w:r>
          </w:p>
        </w:tc>
        <w:tc>
          <w:tcPr>
            <w:tcW w:w="1492"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06" w:type="dxa"/>
            <w:vMerge w:val="continue"/>
            <w:vAlign w:val="center"/>
          </w:tcPr>
          <w:p>
            <w:pPr>
              <w:pStyle w:val="30"/>
              <w:spacing w:after="0"/>
              <w:ind w:firstLine="0" w:firstLineChars="0"/>
              <w:jc w:val="center"/>
              <w:rPr>
                <w:rFonts w:eastAsiaTheme="minorEastAsia"/>
                <w:b/>
                <w:sz w:val="21"/>
                <w:szCs w:val="21"/>
              </w:rPr>
            </w:pPr>
          </w:p>
        </w:tc>
        <w:tc>
          <w:tcPr>
            <w:tcW w:w="1489" w:type="dxa"/>
            <w:vAlign w:val="center"/>
          </w:tcPr>
          <w:p>
            <w:pPr>
              <w:tabs>
                <w:tab w:val="left" w:pos="3987"/>
              </w:tabs>
              <w:jc w:val="center"/>
              <w:rPr>
                <w:rFonts w:hint="eastAsia"/>
                <w:spacing w:val="-4"/>
                <w:szCs w:val="21"/>
                <w:lang w:val="en-US"/>
              </w:rPr>
            </w:pPr>
            <w:r>
              <w:rPr>
                <w:rFonts w:hint="default"/>
                <w:spacing w:val="-4"/>
                <w:szCs w:val="21"/>
                <w:lang w:val="en-US" w:eastAsia="zh-CN"/>
              </w:rPr>
              <w:t>2018.5.16</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17.8</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97.5</w:t>
            </w:r>
          </w:p>
        </w:tc>
        <w:tc>
          <w:tcPr>
            <w:tcW w:w="1489" w:type="dxa"/>
            <w:vAlign w:val="center"/>
          </w:tcPr>
          <w:p>
            <w:pPr>
              <w:tabs>
                <w:tab w:val="left" w:pos="3987"/>
              </w:tabs>
              <w:jc w:val="center"/>
              <w:rPr>
                <w:rFonts w:hint="eastAsia"/>
                <w:spacing w:val="-4"/>
                <w:szCs w:val="21"/>
                <w:lang w:val="en-US" w:eastAsia="zh-CN"/>
              </w:rPr>
            </w:pPr>
            <w:r>
              <w:rPr>
                <w:rFonts w:hint="eastAsia"/>
                <w:spacing w:val="-4"/>
                <w:szCs w:val="21"/>
                <w:lang w:val="en-US" w:eastAsia="zh-CN"/>
              </w:rPr>
              <w:t>正南</w:t>
            </w:r>
          </w:p>
        </w:tc>
        <w:tc>
          <w:tcPr>
            <w:tcW w:w="1492"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06" w:type="dxa"/>
            <w:vMerge w:val="restart"/>
            <w:vAlign w:val="center"/>
          </w:tcPr>
          <w:p>
            <w:pPr>
              <w:tabs>
                <w:tab w:val="left" w:pos="3987"/>
              </w:tabs>
              <w:jc w:val="center"/>
              <w:rPr>
                <w:rFonts w:eastAsiaTheme="minorEastAsia"/>
                <w:sz w:val="21"/>
                <w:szCs w:val="21"/>
              </w:rPr>
            </w:pPr>
            <w:r>
              <w:rPr>
                <w:rFonts w:hint="eastAsia"/>
                <w:spacing w:val="-4"/>
                <w:szCs w:val="21"/>
              </w:rPr>
              <w:t>厂界</w:t>
            </w:r>
            <w:r>
              <w:rPr>
                <w:rFonts w:hint="eastAsia"/>
                <w:szCs w:val="21"/>
              </w:rPr>
              <w:t>下风向</w:t>
            </w:r>
            <w:r>
              <w:rPr>
                <w:rFonts w:hint="eastAsia"/>
                <w:spacing w:val="-4"/>
                <w:szCs w:val="21"/>
              </w:rPr>
              <w:t>○3</w:t>
            </w:r>
          </w:p>
        </w:tc>
        <w:tc>
          <w:tcPr>
            <w:tcW w:w="1489" w:type="dxa"/>
            <w:vAlign w:val="center"/>
          </w:tcPr>
          <w:p>
            <w:pPr>
              <w:tabs>
                <w:tab w:val="left" w:pos="3987"/>
              </w:tabs>
              <w:jc w:val="center"/>
              <w:rPr>
                <w:rFonts w:hint="eastAsia"/>
                <w:spacing w:val="-4"/>
                <w:szCs w:val="21"/>
                <w:lang w:val="en-US"/>
              </w:rPr>
            </w:pPr>
            <w:r>
              <w:rPr>
                <w:rFonts w:hint="default"/>
                <w:spacing w:val="-4"/>
                <w:szCs w:val="21"/>
                <w:lang w:val="en-US" w:eastAsia="zh-CN"/>
              </w:rPr>
              <w:t>2018.5.15</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15.4</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97.5</w:t>
            </w:r>
          </w:p>
        </w:tc>
        <w:tc>
          <w:tcPr>
            <w:tcW w:w="1489" w:type="dxa"/>
            <w:vAlign w:val="center"/>
          </w:tcPr>
          <w:p>
            <w:pPr>
              <w:tabs>
                <w:tab w:val="left" w:pos="3987"/>
              </w:tabs>
              <w:jc w:val="center"/>
              <w:rPr>
                <w:rFonts w:hint="eastAsia"/>
                <w:spacing w:val="-4"/>
                <w:szCs w:val="21"/>
                <w:lang w:val="en-US" w:eastAsia="zh-CN"/>
              </w:rPr>
            </w:pPr>
            <w:r>
              <w:rPr>
                <w:rFonts w:hint="eastAsia"/>
                <w:spacing w:val="-4"/>
                <w:szCs w:val="21"/>
                <w:lang w:val="en-US" w:eastAsia="zh-CN"/>
              </w:rPr>
              <w:t>正南</w:t>
            </w:r>
          </w:p>
        </w:tc>
        <w:tc>
          <w:tcPr>
            <w:tcW w:w="1492"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06" w:type="dxa"/>
            <w:vMerge w:val="continue"/>
            <w:vAlign w:val="center"/>
          </w:tcPr>
          <w:p>
            <w:pPr>
              <w:pStyle w:val="30"/>
              <w:spacing w:after="0"/>
              <w:ind w:firstLine="0" w:firstLineChars="0"/>
              <w:jc w:val="center"/>
              <w:rPr>
                <w:rFonts w:eastAsiaTheme="minorEastAsia"/>
                <w:b/>
                <w:sz w:val="21"/>
                <w:szCs w:val="21"/>
              </w:rPr>
            </w:pPr>
          </w:p>
        </w:tc>
        <w:tc>
          <w:tcPr>
            <w:tcW w:w="1489" w:type="dxa"/>
            <w:vAlign w:val="center"/>
          </w:tcPr>
          <w:p>
            <w:pPr>
              <w:tabs>
                <w:tab w:val="left" w:pos="3987"/>
              </w:tabs>
              <w:jc w:val="center"/>
              <w:rPr>
                <w:rFonts w:hint="eastAsia"/>
                <w:spacing w:val="-4"/>
                <w:szCs w:val="21"/>
                <w:lang w:val="en-US"/>
              </w:rPr>
            </w:pPr>
            <w:r>
              <w:rPr>
                <w:rFonts w:hint="default"/>
                <w:spacing w:val="-4"/>
                <w:szCs w:val="21"/>
                <w:lang w:val="en-US" w:eastAsia="zh-CN"/>
              </w:rPr>
              <w:t>2018.5.16</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16.7</w:t>
            </w:r>
          </w:p>
        </w:tc>
        <w:tc>
          <w:tcPr>
            <w:tcW w:w="1489"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97.5</w:t>
            </w:r>
          </w:p>
        </w:tc>
        <w:tc>
          <w:tcPr>
            <w:tcW w:w="1489" w:type="dxa"/>
            <w:vAlign w:val="center"/>
          </w:tcPr>
          <w:p>
            <w:pPr>
              <w:tabs>
                <w:tab w:val="left" w:pos="3987"/>
              </w:tabs>
              <w:jc w:val="center"/>
              <w:rPr>
                <w:rFonts w:hint="eastAsia"/>
                <w:spacing w:val="-4"/>
                <w:szCs w:val="21"/>
                <w:lang w:val="en-US" w:eastAsia="zh-CN"/>
              </w:rPr>
            </w:pPr>
            <w:r>
              <w:rPr>
                <w:rFonts w:hint="eastAsia"/>
                <w:spacing w:val="-4"/>
                <w:szCs w:val="21"/>
                <w:lang w:val="en-US" w:eastAsia="zh-CN"/>
              </w:rPr>
              <w:t>正南</w:t>
            </w:r>
          </w:p>
        </w:tc>
        <w:tc>
          <w:tcPr>
            <w:tcW w:w="1492" w:type="dxa"/>
            <w:vAlign w:val="center"/>
          </w:tcPr>
          <w:p>
            <w:pPr>
              <w:tabs>
                <w:tab w:val="left" w:pos="3987"/>
              </w:tabs>
              <w:jc w:val="center"/>
              <w:rPr>
                <w:rFonts w:hint="eastAsia"/>
                <w:spacing w:val="-4"/>
                <w:szCs w:val="21"/>
                <w:lang w:val="en-US" w:eastAsia="zh-CN"/>
              </w:rPr>
            </w:pPr>
            <w:r>
              <w:rPr>
                <w:rFonts w:hint="default"/>
                <w:spacing w:val="-4"/>
                <w:szCs w:val="21"/>
                <w:lang w:val="en-US" w:eastAsia="zh-CN"/>
              </w:rPr>
              <w:t>0.8</w:t>
            </w:r>
          </w:p>
        </w:tc>
      </w:tr>
    </w:tbl>
    <w:p>
      <w:pPr>
        <w:pStyle w:val="30"/>
        <w:spacing w:beforeLines="50" w:after="0" w:line="360" w:lineRule="auto"/>
        <w:ind w:firstLine="0" w:firstLineChars="0"/>
        <w:jc w:val="center"/>
        <w:rPr>
          <w:b/>
          <w:color w:val="000000"/>
          <w:sz w:val="21"/>
          <w:szCs w:val="21"/>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30"/>
        <w:spacing w:beforeLines="50" w:after="0" w:line="360" w:lineRule="auto"/>
        <w:ind w:firstLine="0" w:firstLineChars="0"/>
        <w:jc w:val="center"/>
        <w:rPr>
          <w:b/>
          <w:color w:val="000000"/>
          <w:sz w:val="21"/>
          <w:szCs w:val="21"/>
        </w:rPr>
      </w:pPr>
      <w:r>
        <w:rPr>
          <w:b/>
          <w:color w:val="000000"/>
          <w:sz w:val="21"/>
          <w:szCs w:val="21"/>
        </w:rPr>
        <w:t>表</w:t>
      </w:r>
      <w:r>
        <w:rPr>
          <w:rFonts w:hint="eastAsia"/>
          <w:b/>
          <w:color w:val="000000"/>
          <w:sz w:val="21"/>
          <w:szCs w:val="21"/>
          <w:lang w:val="en-US" w:eastAsia="zh-CN"/>
        </w:rPr>
        <w:t>9-</w:t>
      </w:r>
      <w:r>
        <w:rPr>
          <w:rFonts w:hint="eastAsia"/>
          <w:b/>
          <w:color w:val="000000"/>
          <w:sz w:val="21"/>
          <w:szCs w:val="21"/>
        </w:rPr>
        <w:t>3  项目无组织废气监测</w:t>
      </w:r>
      <w:r>
        <w:rPr>
          <w:b/>
          <w:color w:val="000000"/>
          <w:sz w:val="21"/>
          <w:szCs w:val="21"/>
        </w:rPr>
        <w:t>结果</w:t>
      </w:r>
      <w:r>
        <w:rPr>
          <w:rFonts w:hint="eastAsia"/>
          <w:b/>
          <w:color w:val="000000"/>
          <w:sz w:val="21"/>
          <w:szCs w:val="21"/>
        </w:rPr>
        <w:t>一览表</w:t>
      </w:r>
    </w:p>
    <w:tbl>
      <w:tblPr>
        <w:tblStyle w:val="32"/>
        <w:tblW w:w="14424"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3"/>
        <w:gridCol w:w="1290"/>
        <w:gridCol w:w="959"/>
        <w:gridCol w:w="959"/>
        <w:gridCol w:w="959"/>
        <w:gridCol w:w="959"/>
        <w:gridCol w:w="959"/>
        <w:gridCol w:w="959"/>
        <w:gridCol w:w="959"/>
        <w:gridCol w:w="959"/>
        <w:gridCol w:w="960"/>
        <w:gridCol w:w="959"/>
        <w:gridCol w:w="959"/>
        <w:gridCol w:w="9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1623" w:type="dxa"/>
            <w:vMerge w:val="restart"/>
            <w:vAlign w:val="center"/>
          </w:tcPr>
          <w:p>
            <w:pPr>
              <w:jc w:val="center"/>
              <w:rPr>
                <w:b/>
                <w:szCs w:val="21"/>
              </w:rPr>
            </w:pPr>
            <w:r>
              <w:rPr>
                <w:rFonts w:hint="eastAsia"/>
                <w:b/>
                <w:szCs w:val="21"/>
              </w:rPr>
              <w:t>监测</w:t>
            </w:r>
            <w:r>
              <w:rPr>
                <w:b/>
                <w:szCs w:val="21"/>
              </w:rPr>
              <w:t>点位</w:t>
            </w:r>
          </w:p>
        </w:tc>
        <w:tc>
          <w:tcPr>
            <w:tcW w:w="1290" w:type="dxa"/>
            <w:vMerge w:val="restart"/>
            <w:vAlign w:val="center"/>
          </w:tcPr>
          <w:p>
            <w:pPr>
              <w:jc w:val="center"/>
              <w:rPr>
                <w:b/>
                <w:szCs w:val="21"/>
              </w:rPr>
            </w:pPr>
            <w:r>
              <w:rPr>
                <w:rFonts w:hint="eastAsia"/>
                <w:b/>
                <w:szCs w:val="21"/>
              </w:rPr>
              <w:t>监测日期</w:t>
            </w:r>
          </w:p>
        </w:tc>
        <w:tc>
          <w:tcPr>
            <w:tcW w:w="11511" w:type="dxa"/>
            <w:gridSpan w:val="12"/>
            <w:vAlign w:val="center"/>
          </w:tcPr>
          <w:p>
            <w:pPr>
              <w:jc w:val="center"/>
              <w:rPr>
                <w:b/>
                <w:szCs w:val="21"/>
              </w:rPr>
            </w:pPr>
            <w:r>
              <w:rPr>
                <w:rFonts w:hint="eastAsia"/>
                <w:b/>
                <w:szCs w:val="21"/>
              </w:rPr>
              <w:t>监</w:t>
            </w:r>
            <w:r>
              <w:rPr>
                <w:b/>
                <w:szCs w:val="21"/>
              </w:rPr>
              <w:t>测结果（mg</w:t>
            </w:r>
            <w:r>
              <w:rPr>
                <w:rFonts w:hint="eastAsia"/>
                <w:b/>
                <w:szCs w:val="21"/>
              </w:rPr>
              <w:t>/m</w:t>
            </w:r>
            <w:r>
              <w:rPr>
                <w:rFonts w:hint="eastAsia"/>
                <w:b/>
                <w:szCs w:val="21"/>
                <w:vertAlign w:val="superscript"/>
              </w:rPr>
              <w:t>3</w:t>
            </w:r>
            <w:r>
              <w:rPr>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1623" w:type="dxa"/>
            <w:vMerge w:val="continue"/>
            <w:vAlign w:val="center"/>
          </w:tcPr>
          <w:p>
            <w:pPr>
              <w:jc w:val="center"/>
              <w:rPr>
                <w:b/>
                <w:szCs w:val="21"/>
              </w:rPr>
            </w:pPr>
          </w:p>
        </w:tc>
        <w:tc>
          <w:tcPr>
            <w:tcW w:w="1290" w:type="dxa"/>
            <w:vMerge w:val="continue"/>
            <w:vAlign w:val="center"/>
          </w:tcPr>
          <w:p>
            <w:pPr>
              <w:jc w:val="center"/>
              <w:rPr>
                <w:b/>
                <w:szCs w:val="21"/>
              </w:rPr>
            </w:pPr>
          </w:p>
        </w:tc>
        <w:tc>
          <w:tcPr>
            <w:tcW w:w="2877" w:type="dxa"/>
            <w:gridSpan w:val="3"/>
            <w:vAlign w:val="center"/>
          </w:tcPr>
          <w:p>
            <w:pPr>
              <w:jc w:val="center"/>
              <w:rPr>
                <w:b/>
                <w:szCs w:val="21"/>
              </w:rPr>
            </w:pPr>
            <w:r>
              <w:rPr>
                <w:rFonts w:hint="eastAsia"/>
                <w:b/>
                <w:szCs w:val="21"/>
              </w:rPr>
              <w:t>氨</w:t>
            </w:r>
          </w:p>
        </w:tc>
        <w:tc>
          <w:tcPr>
            <w:tcW w:w="2877" w:type="dxa"/>
            <w:gridSpan w:val="3"/>
            <w:vAlign w:val="center"/>
          </w:tcPr>
          <w:p>
            <w:pPr>
              <w:jc w:val="center"/>
              <w:rPr>
                <w:b/>
                <w:szCs w:val="21"/>
              </w:rPr>
            </w:pPr>
            <w:r>
              <w:rPr>
                <w:rFonts w:hint="eastAsia"/>
                <w:b/>
                <w:szCs w:val="21"/>
              </w:rPr>
              <w:t>硫化氢</w:t>
            </w:r>
          </w:p>
        </w:tc>
        <w:tc>
          <w:tcPr>
            <w:tcW w:w="2878" w:type="dxa"/>
            <w:gridSpan w:val="3"/>
            <w:vAlign w:val="center"/>
          </w:tcPr>
          <w:p>
            <w:pPr>
              <w:jc w:val="center"/>
              <w:rPr>
                <w:b/>
                <w:szCs w:val="21"/>
              </w:rPr>
            </w:pPr>
            <w:r>
              <w:rPr>
                <w:rFonts w:hint="eastAsia"/>
                <w:b/>
                <w:szCs w:val="21"/>
              </w:rPr>
              <w:t>氯气</w:t>
            </w:r>
          </w:p>
        </w:tc>
        <w:tc>
          <w:tcPr>
            <w:tcW w:w="2879" w:type="dxa"/>
            <w:gridSpan w:val="3"/>
            <w:vAlign w:val="center"/>
          </w:tcPr>
          <w:p>
            <w:pPr>
              <w:jc w:val="center"/>
              <w:rPr>
                <w:b/>
                <w:szCs w:val="21"/>
              </w:rPr>
            </w:pPr>
            <w:r>
              <w:rPr>
                <w:rFonts w:hint="eastAsia"/>
                <w:b/>
                <w:szCs w:val="21"/>
              </w:rPr>
              <w:t>臭气浓度</w:t>
            </w:r>
            <w:r>
              <w:rPr>
                <w:rFonts w:hint="eastAsia"/>
                <w:b/>
                <w:szCs w:val="21"/>
                <w:lang w:eastAsia="zh-CN"/>
              </w:rPr>
              <w:t>（</w:t>
            </w:r>
            <w:r>
              <w:rPr>
                <w:rFonts w:hint="eastAsia"/>
                <w:b/>
                <w:szCs w:val="21"/>
                <w:lang w:val="en-US" w:eastAsia="zh-CN"/>
              </w:rPr>
              <w:t>无量纲</w:t>
            </w:r>
            <w:r>
              <w:rPr>
                <w:rFonts w:hint="eastAsia"/>
                <w:b/>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1623" w:type="dxa"/>
            <w:vMerge w:val="continue"/>
            <w:vAlign w:val="center"/>
          </w:tcPr>
          <w:p>
            <w:pPr>
              <w:tabs>
                <w:tab w:val="left" w:pos="3987"/>
              </w:tabs>
              <w:jc w:val="center"/>
              <w:rPr>
                <w:b/>
                <w:szCs w:val="21"/>
              </w:rPr>
            </w:pPr>
          </w:p>
        </w:tc>
        <w:tc>
          <w:tcPr>
            <w:tcW w:w="1290" w:type="dxa"/>
            <w:vMerge w:val="continue"/>
            <w:vAlign w:val="center"/>
          </w:tcPr>
          <w:p>
            <w:pPr>
              <w:tabs>
                <w:tab w:val="left" w:pos="3987"/>
              </w:tabs>
              <w:jc w:val="center"/>
              <w:rPr>
                <w:b/>
                <w:szCs w:val="21"/>
              </w:rPr>
            </w:pPr>
          </w:p>
        </w:tc>
        <w:tc>
          <w:tcPr>
            <w:tcW w:w="959" w:type="dxa"/>
            <w:vAlign w:val="center"/>
          </w:tcPr>
          <w:p>
            <w:pPr>
              <w:tabs>
                <w:tab w:val="left" w:pos="3987"/>
              </w:tabs>
              <w:jc w:val="center"/>
              <w:rPr>
                <w:b/>
                <w:szCs w:val="21"/>
              </w:rPr>
            </w:pPr>
            <w:r>
              <w:rPr>
                <w:b/>
                <w:szCs w:val="21"/>
              </w:rPr>
              <w:t>第</w:t>
            </w:r>
            <w:r>
              <w:rPr>
                <w:rFonts w:hint="eastAsia"/>
                <w:b/>
                <w:szCs w:val="21"/>
              </w:rPr>
              <w:t>一</w:t>
            </w:r>
            <w:r>
              <w:rPr>
                <w:b/>
                <w:szCs w:val="21"/>
              </w:rPr>
              <w:t>次</w:t>
            </w:r>
          </w:p>
        </w:tc>
        <w:tc>
          <w:tcPr>
            <w:tcW w:w="959" w:type="dxa"/>
            <w:vAlign w:val="center"/>
          </w:tcPr>
          <w:p>
            <w:pPr>
              <w:tabs>
                <w:tab w:val="left" w:pos="3987"/>
              </w:tabs>
              <w:jc w:val="center"/>
              <w:rPr>
                <w:b/>
                <w:szCs w:val="21"/>
              </w:rPr>
            </w:pPr>
            <w:r>
              <w:rPr>
                <w:b/>
                <w:szCs w:val="21"/>
              </w:rPr>
              <w:t>第</w:t>
            </w:r>
            <w:r>
              <w:rPr>
                <w:rFonts w:hint="eastAsia"/>
                <w:b/>
                <w:szCs w:val="21"/>
              </w:rPr>
              <w:t>二</w:t>
            </w:r>
            <w:r>
              <w:rPr>
                <w:b/>
                <w:szCs w:val="21"/>
              </w:rPr>
              <w:t>次</w:t>
            </w:r>
          </w:p>
        </w:tc>
        <w:tc>
          <w:tcPr>
            <w:tcW w:w="959" w:type="dxa"/>
            <w:vAlign w:val="center"/>
          </w:tcPr>
          <w:p>
            <w:pPr>
              <w:tabs>
                <w:tab w:val="left" w:pos="3987"/>
              </w:tabs>
              <w:jc w:val="center"/>
              <w:rPr>
                <w:b/>
                <w:szCs w:val="21"/>
              </w:rPr>
            </w:pPr>
            <w:r>
              <w:rPr>
                <w:b/>
                <w:szCs w:val="21"/>
              </w:rPr>
              <w:t>第</w:t>
            </w:r>
            <w:r>
              <w:rPr>
                <w:rFonts w:hint="eastAsia"/>
                <w:b/>
                <w:szCs w:val="21"/>
              </w:rPr>
              <w:t>三</w:t>
            </w:r>
            <w:r>
              <w:rPr>
                <w:b/>
                <w:szCs w:val="21"/>
              </w:rPr>
              <w:t>次</w:t>
            </w:r>
          </w:p>
        </w:tc>
        <w:tc>
          <w:tcPr>
            <w:tcW w:w="959" w:type="dxa"/>
            <w:vAlign w:val="center"/>
          </w:tcPr>
          <w:p>
            <w:pPr>
              <w:tabs>
                <w:tab w:val="left" w:pos="3987"/>
              </w:tabs>
              <w:jc w:val="center"/>
              <w:rPr>
                <w:b/>
                <w:szCs w:val="21"/>
              </w:rPr>
            </w:pPr>
            <w:r>
              <w:rPr>
                <w:b/>
                <w:szCs w:val="21"/>
              </w:rPr>
              <w:t>第</w:t>
            </w:r>
            <w:r>
              <w:rPr>
                <w:rFonts w:hint="eastAsia"/>
                <w:b/>
                <w:szCs w:val="21"/>
              </w:rPr>
              <w:t>一</w:t>
            </w:r>
            <w:r>
              <w:rPr>
                <w:b/>
                <w:szCs w:val="21"/>
              </w:rPr>
              <w:t>次</w:t>
            </w:r>
          </w:p>
        </w:tc>
        <w:tc>
          <w:tcPr>
            <w:tcW w:w="959" w:type="dxa"/>
            <w:vAlign w:val="center"/>
          </w:tcPr>
          <w:p>
            <w:pPr>
              <w:tabs>
                <w:tab w:val="left" w:pos="3987"/>
              </w:tabs>
              <w:jc w:val="center"/>
              <w:rPr>
                <w:b/>
                <w:szCs w:val="21"/>
              </w:rPr>
            </w:pPr>
            <w:r>
              <w:rPr>
                <w:b/>
                <w:szCs w:val="21"/>
              </w:rPr>
              <w:t>第</w:t>
            </w:r>
            <w:r>
              <w:rPr>
                <w:rFonts w:hint="eastAsia"/>
                <w:b/>
                <w:szCs w:val="21"/>
              </w:rPr>
              <w:t>二</w:t>
            </w:r>
            <w:r>
              <w:rPr>
                <w:b/>
                <w:szCs w:val="21"/>
              </w:rPr>
              <w:t>次</w:t>
            </w:r>
          </w:p>
        </w:tc>
        <w:tc>
          <w:tcPr>
            <w:tcW w:w="959" w:type="dxa"/>
            <w:vAlign w:val="center"/>
          </w:tcPr>
          <w:p>
            <w:pPr>
              <w:tabs>
                <w:tab w:val="left" w:pos="3987"/>
              </w:tabs>
              <w:jc w:val="center"/>
              <w:rPr>
                <w:b/>
                <w:szCs w:val="21"/>
              </w:rPr>
            </w:pPr>
            <w:r>
              <w:rPr>
                <w:b/>
                <w:szCs w:val="21"/>
              </w:rPr>
              <w:t>第</w:t>
            </w:r>
            <w:r>
              <w:rPr>
                <w:rFonts w:hint="eastAsia"/>
                <w:b/>
                <w:szCs w:val="21"/>
              </w:rPr>
              <w:t>三</w:t>
            </w:r>
            <w:r>
              <w:rPr>
                <w:b/>
                <w:szCs w:val="21"/>
              </w:rPr>
              <w:t>次</w:t>
            </w:r>
          </w:p>
        </w:tc>
        <w:tc>
          <w:tcPr>
            <w:tcW w:w="959" w:type="dxa"/>
            <w:vAlign w:val="center"/>
          </w:tcPr>
          <w:p>
            <w:pPr>
              <w:tabs>
                <w:tab w:val="left" w:pos="3987"/>
              </w:tabs>
              <w:jc w:val="center"/>
              <w:rPr>
                <w:b/>
                <w:szCs w:val="21"/>
              </w:rPr>
            </w:pPr>
            <w:r>
              <w:rPr>
                <w:b/>
                <w:szCs w:val="21"/>
              </w:rPr>
              <w:t>第</w:t>
            </w:r>
            <w:r>
              <w:rPr>
                <w:rFonts w:hint="eastAsia"/>
                <w:b/>
                <w:szCs w:val="21"/>
              </w:rPr>
              <w:t>一</w:t>
            </w:r>
            <w:r>
              <w:rPr>
                <w:b/>
                <w:szCs w:val="21"/>
              </w:rPr>
              <w:t>次</w:t>
            </w:r>
          </w:p>
        </w:tc>
        <w:tc>
          <w:tcPr>
            <w:tcW w:w="959" w:type="dxa"/>
            <w:vAlign w:val="center"/>
          </w:tcPr>
          <w:p>
            <w:pPr>
              <w:tabs>
                <w:tab w:val="left" w:pos="3987"/>
              </w:tabs>
              <w:jc w:val="center"/>
              <w:rPr>
                <w:b/>
                <w:szCs w:val="21"/>
              </w:rPr>
            </w:pPr>
            <w:r>
              <w:rPr>
                <w:b/>
                <w:szCs w:val="21"/>
              </w:rPr>
              <w:t>第</w:t>
            </w:r>
            <w:r>
              <w:rPr>
                <w:rFonts w:hint="eastAsia"/>
                <w:b/>
                <w:szCs w:val="21"/>
              </w:rPr>
              <w:t>二</w:t>
            </w:r>
            <w:r>
              <w:rPr>
                <w:b/>
                <w:szCs w:val="21"/>
              </w:rPr>
              <w:t>次</w:t>
            </w:r>
          </w:p>
        </w:tc>
        <w:tc>
          <w:tcPr>
            <w:tcW w:w="960" w:type="dxa"/>
            <w:tcBorders>
              <w:right w:val="single" w:color="auto" w:sz="4" w:space="0"/>
            </w:tcBorders>
            <w:vAlign w:val="center"/>
          </w:tcPr>
          <w:p>
            <w:pPr>
              <w:tabs>
                <w:tab w:val="left" w:pos="3987"/>
              </w:tabs>
              <w:jc w:val="center"/>
              <w:rPr>
                <w:b/>
                <w:szCs w:val="21"/>
              </w:rPr>
            </w:pPr>
            <w:r>
              <w:rPr>
                <w:b/>
                <w:szCs w:val="21"/>
              </w:rPr>
              <w:t>第</w:t>
            </w:r>
            <w:r>
              <w:rPr>
                <w:rFonts w:hint="eastAsia"/>
                <w:b/>
                <w:szCs w:val="21"/>
              </w:rPr>
              <w:t>三</w:t>
            </w:r>
            <w:r>
              <w:rPr>
                <w:b/>
                <w:szCs w:val="21"/>
              </w:rPr>
              <w:t>次</w:t>
            </w:r>
          </w:p>
        </w:tc>
        <w:tc>
          <w:tcPr>
            <w:tcW w:w="959" w:type="dxa"/>
            <w:tcBorders>
              <w:left w:val="single" w:color="auto" w:sz="4" w:space="0"/>
              <w:right w:val="single" w:color="auto" w:sz="4" w:space="0"/>
            </w:tcBorders>
            <w:vAlign w:val="center"/>
          </w:tcPr>
          <w:p>
            <w:pPr>
              <w:tabs>
                <w:tab w:val="left" w:pos="3987"/>
              </w:tabs>
              <w:jc w:val="center"/>
              <w:rPr>
                <w:b/>
                <w:szCs w:val="21"/>
              </w:rPr>
            </w:pPr>
            <w:r>
              <w:rPr>
                <w:b/>
                <w:szCs w:val="21"/>
              </w:rPr>
              <w:t>第</w:t>
            </w:r>
            <w:r>
              <w:rPr>
                <w:rFonts w:hint="eastAsia"/>
                <w:b/>
                <w:szCs w:val="21"/>
              </w:rPr>
              <w:t>一</w:t>
            </w:r>
            <w:r>
              <w:rPr>
                <w:b/>
                <w:szCs w:val="21"/>
              </w:rPr>
              <w:t>次</w:t>
            </w:r>
          </w:p>
        </w:tc>
        <w:tc>
          <w:tcPr>
            <w:tcW w:w="959" w:type="dxa"/>
            <w:tcBorders>
              <w:left w:val="single" w:color="auto" w:sz="4" w:space="0"/>
              <w:right w:val="single" w:color="auto" w:sz="4" w:space="0"/>
            </w:tcBorders>
            <w:vAlign w:val="center"/>
          </w:tcPr>
          <w:p>
            <w:pPr>
              <w:tabs>
                <w:tab w:val="left" w:pos="3987"/>
              </w:tabs>
              <w:jc w:val="center"/>
              <w:rPr>
                <w:b/>
                <w:szCs w:val="21"/>
              </w:rPr>
            </w:pPr>
            <w:r>
              <w:rPr>
                <w:b/>
                <w:szCs w:val="21"/>
              </w:rPr>
              <w:t>第</w:t>
            </w:r>
            <w:r>
              <w:rPr>
                <w:rFonts w:hint="eastAsia"/>
                <w:b/>
                <w:szCs w:val="21"/>
              </w:rPr>
              <w:t>二</w:t>
            </w:r>
            <w:r>
              <w:rPr>
                <w:b/>
                <w:szCs w:val="21"/>
              </w:rPr>
              <w:t>次</w:t>
            </w:r>
          </w:p>
        </w:tc>
        <w:tc>
          <w:tcPr>
            <w:tcW w:w="961" w:type="dxa"/>
            <w:tcBorders>
              <w:left w:val="single" w:color="auto" w:sz="4" w:space="0"/>
            </w:tcBorders>
            <w:vAlign w:val="center"/>
          </w:tcPr>
          <w:p>
            <w:pPr>
              <w:tabs>
                <w:tab w:val="left" w:pos="3987"/>
              </w:tabs>
              <w:jc w:val="center"/>
              <w:rPr>
                <w:b/>
                <w:szCs w:val="21"/>
              </w:rPr>
            </w:pPr>
            <w:r>
              <w:rPr>
                <w:b/>
                <w:szCs w:val="21"/>
              </w:rPr>
              <w:t>第</w:t>
            </w:r>
            <w:r>
              <w:rPr>
                <w:rFonts w:hint="eastAsia"/>
                <w:b/>
                <w:szCs w:val="21"/>
              </w:rPr>
              <w:t>三</w:t>
            </w:r>
            <w:r>
              <w:rPr>
                <w:b/>
                <w:szCs w:val="21"/>
              </w:rPr>
              <w:t>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3" w:type="dxa"/>
            <w:vMerge w:val="restart"/>
            <w:vAlign w:val="center"/>
          </w:tcPr>
          <w:p>
            <w:pPr>
              <w:tabs>
                <w:tab w:val="left" w:pos="3987"/>
              </w:tabs>
              <w:jc w:val="center"/>
              <w:rPr>
                <w:szCs w:val="21"/>
              </w:rPr>
            </w:pPr>
            <w:r>
              <w:rPr>
                <w:rFonts w:hint="eastAsia"/>
                <w:spacing w:val="-4"/>
                <w:szCs w:val="21"/>
              </w:rPr>
              <w:t>厂界上风向○1</w:t>
            </w:r>
          </w:p>
        </w:tc>
        <w:tc>
          <w:tcPr>
            <w:tcW w:w="1290" w:type="dxa"/>
            <w:vAlign w:val="center"/>
          </w:tcPr>
          <w:p>
            <w:pPr>
              <w:pStyle w:val="56"/>
              <w:spacing w:before="0" w:after="0" w:line="240" w:lineRule="exact"/>
              <w:jc w:val="center"/>
              <w:rPr>
                <w:szCs w:val="21"/>
              </w:rPr>
            </w:pPr>
            <w:r>
              <w:rPr>
                <w:rFonts w:hint="eastAsia" w:eastAsia="宋体"/>
                <w:sz w:val="21"/>
                <w:szCs w:val="21"/>
                <w:lang w:val="en-US" w:eastAsia="zh-CN"/>
              </w:rPr>
              <w:t>2018.5.15</w:t>
            </w:r>
          </w:p>
        </w:tc>
        <w:tc>
          <w:tcPr>
            <w:tcW w:w="959" w:type="dxa"/>
            <w:vAlign w:val="center"/>
          </w:tcPr>
          <w:p>
            <w:pPr>
              <w:widowControl/>
              <w:jc w:val="center"/>
              <w:rPr>
                <w:rFonts w:hint="eastAsia" w:eastAsia="宋体"/>
                <w:szCs w:val="21"/>
                <w:lang w:val="en-US" w:eastAsia="zh-CN"/>
              </w:rPr>
            </w:pPr>
            <w:r>
              <w:rPr>
                <w:rFonts w:hint="eastAsia"/>
                <w:szCs w:val="21"/>
                <w:lang w:val="en-US" w:eastAsia="zh-CN"/>
              </w:rPr>
              <w:t>&lt;0.025</w:t>
            </w:r>
          </w:p>
        </w:tc>
        <w:tc>
          <w:tcPr>
            <w:tcW w:w="959" w:type="dxa"/>
            <w:vAlign w:val="center"/>
          </w:tcPr>
          <w:p>
            <w:pPr>
              <w:widowControl/>
              <w:jc w:val="center"/>
              <w:rPr>
                <w:szCs w:val="21"/>
              </w:rPr>
            </w:pPr>
            <w:r>
              <w:rPr>
                <w:rFonts w:hint="eastAsia"/>
                <w:szCs w:val="21"/>
                <w:lang w:val="en-US" w:eastAsia="zh-CN"/>
              </w:rPr>
              <w:t>&lt;0.025</w:t>
            </w:r>
          </w:p>
        </w:tc>
        <w:tc>
          <w:tcPr>
            <w:tcW w:w="959" w:type="dxa"/>
            <w:vAlign w:val="center"/>
          </w:tcPr>
          <w:p>
            <w:pPr>
              <w:widowControl/>
              <w:jc w:val="center"/>
              <w:rPr>
                <w:szCs w:val="21"/>
              </w:rPr>
            </w:pPr>
            <w:r>
              <w:rPr>
                <w:rFonts w:hint="eastAsia"/>
                <w:szCs w:val="21"/>
                <w:lang w:val="en-US" w:eastAsia="zh-CN"/>
              </w:rPr>
              <w:t>&lt;0.025</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&lt;0.001</w:t>
            </w:r>
          </w:p>
        </w:tc>
        <w:tc>
          <w:tcPr>
            <w:tcW w:w="959" w:type="dxa"/>
            <w:vAlign w:val="center"/>
          </w:tcPr>
          <w:p>
            <w:pPr>
              <w:widowControl/>
              <w:jc w:val="center"/>
              <w:rPr>
                <w:color w:val="000000"/>
                <w:kern w:val="0"/>
                <w:szCs w:val="21"/>
              </w:rPr>
            </w:pPr>
            <w:r>
              <w:rPr>
                <w:rFonts w:hint="eastAsia"/>
                <w:color w:val="000000"/>
                <w:kern w:val="0"/>
                <w:szCs w:val="21"/>
                <w:lang w:val="en-US" w:eastAsia="zh-CN"/>
              </w:rPr>
              <w:t>&lt;0.001</w:t>
            </w:r>
          </w:p>
        </w:tc>
        <w:tc>
          <w:tcPr>
            <w:tcW w:w="959" w:type="dxa"/>
            <w:vAlign w:val="center"/>
          </w:tcPr>
          <w:p>
            <w:pPr>
              <w:widowControl/>
              <w:jc w:val="center"/>
              <w:rPr>
                <w:color w:val="000000"/>
                <w:kern w:val="0"/>
                <w:szCs w:val="21"/>
              </w:rPr>
            </w:pPr>
            <w:r>
              <w:rPr>
                <w:rFonts w:hint="eastAsia"/>
                <w:color w:val="000000"/>
                <w:kern w:val="0"/>
                <w:szCs w:val="21"/>
                <w:lang w:val="en-US" w:eastAsia="zh-CN"/>
              </w:rPr>
              <w:t>&lt;0.001</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vAlign w:val="center"/>
          </w:tcPr>
          <w:p>
            <w:pPr>
              <w:widowControl/>
              <w:jc w:val="center"/>
              <w:rPr>
                <w:color w:val="000000"/>
                <w:kern w:val="0"/>
                <w:szCs w:val="21"/>
              </w:rPr>
            </w:pPr>
            <w:r>
              <w:rPr>
                <w:rFonts w:hint="eastAsia"/>
                <w:color w:val="000000"/>
                <w:kern w:val="0"/>
                <w:szCs w:val="21"/>
                <w:lang w:val="en-US" w:eastAsia="zh-CN"/>
              </w:rPr>
              <w:t>&lt;0.03</w:t>
            </w:r>
          </w:p>
        </w:tc>
        <w:tc>
          <w:tcPr>
            <w:tcW w:w="960" w:type="dxa"/>
            <w:tcBorders>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&lt;0.03</w:t>
            </w:r>
          </w:p>
        </w:tc>
        <w:tc>
          <w:tcPr>
            <w:tcW w:w="959" w:type="dxa"/>
            <w:tcBorders>
              <w:left w:val="single" w:color="auto" w:sz="4" w:space="0"/>
              <w:right w:val="single" w:color="auto" w:sz="4" w:space="0"/>
            </w:tcBorders>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&lt;10</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61" w:type="dxa"/>
            <w:tcBorders>
              <w:lef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3" w:type="dxa"/>
            <w:vMerge w:val="continue"/>
            <w:vAlign w:val="center"/>
          </w:tcPr>
          <w:p>
            <w:pPr>
              <w:tabs>
                <w:tab w:val="left" w:pos="3987"/>
              </w:tabs>
              <w:jc w:val="center"/>
              <w:rPr>
                <w:szCs w:val="21"/>
              </w:rPr>
            </w:pPr>
          </w:p>
        </w:tc>
        <w:tc>
          <w:tcPr>
            <w:tcW w:w="1290" w:type="dxa"/>
            <w:vAlign w:val="center"/>
          </w:tcPr>
          <w:p>
            <w:pPr>
              <w:pStyle w:val="56"/>
              <w:spacing w:before="0" w:after="0" w:line="240" w:lineRule="exact"/>
              <w:jc w:val="center"/>
              <w:rPr>
                <w:szCs w:val="21"/>
              </w:rPr>
            </w:pPr>
            <w:r>
              <w:rPr>
                <w:rFonts w:hint="eastAsia" w:eastAsia="宋体"/>
                <w:sz w:val="21"/>
                <w:szCs w:val="21"/>
                <w:lang w:val="en-US" w:eastAsia="zh-CN"/>
              </w:rPr>
              <w:t>2018.5.16</w:t>
            </w:r>
          </w:p>
        </w:tc>
        <w:tc>
          <w:tcPr>
            <w:tcW w:w="959" w:type="dxa"/>
            <w:vAlign w:val="center"/>
          </w:tcPr>
          <w:p>
            <w:pPr>
              <w:widowControl/>
              <w:jc w:val="center"/>
              <w:rPr>
                <w:szCs w:val="21"/>
              </w:rPr>
            </w:pPr>
            <w:r>
              <w:rPr>
                <w:rFonts w:hint="eastAsia"/>
                <w:szCs w:val="21"/>
                <w:lang w:val="en-US" w:eastAsia="zh-CN"/>
              </w:rPr>
              <w:t>&lt;0.025</w:t>
            </w:r>
          </w:p>
        </w:tc>
        <w:tc>
          <w:tcPr>
            <w:tcW w:w="959" w:type="dxa"/>
            <w:vAlign w:val="center"/>
          </w:tcPr>
          <w:p>
            <w:pPr>
              <w:widowControl/>
              <w:jc w:val="center"/>
              <w:rPr>
                <w:szCs w:val="21"/>
              </w:rPr>
            </w:pPr>
            <w:r>
              <w:rPr>
                <w:rFonts w:hint="eastAsia"/>
                <w:szCs w:val="21"/>
                <w:lang w:val="en-US" w:eastAsia="zh-CN"/>
              </w:rPr>
              <w:t>&lt;0.025</w:t>
            </w:r>
          </w:p>
        </w:tc>
        <w:tc>
          <w:tcPr>
            <w:tcW w:w="959" w:type="dxa"/>
            <w:vAlign w:val="center"/>
          </w:tcPr>
          <w:p>
            <w:pPr>
              <w:widowControl/>
              <w:jc w:val="center"/>
              <w:rPr>
                <w:szCs w:val="21"/>
              </w:rPr>
            </w:pPr>
            <w:r>
              <w:rPr>
                <w:rFonts w:hint="eastAsia"/>
                <w:szCs w:val="21"/>
                <w:lang w:val="en-US" w:eastAsia="zh-CN"/>
              </w:rPr>
              <w:t>&lt;0.025</w:t>
            </w:r>
          </w:p>
        </w:tc>
        <w:tc>
          <w:tcPr>
            <w:tcW w:w="959" w:type="dxa"/>
            <w:vAlign w:val="center"/>
          </w:tcPr>
          <w:p>
            <w:pPr>
              <w:widowControl/>
              <w:jc w:val="center"/>
              <w:rPr>
                <w:color w:val="000000"/>
                <w:kern w:val="0"/>
                <w:szCs w:val="21"/>
              </w:rPr>
            </w:pPr>
            <w:r>
              <w:rPr>
                <w:rFonts w:hint="eastAsia"/>
                <w:color w:val="000000"/>
                <w:kern w:val="0"/>
                <w:szCs w:val="21"/>
                <w:lang w:val="en-US" w:eastAsia="zh-CN"/>
              </w:rPr>
              <w:t>&lt;0.001</w:t>
            </w:r>
          </w:p>
        </w:tc>
        <w:tc>
          <w:tcPr>
            <w:tcW w:w="959" w:type="dxa"/>
            <w:vAlign w:val="center"/>
          </w:tcPr>
          <w:p>
            <w:pPr>
              <w:widowControl/>
              <w:jc w:val="center"/>
              <w:rPr>
                <w:color w:val="000000"/>
                <w:kern w:val="0"/>
                <w:szCs w:val="21"/>
              </w:rPr>
            </w:pPr>
            <w:r>
              <w:rPr>
                <w:rFonts w:hint="eastAsia"/>
                <w:color w:val="000000"/>
                <w:kern w:val="0"/>
                <w:szCs w:val="21"/>
                <w:lang w:val="en-US" w:eastAsia="zh-CN"/>
              </w:rPr>
              <w:t>&lt;0.001</w:t>
            </w:r>
          </w:p>
        </w:tc>
        <w:tc>
          <w:tcPr>
            <w:tcW w:w="959" w:type="dxa"/>
            <w:vAlign w:val="center"/>
          </w:tcPr>
          <w:p>
            <w:pPr>
              <w:widowControl/>
              <w:jc w:val="center"/>
              <w:rPr>
                <w:color w:val="000000"/>
                <w:kern w:val="0"/>
                <w:szCs w:val="21"/>
              </w:rPr>
            </w:pPr>
            <w:r>
              <w:rPr>
                <w:rFonts w:hint="eastAsia"/>
                <w:color w:val="000000"/>
                <w:kern w:val="0"/>
                <w:szCs w:val="21"/>
                <w:lang w:val="en-US" w:eastAsia="zh-CN"/>
              </w:rPr>
              <w:t>&lt;0.001</w:t>
            </w:r>
          </w:p>
        </w:tc>
        <w:tc>
          <w:tcPr>
            <w:tcW w:w="959" w:type="dxa"/>
            <w:vAlign w:val="center"/>
          </w:tcPr>
          <w:p>
            <w:pPr>
              <w:widowControl/>
              <w:jc w:val="center"/>
              <w:rPr>
                <w:color w:val="000000"/>
                <w:kern w:val="0"/>
                <w:szCs w:val="21"/>
              </w:rPr>
            </w:pPr>
            <w:r>
              <w:rPr>
                <w:rFonts w:hint="eastAsia"/>
                <w:color w:val="000000"/>
                <w:kern w:val="0"/>
                <w:szCs w:val="21"/>
                <w:lang w:val="en-US" w:eastAsia="zh-CN"/>
              </w:rPr>
              <w:t>&lt;0.03</w:t>
            </w:r>
          </w:p>
        </w:tc>
        <w:tc>
          <w:tcPr>
            <w:tcW w:w="959" w:type="dxa"/>
            <w:vAlign w:val="center"/>
          </w:tcPr>
          <w:p>
            <w:pPr>
              <w:widowControl/>
              <w:jc w:val="center"/>
              <w:rPr>
                <w:color w:val="000000"/>
                <w:kern w:val="0"/>
                <w:szCs w:val="21"/>
              </w:rPr>
            </w:pPr>
            <w:r>
              <w:rPr>
                <w:rFonts w:hint="eastAsia"/>
                <w:color w:val="000000"/>
                <w:kern w:val="0"/>
                <w:szCs w:val="21"/>
                <w:lang w:val="en-US" w:eastAsia="zh-CN"/>
              </w:rPr>
              <w:t>&lt;0.03</w:t>
            </w:r>
          </w:p>
        </w:tc>
        <w:tc>
          <w:tcPr>
            <w:tcW w:w="960" w:type="dxa"/>
            <w:tcBorders>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&lt;0.03</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61" w:type="dxa"/>
            <w:tcBorders>
              <w:lef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3" w:type="dxa"/>
            <w:vMerge w:val="restart"/>
            <w:vAlign w:val="center"/>
          </w:tcPr>
          <w:p>
            <w:pPr>
              <w:tabs>
                <w:tab w:val="left" w:pos="3987"/>
              </w:tabs>
              <w:jc w:val="center"/>
              <w:rPr>
                <w:szCs w:val="21"/>
              </w:rPr>
            </w:pPr>
            <w:r>
              <w:rPr>
                <w:rFonts w:hint="eastAsia"/>
                <w:spacing w:val="-4"/>
                <w:szCs w:val="21"/>
              </w:rPr>
              <w:t>厂界</w:t>
            </w:r>
            <w:r>
              <w:rPr>
                <w:rFonts w:hint="eastAsia"/>
                <w:szCs w:val="21"/>
              </w:rPr>
              <w:t>下风向</w:t>
            </w:r>
            <w:r>
              <w:rPr>
                <w:rFonts w:hint="eastAsia"/>
                <w:spacing w:val="-4"/>
                <w:szCs w:val="21"/>
              </w:rPr>
              <w:t>○2</w:t>
            </w:r>
          </w:p>
        </w:tc>
        <w:tc>
          <w:tcPr>
            <w:tcW w:w="1290" w:type="dxa"/>
            <w:vAlign w:val="center"/>
          </w:tcPr>
          <w:p>
            <w:pPr>
              <w:pStyle w:val="56"/>
              <w:spacing w:before="0" w:after="0" w:line="240" w:lineRule="exact"/>
              <w:jc w:val="center"/>
              <w:rPr>
                <w:szCs w:val="21"/>
              </w:rPr>
            </w:pPr>
            <w:r>
              <w:rPr>
                <w:rFonts w:hint="eastAsia" w:eastAsia="宋体"/>
                <w:sz w:val="21"/>
                <w:szCs w:val="21"/>
                <w:lang w:val="en-US" w:eastAsia="zh-CN"/>
              </w:rPr>
              <w:t>2018.5.15</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0.041</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0.036</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0.039</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0.004</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0.006</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0.009</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60" w:type="dxa"/>
            <w:tcBorders>
              <w:right w:val="single" w:color="auto" w:sz="4" w:space="0"/>
            </w:tcBorders>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61" w:type="dxa"/>
            <w:tcBorders>
              <w:lef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3" w:type="dxa"/>
            <w:vMerge w:val="continue"/>
            <w:vAlign w:val="center"/>
          </w:tcPr>
          <w:p>
            <w:pPr>
              <w:tabs>
                <w:tab w:val="left" w:pos="3987"/>
              </w:tabs>
              <w:jc w:val="center"/>
              <w:rPr>
                <w:szCs w:val="21"/>
              </w:rPr>
            </w:pPr>
          </w:p>
        </w:tc>
        <w:tc>
          <w:tcPr>
            <w:tcW w:w="1290" w:type="dxa"/>
            <w:vAlign w:val="center"/>
          </w:tcPr>
          <w:p>
            <w:pPr>
              <w:pStyle w:val="56"/>
              <w:spacing w:before="0" w:after="0" w:line="240" w:lineRule="exact"/>
              <w:jc w:val="center"/>
              <w:rPr>
                <w:szCs w:val="21"/>
              </w:rPr>
            </w:pPr>
            <w:r>
              <w:rPr>
                <w:rFonts w:hint="eastAsia" w:eastAsia="宋体"/>
                <w:sz w:val="21"/>
                <w:szCs w:val="21"/>
                <w:lang w:val="en-US" w:eastAsia="zh-CN"/>
              </w:rPr>
              <w:t>2018.5.16</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0.034</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0.030</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0.032</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0.012</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0.007</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0.008</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60" w:type="dxa"/>
            <w:tcBorders>
              <w:right w:val="single" w:color="auto" w:sz="4" w:space="0"/>
            </w:tcBorders>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61" w:type="dxa"/>
            <w:tcBorders>
              <w:lef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3" w:type="dxa"/>
            <w:vMerge w:val="restart"/>
            <w:vAlign w:val="center"/>
          </w:tcPr>
          <w:p>
            <w:pPr>
              <w:tabs>
                <w:tab w:val="left" w:pos="3987"/>
              </w:tabs>
              <w:jc w:val="center"/>
              <w:rPr>
                <w:szCs w:val="21"/>
              </w:rPr>
            </w:pPr>
            <w:r>
              <w:rPr>
                <w:rFonts w:hint="eastAsia"/>
                <w:spacing w:val="-4"/>
                <w:szCs w:val="21"/>
              </w:rPr>
              <w:t>厂界</w:t>
            </w:r>
            <w:r>
              <w:rPr>
                <w:rFonts w:hint="eastAsia"/>
                <w:szCs w:val="21"/>
              </w:rPr>
              <w:t>下风向</w:t>
            </w:r>
            <w:r>
              <w:rPr>
                <w:rFonts w:hint="eastAsia"/>
                <w:spacing w:val="-4"/>
                <w:szCs w:val="21"/>
              </w:rPr>
              <w:t>○3</w:t>
            </w:r>
          </w:p>
        </w:tc>
        <w:tc>
          <w:tcPr>
            <w:tcW w:w="1290" w:type="dxa"/>
            <w:vAlign w:val="center"/>
          </w:tcPr>
          <w:p>
            <w:pPr>
              <w:pStyle w:val="56"/>
              <w:spacing w:before="0" w:after="0" w:line="240" w:lineRule="exact"/>
              <w:jc w:val="center"/>
              <w:rPr>
                <w:szCs w:val="21"/>
              </w:rPr>
            </w:pPr>
            <w:r>
              <w:rPr>
                <w:rFonts w:hint="eastAsia" w:eastAsia="宋体"/>
                <w:sz w:val="21"/>
                <w:szCs w:val="21"/>
                <w:lang w:val="en-US" w:eastAsia="zh-CN"/>
              </w:rPr>
              <w:t>2018.5.15</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0.044</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0.045</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0.042</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0.005</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0.003</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0.007</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60" w:type="dxa"/>
            <w:tcBorders>
              <w:right w:val="single" w:color="auto" w:sz="4" w:space="0"/>
            </w:tcBorders>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61" w:type="dxa"/>
            <w:tcBorders>
              <w:lef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3" w:type="dxa"/>
            <w:vMerge w:val="continue"/>
            <w:vAlign w:val="center"/>
          </w:tcPr>
          <w:p>
            <w:pPr>
              <w:tabs>
                <w:tab w:val="left" w:pos="3987"/>
              </w:tabs>
              <w:jc w:val="center"/>
              <w:rPr>
                <w:szCs w:val="21"/>
              </w:rPr>
            </w:pPr>
          </w:p>
        </w:tc>
        <w:tc>
          <w:tcPr>
            <w:tcW w:w="1290" w:type="dxa"/>
            <w:vAlign w:val="center"/>
          </w:tcPr>
          <w:p>
            <w:pPr>
              <w:pStyle w:val="56"/>
              <w:spacing w:before="0" w:after="0" w:line="240" w:lineRule="exact"/>
              <w:jc w:val="center"/>
              <w:rPr>
                <w:szCs w:val="21"/>
              </w:rPr>
            </w:pPr>
            <w:r>
              <w:rPr>
                <w:rFonts w:hint="eastAsia" w:eastAsia="宋体"/>
                <w:sz w:val="21"/>
                <w:szCs w:val="21"/>
                <w:lang w:val="en-US" w:eastAsia="zh-CN"/>
              </w:rPr>
              <w:t>2018.5.16</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0.037</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0.039</w:t>
            </w:r>
          </w:p>
        </w:tc>
        <w:tc>
          <w:tcPr>
            <w:tcW w:w="959" w:type="dxa"/>
            <w:vAlign w:val="center"/>
          </w:tcPr>
          <w:p>
            <w:pPr>
              <w:widowControl/>
              <w:jc w:val="center"/>
              <w:rPr>
                <w:rFonts w:hint="eastAsia" w:eastAsia="宋体"/>
                <w:szCs w:val="21"/>
                <w:lang w:val="en-US" w:eastAsia="zh-CN"/>
              </w:rPr>
            </w:pPr>
            <w:r>
              <w:rPr>
                <w:rFonts w:hint="eastAsia"/>
                <w:szCs w:val="21"/>
                <w:lang w:val="en-US" w:eastAsia="zh-CN"/>
              </w:rPr>
              <w:t>0.036</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0.010</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0.011</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0.009</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60" w:type="dxa"/>
            <w:tcBorders>
              <w:right w:val="single" w:color="auto" w:sz="4" w:space="0"/>
            </w:tcBorders>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59" w:type="dxa"/>
            <w:tcBorders>
              <w:left w:val="single" w:color="auto" w:sz="4" w:space="0"/>
              <w:righ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c>
          <w:tcPr>
            <w:tcW w:w="961" w:type="dxa"/>
            <w:tcBorders>
              <w:left w:val="single" w:color="auto" w:sz="4" w:space="0"/>
            </w:tcBorders>
            <w:vAlign w:val="center"/>
          </w:tcPr>
          <w:p>
            <w:pPr>
              <w:widowControl/>
              <w:jc w:val="center"/>
              <w:rPr>
                <w:color w:val="000000"/>
                <w:kern w:val="0"/>
                <w:szCs w:val="21"/>
              </w:rPr>
            </w:pPr>
            <w:r>
              <w:rPr>
                <w:rFonts w:hint="eastAsia"/>
                <w:color w:val="000000"/>
                <w:kern w:val="0"/>
                <w:szCs w:val="21"/>
                <w:lang w:val="en-US" w:eastAsia="zh-CN"/>
              </w:rPr>
              <w:t>&lt;10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2913" w:type="dxa"/>
            <w:gridSpan w:val="2"/>
            <w:vAlign w:val="center"/>
          </w:tcPr>
          <w:p>
            <w:pPr>
              <w:tabs>
                <w:tab w:val="left" w:pos="3987"/>
              </w:tabs>
              <w:jc w:val="center"/>
              <w:rPr>
                <w:szCs w:val="21"/>
              </w:rPr>
            </w:pPr>
            <w:r>
              <w:rPr>
                <w:szCs w:val="21"/>
              </w:rPr>
              <w:t>最大值</w:t>
            </w:r>
          </w:p>
        </w:tc>
        <w:tc>
          <w:tcPr>
            <w:tcW w:w="2877" w:type="dxa"/>
            <w:gridSpan w:val="3"/>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0.045</w:t>
            </w:r>
          </w:p>
        </w:tc>
        <w:tc>
          <w:tcPr>
            <w:tcW w:w="2877" w:type="dxa"/>
            <w:gridSpan w:val="3"/>
            <w:vAlign w:val="center"/>
          </w:tcPr>
          <w:p>
            <w:pPr>
              <w:widowControl/>
              <w:jc w:val="center"/>
              <w:rPr>
                <w:rFonts w:hint="eastAsia" w:eastAsia="宋体"/>
                <w:lang w:val="en-US" w:eastAsia="zh-CN"/>
              </w:rPr>
            </w:pPr>
            <w:r>
              <w:rPr>
                <w:rFonts w:hint="eastAsia"/>
                <w:lang w:val="en-US" w:eastAsia="zh-CN"/>
              </w:rPr>
              <w:t>0.012</w:t>
            </w:r>
          </w:p>
        </w:tc>
        <w:tc>
          <w:tcPr>
            <w:tcW w:w="2878" w:type="dxa"/>
            <w:gridSpan w:val="3"/>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&lt;0.03</w:t>
            </w:r>
          </w:p>
        </w:tc>
        <w:tc>
          <w:tcPr>
            <w:tcW w:w="2879" w:type="dxa"/>
            <w:gridSpan w:val="3"/>
            <w:vAlign w:val="center"/>
          </w:tcPr>
          <w:p>
            <w:pPr>
              <w:widowControl/>
              <w:jc w:val="center"/>
              <w:rPr>
                <w:color w:val="000000"/>
                <w:kern w:val="0"/>
                <w:szCs w:val="21"/>
              </w:rPr>
            </w:pPr>
            <w:r>
              <w:rPr>
                <w:color w:val="000000"/>
                <w:kern w:val="0"/>
                <w:szCs w:val="21"/>
              </w:rPr>
              <w:t>&lt;10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2913" w:type="dxa"/>
            <w:gridSpan w:val="2"/>
            <w:vAlign w:val="center"/>
          </w:tcPr>
          <w:p>
            <w:pPr>
              <w:tabs>
                <w:tab w:val="left" w:pos="3987"/>
              </w:tabs>
              <w:jc w:val="center"/>
              <w:rPr>
                <w:szCs w:val="21"/>
              </w:rPr>
            </w:pPr>
            <w:r>
              <w:rPr>
                <w:szCs w:val="21"/>
              </w:rPr>
              <w:t>标准限值</w:t>
            </w:r>
          </w:p>
        </w:tc>
        <w:tc>
          <w:tcPr>
            <w:tcW w:w="2877" w:type="dxa"/>
            <w:gridSpan w:val="3"/>
            <w:vAlign w:val="center"/>
          </w:tcPr>
          <w:p>
            <w:pPr>
              <w:tabs>
                <w:tab w:val="left" w:pos="3987"/>
              </w:tabs>
              <w:jc w:val="center"/>
              <w:rPr>
                <w:szCs w:val="21"/>
              </w:rPr>
            </w:pPr>
            <w:r>
              <w:rPr>
                <w:rFonts w:hint="eastAsia"/>
                <w:szCs w:val="21"/>
              </w:rPr>
              <w:t>1.0</w:t>
            </w:r>
          </w:p>
        </w:tc>
        <w:tc>
          <w:tcPr>
            <w:tcW w:w="2877" w:type="dxa"/>
            <w:gridSpan w:val="3"/>
            <w:vAlign w:val="center"/>
          </w:tcPr>
          <w:p>
            <w:pPr>
              <w:tabs>
                <w:tab w:val="left" w:pos="3987"/>
              </w:tabs>
              <w:jc w:val="center"/>
              <w:rPr>
                <w:szCs w:val="21"/>
              </w:rPr>
            </w:pPr>
            <w:r>
              <w:rPr>
                <w:rFonts w:hint="eastAsia"/>
                <w:szCs w:val="21"/>
              </w:rPr>
              <w:t>0.03</w:t>
            </w:r>
          </w:p>
        </w:tc>
        <w:tc>
          <w:tcPr>
            <w:tcW w:w="2878" w:type="dxa"/>
            <w:gridSpan w:val="3"/>
            <w:vAlign w:val="center"/>
          </w:tcPr>
          <w:p>
            <w:pPr>
              <w:tabs>
                <w:tab w:val="left" w:pos="3987"/>
              </w:tabs>
              <w:jc w:val="center"/>
              <w:rPr>
                <w:szCs w:val="21"/>
              </w:rPr>
            </w:pPr>
            <w:r>
              <w:rPr>
                <w:rFonts w:hint="eastAsia"/>
                <w:szCs w:val="21"/>
              </w:rPr>
              <w:t>0.1</w:t>
            </w:r>
          </w:p>
        </w:tc>
        <w:tc>
          <w:tcPr>
            <w:tcW w:w="2879" w:type="dxa"/>
            <w:gridSpan w:val="3"/>
            <w:vAlign w:val="center"/>
          </w:tcPr>
          <w:p>
            <w:pPr>
              <w:tabs>
                <w:tab w:val="left" w:pos="3987"/>
              </w:tabs>
              <w:jc w:val="center"/>
              <w:rPr>
                <w:szCs w:val="21"/>
              </w:rPr>
            </w:pPr>
            <w:r>
              <w:rPr>
                <w:rFonts w:hint="eastAsia"/>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2913" w:type="dxa"/>
            <w:gridSpan w:val="2"/>
            <w:vAlign w:val="center"/>
          </w:tcPr>
          <w:p>
            <w:pPr>
              <w:tabs>
                <w:tab w:val="left" w:pos="3987"/>
              </w:tabs>
              <w:jc w:val="center"/>
              <w:rPr>
                <w:szCs w:val="21"/>
              </w:rPr>
            </w:pPr>
            <w:r>
              <w:rPr>
                <w:szCs w:val="21"/>
              </w:rPr>
              <w:t>是否达标</w:t>
            </w:r>
          </w:p>
        </w:tc>
        <w:tc>
          <w:tcPr>
            <w:tcW w:w="2877" w:type="dxa"/>
            <w:gridSpan w:val="3"/>
            <w:vAlign w:val="center"/>
          </w:tcPr>
          <w:p>
            <w:pPr>
              <w:tabs>
                <w:tab w:val="left" w:pos="3987"/>
              </w:tabs>
              <w:jc w:val="center"/>
              <w:rPr>
                <w:szCs w:val="21"/>
              </w:rPr>
            </w:pPr>
            <w:r>
              <w:rPr>
                <w:rFonts w:hint="eastAsia"/>
                <w:szCs w:val="21"/>
              </w:rPr>
              <w:t>是</w:t>
            </w:r>
          </w:p>
        </w:tc>
        <w:tc>
          <w:tcPr>
            <w:tcW w:w="2877" w:type="dxa"/>
            <w:gridSpan w:val="3"/>
            <w:vAlign w:val="center"/>
          </w:tcPr>
          <w:p>
            <w:pPr>
              <w:tabs>
                <w:tab w:val="left" w:pos="3987"/>
              </w:tabs>
              <w:jc w:val="center"/>
              <w:rPr>
                <w:szCs w:val="21"/>
              </w:rPr>
            </w:pPr>
            <w:r>
              <w:rPr>
                <w:rFonts w:hint="eastAsia"/>
                <w:szCs w:val="21"/>
              </w:rPr>
              <w:t>是</w:t>
            </w:r>
          </w:p>
        </w:tc>
        <w:tc>
          <w:tcPr>
            <w:tcW w:w="2878" w:type="dxa"/>
            <w:gridSpan w:val="3"/>
            <w:vAlign w:val="center"/>
          </w:tcPr>
          <w:p>
            <w:pPr>
              <w:tabs>
                <w:tab w:val="left" w:pos="3987"/>
              </w:tabs>
              <w:jc w:val="center"/>
              <w:rPr>
                <w:szCs w:val="21"/>
              </w:rPr>
            </w:pPr>
            <w:r>
              <w:rPr>
                <w:rFonts w:hint="eastAsia"/>
                <w:szCs w:val="21"/>
              </w:rPr>
              <w:t>是</w:t>
            </w:r>
          </w:p>
        </w:tc>
        <w:tc>
          <w:tcPr>
            <w:tcW w:w="2879" w:type="dxa"/>
            <w:gridSpan w:val="3"/>
            <w:vAlign w:val="center"/>
          </w:tcPr>
          <w:p>
            <w:pPr>
              <w:tabs>
                <w:tab w:val="left" w:pos="3987"/>
              </w:tabs>
              <w:jc w:val="center"/>
              <w:rPr>
                <w:szCs w:val="21"/>
              </w:rPr>
            </w:pPr>
            <w:r>
              <w:rPr>
                <w:rFonts w:hint="eastAsia"/>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4424" w:type="dxa"/>
            <w:gridSpan w:val="14"/>
            <w:vAlign w:val="center"/>
          </w:tcPr>
          <w:p>
            <w:pPr>
              <w:ind w:right="42" w:rightChars="20"/>
              <w:rPr>
                <w:szCs w:val="21"/>
              </w:rPr>
            </w:pPr>
            <w:r>
              <w:rPr>
                <w:szCs w:val="21"/>
              </w:rPr>
              <w:t>备注：标准</w:t>
            </w:r>
            <w:r>
              <w:rPr>
                <w:rFonts w:hint="eastAsia"/>
                <w:szCs w:val="21"/>
              </w:rPr>
              <w:t>执行</w:t>
            </w:r>
            <w:r>
              <w:rPr>
                <w:szCs w:val="21"/>
              </w:rPr>
              <w:t>《医疗机构水污染物排放标准》（GB18466-2005）表</w:t>
            </w:r>
            <w:r>
              <w:rPr>
                <w:rFonts w:hint="eastAsia"/>
                <w:szCs w:val="21"/>
                <w:lang w:val="en-US" w:eastAsia="zh-CN"/>
              </w:rPr>
              <w:t>3</w:t>
            </w:r>
            <w:r>
              <w:rPr>
                <w:szCs w:val="21"/>
              </w:rPr>
              <w:t>中</w:t>
            </w:r>
            <w:r>
              <w:rPr>
                <w:rFonts w:hint="eastAsia"/>
                <w:szCs w:val="21"/>
              </w:rPr>
              <w:t>标准限值要求</w:t>
            </w:r>
            <w:r>
              <w:rPr>
                <w:szCs w:val="21"/>
              </w:rPr>
              <w:t>。</w:t>
            </w:r>
          </w:p>
        </w:tc>
      </w:tr>
    </w:tbl>
    <w:p>
      <w:pPr>
        <w:spacing w:line="640" w:lineRule="exact"/>
        <w:ind w:right="42" w:rightChars="20" w:firstLine="480" w:firstLineChars="200"/>
        <w:rPr>
          <w:sz w:val="24"/>
        </w:rPr>
        <w:sectPr>
          <w:pgSz w:w="16838" w:h="11906" w:orient="landscape"/>
          <w:pgMar w:top="1474" w:right="1418" w:bottom="1474" w:left="993"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sz w:val="24"/>
        </w:rPr>
        <w:t>由表</w:t>
      </w:r>
      <w:r>
        <w:rPr>
          <w:rFonts w:hint="eastAsia"/>
          <w:sz w:val="24"/>
          <w:lang w:val="en-US" w:eastAsia="zh-CN"/>
        </w:rPr>
        <w:t>9</w:t>
      </w:r>
      <w:r>
        <w:rPr>
          <w:sz w:val="24"/>
        </w:rPr>
        <w:t>-</w:t>
      </w:r>
      <w:r>
        <w:rPr>
          <w:rFonts w:hint="eastAsia"/>
          <w:sz w:val="24"/>
        </w:rPr>
        <w:t>3</w:t>
      </w:r>
      <w:r>
        <w:rPr>
          <w:sz w:val="24"/>
        </w:rPr>
        <w:t>可知：验收监测期间，</w:t>
      </w:r>
      <w:r>
        <w:rPr>
          <w:rFonts w:hint="eastAsia"/>
          <w:sz w:val="24"/>
        </w:rPr>
        <w:t>该项目厂界上风向、下风向3个监测点位中氨的最大浓度值为</w:t>
      </w:r>
      <w:r>
        <w:rPr>
          <w:rFonts w:hint="eastAsia"/>
          <w:sz w:val="24"/>
          <w:lang w:val="en-US" w:eastAsia="zh-CN"/>
        </w:rPr>
        <w:t>0.045</w:t>
      </w:r>
      <w:r>
        <w:rPr>
          <w:rFonts w:hint="eastAsia"/>
          <w:sz w:val="24"/>
        </w:rPr>
        <w:t>mg/m</w:t>
      </w:r>
      <w:r>
        <w:rPr>
          <w:rFonts w:hint="eastAsia"/>
          <w:sz w:val="24"/>
          <w:vertAlign w:val="superscript"/>
        </w:rPr>
        <w:t>3</w:t>
      </w:r>
      <w:r>
        <w:rPr>
          <w:rFonts w:hint="eastAsia"/>
          <w:sz w:val="24"/>
        </w:rPr>
        <w:t>，硫化氢的最大浓度值为0.0</w:t>
      </w:r>
      <w:r>
        <w:rPr>
          <w:rFonts w:hint="eastAsia"/>
          <w:sz w:val="24"/>
          <w:lang w:val="en-US" w:eastAsia="zh-CN"/>
        </w:rPr>
        <w:t>12</w:t>
      </w:r>
      <w:r>
        <w:rPr>
          <w:rFonts w:hint="eastAsia"/>
          <w:sz w:val="24"/>
        </w:rPr>
        <w:t>mg/m</w:t>
      </w:r>
      <w:r>
        <w:rPr>
          <w:rFonts w:hint="eastAsia"/>
          <w:sz w:val="24"/>
          <w:vertAlign w:val="superscript"/>
        </w:rPr>
        <w:t>3</w:t>
      </w:r>
      <w:r>
        <w:rPr>
          <w:rFonts w:hint="eastAsia"/>
          <w:sz w:val="24"/>
        </w:rPr>
        <w:t>，氯气浓度值为未检出，臭气浓度均未检出，均</w:t>
      </w:r>
      <w:r>
        <w:rPr>
          <w:sz w:val="24"/>
        </w:rPr>
        <w:t>符合</w:t>
      </w:r>
      <w:r>
        <w:rPr>
          <w:rFonts w:hint="eastAsia"/>
          <w:sz w:val="24"/>
        </w:rPr>
        <w:t>《医疗机构水污染排放标准》(GB 18466-2005)表</w:t>
      </w:r>
      <w:r>
        <w:rPr>
          <w:rFonts w:hint="eastAsia"/>
          <w:sz w:val="24"/>
          <w:lang w:val="en-US" w:eastAsia="zh-CN"/>
        </w:rPr>
        <w:t>3</w:t>
      </w:r>
      <w:r>
        <w:rPr>
          <w:rFonts w:hint="eastAsia"/>
          <w:sz w:val="24"/>
        </w:rPr>
        <w:t>中标准要求。</w:t>
      </w:r>
    </w:p>
    <w:p>
      <w:pPr>
        <w:pStyle w:val="4"/>
        <w:spacing w:before="0" w:after="0" w:line="620" w:lineRule="exact"/>
        <w:rPr>
          <w:rFonts w:ascii="Times New Roman" w:hAnsi="Times New Roman" w:eastAsia="宋体"/>
          <w:sz w:val="28"/>
          <w:szCs w:val="28"/>
        </w:rPr>
      </w:pPr>
      <w:bookmarkStart w:id="109" w:name="_Toc8829"/>
      <w:bookmarkStart w:id="110" w:name="_Toc13480"/>
      <w:r>
        <w:rPr>
          <w:rFonts w:hint="eastAsia" w:ascii="Times New Roman" w:hAnsi="Times New Roman" w:eastAsia="宋体"/>
          <w:sz w:val="28"/>
          <w:szCs w:val="28"/>
          <w:lang w:val="en-US" w:eastAsia="zh-CN"/>
        </w:rPr>
        <w:t>9</w:t>
      </w:r>
      <w:r>
        <w:rPr>
          <w:rFonts w:hint="eastAsia" w:ascii="Times New Roman" w:hAnsi="Times New Roman" w:eastAsia="宋体"/>
          <w:sz w:val="28"/>
          <w:szCs w:val="28"/>
        </w:rPr>
        <w:t>.3 废水监测结果及评价</w:t>
      </w:r>
      <w:bookmarkEnd w:id="109"/>
    </w:p>
    <w:p>
      <w:pPr>
        <w:spacing w:line="640" w:lineRule="exact"/>
        <w:ind w:firstLine="480" w:firstLineChars="200"/>
        <w:rPr>
          <w:sz w:val="24"/>
        </w:rPr>
      </w:pPr>
      <w:r>
        <w:rPr>
          <w:rFonts w:hint="eastAsia"/>
          <w:sz w:val="24"/>
        </w:rPr>
        <w:t>验收监测期间，我公司对该项目的</w:t>
      </w:r>
      <w:r>
        <w:rPr>
          <w:rFonts w:hint="eastAsia"/>
          <w:sz w:val="24"/>
          <w:lang w:val="en-US" w:eastAsia="zh-CN"/>
        </w:rPr>
        <w:t>污水处理装置进口和出口</w:t>
      </w:r>
      <w:r>
        <w:rPr>
          <w:rFonts w:hint="eastAsia"/>
          <w:sz w:val="24"/>
        </w:rPr>
        <w:t>实施了监测，监测结果详见表</w:t>
      </w:r>
      <w:r>
        <w:rPr>
          <w:rFonts w:hint="eastAsia"/>
          <w:sz w:val="24"/>
          <w:lang w:val="en-US" w:eastAsia="zh-CN"/>
        </w:rPr>
        <w:t>9</w:t>
      </w:r>
      <w:r>
        <w:rPr>
          <w:rFonts w:hint="eastAsia"/>
          <w:sz w:val="24"/>
        </w:rPr>
        <w:t>-4。</w:t>
      </w:r>
    </w:p>
    <w:p>
      <w:pPr>
        <w:spacing w:line="640" w:lineRule="exact"/>
        <w:ind w:firstLine="422" w:firstLineChars="200"/>
        <w:jc w:val="center"/>
        <w:rPr>
          <w:b/>
          <w:color w:val="000000"/>
          <w:szCs w:val="21"/>
          <w:highlight w:val="none"/>
        </w:rPr>
      </w:pPr>
      <w:r>
        <w:rPr>
          <w:b/>
          <w:color w:val="000000"/>
          <w:szCs w:val="21"/>
          <w:highlight w:val="none"/>
        </w:rPr>
        <w:t>表</w:t>
      </w:r>
      <w:r>
        <w:rPr>
          <w:rFonts w:hint="eastAsia"/>
          <w:b/>
          <w:color w:val="000000"/>
          <w:szCs w:val="21"/>
          <w:highlight w:val="none"/>
          <w:lang w:val="en-US" w:eastAsia="zh-CN"/>
        </w:rPr>
        <w:t>9</w:t>
      </w:r>
      <w:r>
        <w:rPr>
          <w:rFonts w:hint="eastAsia"/>
          <w:b/>
          <w:color w:val="000000"/>
          <w:szCs w:val="21"/>
          <w:highlight w:val="none"/>
        </w:rPr>
        <w:t>-</w:t>
      </w:r>
      <w:r>
        <w:rPr>
          <w:rFonts w:hint="eastAsia"/>
          <w:b/>
          <w:szCs w:val="21"/>
          <w:highlight w:val="none"/>
        </w:rPr>
        <w:t xml:space="preserve">4 </w:t>
      </w:r>
      <w:r>
        <w:rPr>
          <w:rFonts w:hint="eastAsia"/>
          <w:b/>
          <w:color w:val="000000"/>
          <w:szCs w:val="21"/>
          <w:highlight w:val="none"/>
        </w:rPr>
        <w:t xml:space="preserve"> 项目废水监测</w:t>
      </w:r>
      <w:r>
        <w:rPr>
          <w:b/>
          <w:color w:val="000000"/>
          <w:szCs w:val="21"/>
          <w:highlight w:val="none"/>
        </w:rPr>
        <w:t>结果</w:t>
      </w:r>
      <w:r>
        <w:rPr>
          <w:rFonts w:hint="eastAsia"/>
          <w:b/>
          <w:color w:val="000000"/>
          <w:szCs w:val="21"/>
          <w:highlight w:val="none"/>
        </w:rPr>
        <w:t>一览表</w:t>
      </w:r>
    </w:p>
    <w:tbl>
      <w:tblPr>
        <w:tblStyle w:val="32"/>
        <w:tblW w:w="14457"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68"/>
        <w:gridCol w:w="1077"/>
        <w:gridCol w:w="1138"/>
        <w:gridCol w:w="1192"/>
        <w:gridCol w:w="862"/>
        <w:gridCol w:w="1027"/>
        <w:gridCol w:w="1016"/>
        <w:gridCol w:w="828"/>
        <w:gridCol w:w="770"/>
        <w:gridCol w:w="852"/>
        <w:gridCol w:w="875"/>
        <w:gridCol w:w="935"/>
        <w:gridCol w:w="864"/>
        <w:gridCol w:w="854"/>
        <w:gridCol w:w="99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PrEx>
        <w:trPr>
          <w:trHeight w:val="442" w:hRule="atLeast"/>
        </w:trPr>
        <w:tc>
          <w:tcPr>
            <w:tcW w:w="116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bookmarkStart w:id="111" w:name="_Toc25113"/>
            <w:r>
              <w:rPr>
                <w:rFonts w:hint="eastAsia" w:ascii="宋体" w:hAnsi="宋体" w:eastAsia="宋体" w:cs="宋体"/>
                <w:b/>
                <w:i w:val="0"/>
                <w:color w:val="000000"/>
                <w:kern w:val="0"/>
                <w:sz w:val="21"/>
                <w:szCs w:val="21"/>
                <w:u w:val="none"/>
                <w:lang w:val="en-US" w:eastAsia="zh-CN" w:bidi="ar"/>
              </w:rPr>
              <w:t>采样点位</w:t>
            </w:r>
          </w:p>
        </w:tc>
        <w:tc>
          <w:tcPr>
            <w:tcW w:w="2215" w:type="dxa"/>
            <w:gridSpan w:val="2"/>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采样日期</w:t>
            </w:r>
          </w:p>
        </w:tc>
        <w:tc>
          <w:tcPr>
            <w:tcW w:w="119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样品状态</w:t>
            </w:r>
          </w:p>
        </w:tc>
        <w:tc>
          <w:tcPr>
            <w:tcW w:w="9882" w:type="dxa"/>
            <w:gridSpan w:val="11"/>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Style w:val="87"/>
                <w:sz w:val="21"/>
                <w:szCs w:val="21"/>
                <w:lang w:val="en-US" w:eastAsia="zh-CN" w:bidi="ar"/>
              </w:rPr>
              <w:t>检测结果（</w:t>
            </w:r>
            <w:r>
              <w:rPr>
                <w:rStyle w:val="88"/>
                <w:rFonts w:eastAsia="宋体"/>
                <w:sz w:val="21"/>
                <w:szCs w:val="21"/>
                <w:lang w:val="en-US" w:eastAsia="zh-CN" w:bidi="ar"/>
              </w:rPr>
              <w:t>mg/L</w:t>
            </w:r>
            <w:r>
              <w:rPr>
                <w:rStyle w:val="87"/>
                <w:sz w:val="21"/>
                <w:szCs w:val="21"/>
                <w:lang w:val="en-US" w:eastAsia="zh-CN" w:bidi="ar"/>
              </w:rPr>
              <w:t>，</w:t>
            </w:r>
            <w:r>
              <w:rPr>
                <w:rStyle w:val="88"/>
                <w:rFonts w:eastAsia="宋体"/>
                <w:sz w:val="21"/>
                <w:szCs w:val="21"/>
                <w:lang w:val="en-US" w:eastAsia="zh-CN" w:bidi="ar"/>
              </w:rPr>
              <w:t>pH</w:t>
            </w:r>
            <w:r>
              <w:rPr>
                <w:rStyle w:val="87"/>
                <w:sz w:val="21"/>
                <w:szCs w:val="21"/>
                <w:lang w:val="en-US" w:eastAsia="zh-CN" w:bidi="ar"/>
              </w:rPr>
              <w:t>值：无量纲）</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1"/>
                <w:szCs w:val="21"/>
                <w:u w:val="none"/>
              </w:rPr>
            </w:pPr>
          </w:p>
        </w:tc>
        <w:tc>
          <w:tcPr>
            <w:tcW w:w="2215" w:type="dxa"/>
            <w:gridSpan w:val="2"/>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1"/>
                <w:szCs w:val="21"/>
                <w:u w:val="none"/>
              </w:rPr>
            </w:pPr>
          </w:p>
        </w:tc>
        <w:tc>
          <w:tcPr>
            <w:tcW w:w="1192"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1"/>
                <w:szCs w:val="21"/>
                <w:u w:val="none"/>
              </w:rPr>
            </w:pP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Style w:val="88"/>
                <w:rFonts w:eastAsia="宋体"/>
                <w:sz w:val="21"/>
                <w:szCs w:val="21"/>
                <w:lang w:val="en-US" w:eastAsia="zh-CN" w:bidi="ar"/>
              </w:rPr>
              <w:t>pH</w:t>
            </w:r>
            <w:r>
              <w:rPr>
                <w:rStyle w:val="87"/>
                <w:sz w:val="21"/>
                <w:szCs w:val="21"/>
                <w:lang w:val="en-US" w:eastAsia="zh-CN" w:bidi="ar"/>
              </w:rPr>
              <w:t>值</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化学需氧量</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五日生化需氧量</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悬浮物</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氨氮</w:t>
            </w:r>
          </w:p>
        </w:tc>
        <w:tc>
          <w:tcPr>
            <w:tcW w:w="8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动植物油</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总余氯</w:t>
            </w:r>
          </w:p>
        </w:tc>
        <w:tc>
          <w:tcPr>
            <w:tcW w:w="93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色度（稀释倍数法）</w:t>
            </w:r>
          </w:p>
        </w:tc>
        <w:tc>
          <w:tcPr>
            <w:tcW w:w="8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LAS</w:t>
            </w:r>
          </w:p>
        </w:tc>
        <w:tc>
          <w:tcPr>
            <w:tcW w:w="85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挥发酚</w:t>
            </w:r>
          </w:p>
        </w:tc>
        <w:tc>
          <w:tcPr>
            <w:tcW w:w="99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粪大肠菌群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污水处理站进口</w:t>
            </w:r>
          </w:p>
        </w:tc>
        <w:tc>
          <w:tcPr>
            <w:tcW w:w="107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2019.5.13</w:t>
            </w: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第一次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微黄微臭较浊</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7.05</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188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42.6</w:t>
            </w:r>
          </w:p>
        </w:tc>
        <w:tc>
          <w:tcPr>
            <w:tcW w:w="8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29.9 </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1.15 </w:t>
            </w:r>
          </w:p>
        </w:tc>
        <w:tc>
          <w:tcPr>
            <w:tcW w:w="8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0.02L</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32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1.71 </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0.0016 </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2400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第二次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微黄微臭较浊</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7.11</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169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39.5</w:t>
            </w:r>
          </w:p>
        </w:tc>
        <w:tc>
          <w:tcPr>
            <w:tcW w:w="8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w:t>
            </w:r>
          </w:p>
        </w:tc>
        <w:tc>
          <w:tcPr>
            <w:tcW w:w="7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27.6 </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1.24</w:t>
            </w:r>
          </w:p>
        </w:tc>
        <w:tc>
          <w:tcPr>
            <w:tcW w:w="8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0.02L</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32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1.66</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0.0019</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第三次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微黄微臭较浊</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7.13</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175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41.7</w:t>
            </w:r>
          </w:p>
        </w:tc>
        <w:tc>
          <w:tcPr>
            <w:tcW w:w="8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28.8</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1.09</w:t>
            </w:r>
          </w:p>
        </w:tc>
        <w:tc>
          <w:tcPr>
            <w:tcW w:w="8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0.02L</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32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1.75</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0.0021</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2019.5.14</w:t>
            </w: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第一次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微黄微臭较浊</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7.09</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179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42.1</w:t>
            </w:r>
          </w:p>
        </w:tc>
        <w:tc>
          <w:tcPr>
            <w:tcW w:w="8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38</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25.5</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1.15</w:t>
            </w:r>
          </w:p>
        </w:tc>
        <w:tc>
          <w:tcPr>
            <w:tcW w:w="8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0.02L</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32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1.58</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0.0015</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第二次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微黄微臭较浊</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7.15</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181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40.9</w:t>
            </w:r>
          </w:p>
        </w:tc>
        <w:tc>
          <w:tcPr>
            <w:tcW w:w="8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44</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26.9</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1.21</w:t>
            </w:r>
          </w:p>
        </w:tc>
        <w:tc>
          <w:tcPr>
            <w:tcW w:w="8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0.02L</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32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1.63</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0.0017</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第三次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微黄微臭较浊</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7.08</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172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39.2</w:t>
            </w:r>
          </w:p>
        </w:tc>
        <w:tc>
          <w:tcPr>
            <w:tcW w:w="8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28</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28.3</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1.16</w:t>
            </w:r>
          </w:p>
        </w:tc>
        <w:tc>
          <w:tcPr>
            <w:tcW w:w="8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0.02L</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32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1.69</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0.0013</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污水处理站出口</w:t>
            </w:r>
          </w:p>
        </w:tc>
        <w:tc>
          <w:tcPr>
            <w:tcW w:w="107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2019.5.13</w:t>
            </w: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第一次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无色无味澄清</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6.97</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32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10.2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11</w:t>
            </w:r>
          </w:p>
        </w:tc>
        <w:tc>
          <w:tcPr>
            <w:tcW w:w="7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7.12 </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0.12 </w:t>
            </w:r>
          </w:p>
        </w:tc>
        <w:tc>
          <w:tcPr>
            <w:tcW w:w="8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3.66</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4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0.36 </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0.0003 </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第二次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无色无味澄清</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7.03</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34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11.1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6.98</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0.16</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3.76 </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4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0.42</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0.0004</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第三次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无色无味澄清</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7.02</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37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11.9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7.06</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0.18</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3.90 </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4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0.39</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0.0006</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2019.5.14</w:t>
            </w: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第一次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无色无味澄清</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7.06</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29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9.8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11</w:t>
            </w:r>
          </w:p>
        </w:tc>
        <w:tc>
          <w:tcPr>
            <w:tcW w:w="7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7.01 </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0.11 </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3.82 </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4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0.38 </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0.0005 </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第二次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无色无味澄清</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7.08</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30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10.6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7.21</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0.15</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3.69 </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4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0.45</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0.0004</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1168" w:type="dxa"/>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0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1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第三次</w:t>
            </w:r>
          </w:p>
        </w:tc>
        <w:tc>
          <w:tcPr>
            <w:tcW w:w="119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无色无味澄清</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6.99</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33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9.8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7.05</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0.13 </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3.82 </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4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0.39</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0.0003</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4575"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平均值</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34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w:t>
            </w:r>
            <w:r>
              <w:rPr>
                <w:rFonts w:hint="eastAsia" w:cs="Times New Roman"/>
                <w:i w:val="0"/>
                <w:color w:val="000000"/>
                <w:kern w:val="0"/>
                <w:sz w:val="21"/>
                <w:szCs w:val="21"/>
                <w:u w:val="none"/>
                <w:lang w:val="en-US" w:eastAsia="zh-CN" w:bidi="ar"/>
              </w:rPr>
              <w:t>6</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12 </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7.07 </w:t>
            </w:r>
          </w:p>
        </w:tc>
        <w:tc>
          <w:tcPr>
            <w:tcW w:w="8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cs="Times New Roman"/>
                <w:i w:val="0"/>
                <w:color w:val="000000"/>
                <w:kern w:val="0"/>
                <w:sz w:val="21"/>
                <w:szCs w:val="21"/>
                <w:u w:val="none"/>
                <w:lang w:val="en-US" w:eastAsia="zh-CN" w:bidi="ar"/>
              </w:rPr>
              <w:t>0.14</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3.78 </w:t>
            </w:r>
          </w:p>
        </w:tc>
        <w:tc>
          <w:tcPr>
            <w:tcW w:w="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4 </w:t>
            </w:r>
          </w:p>
        </w:tc>
        <w:tc>
          <w:tcPr>
            <w:tcW w:w="8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0.40 </w:t>
            </w:r>
          </w:p>
        </w:tc>
        <w:tc>
          <w:tcPr>
            <w:tcW w:w="8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w:t>
            </w:r>
            <w:r>
              <w:rPr>
                <w:rFonts w:hint="eastAsia" w:cs="Times New Roman"/>
                <w:i w:val="0"/>
                <w:color w:val="000000"/>
                <w:kern w:val="0"/>
                <w:sz w:val="21"/>
                <w:szCs w:val="21"/>
                <w:u w:val="none"/>
                <w:lang w:val="en-US" w:eastAsia="zh-CN" w:bidi="ar"/>
              </w:rPr>
              <w:t>03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300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4575"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处理效率</w:t>
            </w:r>
          </w:p>
        </w:tc>
        <w:tc>
          <w:tcPr>
            <w:tcW w:w="862" w:type="dxa"/>
            <w:tcBorders>
              <w:tl2br w:val="nil"/>
              <w:tr2bl w:val="nil"/>
            </w:tcBorders>
            <w:shd w:val="clear" w:color="auto" w:fill="auto"/>
            <w:tcMar>
              <w:top w:w="15" w:type="dxa"/>
              <w:left w:w="15" w:type="dxa"/>
              <w:right w:w="15" w:type="dxa"/>
            </w:tcMar>
            <w:vAlign w:val="center"/>
          </w:tcPr>
          <w:p>
            <w:pPr>
              <w:jc w:val="center"/>
              <w:rPr>
                <w:rFonts w:hint="eastAsia"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83.0 </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76.1 </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68.6 </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76.2 </w:t>
            </w:r>
          </w:p>
        </w:tc>
        <w:tc>
          <w:tcPr>
            <w:tcW w:w="8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89.6 </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i w:val="0"/>
                <w:color w:val="000000"/>
                <w:kern w:val="0"/>
                <w:sz w:val="21"/>
                <w:szCs w:val="21"/>
                <w:u w:val="none"/>
                <w:lang w:val="en-US" w:eastAsia="zh-CN" w:bidi="ar"/>
              </w:rPr>
              <w:t>/</w:t>
            </w:r>
          </w:p>
        </w:tc>
        <w:tc>
          <w:tcPr>
            <w:tcW w:w="93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87.5 </w:t>
            </w:r>
          </w:p>
        </w:tc>
        <w:tc>
          <w:tcPr>
            <w:tcW w:w="8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78.9 </w:t>
            </w:r>
          </w:p>
        </w:tc>
        <w:tc>
          <w:tcPr>
            <w:tcW w:w="85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81.3 </w:t>
            </w:r>
          </w:p>
        </w:tc>
        <w:tc>
          <w:tcPr>
            <w:tcW w:w="99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88.8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4575"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标准限值</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6~9</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60</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20</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 xml:space="preserve">20 </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15</w:t>
            </w:r>
          </w:p>
        </w:tc>
        <w:tc>
          <w:tcPr>
            <w:tcW w:w="8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5</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2~8</w:t>
            </w:r>
          </w:p>
        </w:tc>
        <w:tc>
          <w:tcPr>
            <w:tcW w:w="93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30</w:t>
            </w:r>
          </w:p>
        </w:tc>
        <w:tc>
          <w:tcPr>
            <w:tcW w:w="8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5</w:t>
            </w:r>
          </w:p>
        </w:tc>
        <w:tc>
          <w:tcPr>
            <w:tcW w:w="85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0.5</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4575"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是否达标</w:t>
            </w:r>
          </w:p>
        </w:tc>
        <w:tc>
          <w:tcPr>
            <w:tcW w:w="8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10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101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8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7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8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8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93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8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85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c>
          <w:tcPr>
            <w:tcW w:w="9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eastAsia" w:ascii="Times New Roman" w:hAnsi="Times New Roman" w:eastAsia="宋体" w:cs="Times New Roman"/>
                <w:b/>
                <w:i w:val="0"/>
                <w:color w:val="000000"/>
                <w:kern w:val="0"/>
                <w:sz w:val="21"/>
                <w:szCs w:val="21"/>
                <w:u w:val="none"/>
                <w:lang w:val="en-US" w:eastAsia="zh-CN" w:bidi="ar"/>
              </w:rPr>
              <w:t>达标</w:t>
            </w:r>
          </w:p>
        </w:tc>
      </w:tr>
    </w:tbl>
    <w:p>
      <w:pPr>
        <w:pStyle w:val="11"/>
        <w:spacing w:line="640" w:lineRule="exact"/>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由表9-4可知：验收监测期间，该项目</w:t>
      </w:r>
      <w:r>
        <w:rPr>
          <w:rFonts w:hint="eastAsia" w:cs="Times New Roman"/>
          <w:kern w:val="2"/>
          <w:sz w:val="24"/>
          <w:szCs w:val="24"/>
          <w:lang w:val="en-US" w:eastAsia="zh-CN" w:bidi="ar-SA"/>
        </w:rPr>
        <w:t>污水处理站出</w:t>
      </w:r>
      <w:r>
        <w:rPr>
          <w:rFonts w:hint="eastAsia" w:ascii="Times New Roman" w:hAnsi="Times New Roman" w:eastAsia="宋体" w:cs="Times New Roman"/>
          <w:kern w:val="2"/>
          <w:sz w:val="24"/>
          <w:szCs w:val="24"/>
          <w:lang w:val="en-US" w:eastAsia="zh-CN" w:bidi="ar-SA"/>
        </w:rPr>
        <w:t>口监测点位中测得各监测因子均符合《医疗机构水污染排放标准》（(GB 18466-2005)表2中</w:t>
      </w:r>
      <w:r>
        <w:rPr>
          <w:rFonts w:hint="eastAsia" w:cs="Times New Roman"/>
          <w:kern w:val="2"/>
          <w:sz w:val="24"/>
          <w:szCs w:val="24"/>
          <w:lang w:val="en-US" w:eastAsia="zh-CN" w:bidi="ar-SA"/>
        </w:rPr>
        <w:t>直接</w:t>
      </w:r>
      <w:r>
        <w:rPr>
          <w:rFonts w:hint="eastAsia" w:ascii="Times New Roman" w:hAnsi="Times New Roman" w:eastAsia="宋体" w:cs="Times New Roman"/>
          <w:kern w:val="2"/>
          <w:sz w:val="24"/>
          <w:szCs w:val="24"/>
          <w:lang w:val="en-US" w:eastAsia="zh-CN" w:bidi="ar-SA"/>
        </w:rPr>
        <w:t>排放标准要求。各监测因子的处理效率为</w:t>
      </w:r>
      <w:r>
        <w:rPr>
          <w:rFonts w:hint="default" w:ascii="Times New Roman" w:hAnsi="Times New Roman" w:eastAsia="宋体" w:cs="Times New Roman"/>
          <w:kern w:val="2"/>
          <w:sz w:val="24"/>
          <w:szCs w:val="24"/>
          <w:lang w:val="en-US" w:eastAsia="zh-CN" w:bidi="ar-SA"/>
        </w:rPr>
        <w:t>68.6</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~89.6</w:t>
      </w: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w:t>
      </w:r>
    </w:p>
    <w:p>
      <w:pPr>
        <w:pStyle w:val="11"/>
        <w:spacing w:line="640" w:lineRule="exact"/>
        <w:ind w:firstLine="480" w:firstLineChars="200"/>
        <w:rPr>
          <w:rFonts w:hint="default" w:eastAsia="宋体"/>
          <w:color w:val="000000" w:themeColor="text1"/>
          <w:sz w:val="24"/>
          <w:lang w:val="en-US" w:eastAsia="zh-CN"/>
        </w:rPr>
      </w:pPr>
    </w:p>
    <w:p/>
    <w:p>
      <w:pPr>
        <w:pStyle w:val="12"/>
        <w:sectPr>
          <w:pgSz w:w="16838" w:h="11906" w:orient="landscape"/>
          <w:pgMar w:top="1474" w:right="1418" w:bottom="1474" w:left="993"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bookmarkEnd w:id="111"/>
    <w:p>
      <w:pPr>
        <w:pStyle w:val="11"/>
        <w:spacing w:line="640" w:lineRule="exact"/>
        <w:rPr>
          <w:b/>
          <w:bCs/>
          <w:szCs w:val="28"/>
        </w:rPr>
      </w:pPr>
      <w:r>
        <w:rPr>
          <w:rFonts w:hint="eastAsia"/>
          <w:b/>
          <w:bCs/>
          <w:szCs w:val="28"/>
          <w:lang w:val="en-US" w:eastAsia="zh-CN"/>
        </w:rPr>
        <w:t>9</w:t>
      </w:r>
      <w:r>
        <w:rPr>
          <w:rFonts w:hint="eastAsia"/>
          <w:b/>
          <w:bCs/>
          <w:szCs w:val="28"/>
        </w:rPr>
        <w:t xml:space="preserve">.4 </w:t>
      </w:r>
      <w:bookmarkStart w:id="112" w:name="_Toc457060380"/>
      <w:r>
        <w:rPr>
          <w:rFonts w:hint="eastAsia"/>
          <w:b/>
          <w:bCs/>
          <w:szCs w:val="28"/>
        </w:rPr>
        <w:t>噪声监测结果及评价</w:t>
      </w:r>
      <w:bookmarkEnd w:id="110"/>
      <w:bookmarkEnd w:id="112"/>
    </w:p>
    <w:p>
      <w:pPr>
        <w:spacing w:line="640" w:lineRule="exact"/>
        <w:ind w:firstLine="480" w:firstLineChars="200"/>
        <w:rPr>
          <w:b/>
          <w:szCs w:val="21"/>
        </w:rPr>
      </w:pPr>
      <w:r>
        <w:rPr>
          <w:rFonts w:hint="eastAsia"/>
          <w:sz w:val="24"/>
        </w:rPr>
        <w:t>验收监测期间，</w:t>
      </w:r>
      <w:r>
        <w:rPr>
          <w:sz w:val="24"/>
        </w:rPr>
        <w:t>我公司根据</w:t>
      </w:r>
      <w:r>
        <w:rPr>
          <w:rFonts w:hint="eastAsia"/>
          <w:sz w:val="24"/>
        </w:rPr>
        <w:t>项目</w:t>
      </w:r>
      <w:r>
        <w:rPr>
          <w:sz w:val="24"/>
        </w:rPr>
        <w:t>噪声源分布情况，在</w:t>
      </w:r>
      <w:r>
        <w:rPr>
          <w:rFonts w:hint="eastAsia"/>
          <w:sz w:val="24"/>
        </w:rPr>
        <w:t>医院</w:t>
      </w:r>
      <w:r>
        <w:rPr>
          <w:sz w:val="24"/>
        </w:rPr>
        <w:t>周围共设</w:t>
      </w:r>
      <w:r>
        <w:rPr>
          <w:rFonts w:hint="eastAsia"/>
          <w:sz w:val="24"/>
        </w:rPr>
        <w:t>4</w:t>
      </w:r>
      <w:r>
        <w:rPr>
          <w:sz w:val="24"/>
        </w:rPr>
        <w:t>个噪声监测点位（</w:t>
      </w:r>
      <w:r>
        <w:rPr>
          <w:rFonts w:hint="eastAsia"/>
          <w:sz w:val="24"/>
        </w:rPr>
        <w:t>监测点位示意图</w:t>
      </w:r>
      <w:r>
        <w:rPr>
          <w:sz w:val="24"/>
        </w:rPr>
        <w:t>见附图</w:t>
      </w:r>
      <w:r>
        <w:rPr>
          <w:rFonts w:hint="eastAsia"/>
          <w:sz w:val="24"/>
        </w:rPr>
        <w:t>3</w:t>
      </w:r>
      <w:r>
        <w:rPr>
          <w:sz w:val="24"/>
        </w:rPr>
        <w:t>）。监测结果及分析评价见表</w:t>
      </w:r>
      <w:r>
        <w:rPr>
          <w:rFonts w:hint="eastAsia"/>
          <w:sz w:val="24"/>
        </w:rPr>
        <w:t>7-5</w:t>
      </w:r>
      <w:r>
        <w:rPr>
          <w:sz w:val="24"/>
        </w:rPr>
        <w:t>。</w:t>
      </w:r>
    </w:p>
    <w:p>
      <w:pPr>
        <w:spacing w:line="640" w:lineRule="exact"/>
        <w:jc w:val="center"/>
        <w:rPr>
          <w:b/>
          <w:szCs w:val="21"/>
        </w:rPr>
      </w:pPr>
      <w:r>
        <w:rPr>
          <w:b/>
          <w:szCs w:val="21"/>
        </w:rPr>
        <w:t>表</w:t>
      </w:r>
      <w:r>
        <w:rPr>
          <w:rFonts w:hint="eastAsia"/>
          <w:b/>
          <w:szCs w:val="21"/>
          <w:lang w:val="en-US" w:eastAsia="zh-CN"/>
        </w:rPr>
        <w:t>9</w:t>
      </w:r>
      <w:r>
        <w:rPr>
          <w:rFonts w:hint="eastAsia"/>
          <w:b/>
          <w:szCs w:val="21"/>
        </w:rPr>
        <w:t>-5  项目噪声监测</w:t>
      </w:r>
      <w:r>
        <w:rPr>
          <w:b/>
          <w:szCs w:val="21"/>
        </w:rPr>
        <w:t>结果</w:t>
      </w:r>
      <w:r>
        <w:rPr>
          <w:rFonts w:hint="eastAsia"/>
          <w:b/>
          <w:szCs w:val="21"/>
        </w:rPr>
        <w:t>一览表</w:t>
      </w:r>
    </w:p>
    <w:tbl>
      <w:tblPr>
        <w:tblStyle w:val="32"/>
        <w:tblW w:w="9167"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2"/>
        <w:gridCol w:w="2820"/>
        <w:gridCol w:w="1068"/>
        <w:gridCol w:w="1069"/>
        <w:gridCol w:w="1068"/>
        <w:gridCol w:w="1071"/>
        <w:gridCol w:w="8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blHeader/>
        </w:trPr>
        <w:tc>
          <w:tcPr>
            <w:tcW w:w="1172" w:type="dxa"/>
            <w:vMerge w:val="restart"/>
            <w:vAlign w:val="center"/>
          </w:tcPr>
          <w:p>
            <w:pPr>
              <w:spacing w:line="320" w:lineRule="exact"/>
              <w:jc w:val="center"/>
              <w:rPr>
                <w:b/>
                <w:bCs/>
                <w:kern w:val="28"/>
                <w:szCs w:val="32"/>
              </w:rPr>
            </w:pPr>
            <w:r>
              <w:rPr>
                <w:rFonts w:hint="eastAsia"/>
                <w:b/>
                <w:bCs/>
                <w:kern w:val="28"/>
                <w:szCs w:val="32"/>
              </w:rPr>
              <w:t>监测日期</w:t>
            </w:r>
          </w:p>
        </w:tc>
        <w:tc>
          <w:tcPr>
            <w:tcW w:w="2820" w:type="dxa"/>
            <w:vMerge w:val="restart"/>
            <w:vAlign w:val="center"/>
          </w:tcPr>
          <w:p>
            <w:pPr>
              <w:spacing w:line="320" w:lineRule="exact"/>
              <w:jc w:val="center"/>
              <w:rPr>
                <w:b/>
                <w:bCs/>
                <w:kern w:val="28"/>
                <w:szCs w:val="32"/>
              </w:rPr>
            </w:pPr>
            <w:r>
              <w:rPr>
                <w:rFonts w:hint="eastAsia"/>
                <w:b/>
                <w:bCs/>
                <w:kern w:val="28"/>
                <w:szCs w:val="32"/>
              </w:rPr>
              <w:t>监测点位</w:t>
            </w:r>
          </w:p>
        </w:tc>
        <w:tc>
          <w:tcPr>
            <w:tcW w:w="2137" w:type="dxa"/>
            <w:gridSpan w:val="2"/>
            <w:vAlign w:val="center"/>
          </w:tcPr>
          <w:p>
            <w:pPr>
              <w:spacing w:line="320" w:lineRule="exact"/>
              <w:jc w:val="center"/>
              <w:rPr>
                <w:b/>
                <w:bCs/>
                <w:kern w:val="28"/>
                <w:szCs w:val="32"/>
              </w:rPr>
            </w:pPr>
            <w:r>
              <w:rPr>
                <w:rFonts w:hint="eastAsia"/>
                <w:b/>
                <w:bCs/>
                <w:kern w:val="28"/>
                <w:szCs w:val="32"/>
              </w:rPr>
              <w:t>监测结果</w:t>
            </w:r>
            <w:r>
              <w:rPr>
                <w:b/>
                <w:szCs w:val="21"/>
              </w:rPr>
              <w:t>Leq</w:t>
            </w:r>
            <w:r>
              <w:rPr>
                <w:rFonts w:hint="eastAsia"/>
                <w:b/>
                <w:szCs w:val="21"/>
              </w:rPr>
              <w:t>[</w:t>
            </w:r>
            <w:r>
              <w:rPr>
                <w:b/>
                <w:szCs w:val="21"/>
              </w:rPr>
              <w:t>dB</w:t>
            </w:r>
            <w:r>
              <w:rPr>
                <w:rFonts w:hint="eastAsia"/>
                <w:b/>
                <w:szCs w:val="21"/>
              </w:rPr>
              <w:t>(</w:t>
            </w:r>
            <w:r>
              <w:rPr>
                <w:b/>
                <w:szCs w:val="21"/>
              </w:rPr>
              <w:t>A</w:t>
            </w:r>
            <w:r>
              <w:rPr>
                <w:rFonts w:hint="eastAsia"/>
                <w:b/>
                <w:szCs w:val="21"/>
              </w:rPr>
              <w:t>)]</w:t>
            </w:r>
          </w:p>
        </w:tc>
        <w:tc>
          <w:tcPr>
            <w:tcW w:w="2139" w:type="dxa"/>
            <w:gridSpan w:val="2"/>
            <w:vAlign w:val="center"/>
          </w:tcPr>
          <w:p>
            <w:pPr>
              <w:spacing w:line="320" w:lineRule="exact"/>
              <w:jc w:val="center"/>
              <w:rPr>
                <w:b/>
                <w:bCs/>
                <w:kern w:val="28"/>
                <w:szCs w:val="32"/>
              </w:rPr>
            </w:pPr>
            <w:r>
              <w:rPr>
                <w:rFonts w:hint="eastAsia"/>
                <w:b/>
                <w:bCs/>
                <w:kern w:val="28"/>
                <w:szCs w:val="32"/>
              </w:rPr>
              <w:t>标准限值</w:t>
            </w:r>
            <w:r>
              <w:rPr>
                <w:b/>
                <w:szCs w:val="21"/>
              </w:rPr>
              <w:t>Leq</w:t>
            </w:r>
            <w:r>
              <w:rPr>
                <w:rFonts w:hint="eastAsia"/>
                <w:b/>
                <w:szCs w:val="21"/>
              </w:rPr>
              <w:t>[</w:t>
            </w:r>
            <w:r>
              <w:rPr>
                <w:b/>
                <w:szCs w:val="21"/>
              </w:rPr>
              <w:t>dB</w:t>
            </w:r>
            <w:r>
              <w:rPr>
                <w:rFonts w:hint="eastAsia"/>
                <w:b/>
                <w:szCs w:val="21"/>
              </w:rPr>
              <w:t>(</w:t>
            </w:r>
            <w:r>
              <w:rPr>
                <w:b/>
                <w:szCs w:val="21"/>
              </w:rPr>
              <w:t>A</w:t>
            </w:r>
            <w:r>
              <w:rPr>
                <w:rFonts w:hint="eastAsia"/>
                <w:b/>
                <w:szCs w:val="21"/>
              </w:rPr>
              <w:t>)]</w:t>
            </w:r>
          </w:p>
        </w:tc>
        <w:tc>
          <w:tcPr>
            <w:tcW w:w="899" w:type="dxa"/>
            <w:vMerge w:val="restart"/>
            <w:vAlign w:val="center"/>
          </w:tcPr>
          <w:p>
            <w:pPr>
              <w:spacing w:line="320" w:lineRule="exact"/>
              <w:jc w:val="center"/>
              <w:rPr>
                <w:b/>
                <w:bCs/>
                <w:kern w:val="28"/>
                <w:szCs w:val="32"/>
              </w:rPr>
            </w:pPr>
            <w:r>
              <w:rPr>
                <w:rFonts w:hint="eastAsia"/>
                <w:b/>
                <w:bCs/>
                <w:kern w:val="28"/>
                <w:szCs w:val="32"/>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blHeader/>
        </w:trPr>
        <w:tc>
          <w:tcPr>
            <w:tcW w:w="1172" w:type="dxa"/>
            <w:vMerge w:val="continue"/>
            <w:vAlign w:val="center"/>
          </w:tcPr>
          <w:p>
            <w:pPr>
              <w:spacing w:line="320" w:lineRule="exact"/>
              <w:jc w:val="center"/>
              <w:rPr>
                <w:b/>
                <w:bCs/>
                <w:kern w:val="28"/>
                <w:szCs w:val="32"/>
              </w:rPr>
            </w:pPr>
          </w:p>
        </w:tc>
        <w:tc>
          <w:tcPr>
            <w:tcW w:w="2820" w:type="dxa"/>
            <w:vMerge w:val="continue"/>
            <w:vAlign w:val="center"/>
          </w:tcPr>
          <w:p>
            <w:pPr>
              <w:spacing w:line="320" w:lineRule="exact"/>
              <w:jc w:val="center"/>
              <w:rPr>
                <w:b/>
                <w:bCs/>
                <w:kern w:val="28"/>
                <w:szCs w:val="32"/>
              </w:rPr>
            </w:pPr>
          </w:p>
        </w:tc>
        <w:tc>
          <w:tcPr>
            <w:tcW w:w="1068" w:type="dxa"/>
            <w:vAlign w:val="center"/>
          </w:tcPr>
          <w:p>
            <w:pPr>
              <w:spacing w:line="320" w:lineRule="exact"/>
              <w:jc w:val="center"/>
              <w:rPr>
                <w:b/>
                <w:bCs/>
                <w:kern w:val="28"/>
                <w:szCs w:val="32"/>
              </w:rPr>
            </w:pPr>
            <w:r>
              <w:rPr>
                <w:rFonts w:hint="eastAsia"/>
                <w:b/>
                <w:bCs/>
                <w:kern w:val="28"/>
                <w:szCs w:val="32"/>
              </w:rPr>
              <w:t>昼间</w:t>
            </w:r>
          </w:p>
        </w:tc>
        <w:tc>
          <w:tcPr>
            <w:tcW w:w="1069" w:type="dxa"/>
            <w:vAlign w:val="center"/>
          </w:tcPr>
          <w:p>
            <w:pPr>
              <w:spacing w:line="320" w:lineRule="exact"/>
              <w:jc w:val="center"/>
              <w:rPr>
                <w:b/>
                <w:bCs/>
                <w:kern w:val="28"/>
                <w:szCs w:val="32"/>
              </w:rPr>
            </w:pPr>
            <w:r>
              <w:rPr>
                <w:rFonts w:hint="eastAsia"/>
                <w:b/>
                <w:bCs/>
                <w:kern w:val="28"/>
                <w:szCs w:val="32"/>
              </w:rPr>
              <w:t>夜间</w:t>
            </w:r>
          </w:p>
        </w:tc>
        <w:tc>
          <w:tcPr>
            <w:tcW w:w="1068" w:type="dxa"/>
            <w:vAlign w:val="center"/>
          </w:tcPr>
          <w:p>
            <w:pPr>
              <w:spacing w:line="320" w:lineRule="exact"/>
              <w:jc w:val="center"/>
              <w:rPr>
                <w:b/>
                <w:bCs/>
                <w:kern w:val="28"/>
                <w:szCs w:val="32"/>
              </w:rPr>
            </w:pPr>
            <w:r>
              <w:rPr>
                <w:rFonts w:hint="eastAsia"/>
                <w:b/>
                <w:bCs/>
                <w:kern w:val="28"/>
                <w:szCs w:val="32"/>
              </w:rPr>
              <w:t>昼间</w:t>
            </w:r>
          </w:p>
        </w:tc>
        <w:tc>
          <w:tcPr>
            <w:tcW w:w="1071" w:type="dxa"/>
            <w:vAlign w:val="center"/>
          </w:tcPr>
          <w:p>
            <w:pPr>
              <w:spacing w:line="320" w:lineRule="exact"/>
              <w:jc w:val="center"/>
              <w:rPr>
                <w:b/>
                <w:bCs/>
                <w:kern w:val="28"/>
                <w:szCs w:val="32"/>
              </w:rPr>
            </w:pPr>
            <w:r>
              <w:rPr>
                <w:rFonts w:hint="eastAsia"/>
                <w:b/>
                <w:bCs/>
                <w:kern w:val="28"/>
                <w:szCs w:val="32"/>
              </w:rPr>
              <w:t>夜间</w:t>
            </w:r>
          </w:p>
        </w:tc>
        <w:tc>
          <w:tcPr>
            <w:tcW w:w="899" w:type="dxa"/>
            <w:vMerge w:val="continue"/>
            <w:vAlign w:val="center"/>
          </w:tcPr>
          <w:p>
            <w:pPr>
              <w:spacing w:line="320" w:lineRule="exact"/>
              <w:jc w:val="center"/>
              <w:rPr>
                <w:b/>
                <w:bCs/>
                <w:kern w:val="28"/>
                <w:szCs w:val="32"/>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restart"/>
            <w:vAlign w:val="center"/>
          </w:tcPr>
          <w:p>
            <w:pPr>
              <w:tabs>
                <w:tab w:val="left" w:pos="3987"/>
              </w:tabs>
              <w:spacing w:line="240" w:lineRule="exact"/>
              <w:jc w:val="center"/>
              <w:rPr>
                <w:rFonts w:hint="eastAsia" w:eastAsia="宋体"/>
                <w:szCs w:val="21"/>
                <w:lang w:val="en-US" w:eastAsia="zh-CN"/>
              </w:rPr>
            </w:pPr>
            <w:r>
              <w:rPr>
                <w:rFonts w:hint="eastAsia"/>
                <w:szCs w:val="21"/>
                <w:lang w:val="en-US" w:eastAsia="zh-CN"/>
              </w:rPr>
              <w:t>2018.5.15</w:t>
            </w:r>
          </w:p>
        </w:tc>
        <w:tc>
          <w:tcPr>
            <w:tcW w:w="2820" w:type="dxa"/>
            <w:vAlign w:val="center"/>
          </w:tcPr>
          <w:p>
            <w:pPr>
              <w:spacing w:line="320" w:lineRule="exact"/>
              <w:jc w:val="center"/>
              <w:rPr>
                <w:bCs/>
                <w:kern w:val="28"/>
                <w:szCs w:val="32"/>
              </w:rPr>
            </w:pPr>
            <w:r>
              <w:rPr>
                <w:rFonts w:hint="eastAsia"/>
                <w:bCs/>
                <w:kern w:val="28"/>
                <w:szCs w:val="32"/>
              </w:rPr>
              <w:t>1▲（医院东面外1米）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55.2</w:t>
            </w:r>
          </w:p>
        </w:tc>
        <w:tc>
          <w:tcPr>
            <w:tcW w:w="1069"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43.2</w:t>
            </w:r>
          </w:p>
        </w:tc>
        <w:tc>
          <w:tcPr>
            <w:tcW w:w="1068" w:type="dxa"/>
            <w:vAlign w:val="center"/>
          </w:tcPr>
          <w:p>
            <w:pPr>
              <w:spacing w:line="320" w:lineRule="exact"/>
              <w:jc w:val="center"/>
              <w:rPr>
                <w:rFonts w:hint="eastAsia" w:eastAsia="宋体"/>
                <w:bCs/>
                <w:kern w:val="28"/>
                <w:szCs w:val="32"/>
                <w:lang w:val="en-US" w:eastAsia="zh-CN"/>
              </w:rPr>
            </w:pPr>
            <w:r>
              <w:rPr>
                <w:rFonts w:hint="eastAsia"/>
                <w:bCs/>
                <w:kern w:val="28"/>
                <w:szCs w:val="32"/>
                <w:lang w:val="en-US" w:eastAsia="zh-CN"/>
              </w:rPr>
              <w:t>60</w:t>
            </w:r>
          </w:p>
        </w:tc>
        <w:tc>
          <w:tcPr>
            <w:tcW w:w="1071" w:type="dxa"/>
            <w:vAlign w:val="center"/>
          </w:tcPr>
          <w:p>
            <w:pPr>
              <w:spacing w:line="320" w:lineRule="exact"/>
              <w:jc w:val="center"/>
              <w:rPr>
                <w:rFonts w:hint="eastAsia" w:eastAsia="宋体"/>
                <w:bCs/>
                <w:kern w:val="28"/>
                <w:szCs w:val="32"/>
                <w:lang w:val="en-US" w:eastAsia="zh-CN"/>
              </w:rPr>
            </w:pPr>
            <w:r>
              <w:rPr>
                <w:rFonts w:hint="eastAsia"/>
                <w:bCs/>
                <w:kern w:val="28"/>
                <w:szCs w:val="32"/>
                <w:lang w:val="en-US" w:eastAsia="zh-CN"/>
              </w:rPr>
              <w:t>50</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continue"/>
            <w:vAlign w:val="center"/>
          </w:tcPr>
          <w:p>
            <w:pPr>
              <w:spacing w:line="320" w:lineRule="exact"/>
              <w:jc w:val="center"/>
              <w:rPr>
                <w:bCs/>
                <w:color w:val="000000"/>
                <w:kern w:val="28"/>
                <w:szCs w:val="32"/>
              </w:rPr>
            </w:pPr>
          </w:p>
        </w:tc>
        <w:tc>
          <w:tcPr>
            <w:tcW w:w="2820" w:type="dxa"/>
            <w:vAlign w:val="center"/>
          </w:tcPr>
          <w:p>
            <w:pPr>
              <w:tabs>
                <w:tab w:val="left" w:pos="268"/>
                <w:tab w:val="center" w:pos="1448"/>
              </w:tabs>
              <w:spacing w:line="320" w:lineRule="exact"/>
              <w:jc w:val="center"/>
              <w:rPr>
                <w:bCs/>
                <w:kern w:val="28"/>
                <w:szCs w:val="32"/>
              </w:rPr>
            </w:pPr>
            <w:r>
              <w:rPr>
                <w:rFonts w:hint="eastAsia"/>
                <w:bCs/>
                <w:kern w:val="28"/>
                <w:szCs w:val="32"/>
              </w:rPr>
              <w:t>2▲（医院南面外1米）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56.1</w:t>
            </w:r>
          </w:p>
        </w:tc>
        <w:tc>
          <w:tcPr>
            <w:tcW w:w="1069" w:type="dxa"/>
            <w:vAlign w:val="center"/>
          </w:tcPr>
          <w:p>
            <w:pPr>
              <w:spacing w:line="320" w:lineRule="exact"/>
              <w:jc w:val="center"/>
              <w:rPr>
                <w:rFonts w:hint="eastAsia" w:eastAsia="宋体"/>
                <w:color w:val="000000" w:themeColor="text1"/>
                <w:lang w:val="en-US" w:eastAsia="zh-CN"/>
              </w:rPr>
            </w:pPr>
            <w:r>
              <w:rPr>
                <w:rFonts w:hint="eastAsia"/>
                <w:color w:val="000000" w:themeColor="text1"/>
                <w:lang w:val="en-US" w:eastAsia="zh-CN"/>
              </w:rPr>
              <w:t>44.5</w:t>
            </w:r>
          </w:p>
        </w:tc>
        <w:tc>
          <w:tcPr>
            <w:tcW w:w="1068" w:type="dxa"/>
            <w:vAlign w:val="center"/>
          </w:tcPr>
          <w:p>
            <w:pPr>
              <w:spacing w:line="320" w:lineRule="exact"/>
              <w:jc w:val="center"/>
              <w:rPr>
                <w:bCs/>
                <w:kern w:val="28"/>
                <w:szCs w:val="32"/>
              </w:rPr>
            </w:pPr>
            <w:r>
              <w:rPr>
                <w:rFonts w:hint="eastAsia"/>
                <w:bCs/>
                <w:kern w:val="28"/>
                <w:szCs w:val="32"/>
                <w:lang w:val="en-US" w:eastAsia="zh-CN"/>
              </w:rPr>
              <w:t>60</w:t>
            </w:r>
          </w:p>
        </w:tc>
        <w:tc>
          <w:tcPr>
            <w:tcW w:w="1071" w:type="dxa"/>
            <w:vAlign w:val="center"/>
          </w:tcPr>
          <w:p>
            <w:pPr>
              <w:spacing w:line="320" w:lineRule="exact"/>
              <w:jc w:val="center"/>
              <w:rPr>
                <w:bCs/>
                <w:kern w:val="28"/>
                <w:szCs w:val="32"/>
              </w:rPr>
            </w:pPr>
            <w:r>
              <w:rPr>
                <w:rFonts w:hint="eastAsia"/>
                <w:bCs/>
                <w:kern w:val="28"/>
                <w:szCs w:val="32"/>
                <w:lang w:val="en-US" w:eastAsia="zh-CN"/>
              </w:rPr>
              <w:t>50</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continue"/>
            <w:vAlign w:val="center"/>
          </w:tcPr>
          <w:p>
            <w:pPr>
              <w:spacing w:line="320" w:lineRule="exact"/>
              <w:jc w:val="center"/>
              <w:rPr>
                <w:bCs/>
                <w:color w:val="000000"/>
                <w:kern w:val="28"/>
                <w:szCs w:val="32"/>
              </w:rPr>
            </w:pPr>
          </w:p>
        </w:tc>
        <w:tc>
          <w:tcPr>
            <w:tcW w:w="2820" w:type="dxa"/>
            <w:vAlign w:val="center"/>
          </w:tcPr>
          <w:p>
            <w:pPr>
              <w:spacing w:line="320" w:lineRule="exact"/>
              <w:jc w:val="center"/>
              <w:rPr>
                <w:bCs/>
                <w:kern w:val="28"/>
                <w:szCs w:val="32"/>
              </w:rPr>
            </w:pPr>
            <w:r>
              <w:rPr>
                <w:rFonts w:hint="eastAsia"/>
                <w:bCs/>
                <w:kern w:val="28"/>
                <w:szCs w:val="32"/>
              </w:rPr>
              <w:t>3▲（医院西面外1米）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53.4</w:t>
            </w:r>
          </w:p>
        </w:tc>
        <w:tc>
          <w:tcPr>
            <w:tcW w:w="1069"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42.7</w:t>
            </w:r>
          </w:p>
        </w:tc>
        <w:tc>
          <w:tcPr>
            <w:tcW w:w="1068" w:type="dxa"/>
            <w:vAlign w:val="center"/>
          </w:tcPr>
          <w:p>
            <w:pPr>
              <w:spacing w:line="320" w:lineRule="exact"/>
              <w:jc w:val="center"/>
              <w:rPr>
                <w:bCs/>
                <w:kern w:val="28"/>
                <w:szCs w:val="32"/>
              </w:rPr>
            </w:pPr>
            <w:r>
              <w:rPr>
                <w:rFonts w:hint="eastAsia"/>
                <w:bCs/>
                <w:kern w:val="28"/>
                <w:szCs w:val="32"/>
                <w:lang w:val="en-US" w:eastAsia="zh-CN"/>
              </w:rPr>
              <w:t>60</w:t>
            </w:r>
          </w:p>
        </w:tc>
        <w:tc>
          <w:tcPr>
            <w:tcW w:w="1071" w:type="dxa"/>
            <w:vAlign w:val="center"/>
          </w:tcPr>
          <w:p>
            <w:pPr>
              <w:spacing w:line="320" w:lineRule="exact"/>
              <w:jc w:val="center"/>
              <w:rPr>
                <w:bCs/>
                <w:kern w:val="28"/>
                <w:szCs w:val="32"/>
              </w:rPr>
            </w:pPr>
            <w:r>
              <w:rPr>
                <w:rFonts w:hint="eastAsia"/>
                <w:bCs/>
                <w:kern w:val="28"/>
                <w:szCs w:val="32"/>
                <w:lang w:val="en-US" w:eastAsia="zh-CN"/>
              </w:rPr>
              <w:t>50</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continue"/>
            <w:vAlign w:val="center"/>
          </w:tcPr>
          <w:p>
            <w:pPr>
              <w:spacing w:line="320" w:lineRule="exact"/>
              <w:jc w:val="center"/>
              <w:rPr>
                <w:bCs/>
                <w:color w:val="000000"/>
                <w:kern w:val="28"/>
                <w:szCs w:val="32"/>
              </w:rPr>
            </w:pPr>
          </w:p>
        </w:tc>
        <w:tc>
          <w:tcPr>
            <w:tcW w:w="2820" w:type="dxa"/>
            <w:vAlign w:val="center"/>
          </w:tcPr>
          <w:p>
            <w:pPr>
              <w:spacing w:line="320" w:lineRule="exact"/>
              <w:jc w:val="center"/>
              <w:rPr>
                <w:bCs/>
                <w:kern w:val="28"/>
                <w:szCs w:val="32"/>
              </w:rPr>
            </w:pPr>
            <w:r>
              <w:rPr>
                <w:rFonts w:hint="eastAsia"/>
                <w:bCs/>
                <w:kern w:val="28"/>
                <w:szCs w:val="32"/>
              </w:rPr>
              <w:t>4▲（医院北面外1米）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63.7</w:t>
            </w:r>
          </w:p>
        </w:tc>
        <w:tc>
          <w:tcPr>
            <w:tcW w:w="1069"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51.6</w:t>
            </w:r>
          </w:p>
        </w:tc>
        <w:tc>
          <w:tcPr>
            <w:tcW w:w="1068" w:type="dxa"/>
            <w:vAlign w:val="center"/>
          </w:tcPr>
          <w:p>
            <w:pPr>
              <w:spacing w:line="320" w:lineRule="exact"/>
              <w:jc w:val="center"/>
              <w:rPr>
                <w:rFonts w:hint="eastAsia" w:eastAsia="宋体"/>
                <w:bCs/>
                <w:kern w:val="28"/>
                <w:szCs w:val="32"/>
                <w:lang w:val="en-US" w:eastAsia="zh-CN"/>
              </w:rPr>
            </w:pPr>
            <w:r>
              <w:rPr>
                <w:rFonts w:hint="eastAsia"/>
                <w:bCs/>
                <w:kern w:val="28"/>
                <w:szCs w:val="32"/>
                <w:lang w:val="en-US" w:eastAsia="zh-CN"/>
              </w:rPr>
              <w:t>70</w:t>
            </w:r>
          </w:p>
        </w:tc>
        <w:tc>
          <w:tcPr>
            <w:tcW w:w="1071" w:type="dxa"/>
            <w:vAlign w:val="center"/>
          </w:tcPr>
          <w:p>
            <w:pPr>
              <w:spacing w:line="320" w:lineRule="exact"/>
              <w:jc w:val="center"/>
              <w:rPr>
                <w:rFonts w:hint="eastAsia" w:eastAsia="宋体"/>
                <w:bCs/>
                <w:kern w:val="28"/>
                <w:szCs w:val="32"/>
                <w:lang w:val="en-US" w:eastAsia="zh-CN"/>
              </w:rPr>
            </w:pPr>
            <w:r>
              <w:rPr>
                <w:rFonts w:hint="eastAsia"/>
                <w:bCs/>
                <w:kern w:val="28"/>
                <w:szCs w:val="32"/>
                <w:lang w:val="en-US" w:eastAsia="zh-CN"/>
              </w:rPr>
              <w:t>55</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restart"/>
            <w:vAlign w:val="center"/>
          </w:tcPr>
          <w:p>
            <w:pPr>
              <w:tabs>
                <w:tab w:val="left" w:pos="3987"/>
              </w:tabs>
              <w:spacing w:line="240" w:lineRule="exact"/>
              <w:jc w:val="center"/>
              <w:rPr>
                <w:rFonts w:hint="eastAsia" w:eastAsia="宋体"/>
                <w:szCs w:val="21"/>
                <w:lang w:val="en-US" w:eastAsia="zh-CN"/>
              </w:rPr>
            </w:pPr>
            <w:r>
              <w:rPr>
                <w:rFonts w:hint="eastAsia"/>
                <w:szCs w:val="21"/>
                <w:lang w:val="en-US" w:eastAsia="zh-CN"/>
              </w:rPr>
              <w:t>2018.5.16</w:t>
            </w:r>
          </w:p>
        </w:tc>
        <w:tc>
          <w:tcPr>
            <w:tcW w:w="2820" w:type="dxa"/>
            <w:vAlign w:val="center"/>
          </w:tcPr>
          <w:p>
            <w:pPr>
              <w:spacing w:line="320" w:lineRule="exact"/>
              <w:jc w:val="center"/>
              <w:rPr>
                <w:bCs/>
                <w:kern w:val="28"/>
                <w:szCs w:val="32"/>
              </w:rPr>
            </w:pPr>
            <w:r>
              <w:rPr>
                <w:rFonts w:hint="eastAsia"/>
                <w:bCs/>
                <w:kern w:val="28"/>
                <w:szCs w:val="32"/>
              </w:rPr>
              <w:t>1▲（医院东面外1米）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56.7</w:t>
            </w:r>
          </w:p>
        </w:tc>
        <w:tc>
          <w:tcPr>
            <w:tcW w:w="1069"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44.1</w:t>
            </w:r>
          </w:p>
        </w:tc>
        <w:tc>
          <w:tcPr>
            <w:tcW w:w="1068" w:type="dxa"/>
            <w:vAlign w:val="center"/>
          </w:tcPr>
          <w:p>
            <w:pPr>
              <w:spacing w:line="320" w:lineRule="exact"/>
              <w:jc w:val="center"/>
              <w:rPr>
                <w:bCs/>
                <w:kern w:val="28"/>
                <w:szCs w:val="32"/>
              </w:rPr>
            </w:pPr>
            <w:r>
              <w:rPr>
                <w:rFonts w:hint="eastAsia"/>
                <w:bCs/>
                <w:kern w:val="28"/>
                <w:szCs w:val="32"/>
                <w:lang w:val="en-US" w:eastAsia="zh-CN"/>
              </w:rPr>
              <w:t>60</w:t>
            </w:r>
          </w:p>
        </w:tc>
        <w:tc>
          <w:tcPr>
            <w:tcW w:w="1071" w:type="dxa"/>
            <w:vAlign w:val="center"/>
          </w:tcPr>
          <w:p>
            <w:pPr>
              <w:spacing w:line="320" w:lineRule="exact"/>
              <w:jc w:val="center"/>
              <w:rPr>
                <w:bCs/>
                <w:kern w:val="28"/>
                <w:szCs w:val="32"/>
              </w:rPr>
            </w:pPr>
            <w:r>
              <w:rPr>
                <w:rFonts w:hint="eastAsia"/>
                <w:bCs/>
                <w:kern w:val="28"/>
                <w:szCs w:val="32"/>
                <w:lang w:val="en-US" w:eastAsia="zh-CN"/>
              </w:rPr>
              <w:t>50</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continue"/>
            <w:vAlign w:val="center"/>
          </w:tcPr>
          <w:p>
            <w:pPr>
              <w:spacing w:line="320" w:lineRule="exact"/>
              <w:jc w:val="center"/>
              <w:rPr>
                <w:bCs/>
                <w:kern w:val="28"/>
                <w:szCs w:val="32"/>
              </w:rPr>
            </w:pPr>
          </w:p>
        </w:tc>
        <w:tc>
          <w:tcPr>
            <w:tcW w:w="2820" w:type="dxa"/>
            <w:vAlign w:val="center"/>
          </w:tcPr>
          <w:p>
            <w:pPr>
              <w:tabs>
                <w:tab w:val="left" w:pos="268"/>
                <w:tab w:val="center" w:pos="1448"/>
              </w:tabs>
              <w:spacing w:line="320" w:lineRule="exact"/>
              <w:jc w:val="center"/>
              <w:rPr>
                <w:bCs/>
                <w:kern w:val="28"/>
                <w:szCs w:val="32"/>
              </w:rPr>
            </w:pPr>
            <w:r>
              <w:rPr>
                <w:rFonts w:hint="eastAsia"/>
                <w:bCs/>
                <w:kern w:val="28"/>
                <w:szCs w:val="32"/>
              </w:rPr>
              <w:t>2▲（医院南面外1米）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54.5</w:t>
            </w:r>
          </w:p>
        </w:tc>
        <w:tc>
          <w:tcPr>
            <w:tcW w:w="1069" w:type="dxa"/>
            <w:vAlign w:val="center"/>
          </w:tcPr>
          <w:p>
            <w:pPr>
              <w:spacing w:line="320" w:lineRule="exact"/>
              <w:jc w:val="center"/>
              <w:rPr>
                <w:rFonts w:hint="eastAsia" w:eastAsia="宋体"/>
                <w:color w:val="000000" w:themeColor="text1"/>
                <w:lang w:val="en-US" w:eastAsia="zh-CN"/>
              </w:rPr>
            </w:pPr>
            <w:r>
              <w:rPr>
                <w:rFonts w:hint="eastAsia"/>
                <w:color w:val="000000" w:themeColor="text1"/>
                <w:lang w:val="en-US" w:eastAsia="zh-CN"/>
              </w:rPr>
              <w:t>45.9</w:t>
            </w:r>
          </w:p>
        </w:tc>
        <w:tc>
          <w:tcPr>
            <w:tcW w:w="1068" w:type="dxa"/>
            <w:vAlign w:val="center"/>
          </w:tcPr>
          <w:p>
            <w:pPr>
              <w:spacing w:line="320" w:lineRule="exact"/>
              <w:jc w:val="center"/>
              <w:rPr>
                <w:bCs/>
                <w:kern w:val="28"/>
                <w:szCs w:val="32"/>
              </w:rPr>
            </w:pPr>
            <w:r>
              <w:rPr>
                <w:rFonts w:hint="eastAsia"/>
                <w:bCs/>
                <w:kern w:val="28"/>
                <w:szCs w:val="32"/>
                <w:lang w:val="en-US" w:eastAsia="zh-CN"/>
              </w:rPr>
              <w:t>60</w:t>
            </w:r>
          </w:p>
        </w:tc>
        <w:tc>
          <w:tcPr>
            <w:tcW w:w="1071" w:type="dxa"/>
            <w:vAlign w:val="center"/>
          </w:tcPr>
          <w:p>
            <w:pPr>
              <w:spacing w:line="320" w:lineRule="exact"/>
              <w:jc w:val="center"/>
              <w:rPr>
                <w:bCs/>
                <w:kern w:val="28"/>
                <w:szCs w:val="32"/>
              </w:rPr>
            </w:pPr>
            <w:r>
              <w:rPr>
                <w:rFonts w:hint="eastAsia"/>
                <w:bCs/>
                <w:kern w:val="28"/>
                <w:szCs w:val="32"/>
                <w:lang w:val="en-US" w:eastAsia="zh-CN"/>
              </w:rPr>
              <w:t>50</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continue"/>
            <w:vAlign w:val="center"/>
          </w:tcPr>
          <w:p>
            <w:pPr>
              <w:spacing w:line="320" w:lineRule="exact"/>
              <w:jc w:val="center"/>
              <w:rPr>
                <w:bCs/>
                <w:kern w:val="28"/>
                <w:szCs w:val="32"/>
              </w:rPr>
            </w:pPr>
          </w:p>
        </w:tc>
        <w:tc>
          <w:tcPr>
            <w:tcW w:w="2820" w:type="dxa"/>
            <w:vAlign w:val="center"/>
          </w:tcPr>
          <w:p>
            <w:pPr>
              <w:spacing w:line="320" w:lineRule="exact"/>
              <w:jc w:val="center"/>
              <w:rPr>
                <w:bCs/>
                <w:kern w:val="28"/>
                <w:szCs w:val="32"/>
              </w:rPr>
            </w:pPr>
            <w:r>
              <w:rPr>
                <w:rFonts w:hint="eastAsia"/>
                <w:bCs/>
                <w:kern w:val="28"/>
                <w:szCs w:val="32"/>
              </w:rPr>
              <w:t>3▲（医院西面外1米）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55.8</w:t>
            </w:r>
          </w:p>
        </w:tc>
        <w:tc>
          <w:tcPr>
            <w:tcW w:w="1069"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43.6</w:t>
            </w:r>
          </w:p>
        </w:tc>
        <w:tc>
          <w:tcPr>
            <w:tcW w:w="1068" w:type="dxa"/>
            <w:vAlign w:val="center"/>
          </w:tcPr>
          <w:p>
            <w:pPr>
              <w:spacing w:line="320" w:lineRule="exact"/>
              <w:jc w:val="center"/>
              <w:rPr>
                <w:bCs/>
                <w:kern w:val="28"/>
                <w:szCs w:val="32"/>
              </w:rPr>
            </w:pPr>
            <w:r>
              <w:rPr>
                <w:rFonts w:hint="eastAsia"/>
                <w:bCs/>
                <w:kern w:val="28"/>
                <w:szCs w:val="32"/>
                <w:lang w:val="en-US" w:eastAsia="zh-CN"/>
              </w:rPr>
              <w:t>60</w:t>
            </w:r>
          </w:p>
        </w:tc>
        <w:tc>
          <w:tcPr>
            <w:tcW w:w="1071" w:type="dxa"/>
            <w:vAlign w:val="center"/>
          </w:tcPr>
          <w:p>
            <w:pPr>
              <w:spacing w:line="320" w:lineRule="exact"/>
              <w:jc w:val="center"/>
              <w:rPr>
                <w:bCs/>
                <w:kern w:val="28"/>
                <w:szCs w:val="32"/>
              </w:rPr>
            </w:pPr>
            <w:r>
              <w:rPr>
                <w:rFonts w:hint="eastAsia"/>
                <w:bCs/>
                <w:kern w:val="28"/>
                <w:szCs w:val="32"/>
                <w:lang w:val="en-US" w:eastAsia="zh-CN"/>
              </w:rPr>
              <w:t>50</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1172" w:type="dxa"/>
            <w:vMerge w:val="continue"/>
            <w:vAlign w:val="center"/>
          </w:tcPr>
          <w:p>
            <w:pPr>
              <w:spacing w:line="320" w:lineRule="exact"/>
              <w:jc w:val="center"/>
              <w:rPr>
                <w:bCs/>
                <w:kern w:val="28"/>
                <w:szCs w:val="32"/>
              </w:rPr>
            </w:pPr>
          </w:p>
        </w:tc>
        <w:tc>
          <w:tcPr>
            <w:tcW w:w="2820" w:type="dxa"/>
            <w:vAlign w:val="center"/>
          </w:tcPr>
          <w:p>
            <w:pPr>
              <w:spacing w:line="320" w:lineRule="exact"/>
              <w:jc w:val="center"/>
              <w:rPr>
                <w:bCs/>
                <w:kern w:val="28"/>
                <w:szCs w:val="32"/>
              </w:rPr>
            </w:pPr>
            <w:r>
              <w:rPr>
                <w:rFonts w:hint="eastAsia"/>
                <w:bCs/>
                <w:kern w:val="28"/>
                <w:szCs w:val="32"/>
              </w:rPr>
              <w:t>4▲（医院北面外1米）</w:t>
            </w:r>
          </w:p>
        </w:tc>
        <w:tc>
          <w:tcPr>
            <w:tcW w:w="1068"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62.8</w:t>
            </w:r>
          </w:p>
        </w:tc>
        <w:tc>
          <w:tcPr>
            <w:tcW w:w="1069" w:type="dxa"/>
            <w:vAlign w:val="center"/>
          </w:tcPr>
          <w:p>
            <w:pPr>
              <w:spacing w:line="320" w:lineRule="exact"/>
              <w:jc w:val="center"/>
              <w:rPr>
                <w:rFonts w:hint="eastAsia" w:eastAsia="宋体"/>
                <w:bCs/>
                <w:color w:val="000000" w:themeColor="text1"/>
                <w:kern w:val="28"/>
                <w:szCs w:val="32"/>
                <w:lang w:val="en-US" w:eastAsia="zh-CN"/>
              </w:rPr>
            </w:pPr>
            <w:r>
              <w:rPr>
                <w:rFonts w:hint="eastAsia"/>
                <w:bCs/>
                <w:color w:val="000000" w:themeColor="text1"/>
                <w:kern w:val="28"/>
                <w:szCs w:val="32"/>
                <w:lang w:val="en-US" w:eastAsia="zh-CN"/>
              </w:rPr>
              <w:t>52.4</w:t>
            </w:r>
          </w:p>
        </w:tc>
        <w:tc>
          <w:tcPr>
            <w:tcW w:w="1068" w:type="dxa"/>
            <w:vAlign w:val="center"/>
          </w:tcPr>
          <w:p>
            <w:pPr>
              <w:spacing w:line="320" w:lineRule="exact"/>
              <w:jc w:val="center"/>
              <w:rPr>
                <w:bCs/>
                <w:kern w:val="28"/>
                <w:szCs w:val="32"/>
              </w:rPr>
            </w:pPr>
            <w:r>
              <w:rPr>
                <w:rFonts w:hint="eastAsia"/>
                <w:bCs/>
                <w:kern w:val="28"/>
                <w:szCs w:val="32"/>
                <w:lang w:val="en-US" w:eastAsia="zh-CN"/>
              </w:rPr>
              <w:t>70</w:t>
            </w:r>
          </w:p>
        </w:tc>
        <w:tc>
          <w:tcPr>
            <w:tcW w:w="1071" w:type="dxa"/>
            <w:vAlign w:val="center"/>
          </w:tcPr>
          <w:p>
            <w:pPr>
              <w:spacing w:line="320" w:lineRule="exact"/>
              <w:jc w:val="center"/>
              <w:rPr>
                <w:bCs/>
                <w:kern w:val="28"/>
                <w:szCs w:val="32"/>
              </w:rPr>
            </w:pPr>
            <w:r>
              <w:rPr>
                <w:rFonts w:hint="eastAsia"/>
                <w:bCs/>
                <w:kern w:val="28"/>
                <w:szCs w:val="32"/>
                <w:lang w:val="en-US" w:eastAsia="zh-CN"/>
              </w:rPr>
              <w:t>55</w:t>
            </w:r>
          </w:p>
        </w:tc>
        <w:tc>
          <w:tcPr>
            <w:tcW w:w="899" w:type="dxa"/>
            <w:vAlign w:val="center"/>
          </w:tcPr>
          <w:p>
            <w:pPr>
              <w:spacing w:line="32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trPr>
        <w:tc>
          <w:tcPr>
            <w:tcW w:w="9167" w:type="dxa"/>
            <w:gridSpan w:val="7"/>
            <w:vAlign w:val="center"/>
          </w:tcPr>
          <w:p>
            <w:pPr>
              <w:adjustRightInd w:val="0"/>
              <w:snapToGrid w:val="0"/>
              <w:spacing w:line="320" w:lineRule="exact"/>
              <w:ind w:left="630" w:hanging="630" w:hangingChars="300"/>
              <w:jc w:val="left"/>
            </w:pPr>
            <w:r>
              <w:rPr>
                <w:rFonts w:hint="eastAsia"/>
              </w:rPr>
              <w:t>注：1.</w:t>
            </w:r>
            <w:r>
              <w:rPr>
                <w:rFonts w:hint="eastAsia"/>
                <w:bCs/>
                <w:kern w:val="28"/>
                <w:szCs w:val="32"/>
              </w:rPr>
              <w:t>医院</w:t>
            </w:r>
            <w:r>
              <w:rPr>
                <w:rFonts w:hint="eastAsia"/>
              </w:rPr>
              <w:t>东、南、西面执行《工业企业厂界环境噪声排放标准》（</w:t>
            </w:r>
            <w:r>
              <w:t>GB12348-2008</w:t>
            </w:r>
            <w:r>
              <w:rPr>
                <w:rFonts w:hint="eastAsia"/>
              </w:rPr>
              <w:t>）2类标准限值；</w:t>
            </w:r>
          </w:p>
          <w:p>
            <w:pPr>
              <w:adjustRightInd w:val="0"/>
              <w:snapToGrid w:val="0"/>
              <w:spacing w:line="320" w:lineRule="exact"/>
              <w:ind w:left="630" w:leftChars="200" w:hanging="210" w:hangingChars="100"/>
              <w:jc w:val="left"/>
            </w:pPr>
            <w:r>
              <w:rPr>
                <w:rFonts w:hint="eastAsia"/>
              </w:rPr>
              <w:t>2.</w:t>
            </w:r>
            <w:r>
              <w:rPr>
                <w:rFonts w:hint="eastAsia"/>
                <w:bCs/>
                <w:kern w:val="28"/>
                <w:szCs w:val="32"/>
              </w:rPr>
              <w:t>医院</w:t>
            </w:r>
            <w:r>
              <w:rPr>
                <w:rFonts w:hint="eastAsia"/>
              </w:rPr>
              <w:t>北面执行《工业企业厂界环境噪声排放标准》（</w:t>
            </w:r>
            <w:r>
              <w:t>GB12348-2008</w:t>
            </w:r>
            <w:r>
              <w:rPr>
                <w:rFonts w:hint="eastAsia"/>
              </w:rPr>
              <w:t>）4类标准限值。</w:t>
            </w:r>
          </w:p>
        </w:tc>
      </w:tr>
    </w:tbl>
    <w:p>
      <w:pPr>
        <w:spacing w:line="600" w:lineRule="exact"/>
        <w:ind w:right="-2" w:rightChars="-1" w:firstLine="480" w:firstLineChars="200"/>
        <w:jc w:val="left"/>
        <w:rPr>
          <w:sz w:val="24"/>
        </w:rPr>
      </w:pPr>
      <w:r>
        <w:rPr>
          <w:sz w:val="24"/>
        </w:rPr>
        <w:t>由表</w:t>
      </w:r>
      <w:r>
        <w:rPr>
          <w:rFonts w:hint="eastAsia"/>
          <w:sz w:val="24"/>
          <w:lang w:val="en-US" w:eastAsia="zh-CN"/>
        </w:rPr>
        <w:t>9</w:t>
      </w:r>
      <w:r>
        <w:rPr>
          <w:sz w:val="24"/>
        </w:rPr>
        <w:t>-5可知：验收监测期间，</w:t>
      </w:r>
      <w:r>
        <w:rPr>
          <w:rFonts w:hint="eastAsia"/>
          <w:sz w:val="24"/>
        </w:rPr>
        <w:t>医院</w:t>
      </w:r>
      <w:r>
        <w:rPr>
          <w:sz w:val="24"/>
        </w:rPr>
        <w:t>（东、南、西面）</w:t>
      </w:r>
      <w:r>
        <w:rPr>
          <w:rFonts w:hint="eastAsia"/>
          <w:sz w:val="24"/>
        </w:rPr>
        <w:t>3</w:t>
      </w:r>
      <w:r>
        <w:rPr>
          <w:sz w:val="24"/>
        </w:rPr>
        <w:t>个监测点位中测得昼间噪声最大值为</w:t>
      </w:r>
      <w:r>
        <w:rPr>
          <w:rFonts w:hint="eastAsia"/>
          <w:color w:val="000000" w:themeColor="text1"/>
          <w:sz w:val="24"/>
          <w:lang w:val="en-US" w:eastAsia="zh-CN"/>
        </w:rPr>
        <w:t>56.7</w:t>
      </w:r>
      <w:r>
        <w:rPr>
          <w:color w:val="000000" w:themeColor="text1"/>
          <w:kern w:val="28"/>
          <w:sz w:val="24"/>
        </w:rPr>
        <w:t>dB（A）</w:t>
      </w:r>
      <w:r>
        <w:rPr>
          <w:color w:val="000000" w:themeColor="text1"/>
          <w:sz w:val="24"/>
        </w:rPr>
        <w:t>，夜间噪声最大值为</w:t>
      </w:r>
      <w:r>
        <w:rPr>
          <w:rFonts w:hint="eastAsia"/>
          <w:color w:val="000000" w:themeColor="text1"/>
          <w:sz w:val="24"/>
          <w:lang w:val="en-US" w:eastAsia="zh-CN"/>
        </w:rPr>
        <w:t>45.9</w:t>
      </w:r>
      <w:r>
        <w:rPr>
          <w:color w:val="000000" w:themeColor="text1"/>
          <w:kern w:val="28"/>
          <w:sz w:val="24"/>
        </w:rPr>
        <w:t>dB（A）</w:t>
      </w:r>
      <w:r>
        <w:rPr>
          <w:kern w:val="28"/>
          <w:sz w:val="24"/>
        </w:rPr>
        <w:t>，均</w:t>
      </w:r>
      <w:r>
        <w:rPr>
          <w:sz w:val="24"/>
        </w:rPr>
        <w:t>符合《工业企业厂界环境噪声排放标准》（GB12348-2008）中的2类标准限值要求。</w:t>
      </w:r>
      <w:r>
        <w:rPr>
          <w:rFonts w:hint="eastAsia"/>
          <w:sz w:val="24"/>
        </w:rPr>
        <w:t>医院北</w:t>
      </w:r>
      <w:r>
        <w:rPr>
          <w:sz w:val="24"/>
        </w:rPr>
        <w:t>面</w:t>
      </w:r>
      <w:r>
        <w:rPr>
          <w:rFonts w:hint="eastAsia"/>
          <w:sz w:val="24"/>
        </w:rPr>
        <w:t>（临近道路）</w:t>
      </w:r>
      <w:r>
        <w:rPr>
          <w:sz w:val="24"/>
        </w:rPr>
        <w:t>测得昼间噪声最大值为</w:t>
      </w:r>
      <w:r>
        <w:rPr>
          <w:rFonts w:hint="eastAsia"/>
          <w:color w:val="000000" w:themeColor="text1"/>
          <w:sz w:val="24"/>
          <w:lang w:val="en-US" w:eastAsia="zh-CN"/>
        </w:rPr>
        <w:t>63.7</w:t>
      </w:r>
      <w:r>
        <w:rPr>
          <w:color w:val="000000" w:themeColor="text1"/>
          <w:kern w:val="28"/>
          <w:sz w:val="24"/>
        </w:rPr>
        <w:t>dB（A）</w:t>
      </w:r>
      <w:r>
        <w:rPr>
          <w:color w:val="000000" w:themeColor="text1"/>
          <w:sz w:val="24"/>
        </w:rPr>
        <w:t>，夜间噪声最大值为</w:t>
      </w:r>
      <w:r>
        <w:rPr>
          <w:rFonts w:hint="eastAsia"/>
          <w:color w:val="000000" w:themeColor="text1"/>
          <w:sz w:val="24"/>
          <w:lang w:val="en-US" w:eastAsia="zh-CN"/>
        </w:rPr>
        <w:t>52.4</w:t>
      </w:r>
      <w:r>
        <w:rPr>
          <w:color w:val="000000" w:themeColor="text1"/>
          <w:kern w:val="28"/>
          <w:sz w:val="24"/>
        </w:rPr>
        <w:t>dB（A）</w:t>
      </w:r>
      <w:r>
        <w:rPr>
          <w:kern w:val="28"/>
          <w:sz w:val="24"/>
        </w:rPr>
        <w:t>，均</w:t>
      </w:r>
      <w:r>
        <w:rPr>
          <w:sz w:val="24"/>
        </w:rPr>
        <w:t>符合《工业企业厂界环境噪声排放标准》（GB12348-2008）中的</w:t>
      </w:r>
      <w:r>
        <w:rPr>
          <w:rFonts w:hint="eastAsia"/>
          <w:sz w:val="24"/>
        </w:rPr>
        <w:t>4</w:t>
      </w:r>
      <w:r>
        <w:rPr>
          <w:sz w:val="24"/>
        </w:rPr>
        <w:t>类标准限值要求。</w:t>
      </w:r>
    </w:p>
    <w:bookmarkEnd w:id="86"/>
    <w:bookmarkEnd w:id="87"/>
    <w:bookmarkEnd w:id="88"/>
    <w:bookmarkEnd w:id="89"/>
    <w:bookmarkEnd w:id="90"/>
    <w:bookmarkEnd w:id="91"/>
    <w:p>
      <w:pPr>
        <w:pStyle w:val="4"/>
        <w:spacing w:before="0" w:after="0" w:line="580" w:lineRule="exact"/>
        <w:rPr>
          <w:rFonts w:ascii="Times New Roman" w:hAnsi="Times New Roman" w:eastAsia="宋体"/>
          <w:sz w:val="28"/>
          <w:szCs w:val="28"/>
        </w:rPr>
      </w:pPr>
      <w:bookmarkStart w:id="113" w:name="_Toc1289"/>
      <w:bookmarkStart w:id="114" w:name="_Toc444181625"/>
      <w:bookmarkStart w:id="115" w:name="_Toc454875039"/>
      <w:bookmarkStart w:id="116" w:name="_Toc5699"/>
      <w:bookmarkStart w:id="117" w:name="_Toc436932404"/>
      <w:r>
        <w:rPr>
          <w:rFonts w:hint="eastAsia" w:ascii="Times New Roman" w:hAnsi="Times New Roman" w:eastAsia="宋体"/>
          <w:sz w:val="28"/>
          <w:szCs w:val="28"/>
          <w:lang w:val="en-US" w:eastAsia="zh-CN"/>
        </w:rPr>
        <w:t>9</w:t>
      </w:r>
      <w:r>
        <w:rPr>
          <w:rFonts w:hint="eastAsia" w:ascii="Times New Roman" w:hAnsi="Times New Roman" w:eastAsia="宋体"/>
          <w:sz w:val="28"/>
          <w:szCs w:val="28"/>
        </w:rPr>
        <w:t>.</w:t>
      </w:r>
      <w:r>
        <w:rPr>
          <w:rFonts w:hint="eastAsia" w:ascii="Times New Roman" w:hAnsi="Times New Roman" w:eastAsia="宋体"/>
          <w:sz w:val="28"/>
          <w:szCs w:val="28"/>
          <w:lang w:val="en-US" w:eastAsia="zh-CN"/>
        </w:rPr>
        <w:t>5</w:t>
      </w:r>
      <w:r>
        <w:rPr>
          <w:rFonts w:hint="eastAsia" w:ascii="Times New Roman" w:hAnsi="Times New Roman" w:eastAsia="宋体"/>
          <w:sz w:val="28"/>
          <w:szCs w:val="28"/>
        </w:rPr>
        <w:t xml:space="preserve"> 总量控制指标</w:t>
      </w:r>
      <w:bookmarkEnd w:id="113"/>
    </w:p>
    <w:p>
      <w:pPr>
        <w:spacing w:line="600" w:lineRule="exact"/>
        <w:ind w:right="42" w:rightChars="20" w:firstLine="480" w:firstLineChars="200"/>
        <w:rPr>
          <w:rFonts w:hint="eastAsia"/>
          <w:sz w:val="24"/>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sz w:val="24"/>
        </w:rPr>
        <w:t>根据环评</w:t>
      </w:r>
      <w:r>
        <w:rPr>
          <w:rFonts w:hint="eastAsia"/>
          <w:sz w:val="24"/>
          <w:lang w:eastAsia="zh-CN"/>
        </w:rPr>
        <w:t>批复</w:t>
      </w:r>
      <w:r>
        <w:rPr>
          <w:rFonts w:hint="eastAsia"/>
          <w:sz w:val="24"/>
        </w:rPr>
        <w:t>要求，本项目污染物排放总量控制指标为：</w:t>
      </w:r>
      <w:r>
        <w:rPr>
          <w:rFonts w:hint="eastAsia"/>
          <w:sz w:val="24"/>
          <w:lang w:eastAsia="zh-CN"/>
        </w:rPr>
        <w:t>化学需氧量</w:t>
      </w:r>
      <w:r>
        <w:rPr>
          <w:rFonts w:hint="eastAsia"/>
          <w:sz w:val="24"/>
          <w:lang w:val="en-US" w:eastAsia="zh-CN"/>
        </w:rPr>
        <w:t>0.46</w:t>
      </w:r>
      <w:r>
        <w:rPr>
          <w:rFonts w:hint="eastAsia"/>
          <w:color w:val="auto"/>
          <w:kern w:val="0"/>
          <w:szCs w:val="21"/>
          <w:lang w:val="en-US" w:eastAsia="zh-CN"/>
        </w:rPr>
        <w:t>t</w:t>
      </w:r>
      <w:r>
        <w:rPr>
          <w:rFonts w:hint="eastAsia"/>
          <w:sz w:val="24"/>
        </w:rPr>
        <w:t>/a</w:t>
      </w:r>
      <w:r>
        <w:rPr>
          <w:rFonts w:hint="eastAsia"/>
          <w:sz w:val="24"/>
          <w:lang w:eastAsia="zh-CN"/>
        </w:rPr>
        <w:t>、氨氮</w:t>
      </w:r>
      <w:r>
        <w:rPr>
          <w:rFonts w:hint="eastAsia"/>
          <w:sz w:val="24"/>
          <w:lang w:val="en-US" w:eastAsia="zh-CN"/>
        </w:rPr>
        <w:t>0.11</w:t>
      </w:r>
      <w:r>
        <w:rPr>
          <w:rFonts w:hint="eastAsia"/>
          <w:sz w:val="24"/>
        </w:rPr>
        <w:t>t/a。根据现场实际核查，项目实际排污总量控制指标为</w:t>
      </w:r>
      <w:r>
        <w:rPr>
          <w:rFonts w:hint="eastAsia"/>
          <w:color w:val="auto"/>
          <w:sz w:val="24"/>
          <w:lang w:eastAsia="zh-CN"/>
        </w:rPr>
        <w:t>化学需氧量：</w:t>
      </w:r>
      <w:r>
        <w:rPr>
          <w:rFonts w:hint="eastAsia"/>
          <w:color w:val="auto"/>
          <w:sz w:val="24"/>
          <w:lang w:val="en-US" w:eastAsia="zh-CN"/>
        </w:rPr>
        <w:t>0.26t/a；</w:t>
      </w:r>
      <w:r>
        <w:rPr>
          <w:rFonts w:hint="eastAsia"/>
          <w:color w:val="auto"/>
          <w:sz w:val="24"/>
          <w:lang w:eastAsia="zh-CN"/>
        </w:rPr>
        <w:t>氨氮：</w:t>
      </w:r>
      <w:r>
        <w:rPr>
          <w:rFonts w:hint="eastAsia"/>
          <w:color w:val="auto"/>
          <w:sz w:val="24"/>
          <w:lang w:val="en-US" w:eastAsia="zh-CN"/>
        </w:rPr>
        <w:t>0.054t/a</w:t>
      </w:r>
      <w:r>
        <w:rPr>
          <w:rFonts w:hint="eastAsia"/>
          <w:sz w:val="24"/>
        </w:rPr>
        <w:t>。</w:t>
      </w:r>
    </w:p>
    <w:p>
      <w:pPr>
        <w:pStyle w:val="3"/>
        <w:spacing w:beforeLines="50" w:afterLines="50" w:line="600" w:lineRule="exact"/>
        <w:ind w:right="-1"/>
        <w:contextualSpacing/>
        <w:rPr>
          <w:sz w:val="30"/>
          <w:szCs w:val="30"/>
        </w:rPr>
      </w:pPr>
      <w:bookmarkStart w:id="118" w:name="_Toc22957"/>
      <w:r>
        <w:rPr>
          <w:rFonts w:hint="eastAsia"/>
          <w:sz w:val="30"/>
          <w:szCs w:val="30"/>
          <w:lang w:val="en-US" w:eastAsia="zh-CN"/>
        </w:rPr>
        <w:t>11</w:t>
      </w:r>
      <w:r>
        <w:rPr>
          <w:sz w:val="30"/>
          <w:szCs w:val="30"/>
        </w:rPr>
        <w:t xml:space="preserve"> 验收监测结论及建议</w:t>
      </w:r>
      <w:bookmarkEnd w:id="114"/>
      <w:bookmarkEnd w:id="115"/>
      <w:bookmarkEnd w:id="116"/>
      <w:bookmarkEnd w:id="117"/>
      <w:bookmarkEnd w:id="118"/>
      <w:bookmarkStart w:id="119" w:name="_Toc436932405"/>
      <w:bookmarkStart w:id="120" w:name="_Toc444181626"/>
    </w:p>
    <w:p>
      <w:pPr>
        <w:pStyle w:val="4"/>
        <w:spacing w:beforeLines="50" w:afterLines="50" w:line="600" w:lineRule="exact"/>
        <w:rPr>
          <w:rFonts w:ascii="Times New Roman" w:hAnsi="Times New Roman" w:eastAsia="宋体"/>
          <w:sz w:val="28"/>
          <w:szCs w:val="28"/>
        </w:rPr>
      </w:pPr>
      <w:bookmarkStart w:id="121" w:name="_Toc5141"/>
      <w:bookmarkStart w:id="122" w:name="_Toc24716"/>
      <w:bookmarkStart w:id="123" w:name="_Toc454875040"/>
      <w:r>
        <w:rPr>
          <w:rFonts w:hint="eastAsia" w:ascii="Times New Roman" w:hAnsi="Times New Roman" w:eastAsia="宋体"/>
          <w:sz w:val="28"/>
          <w:szCs w:val="28"/>
          <w:lang w:val="en-US" w:eastAsia="zh-CN"/>
        </w:rPr>
        <w:t>11</w:t>
      </w:r>
      <w:r>
        <w:rPr>
          <w:rFonts w:ascii="Times New Roman" w:hAnsi="Times New Roman" w:eastAsia="宋体"/>
          <w:sz w:val="28"/>
          <w:szCs w:val="28"/>
        </w:rPr>
        <w:t>.1</w:t>
      </w:r>
      <w:r>
        <w:rPr>
          <w:rFonts w:hint="eastAsia" w:ascii="Times New Roman" w:hAnsi="Times New Roman" w:eastAsia="宋体"/>
          <w:sz w:val="28"/>
          <w:szCs w:val="28"/>
        </w:rPr>
        <w:t xml:space="preserve"> </w:t>
      </w:r>
      <w:r>
        <w:rPr>
          <w:rFonts w:ascii="Times New Roman" w:hAnsi="Times New Roman" w:eastAsia="宋体"/>
          <w:sz w:val="28"/>
          <w:szCs w:val="28"/>
        </w:rPr>
        <w:t>验收监测及检查结论</w:t>
      </w:r>
      <w:bookmarkEnd w:id="119"/>
      <w:bookmarkEnd w:id="120"/>
      <w:bookmarkEnd w:id="121"/>
      <w:bookmarkEnd w:id="122"/>
      <w:bookmarkEnd w:id="123"/>
    </w:p>
    <w:p>
      <w:pPr>
        <w:spacing w:line="600" w:lineRule="exact"/>
        <w:rPr>
          <w:sz w:val="24"/>
        </w:rPr>
      </w:pPr>
      <w:r>
        <w:rPr>
          <w:rFonts w:hint="eastAsia"/>
          <w:sz w:val="24"/>
          <w:lang w:val="en-US" w:eastAsia="zh-CN"/>
        </w:rPr>
        <w:t>11</w:t>
      </w:r>
      <w:r>
        <w:rPr>
          <w:sz w:val="24"/>
        </w:rPr>
        <w:t>.1.</w:t>
      </w:r>
      <w:r>
        <w:rPr>
          <w:rFonts w:hint="eastAsia"/>
          <w:sz w:val="24"/>
        </w:rPr>
        <w:t>1</w:t>
      </w:r>
      <w:r>
        <w:rPr>
          <w:sz w:val="24"/>
        </w:rPr>
        <w:t>废</w:t>
      </w:r>
      <w:r>
        <w:rPr>
          <w:rFonts w:hint="eastAsia"/>
          <w:sz w:val="24"/>
        </w:rPr>
        <w:t>气</w:t>
      </w:r>
      <w:r>
        <w:rPr>
          <w:sz w:val="24"/>
        </w:rPr>
        <w:t>监测结论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sz w:val="24"/>
        </w:rPr>
      </w:pPr>
      <w:bookmarkStart w:id="124" w:name="_Toc436932408"/>
      <w:bookmarkStart w:id="125" w:name="_Toc444181629"/>
      <w:r>
        <w:rPr>
          <w:sz w:val="24"/>
        </w:rPr>
        <w:t>验收监测期间，</w:t>
      </w:r>
      <w:r>
        <w:rPr>
          <w:rFonts w:hint="eastAsia"/>
          <w:sz w:val="24"/>
        </w:rPr>
        <w:t>该项目厂界上风向、下风向3个监测点位中氨的最大浓度值为</w:t>
      </w:r>
      <w:r>
        <w:rPr>
          <w:rFonts w:hint="eastAsia"/>
          <w:sz w:val="24"/>
          <w:lang w:val="en-US" w:eastAsia="zh-CN"/>
        </w:rPr>
        <w:t>0.045</w:t>
      </w:r>
      <w:r>
        <w:rPr>
          <w:rFonts w:hint="eastAsia"/>
          <w:sz w:val="24"/>
        </w:rPr>
        <w:t>mg/m</w:t>
      </w:r>
      <w:r>
        <w:rPr>
          <w:rFonts w:hint="eastAsia"/>
          <w:sz w:val="24"/>
          <w:vertAlign w:val="superscript"/>
        </w:rPr>
        <w:t>3</w:t>
      </w:r>
      <w:r>
        <w:rPr>
          <w:rFonts w:hint="eastAsia"/>
          <w:sz w:val="24"/>
        </w:rPr>
        <w:t>，硫化氢的最大浓度值为</w:t>
      </w:r>
      <w:r>
        <w:rPr>
          <w:rFonts w:hint="eastAsia"/>
          <w:sz w:val="24"/>
          <w:lang w:val="en-US" w:eastAsia="zh-CN"/>
        </w:rPr>
        <w:t>0.012</w:t>
      </w:r>
      <w:r>
        <w:rPr>
          <w:rFonts w:hint="eastAsia"/>
          <w:sz w:val="24"/>
        </w:rPr>
        <w:t>mg/m</w:t>
      </w:r>
      <w:r>
        <w:rPr>
          <w:rFonts w:hint="eastAsia"/>
          <w:sz w:val="24"/>
          <w:vertAlign w:val="superscript"/>
        </w:rPr>
        <w:t>3</w:t>
      </w:r>
      <w:r>
        <w:rPr>
          <w:rFonts w:hint="eastAsia"/>
          <w:sz w:val="24"/>
        </w:rPr>
        <w:t>，氯气</w:t>
      </w:r>
      <w:r>
        <w:rPr>
          <w:rFonts w:hint="eastAsia"/>
          <w:sz w:val="24"/>
          <w:lang w:val="en-US" w:eastAsia="zh-CN"/>
        </w:rPr>
        <w:t>浓度和</w:t>
      </w:r>
      <w:r>
        <w:rPr>
          <w:rFonts w:hint="eastAsia"/>
          <w:sz w:val="24"/>
        </w:rPr>
        <w:t>臭气浓度均未检出，均</w:t>
      </w:r>
      <w:r>
        <w:rPr>
          <w:sz w:val="24"/>
        </w:rPr>
        <w:t>符合</w:t>
      </w:r>
      <w:r>
        <w:rPr>
          <w:rFonts w:hint="eastAsia"/>
          <w:sz w:val="24"/>
        </w:rPr>
        <w:t>《医疗机构水污染排放标准》(GB 18466-2005)表3中标准要求。</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sz w:val="24"/>
          <w:lang w:val="en-US" w:eastAsia="zh-CN"/>
        </w:rPr>
      </w:pPr>
      <w:r>
        <w:rPr>
          <w:rFonts w:hint="eastAsia"/>
          <w:sz w:val="24"/>
          <w:lang w:val="en-US" w:eastAsia="zh-CN"/>
        </w:rPr>
        <w:t>11.1.2废水监测结论</w:t>
      </w:r>
    </w:p>
    <w:p>
      <w:pPr>
        <w:pStyle w:val="11"/>
        <w:spacing w:line="640" w:lineRule="exact"/>
        <w:ind w:firstLine="480" w:firstLineChars="200"/>
        <w:rPr>
          <w:rFonts w:hint="eastAsia" w:ascii="Times New Roman" w:hAnsi="Times New Roman" w:eastAsia="宋体" w:cs="Times New Roman"/>
          <w:kern w:val="2"/>
          <w:sz w:val="24"/>
          <w:szCs w:val="24"/>
          <w:lang w:val="en-US" w:eastAsia="zh-CN" w:bidi="ar-SA"/>
        </w:rPr>
      </w:pPr>
      <w:r>
        <w:rPr>
          <w:color w:val="auto"/>
          <w:sz w:val="24"/>
        </w:rPr>
        <w:t>验收监测期间，</w:t>
      </w:r>
      <w:r>
        <w:rPr>
          <w:rFonts w:hint="eastAsia"/>
          <w:color w:val="000000" w:themeColor="text1"/>
          <w:sz w:val="24"/>
        </w:rPr>
        <w:t>该</w:t>
      </w:r>
      <w:r>
        <w:rPr>
          <w:color w:val="000000" w:themeColor="text1"/>
          <w:sz w:val="24"/>
        </w:rPr>
        <w:t>项目</w:t>
      </w:r>
      <w:r>
        <w:rPr>
          <w:rFonts w:hint="eastAsia" w:cs="Times New Roman"/>
          <w:kern w:val="2"/>
          <w:sz w:val="24"/>
          <w:szCs w:val="24"/>
          <w:lang w:val="en-US" w:eastAsia="zh-CN" w:bidi="ar-SA"/>
        </w:rPr>
        <w:t>污水处理站出</w:t>
      </w:r>
      <w:r>
        <w:rPr>
          <w:rFonts w:hint="eastAsia" w:ascii="Times New Roman" w:hAnsi="Times New Roman" w:eastAsia="宋体" w:cs="Times New Roman"/>
          <w:kern w:val="2"/>
          <w:sz w:val="24"/>
          <w:szCs w:val="24"/>
          <w:lang w:val="en-US" w:eastAsia="zh-CN" w:bidi="ar-SA"/>
        </w:rPr>
        <w:t>口</w:t>
      </w:r>
      <w:r>
        <w:rPr>
          <w:color w:val="000000" w:themeColor="text1"/>
          <w:sz w:val="24"/>
        </w:rPr>
        <w:t>监测点位中</w:t>
      </w:r>
      <w:r>
        <w:rPr>
          <w:rFonts w:hint="eastAsia"/>
          <w:color w:val="000000" w:themeColor="text1"/>
          <w:sz w:val="24"/>
        </w:rPr>
        <w:t>测得</w:t>
      </w:r>
      <w:r>
        <w:rPr>
          <w:rFonts w:hint="eastAsia"/>
          <w:color w:val="000000" w:themeColor="text1"/>
          <w:sz w:val="24"/>
          <w:lang w:val="en-US" w:eastAsia="zh-CN"/>
        </w:rPr>
        <w:t>各监测因子</w:t>
      </w:r>
      <w:r>
        <w:rPr>
          <w:color w:val="000000" w:themeColor="text1"/>
          <w:sz w:val="24"/>
        </w:rPr>
        <w:t>均</w:t>
      </w:r>
      <w:r>
        <w:rPr>
          <w:rFonts w:hint="eastAsia"/>
          <w:color w:val="000000" w:themeColor="text1"/>
          <w:sz w:val="24"/>
        </w:rPr>
        <w:t>符合《医疗机构水污染排放标准》（(GB 18466-2005)表2中</w:t>
      </w:r>
      <w:r>
        <w:rPr>
          <w:rFonts w:hint="eastAsia"/>
          <w:color w:val="000000" w:themeColor="text1"/>
          <w:sz w:val="24"/>
          <w:lang w:val="en-US" w:eastAsia="zh-CN"/>
        </w:rPr>
        <w:t>排放</w:t>
      </w:r>
      <w:r>
        <w:rPr>
          <w:rFonts w:hint="eastAsia"/>
          <w:color w:val="000000" w:themeColor="text1"/>
          <w:sz w:val="24"/>
        </w:rPr>
        <w:t>标准要求</w:t>
      </w:r>
      <w:r>
        <w:rPr>
          <w:rFonts w:hint="eastAsia"/>
          <w:color w:val="000000" w:themeColor="text1"/>
          <w:sz w:val="24"/>
          <w:lang w:eastAsia="zh-CN"/>
        </w:rPr>
        <w:t>，</w:t>
      </w:r>
      <w:r>
        <w:rPr>
          <w:rFonts w:hint="eastAsia" w:ascii="Times New Roman" w:hAnsi="Times New Roman" w:eastAsia="宋体" w:cs="Times New Roman"/>
          <w:kern w:val="2"/>
          <w:sz w:val="24"/>
          <w:szCs w:val="24"/>
          <w:lang w:val="en-US" w:eastAsia="zh-CN" w:bidi="ar-SA"/>
        </w:rPr>
        <w:t>各监测因子的处理效率为</w:t>
      </w:r>
      <w:r>
        <w:rPr>
          <w:rFonts w:hint="default" w:ascii="Times New Roman" w:hAnsi="Times New Roman" w:eastAsia="宋体" w:cs="Times New Roman"/>
          <w:kern w:val="2"/>
          <w:sz w:val="24"/>
          <w:szCs w:val="24"/>
          <w:lang w:val="en-US" w:eastAsia="zh-CN" w:bidi="ar-SA"/>
        </w:rPr>
        <w:t>68.6</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~89.6</w:t>
      </w:r>
      <w:r>
        <w:rPr>
          <w:rFonts w:hint="eastAsia" w:ascii="Times New Roman" w:hAnsi="Times New Roman" w:eastAsia="宋体" w:cs="Times New Roman"/>
          <w:kern w:val="2"/>
          <w:sz w:val="24"/>
          <w:szCs w:val="24"/>
          <w:lang w:val="en-US" w:eastAsia="zh-CN" w:bidi="ar-SA"/>
        </w:rPr>
        <w:t>%。</w:t>
      </w:r>
    </w:p>
    <w:p>
      <w:pPr>
        <w:spacing w:line="600" w:lineRule="exact"/>
        <w:rPr>
          <w:sz w:val="24"/>
        </w:rPr>
      </w:pPr>
      <w:r>
        <w:rPr>
          <w:rFonts w:hint="eastAsia"/>
          <w:sz w:val="24"/>
          <w:lang w:val="en-US" w:eastAsia="zh-CN"/>
        </w:rPr>
        <w:t>11</w:t>
      </w:r>
      <w:r>
        <w:rPr>
          <w:sz w:val="24"/>
        </w:rPr>
        <w:t>.1.</w:t>
      </w:r>
      <w:r>
        <w:rPr>
          <w:rFonts w:hint="eastAsia"/>
          <w:sz w:val="24"/>
        </w:rPr>
        <w:t>3</w:t>
      </w:r>
      <w:r>
        <w:rPr>
          <w:sz w:val="24"/>
        </w:rPr>
        <w:t>噪声监测结论</w:t>
      </w:r>
      <w:bookmarkEnd w:id="124"/>
      <w:bookmarkEnd w:id="125"/>
    </w:p>
    <w:p>
      <w:pPr>
        <w:spacing w:line="600" w:lineRule="exact"/>
        <w:ind w:right="-2" w:rightChars="-1" w:firstLine="480" w:firstLineChars="200"/>
        <w:jc w:val="left"/>
        <w:rPr>
          <w:sz w:val="24"/>
        </w:rPr>
      </w:pPr>
      <w:bookmarkStart w:id="126" w:name="_Toc444181630"/>
      <w:bookmarkStart w:id="127" w:name="_Toc436932409"/>
      <w:r>
        <w:rPr>
          <w:sz w:val="24"/>
        </w:rPr>
        <w:t>验收监测期间，</w:t>
      </w:r>
      <w:r>
        <w:rPr>
          <w:rFonts w:hint="eastAsia"/>
          <w:sz w:val="24"/>
        </w:rPr>
        <w:t>医院</w:t>
      </w:r>
      <w:r>
        <w:rPr>
          <w:sz w:val="24"/>
        </w:rPr>
        <w:t>（东、南、西面）</w:t>
      </w:r>
      <w:r>
        <w:rPr>
          <w:rFonts w:hint="eastAsia"/>
          <w:sz w:val="24"/>
        </w:rPr>
        <w:t>3</w:t>
      </w:r>
      <w:r>
        <w:rPr>
          <w:sz w:val="24"/>
        </w:rPr>
        <w:t>个监测点位中测得昼间噪声最大值为</w:t>
      </w:r>
      <w:r>
        <w:rPr>
          <w:rFonts w:hint="eastAsia"/>
          <w:color w:val="000000" w:themeColor="text1"/>
          <w:sz w:val="24"/>
          <w:lang w:val="en-US" w:eastAsia="zh-CN"/>
        </w:rPr>
        <w:t>56.7</w:t>
      </w:r>
      <w:r>
        <w:rPr>
          <w:color w:val="000000" w:themeColor="text1"/>
          <w:kern w:val="28"/>
          <w:sz w:val="24"/>
        </w:rPr>
        <w:t>dB（A）</w:t>
      </w:r>
      <w:r>
        <w:rPr>
          <w:color w:val="000000" w:themeColor="text1"/>
          <w:sz w:val="24"/>
        </w:rPr>
        <w:t>，夜间噪声最大值为</w:t>
      </w:r>
      <w:r>
        <w:rPr>
          <w:rFonts w:hint="eastAsia"/>
          <w:color w:val="000000" w:themeColor="text1"/>
          <w:sz w:val="24"/>
          <w:lang w:val="en-US" w:eastAsia="zh-CN"/>
        </w:rPr>
        <w:t>45.9</w:t>
      </w:r>
      <w:r>
        <w:rPr>
          <w:color w:val="000000" w:themeColor="text1"/>
          <w:kern w:val="28"/>
          <w:sz w:val="24"/>
        </w:rPr>
        <w:t>dB（A）</w:t>
      </w:r>
      <w:r>
        <w:rPr>
          <w:kern w:val="28"/>
          <w:sz w:val="24"/>
        </w:rPr>
        <w:t>，均</w:t>
      </w:r>
      <w:r>
        <w:rPr>
          <w:sz w:val="24"/>
        </w:rPr>
        <w:t>符合《工业企业厂界环境噪声排放标准》（GB12348-2008）中的2类标准限值要求。</w:t>
      </w:r>
      <w:r>
        <w:rPr>
          <w:rFonts w:hint="eastAsia"/>
          <w:sz w:val="24"/>
        </w:rPr>
        <w:t>医院北</w:t>
      </w:r>
      <w:r>
        <w:rPr>
          <w:sz w:val="24"/>
        </w:rPr>
        <w:t>面</w:t>
      </w:r>
      <w:r>
        <w:rPr>
          <w:rFonts w:hint="eastAsia"/>
          <w:sz w:val="24"/>
        </w:rPr>
        <w:t>（临近道路）</w:t>
      </w:r>
      <w:r>
        <w:rPr>
          <w:sz w:val="24"/>
        </w:rPr>
        <w:t>测得昼间噪声最大值为</w:t>
      </w:r>
      <w:r>
        <w:rPr>
          <w:rFonts w:hint="eastAsia"/>
          <w:color w:val="000000" w:themeColor="text1"/>
          <w:sz w:val="24"/>
          <w:lang w:val="en-US" w:eastAsia="zh-CN"/>
        </w:rPr>
        <w:t>65.7</w:t>
      </w:r>
      <w:r>
        <w:rPr>
          <w:color w:val="000000" w:themeColor="text1"/>
          <w:kern w:val="28"/>
          <w:sz w:val="24"/>
        </w:rPr>
        <w:t>dB（A）</w:t>
      </w:r>
      <w:r>
        <w:rPr>
          <w:color w:val="000000" w:themeColor="text1"/>
          <w:sz w:val="24"/>
        </w:rPr>
        <w:t>，夜间噪声最大值为</w:t>
      </w:r>
      <w:r>
        <w:rPr>
          <w:rFonts w:hint="eastAsia"/>
          <w:color w:val="000000" w:themeColor="text1"/>
          <w:sz w:val="24"/>
          <w:lang w:val="en-US" w:eastAsia="zh-CN"/>
        </w:rPr>
        <w:t>52.4</w:t>
      </w:r>
      <w:r>
        <w:rPr>
          <w:color w:val="000000" w:themeColor="text1"/>
          <w:kern w:val="28"/>
          <w:sz w:val="24"/>
        </w:rPr>
        <w:t>dB（A）</w:t>
      </w:r>
      <w:r>
        <w:rPr>
          <w:kern w:val="28"/>
          <w:sz w:val="24"/>
        </w:rPr>
        <w:t>，均</w:t>
      </w:r>
      <w:r>
        <w:rPr>
          <w:sz w:val="24"/>
        </w:rPr>
        <w:t>符合《工业企业厂界环境噪声排放标准》（GB12348-2008）中的</w:t>
      </w:r>
      <w:r>
        <w:rPr>
          <w:rFonts w:hint="eastAsia"/>
          <w:sz w:val="24"/>
        </w:rPr>
        <w:t>4</w:t>
      </w:r>
      <w:r>
        <w:rPr>
          <w:sz w:val="24"/>
        </w:rPr>
        <w:t>类标准限值要求。</w:t>
      </w:r>
    </w:p>
    <w:p>
      <w:pPr>
        <w:spacing w:line="600" w:lineRule="exact"/>
        <w:rPr>
          <w:sz w:val="24"/>
        </w:rPr>
      </w:pPr>
      <w:r>
        <w:rPr>
          <w:rFonts w:hint="eastAsia"/>
          <w:sz w:val="24"/>
          <w:lang w:val="en-US" w:eastAsia="zh-CN"/>
        </w:rPr>
        <w:t>11</w:t>
      </w:r>
      <w:r>
        <w:rPr>
          <w:sz w:val="24"/>
        </w:rPr>
        <w:t>.1.</w:t>
      </w:r>
      <w:r>
        <w:rPr>
          <w:rFonts w:hint="eastAsia"/>
          <w:sz w:val="24"/>
        </w:rPr>
        <w:t>4</w:t>
      </w:r>
      <w:r>
        <w:rPr>
          <w:sz w:val="24"/>
        </w:rPr>
        <w:t>固体废物处置结论</w:t>
      </w:r>
      <w:bookmarkEnd w:id="126"/>
      <w:bookmarkEnd w:id="127"/>
      <w:bookmarkStart w:id="128" w:name="_Toc444181631"/>
      <w:bookmarkStart w:id="129" w:name="_Toc454875041"/>
      <w:bookmarkStart w:id="130" w:name="_Toc436932410"/>
      <w:bookmarkStart w:id="131" w:name="_Toc17333"/>
    </w:p>
    <w:p>
      <w:pPr>
        <w:spacing w:line="640" w:lineRule="exact"/>
        <w:ind w:firstLine="480" w:firstLineChars="200"/>
        <w:rPr>
          <w:sz w:val="24"/>
        </w:rPr>
      </w:pPr>
      <w:r>
        <w:rPr>
          <w:rFonts w:hint="eastAsia"/>
          <w:sz w:val="24"/>
        </w:rPr>
        <w:t>项目生活垃圾和医疗废物分开收集处置，医疗废物</w:t>
      </w:r>
      <w:r>
        <w:rPr>
          <w:rFonts w:hint="eastAsia"/>
          <w:sz w:val="24"/>
          <w:lang w:val="en-US" w:eastAsia="zh-CN"/>
        </w:rPr>
        <w:t>和污水处理站污泥</w:t>
      </w:r>
      <w:r>
        <w:rPr>
          <w:rFonts w:hint="eastAsia"/>
          <w:sz w:val="24"/>
        </w:rPr>
        <w:t>定期由益阳市特许医疗废物集中处理有限公司安全处置。生活垃圾交由环卫部门统一收集处理。</w:t>
      </w:r>
    </w:p>
    <w:p>
      <w:pPr>
        <w:pStyle w:val="4"/>
        <w:spacing w:beforeLines="50" w:afterLines="50" w:line="600" w:lineRule="exact"/>
        <w:rPr>
          <w:rFonts w:ascii="Times New Roman" w:hAnsi="Times New Roman" w:eastAsia="宋体"/>
          <w:sz w:val="28"/>
          <w:szCs w:val="28"/>
        </w:rPr>
      </w:pPr>
      <w:bookmarkStart w:id="132" w:name="_Toc29780"/>
      <w:r>
        <w:rPr>
          <w:rFonts w:hint="eastAsia" w:ascii="Times New Roman" w:hAnsi="Times New Roman" w:eastAsia="宋体"/>
          <w:sz w:val="28"/>
          <w:szCs w:val="28"/>
          <w:lang w:val="en-US" w:eastAsia="zh-CN"/>
        </w:rPr>
        <w:t>11</w:t>
      </w:r>
      <w:r>
        <w:rPr>
          <w:rFonts w:ascii="Times New Roman" w:hAnsi="Times New Roman" w:eastAsia="宋体"/>
          <w:sz w:val="28"/>
          <w:szCs w:val="28"/>
        </w:rPr>
        <w:t>.2</w:t>
      </w:r>
      <w:r>
        <w:rPr>
          <w:rFonts w:hint="eastAsia" w:ascii="Times New Roman" w:hAnsi="Times New Roman" w:eastAsia="宋体"/>
          <w:sz w:val="28"/>
          <w:szCs w:val="28"/>
        </w:rPr>
        <w:t xml:space="preserve"> </w:t>
      </w:r>
      <w:r>
        <w:rPr>
          <w:rFonts w:ascii="Times New Roman" w:hAnsi="Times New Roman" w:eastAsia="宋体"/>
          <w:sz w:val="28"/>
          <w:szCs w:val="28"/>
        </w:rPr>
        <w:t>环境管理检查结论</w:t>
      </w:r>
      <w:bookmarkEnd w:id="128"/>
      <w:bookmarkEnd w:id="129"/>
      <w:bookmarkEnd w:id="130"/>
      <w:bookmarkEnd w:id="131"/>
      <w:bookmarkEnd w:id="132"/>
    </w:p>
    <w:p>
      <w:pPr>
        <w:spacing w:line="600" w:lineRule="exact"/>
        <w:ind w:firstLine="480" w:firstLineChars="200"/>
        <w:jc w:val="left"/>
        <w:rPr>
          <w:sz w:val="24"/>
        </w:rPr>
      </w:pPr>
      <w:r>
        <w:rPr>
          <w:rFonts w:hint="eastAsia"/>
          <w:sz w:val="24"/>
          <w:lang w:eastAsia="zh-CN"/>
        </w:rPr>
        <w:t>益阳康宁精神病专科医院建设项目</w:t>
      </w:r>
      <w:r>
        <w:rPr>
          <w:sz w:val="24"/>
        </w:rPr>
        <w:t>环境保护审查、审批手续齐全，环保设施基本做到了与主体工程同时设计、同时施工、同时运行，环评批复要求基本落实，并建立了相关环境管理制度。</w:t>
      </w:r>
    </w:p>
    <w:p>
      <w:pPr>
        <w:pStyle w:val="4"/>
        <w:spacing w:beforeLines="50" w:afterLines="50" w:line="600" w:lineRule="exact"/>
        <w:rPr>
          <w:rFonts w:ascii="Times New Roman" w:hAnsi="Times New Roman" w:eastAsia="宋体"/>
          <w:sz w:val="28"/>
          <w:szCs w:val="28"/>
        </w:rPr>
      </w:pPr>
      <w:bookmarkStart w:id="133" w:name="_Toc444181632"/>
      <w:bookmarkStart w:id="134" w:name="_Toc15641"/>
      <w:bookmarkStart w:id="135" w:name="_Toc15333"/>
      <w:bookmarkStart w:id="136" w:name="_Toc454875042"/>
      <w:bookmarkStart w:id="137" w:name="_Toc436932411"/>
      <w:r>
        <w:rPr>
          <w:rFonts w:hint="eastAsia" w:ascii="Times New Roman" w:hAnsi="Times New Roman" w:eastAsia="宋体"/>
          <w:sz w:val="28"/>
          <w:szCs w:val="28"/>
          <w:lang w:val="en-US" w:eastAsia="zh-CN"/>
        </w:rPr>
        <w:t>11</w:t>
      </w:r>
      <w:r>
        <w:rPr>
          <w:rFonts w:ascii="Times New Roman" w:hAnsi="Times New Roman" w:eastAsia="宋体"/>
          <w:sz w:val="28"/>
          <w:szCs w:val="28"/>
        </w:rPr>
        <w:t>.3</w:t>
      </w:r>
      <w:r>
        <w:rPr>
          <w:rFonts w:hint="eastAsia" w:ascii="Times New Roman" w:hAnsi="Times New Roman" w:eastAsia="宋体"/>
          <w:sz w:val="28"/>
          <w:szCs w:val="28"/>
        </w:rPr>
        <w:t xml:space="preserve"> </w:t>
      </w:r>
      <w:r>
        <w:rPr>
          <w:rFonts w:ascii="Times New Roman" w:hAnsi="Times New Roman" w:eastAsia="宋体"/>
          <w:sz w:val="28"/>
          <w:szCs w:val="28"/>
        </w:rPr>
        <w:t>总体结论</w:t>
      </w:r>
      <w:bookmarkEnd w:id="133"/>
      <w:bookmarkEnd w:id="134"/>
      <w:bookmarkEnd w:id="135"/>
      <w:bookmarkEnd w:id="136"/>
      <w:bookmarkEnd w:id="137"/>
    </w:p>
    <w:p>
      <w:pPr>
        <w:spacing w:line="560" w:lineRule="exact"/>
        <w:ind w:firstLine="480" w:firstLineChars="200"/>
        <w:jc w:val="left"/>
        <w:rPr>
          <w:sz w:val="24"/>
        </w:rPr>
      </w:pPr>
      <w:r>
        <w:rPr>
          <w:sz w:val="24"/>
        </w:rPr>
        <w:t>验收监测期间，</w:t>
      </w:r>
      <w:r>
        <w:rPr>
          <w:rFonts w:hint="eastAsia"/>
          <w:sz w:val="24"/>
          <w:lang w:val="en-US" w:eastAsia="zh-CN"/>
        </w:rPr>
        <w:t>益阳康宁精神病专科医院建设项目</w:t>
      </w:r>
      <w:r>
        <w:rPr>
          <w:sz w:val="24"/>
        </w:rPr>
        <w:t>废</w:t>
      </w:r>
      <w:r>
        <w:rPr>
          <w:rFonts w:hint="eastAsia"/>
          <w:sz w:val="24"/>
        </w:rPr>
        <w:t>气</w:t>
      </w:r>
      <w:r>
        <w:rPr>
          <w:sz w:val="24"/>
        </w:rPr>
        <w:t>、</w:t>
      </w:r>
      <w:r>
        <w:rPr>
          <w:rFonts w:hint="eastAsia"/>
          <w:sz w:val="24"/>
        </w:rPr>
        <w:t>废水、</w:t>
      </w:r>
      <w:r>
        <w:rPr>
          <w:sz w:val="24"/>
        </w:rPr>
        <w:t>噪声均符合相应标准限值的要求；</w:t>
      </w:r>
      <w:r>
        <w:rPr>
          <w:rFonts w:hint="eastAsia"/>
          <w:sz w:val="24"/>
          <w:lang w:eastAsia="zh-CN"/>
        </w:rPr>
        <w:t>医疗</w:t>
      </w:r>
      <w:r>
        <w:rPr>
          <w:sz w:val="24"/>
        </w:rPr>
        <w:t>废物</w:t>
      </w:r>
      <w:r>
        <w:rPr>
          <w:rFonts w:hint="eastAsia"/>
          <w:sz w:val="24"/>
        </w:rPr>
        <w:t>均</w:t>
      </w:r>
      <w:r>
        <w:rPr>
          <w:sz w:val="24"/>
        </w:rPr>
        <w:t>得到妥善处理。环评批复的要求基本落实</w:t>
      </w:r>
      <w:r>
        <w:rPr>
          <w:rFonts w:hint="eastAsia"/>
          <w:sz w:val="24"/>
        </w:rPr>
        <w:t>，建议予以验收</w:t>
      </w:r>
      <w:r>
        <w:rPr>
          <w:sz w:val="24"/>
        </w:rPr>
        <w:t>。</w:t>
      </w:r>
    </w:p>
    <w:p>
      <w:pPr>
        <w:pStyle w:val="4"/>
        <w:spacing w:beforeLines="50" w:afterLines="50" w:line="600" w:lineRule="exact"/>
        <w:rPr>
          <w:rFonts w:ascii="Times New Roman" w:hAnsi="Times New Roman" w:eastAsia="宋体"/>
          <w:sz w:val="28"/>
          <w:szCs w:val="28"/>
        </w:rPr>
      </w:pPr>
      <w:bookmarkStart w:id="138" w:name="_Toc444181633"/>
      <w:bookmarkStart w:id="139" w:name="_Toc436932412"/>
      <w:bookmarkStart w:id="140" w:name="_Toc454875043"/>
      <w:bookmarkStart w:id="141" w:name="_Toc28031"/>
      <w:bookmarkStart w:id="142" w:name="_Toc10294"/>
      <w:r>
        <w:rPr>
          <w:rFonts w:hint="eastAsia" w:ascii="Times New Roman" w:hAnsi="Times New Roman" w:eastAsia="宋体"/>
          <w:sz w:val="28"/>
          <w:szCs w:val="28"/>
          <w:lang w:val="en-US" w:eastAsia="zh-CN"/>
        </w:rPr>
        <w:t>11</w:t>
      </w:r>
      <w:r>
        <w:rPr>
          <w:rFonts w:ascii="Times New Roman" w:hAnsi="Times New Roman" w:eastAsia="宋体"/>
          <w:sz w:val="28"/>
          <w:szCs w:val="28"/>
        </w:rPr>
        <w:t>.4</w:t>
      </w:r>
      <w:r>
        <w:rPr>
          <w:rFonts w:hint="eastAsia" w:ascii="Times New Roman" w:hAnsi="Times New Roman" w:eastAsia="宋体"/>
          <w:sz w:val="28"/>
          <w:szCs w:val="28"/>
        </w:rPr>
        <w:t xml:space="preserve"> </w:t>
      </w:r>
      <w:r>
        <w:rPr>
          <w:rFonts w:ascii="Times New Roman" w:hAnsi="Times New Roman" w:eastAsia="宋体"/>
          <w:sz w:val="28"/>
          <w:szCs w:val="28"/>
        </w:rPr>
        <w:t>建议</w:t>
      </w:r>
      <w:bookmarkEnd w:id="138"/>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480" w:firstLineChars="200"/>
        <w:jc w:val="left"/>
        <w:textAlignment w:val="auto"/>
        <w:outlineLvl w:val="9"/>
        <w:rPr>
          <w:sz w:val="24"/>
        </w:rPr>
      </w:pPr>
      <w:r>
        <w:rPr>
          <w:rFonts w:hint="eastAsia"/>
          <w:sz w:val="24"/>
          <w:lang w:val="en-US" w:eastAsia="zh-CN"/>
        </w:rPr>
        <w:t>11</w:t>
      </w:r>
      <w:r>
        <w:rPr>
          <w:rFonts w:hint="eastAsia"/>
          <w:sz w:val="24"/>
        </w:rPr>
        <w:t>.4.1建议加强环境管理，设立专职环保人员，负责各项环保措施的落实，加强员工环保意识，明确各项环境管理制度，加强</w:t>
      </w:r>
      <w:r>
        <w:rPr>
          <w:rFonts w:hint="eastAsia"/>
          <w:sz w:val="24"/>
          <w:lang w:eastAsia="zh-CN"/>
        </w:rPr>
        <w:t>医院</w:t>
      </w:r>
      <w:r>
        <w:rPr>
          <w:rFonts w:hint="eastAsia"/>
          <w:sz w:val="24"/>
        </w:rPr>
        <w:t>内环保措施的日常维护。</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480" w:firstLineChars="200"/>
        <w:jc w:val="left"/>
        <w:textAlignment w:val="auto"/>
        <w:outlineLvl w:val="9"/>
      </w:pPr>
      <w:r>
        <w:rPr>
          <w:rFonts w:hint="eastAsia"/>
          <w:sz w:val="24"/>
          <w:lang w:val="en-US" w:eastAsia="zh-CN"/>
        </w:rPr>
        <w:t>11</w:t>
      </w:r>
      <w:r>
        <w:rPr>
          <w:rFonts w:hint="eastAsia"/>
          <w:sz w:val="24"/>
        </w:rPr>
        <w:t>.4.2建议积极接受环保部门</w:t>
      </w:r>
      <w:r>
        <w:rPr>
          <w:rFonts w:hint="eastAsia"/>
          <w:sz w:val="24"/>
          <w:lang w:eastAsia="zh-CN"/>
        </w:rPr>
        <w:t>、卫监主管部门</w:t>
      </w:r>
      <w:r>
        <w:rPr>
          <w:rFonts w:hint="eastAsia"/>
          <w:sz w:val="24"/>
        </w:rPr>
        <w:t>的监管、检查。</w:t>
      </w:r>
    </w:p>
    <w:p>
      <w:pPr>
        <w:pStyle w:val="11"/>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480" w:firstLineChars="200"/>
        <w:textAlignment w:val="auto"/>
        <w:outlineLvl w:val="9"/>
        <w:rPr>
          <w:rFonts w:hint="eastAsia"/>
          <w:sz w:val="24"/>
        </w:rPr>
      </w:pPr>
      <w:r>
        <w:rPr>
          <w:rFonts w:hint="eastAsia"/>
          <w:sz w:val="24"/>
          <w:lang w:val="en-US" w:eastAsia="zh-CN"/>
        </w:rPr>
        <w:t>11</w:t>
      </w:r>
      <w:r>
        <w:rPr>
          <w:rFonts w:hint="eastAsia"/>
          <w:sz w:val="24"/>
        </w:rPr>
        <w:t>.4.3建议定期做好污水处理站的清理，确保各项环保设施正常运行。</w:t>
      </w:r>
    </w:p>
    <w:p>
      <w:pPr>
        <w:pStyle w:val="11"/>
        <w:keepNext w:val="0"/>
        <w:keepLines w:val="0"/>
        <w:pageBreakBefore w:val="0"/>
        <w:widowControl w:val="0"/>
        <w:kinsoku/>
        <w:wordWrap/>
        <w:overflowPunct/>
        <w:topLinePunct w:val="0"/>
        <w:autoSpaceDE/>
        <w:autoSpaceDN/>
        <w:bidi w:val="0"/>
        <w:adjustRightInd/>
        <w:snapToGrid/>
        <w:spacing w:line="640" w:lineRule="exact"/>
        <w:ind w:right="0" w:rightChars="0" w:firstLine="480" w:firstLineChars="200"/>
        <w:textAlignment w:val="auto"/>
        <w:outlineLvl w:val="9"/>
        <w:rPr>
          <w:rFonts w:hint="default" w:eastAsia="宋体"/>
          <w:sz w:val="24"/>
          <w:lang w:val="en-US"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sz w:val="24"/>
          <w:lang w:val="en-US" w:eastAsia="zh-CN"/>
        </w:rPr>
        <w:t xml:space="preserve">11.4.4建议建设隔油池。                                                                                                                                                                                                                         </w:t>
      </w:r>
    </w:p>
    <w:p>
      <w:pPr>
        <w:spacing w:line="360" w:lineRule="auto"/>
        <w:ind w:left="840" w:hanging="964" w:hangingChars="400"/>
        <w:jc w:val="left"/>
        <w:rPr>
          <w:rFonts w:hint="eastAsia"/>
          <w:b/>
          <w:sz w:val="24"/>
        </w:rPr>
      </w:pPr>
      <w:r>
        <w:rPr>
          <w:b/>
          <w:sz w:val="24"/>
        </w:rPr>
        <w:t>附</w:t>
      </w:r>
      <w:r>
        <w:rPr>
          <w:rFonts w:hint="eastAsia"/>
          <w:b/>
          <w:sz w:val="24"/>
        </w:rPr>
        <w:t>件1  益阳市环境保护局</w:t>
      </w:r>
      <w:r>
        <w:rPr>
          <w:rFonts w:hint="eastAsia"/>
          <w:b/>
          <w:sz w:val="24"/>
          <w:lang w:eastAsia="zh-CN"/>
        </w:rPr>
        <w:t>益环髙审（</w:t>
      </w:r>
      <w:r>
        <w:rPr>
          <w:rFonts w:hint="eastAsia"/>
          <w:b/>
          <w:sz w:val="24"/>
          <w:lang w:val="en-US" w:eastAsia="zh-CN"/>
        </w:rPr>
        <w:t>表</w:t>
      </w:r>
      <w:r>
        <w:rPr>
          <w:rFonts w:hint="eastAsia"/>
          <w:b/>
          <w:sz w:val="24"/>
          <w:lang w:eastAsia="zh-CN"/>
        </w:rPr>
        <w:t>）[2017]38号</w:t>
      </w:r>
      <w:r>
        <w:rPr>
          <w:rFonts w:hint="eastAsia"/>
          <w:b/>
          <w:sz w:val="24"/>
        </w:rPr>
        <w:t>文关于《</w:t>
      </w:r>
      <w:r>
        <w:rPr>
          <w:rFonts w:hint="eastAsia"/>
          <w:b/>
          <w:sz w:val="24"/>
          <w:lang w:eastAsia="zh-CN"/>
        </w:rPr>
        <w:t>益阳康宁精神病专科医院建设项目</w:t>
      </w:r>
      <w:r>
        <w:rPr>
          <w:rFonts w:hint="eastAsia"/>
          <w:b/>
          <w:sz w:val="24"/>
        </w:rPr>
        <w:t>环境影响报告表》的批复</w:t>
      </w:r>
    </w:p>
    <w:p>
      <w:pPr>
        <w:spacing w:line="360" w:lineRule="auto"/>
        <w:ind w:left="964" w:hanging="840" w:hangingChars="400"/>
        <w:jc w:val="left"/>
        <w:rPr>
          <w:b/>
          <w:sz w:val="24"/>
        </w:rPr>
      </w:pPr>
      <w:r>
        <w:drawing>
          <wp:inline distT="0" distB="0" distL="114300" distR="114300">
            <wp:extent cx="5676265" cy="7381240"/>
            <wp:effectExtent l="0" t="0" r="635" b="1016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5676265" cy="7381240"/>
                    </a:xfrm>
                    <a:prstGeom prst="rect">
                      <a:avLst/>
                    </a:prstGeom>
                    <a:noFill/>
                    <a:ln w="9525">
                      <a:noFill/>
                    </a:ln>
                  </pic:spPr>
                </pic:pic>
              </a:graphicData>
            </a:graphic>
          </wp:inline>
        </w:drawing>
      </w:r>
    </w:p>
    <w:p>
      <w:pPr>
        <w:spacing w:afterLines="50" w:line="400" w:lineRule="exact"/>
        <w:jc w:val="left"/>
        <w:rPr>
          <w:b/>
          <w:sz w:val="24"/>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afterLines="50" w:line="400" w:lineRule="exact"/>
        <w:jc w:val="left"/>
      </w:pPr>
      <w:r>
        <w:drawing>
          <wp:anchor distT="0" distB="0" distL="114300" distR="114300" simplePos="0" relativeHeight="251758592" behindDoc="1" locked="0" layoutInCell="1" allowOverlap="1">
            <wp:simplePos x="0" y="0"/>
            <wp:positionH relativeFrom="column">
              <wp:posOffset>28575</wp:posOffset>
            </wp:positionH>
            <wp:positionV relativeFrom="paragraph">
              <wp:posOffset>347345</wp:posOffset>
            </wp:positionV>
            <wp:extent cx="5676265" cy="7371715"/>
            <wp:effectExtent l="0" t="0" r="635" b="635"/>
            <wp:wrapThrough wrapText="bothSides">
              <wp:wrapPolygon>
                <wp:start x="0" y="0"/>
                <wp:lineTo x="0" y="21546"/>
                <wp:lineTo x="21530" y="21546"/>
                <wp:lineTo x="21530" y="0"/>
                <wp:lineTo x="0" y="0"/>
              </wp:wrapPolygon>
            </wp:wrapThrough>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8"/>
                    <a:stretch>
                      <a:fillRect/>
                    </a:stretch>
                  </pic:blipFill>
                  <pic:spPr>
                    <a:xfrm>
                      <a:off x="0" y="0"/>
                      <a:ext cx="5676265" cy="7371715"/>
                    </a:xfrm>
                    <a:prstGeom prst="rect">
                      <a:avLst/>
                    </a:prstGeom>
                    <a:noFill/>
                    <a:ln w="9525">
                      <a:noFill/>
                    </a:ln>
                  </pic:spPr>
                </pic:pic>
              </a:graphicData>
            </a:graphic>
          </wp:anchor>
        </w:drawing>
      </w:r>
    </w:p>
    <w:p>
      <w:pPr>
        <w:pStyle w:val="11"/>
      </w:pPr>
    </w:p>
    <w:p>
      <w:pPr>
        <w:pStyle w:val="11"/>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afterLines="50" w:line="400" w:lineRule="exact"/>
        <w:jc w:val="left"/>
        <w:rPr>
          <w:rFonts w:hint="eastAsia"/>
          <w:b/>
          <w:sz w:val="24"/>
        </w:rPr>
      </w:pPr>
      <w:r>
        <w:drawing>
          <wp:anchor distT="0" distB="0" distL="114300" distR="114300" simplePos="0" relativeHeight="251759616" behindDoc="1" locked="0" layoutInCell="1" allowOverlap="1">
            <wp:simplePos x="0" y="0"/>
            <wp:positionH relativeFrom="column">
              <wp:posOffset>38100</wp:posOffset>
            </wp:positionH>
            <wp:positionV relativeFrom="paragraph">
              <wp:posOffset>280670</wp:posOffset>
            </wp:positionV>
            <wp:extent cx="5676265" cy="7390765"/>
            <wp:effectExtent l="0" t="0" r="635" b="635"/>
            <wp:wrapThrough wrapText="bothSides">
              <wp:wrapPolygon>
                <wp:start x="0" y="0"/>
                <wp:lineTo x="0" y="21546"/>
                <wp:lineTo x="21530" y="21546"/>
                <wp:lineTo x="21530" y="0"/>
                <wp:lineTo x="0" y="0"/>
              </wp:wrapPolygon>
            </wp:wrapThrough>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9"/>
                    <a:stretch>
                      <a:fillRect/>
                    </a:stretch>
                  </pic:blipFill>
                  <pic:spPr>
                    <a:xfrm>
                      <a:off x="0" y="0"/>
                      <a:ext cx="5676265" cy="7390765"/>
                    </a:xfrm>
                    <a:prstGeom prst="rect">
                      <a:avLst/>
                    </a:prstGeom>
                    <a:noFill/>
                    <a:ln w="9525">
                      <a:noFill/>
                    </a:ln>
                  </pic:spPr>
                </pic:pic>
              </a:graphicData>
            </a:graphic>
          </wp:anchor>
        </w:drawing>
      </w:r>
    </w:p>
    <w:p>
      <w:pPr>
        <w:pStyle w:val="11"/>
        <w:rPr>
          <w:rFonts w:hint="eastAsia"/>
          <w:b/>
          <w:sz w:val="24"/>
        </w:rPr>
      </w:pPr>
    </w:p>
    <w:p>
      <w:pPr>
        <w:pStyle w:val="11"/>
        <w:rPr>
          <w:rFonts w:hint="eastAsia"/>
          <w:b/>
          <w:sz w:val="24"/>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afterLines="50" w:line="240" w:lineRule="auto"/>
        <w:jc w:val="left"/>
        <w:rPr>
          <w:rFonts w:hint="eastAsia" w:eastAsia="宋体"/>
          <w:b/>
          <w:sz w:val="24"/>
          <w:lang w:val="en-US"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b/>
          <w:sz w:val="24"/>
          <w:lang w:val="en-US" w:eastAsia="zh-CN"/>
        </w:rPr>
        <w:t>附件2 委托函</w:t>
      </w:r>
      <w:r>
        <w:rPr>
          <w:rFonts w:hint="eastAsia" w:eastAsia="宋体"/>
          <w:b/>
          <w:sz w:val="24"/>
          <w:lang w:val="en-US" w:eastAsia="zh-CN"/>
        </w:rPr>
        <w:drawing>
          <wp:inline distT="0" distB="0" distL="114300" distR="114300">
            <wp:extent cx="5687695" cy="7583805"/>
            <wp:effectExtent l="0" t="0" r="8255" b="17145"/>
            <wp:docPr id="3" name="图片 3" descr="委托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委托函"/>
                    <pic:cNvPicPr>
                      <a:picLocks noChangeAspect="1"/>
                    </pic:cNvPicPr>
                  </pic:nvPicPr>
                  <pic:blipFill>
                    <a:blip r:embed="rId20"/>
                    <a:stretch>
                      <a:fillRect/>
                    </a:stretch>
                  </pic:blipFill>
                  <pic:spPr>
                    <a:xfrm>
                      <a:off x="0" y="0"/>
                      <a:ext cx="5687695" cy="7583805"/>
                    </a:xfrm>
                    <a:prstGeom prst="rect">
                      <a:avLst/>
                    </a:prstGeom>
                  </pic:spPr>
                </pic:pic>
              </a:graphicData>
            </a:graphic>
          </wp:inline>
        </w:drawing>
      </w:r>
    </w:p>
    <w:p>
      <w:pPr>
        <w:spacing w:afterLines="50" w:line="400" w:lineRule="exact"/>
        <w:jc w:val="left"/>
        <w:rPr>
          <w:b/>
          <w:sz w:val="24"/>
        </w:rPr>
      </w:pPr>
      <w:r>
        <w:rPr>
          <w:rFonts w:hint="eastAsia"/>
          <w:b/>
          <w:sz w:val="24"/>
        </w:rPr>
        <w:t>附件</w:t>
      </w:r>
      <w:r>
        <w:rPr>
          <w:rFonts w:hint="eastAsia"/>
          <w:b/>
          <w:sz w:val="24"/>
          <w:lang w:val="en-US" w:eastAsia="zh-CN"/>
        </w:rPr>
        <w:t>3</w:t>
      </w:r>
      <w:r>
        <w:rPr>
          <w:rFonts w:hint="eastAsia"/>
          <w:b/>
          <w:sz w:val="24"/>
        </w:rPr>
        <w:t xml:space="preserve"> 租赁合同</w:t>
      </w:r>
    </w:p>
    <w:p>
      <w:pPr>
        <w:pStyle w:val="11"/>
        <w:rPr>
          <w:rFonts w:hint="eastAsia" w:eastAsia="宋体"/>
          <w:lang w:eastAsia="zh-CN"/>
        </w:rPr>
      </w:pPr>
      <w:r>
        <w:rPr>
          <w:rFonts w:hint="eastAsia" w:eastAsia="宋体"/>
          <w:lang w:eastAsia="zh-CN"/>
        </w:rPr>
        <w:drawing>
          <wp:inline distT="0" distB="0" distL="114300" distR="114300">
            <wp:extent cx="5685790" cy="7581265"/>
            <wp:effectExtent l="0" t="0" r="10160" b="635"/>
            <wp:docPr id="38" name="图片 38" descr="微信图片_房屋租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房屋租赁"/>
                    <pic:cNvPicPr>
                      <a:picLocks noChangeAspect="1"/>
                    </pic:cNvPicPr>
                  </pic:nvPicPr>
                  <pic:blipFill>
                    <a:blip r:embed="rId21"/>
                    <a:stretch>
                      <a:fillRect/>
                    </a:stretch>
                  </pic:blipFill>
                  <pic:spPr>
                    <a:xfrm>
                      <a:off x="0" y="0"/>
                      <a:ext cx="5685790" cy="7581265"/>
                    </a:xfrm>
                    <a:prstGeom prst="rect">
                      <a:avLst/>
                    </a:prstGeom>
                  </pic:spPr>
                </pic:pic>
              </a:graphicData>
            </a:graphic>
          </wp:inline>
        </w:drawing>
      </w:r>
    </w:p>
    <w:p>
      <w:pPr>
        <w:spacing w:afterLines="50" w:line="400" w:lineRule="exact"/>
        <w:jc w:val="left"/>
        <w:rPr>
          <w:b/>
          <w:sz w:val="24"/>
        </w:rPr>
      </w:pPr>
    </w:p>
    <w:p>
      <w:pPr>
        <w:spacing w:afterLines="50" w:line="400" w:lineRule="exact"/>
        <w:jc w:val="left"/>
        <w:rPr>
          <w:b/>
          <w:sz w:val="24"/>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11"/>
        <w:rPr>
          <w:rFonts w:hint="eastAsia" w:eastAsia="宋体"/>
          <w:lang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eastAsia="宋体"/>
          <w:lang w:eastAsia="zh-CN"/>
        </w:rPr>
        <w:drawing>
          <wp:inline distT="0" distB="0" distL="114300" distR="114300">
            <wp:extent cx="5685790" cy="7581265"/>
            <wp:effectExtent l="0" t="0" r="10160" b="635"/>
            <wp:docPr id="40" name="图片 40" descr="微信图片_房屋租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房屋租赁2"/>
                    <pic:cNvPicPr>
                      <a:picLocks noChangeAspect="1"/>
                    </pic:cNvPicPr>
                  </pic:nvPicPr>
                  <pic:blipFill>
                    <a:blip r:embed="rId22"/>
                    <a:stretch>
                      <a:fillRect/>
                    </a:stretch>
                  </pic:blipFill>
                  <pic:spPr>
                    <a:xfrm>
                      <a:off x="0" y="0"/>
                      <a:ext cx="5685790" cy="7581265"/>
                    </a:xfrm>
                    <a:prstGeom prst="rect">
                      <a:avLst/>
                    </a:prstGeom>
                  </pic:spPr>
                </pic:pic>
              </a:graphicData>
            </a:graphic>
          </wp:inline>
        </w:drawing>
      </w:r>
    </w:p>
    <w:p>
      <w:pPr>
        <w:pStyle w:val="11"/>
        <w:rPr>
          <w:rFonts w:hint="eastAsia" w:eastAsia="宋体"/>
          <w:lang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eastAsia="宋体"/>
          <w:lang w:eastAsia="zh-CN"/>
        </w:rPr>
        <w:drawing>
          <wp:inline distT="0" distB="0" distL="114300" distR="114300">
            <wp:extent cx="5685790" cy="7581265"/>
            <wp:effectExtent l="0" t="0" r="10160" b="635"/>
            <wp:docPr id="41" name="图片 41" descr="微信图片_房屋租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房屋租赁3"/>
                    <pic:cNvPicPr>
                      <a:picLocks noChangeAspect="1"/>
                    </pic:cNvPicPr>
                  </pic:nvPicPr>
                  <pic:blipFill>
                    <a:blip r:embed="rId23"/>
                    <a:stretch>
                      <a:fillRect/>
                    </a:stretch>
                  </pic:blipFill>
                  <pic:spPr>
                    <a:xfrm>
                      <a:off x="0" y="0"/>
                      <a:ext cx="5685790" cy="7581265"/>
                    </a:xfrm>
                    <a:prstGeom prst="rect">
                      <a:avLst/>
                    </a:prstGeom>
                  </pic:spPr>
                </pic:pic>
              </a:graphicData>
            </a:graphic>
          </wp:inline>
        </w:drawing>
      </w:r>
    </w:p>
    <w:p>
      <w:pPr>
        <w:pStyle w:val="11"/>
        <w:rPr>
          <w:rFonts w:hint="eastAsia" w:eastAsia="宋体"/>
          <w:lang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eastAsia="宋体"/>
          <w:lang w:eastAsia="zh-CN"/>
        </w:rPr>
        <w:drawing>
          <wp:inline distT="0" distB="0" distL="114300" distR="114300">
            <wp:extent cx="5685790" cy="7581265"/>
            <wp:effectExtent l="0" t="0" r="10160" b="635"/>
            <wp:docPr id="42" name="图片 42" descr="微信图片_房屋租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房屋租赁4"/>
                    <pic:cNvPicPr>
                      <a:picLocks noChangeAspect="1"/>
                    </pic:cNvPicPr>
                  </pic:nvPicPr>
                  <pic:blipFill>
                    <a:blip r:embed="rId24"/>
                    <a:stretch>
                      <a:fillRect/>
                    </a:stretch>
                  </pic:blipFill>
                  <pic:spPr>
                    <a:xfrm>
                      <a:off x="0" y="0"/>
                      <a:ext cx="5685790" cy="7581265"/>
                    </a:xfrm>
                    <a:prstGeom prst="rect">
                      <a:avLst/>
                    </a:prstGeom>
                  </pic:spPr>
                </pic:pic>
              </a:graphicData>
            </a:graphic>
          </wp:inline>
        </w:drawing>
      </w:r>
    </w:p>
    <w:p>
      <w:pPr>
        <w:pStyle w:val="11"/>
        <w:rPr>
          <w:rFonts w:hint="eastAsia"/>
          <w:b/>
          <w:sz w:val="24"/>
          <w:lang w:val="en-US" w:eastAsia="zh-CN"/>
        </w:rPr>
      </w:pPr>
    </w:p>
    <w:p>
      <w:pPr>
        <w:spacing w:afterLines="50" w:line="400" w:lineRule="exact"/>
        <w:jc w:val="left"/>
        <w:rPr>
          <w:rFonts w:hint="eastAsia"/>
          <w:b/>
          <w:sz w:val="24"/>
          <w:highlight w:val="none"/>
        </w:rPr>
      </w:pPr>
      <w:r>
        <w:rPr>
          <w:rFonts w:hint="eastAsia"/>
          <w:b/>
          <w:sz w:val="24"/>
          <w:highlight w:val="none"/>
        </w:rPr>
        <w:t>附件</w:t>
      </w:r>
      <w:r>
        <w:rPr>
          <w:rFonts w:hint="eastAsia"/>
          <w:b/>
          <w:sz w:val="24"/>
          <w:highlight w:val="none"/>
          <w:lang w:val="en-US" w:eastAsia="zh-CN"/>
        </w:rPr>
        <w:t>5</w:t>
      </w:r>
      <w:r>
        <w:rPr>
          <w:rFonts w:hint="eastAsia"/>
          <w:b/>
          <w:sz w:val="24"/>
          <w:highlight w:val="none"/>
        </w:rPr>
        <w:t xml:space="preserve"> 医疗废物集中处理处置合同</w:t>
      </w:r>
    </w:p>
    <w:p>
      <w:pPr>
        <w:pStyle w:val="11"/>
        <w:rPr>
          <w:rFonts w:hint="eastAsia" w:eastAsia="宋体"/>
          <w:b/>
          <w:sz w:val="24"/>
          <w:highlight w:val="none"/>
          <w:lang w:eastAsia="zh-CN"/>
        </w:rPr>
      </w:pPr>
      <w:r>
        <w:rPr>
          <w:rFonts w:hint="eastAsia" w:eastAsia="宋体"/>
          <w:b/>
          <w:sz w:val="24"/>
          <w:highlight w:val="none"/>
          <w:lang w:eastAsia="zh-CN"/>
        </w:rPr>
        <w:drawing>
          <wp:inline distT="0" distB="0" distL="114300" distR="114300">
            <wp:extent cx="5685790" cy="7581265"/>
            <wp:effectExtent l="0" t="0" r="10160" b="635"/>
            <wp:docPr id="17" name="图片 17" descr="微信图片_危废处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危废处置1"/>
                    <pic:cNvPicPr>
                      <a:picLocks noChangeAspect="1"/>
                    </pic:cNvPicPr>
                  </pic:nvPicPr>
                  <pic:blipFill>
                    <a:blip r:embed="rId25"/>
                    <a:stretch>
                      <a:fillRect/>
                    </a:stretch>
                  </pic:blipFill>
                  <pic:spPr>
                    <a:xfrm>
                      <a:off x="0" y="0"/>
                      <a:ext cx="5685790" cy="7581265"/>
                    </a:xfrm>
                    <a:prstGeom prst="rect">
                      <a:avLst/>
                    </a:prstGeom>
                  </pic:spPr>
                </pic:pic>
              </a:graphicData>
            </a:graphic>
          </wp:inline>
        </w:drawing>
      </w:r>
    </w:p>
    <w:p>
      <w:pPr>
        <w:pStyle w:val="11"/>
        <w:rPr>
          <w:rFonts w:hint="eastAsia"/>
          <w:b/>
          <w:sz w:val="24"/>
          <w:highlight w:val="none"/>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afterLines="50" w:line="240" w:lineRule="auto"/>
        <w:jc w:val="left"/>
        <w:rPr>
          <w:rFonts w:hint="eastAsia" w:eastAsia="宋体"/>
          <w:b/>
          <w:sz w:val="24"/>
          <w:lang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eastAsia="宋体"/>
          <w:b/>
          <w:sz w:val="24"/>
          <w:lang w:eastAsia="zh-CN"/>
        </w:rPr>
        <w:drawing>
          <wp:inline distT="0" distB="0" distL="114300" distR="114300">
            <wp:extent cx="5685790" cy="7581265"/>
            <wp:effectExtent l="0" t="0" r="10160" b="635"/>
            <wp:docPr id="18" name="图片 18" descr="微信图片_危废处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危废处置2"/>
                    <pic:cNvPicPr>
                      <a:picLocks noChangeAspect="1"/>
                    </pic:cNvPicPr>
                  </pic:nvPicPr>
                  <pic:blipFill>
                    <a:blip r:embed="rId26"/>
                    <a:stretch>
                      <a:fillRect/>
                    </a:stretch>
                  </pic:blipFill>
                  <pic:spPr>
                    <a:xfrm>
                      <a:off x="0" y="0"/>
                      <a:ext cx="5685790" cy="7581265"/>
                    </a:xfrm>
                    <a:prstGeom prst="rect">
                      <a:avLst/>
                    </a:prstGeom>
                  </pic:spPr>
                </pic:pic>
              </a:graphicData>
            </a:graphic>
          </wp:inline>
        </w:drawing>
      </w:r>
    </w:p>
    <w:p>
      <w:pPr>
        <w:spacing w:afterLines="50" w:line="240" w:lineRule="auto"/>
        <w:jc w:val="left"/>
        <w:rPr>
          <w:rFonts w:hint="eastAsia" w:eastAsia="宋体"/>
          <w:b/>
          <w:sz w:val="24"/>
          <w:lang w:eastAsia="zh-CN"/>
        </w:rPr>
      </w:pPr>
      <w:r>
        <w:rPr>
          <w:rFonts w:hint="eastAsia"/>
          <w:b/>
          <w:sz w:val="24"/>
        </w:rPr>
        <w:t>附件</w:t>
      </w:r>
      <w:r>
        <w:rPr>
          <w:rFonts w:hint="eastAsia"/>
          <w:b/>
          <w:sz w:val="24"/>
          <w:lang w:val="en-US" w:eastAsia="zh-CN"/>
        </w:rPr>
        <w:t>6</w:t>
      </w:r>
      <w:r>
        <w:rPr>
          <w:rFonts w:hint="eastAsia"/>
          <w:b/>
          <w:sz w:val="24"/>
        </w:rPr>
        <w:t xml:space="preserve"> 危险废物处置单位资质 </w:t>
      </w:r>
      <w:r>
        <w:rPr>
          <w:rFonts w:hint="eastAsia" w:eastAsia="宋体"/>
          <w:b/>
          <w:sz w:val="24"/>
          <w:lang w:eastAsia="zh-CN"/>
        </w:rPr>
        <w:drawing>
          <wp:inline distT="0" distB="0" distL="114300" distR="114300">
            <wp:extent cx="5685790" cy="7581265"/>
            <wp:effectExtent l="0" t="0" r="10160" b="635"/>
            <wp:docPr id="21" name="图片 21" descr="排污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排污许可证"/>
                    <pic:cNvPicPr>
                      <a:picLocks noChangeAspect="1"/>
                    </pic:cNvPicPr>
                  </pic:nvPicPr>
                  <pic:blipFill>
                    <a:blip r:embed="rId27">
                      <a:lum bright="42000"/>
                    </a:blip>
                    <a:stretch>
                      <a:fillRect/>
                    </a:stretch>
                  </pic:blipFill>
                  <pic:spPr>
                    <a:xfrm>
                      <a:off x="0" y="0"/>
                      <a:ext cx="5685790" cy="7581265"/>
                    </a:xfrm>
                    <a:prstGeom prst="rect">
                      <a:avLst/>
                    </a:prstGeom>
                  </pic:spPr>
                </pic:pic>
              </a:graphicData>
            </a:graphic>
          </wp:inline>
        </w:drawing>
      </w:r>
    </w:p>
    <w:p>
      <w:pPr>
        <w:pStyle w:val="11"/>
        <w:rPr>
          <w:rFonts w:hint="eastAsia" w:eastAsia="宋体"/>
          <w:b/>
          <w:sz w:val="24"/>
          <w:lang w:eastAsia="zh-CN"/>
        </w:rPr>
      </w:pPr>
      <w:r>
        <w:rPr>
          <w:rFonts w:hint="eastAsia" w:eastAsia="宋体"/>
          <w:b/>
          <w:sz w:val="24"/>
          <w:lang w:eastAsia="zh-CN"/>
        </w:rPr>
        <w:drawing>
          <wp:inline distT="0" distB="0" distL="114300" distR="114300">
            <wp:extent cx="5685790" cy="7581265"/>
            <wp:effectExtent l="0" t="0" r="10160" b="635"/>
            <wp:docPr id="20" name="图片 20" descr="微信图片_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营业执照"/>
                    <pic:cNvPicPr>
                      <a:picLocks noChangeAspect="1"/>
                    </pic:cNvPicPr>
                  </pic:nvPicPr>
                  <pic:blipFill>
                    <a:blip r:embed="rId28"/>
                    <a:stretch>
                      <a:fillRect/>
                    </a:stretch>
                  </pic:blipFill>
                  <pic:spPr>
                    <a:xfrm>
                      <a:off x="0" y="0"/>
                      <a:ext cx="5685790" cy="7581265"/>
                    </a:xfrm>
                    <a:prstGeom prst="rect">
                      <a:avLst/>
                    </a:prstGeom>
                  </pic:spPr>
                </pic:pic>
              </a:graphicData>
            </a:graphic>
          </wp:inline>
        </w:drawing>
      </w:r>
    </w:p>
    <w:p>
      <w:pPr>
        <w:pStyle w:val="11"/>
        <w:rPr>
          <w:rFonts w:hint="eastAsia"/>
          <w:b/>
          <w:sz w:val="24"/>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afterLines="50" w:line="240" w:lineRule="auto"/>
        <w:jc w:val="left"/>
        <w:rPr>
          <w:rFonts w:hint="eastAsia"/>
          <w:b/>
          <w:sz w:val="24"/>
          <w:lang w:val="en-US" w:eastAsia="zh-CN"/>
        </w:rPr>
      </w:pPr>
      <w:r>
        <w:rPr>
          <w:rFonts w:hint="eastAsia"/>
          <w:b/>
          <w:sz w:val="24"/>
        </w:rPr>
        <w:t>附件</w:t>
      </w:r>
      <w:r>
        <w:rPr>
          <w:rFonts w:hint="eastAsia"/>
          <w:b/>
          <w:sz w:val="24"/>
          <w:lang w:val="en-US" w:eastAsia="zh-CN"/>
        </w:rPr>
        <w:t>7</w:t>
      </w:r>
      <w:r>
        <w:rPr>
          <w:rFonts w:hint="eastAsia"/>
          <w:b/>
          <w:sz w:val="24"/>
        </w:rPr>
        <w:t xml:space="preserve"> </w:t>
      </w:r>
      <w:r>
        <w:rPr>
          <w:rFonts w:hint="eastAsia"/>
          <w:b/>
          <w:sz w:val="24"/>
          <w:lang w:val="en-US" w:eastAsia="zh-CN"/>
        </w:rPr>
        <w:t>验收意见及专家签到表</w:t>
      </w:r>
    </w:p>
    <w:p>
      <w:pPr>
        <w:tabs>
          <w:tab w:val="left" w:pos="1995"/>
        </w:tabs>
        <w:spacing w:line="520" w:lineRule="exact"/>
        <w:jc w:val="center"/>
        <w:rPr>
          <w:rFonts w:hint="eastAsia" w:ascii="Times New Roman" w:hAnsi="黑体" w:eastAsia="黑体"/>
          <w:bCs/>
          <w:color w:val="000000"/>
          <w:sz w:val="32"/>
          <w:szCs w:val="32"/>
        </w:rPr>
      </w:pPr>
      <w:r>
        <w:rPr>
          <w:rFonts w:hint="eastAsia" w:ascii="Times New Roman" w:hAnsi="黑体" w:eastAsia="黑体"/>
          <w:bCs/>
          <w:color w:val="000000"/>
          <w:sz w:val="32"/>
          <w:szCs w:val="32"/>
        </w:rPr>
        <w:t>益阳康宁精神病专科医院建设项目</w:t>
      </w:r>
    </w:p>
    <w:p>
      <w:pPr>
        <w:tabs>
          <w:tab w:val="left" w:pos="1995"/>
        </w:tabs>
        <w:spacing w:line="520" w:lineRule="exact"/>
        <w:jc w:val="center"/>
        <w:rPr>
          <w:rFonts w:ascii="Times New Roman" w:hAnsi="Times New Roman" w:eastAsia="黑体"/>
          <w:color w:val="000000"/>
          <w:sz w:val="32"/>
          <w:szCs w:val="32"/>
        </w:rPr>
      </w:pPr>
      <w:r>
        <w:rPr>
          <w:rFonts w:hint="eastAsia" w:ascii="Times New Roman" w:hAnsi="黑体" w:eastAsia="黑体"/>
          <w:bCs/>
          <w:color w:val="000000"/>
          <w:sz w:val="32"/>
          <w:szCs w:val="32"/>
        </w:rPr>
        <w:t>竣工</w:t>
      </w:r>
      <w:r>
        <w:rPr>
          <w:rFonts w:ascii="Times New Roman" w:hAnsi="黑体" w:eastAsia="黑体"/>
          <w:bCs/>
          <w:color w:val="000000"/>
          <w:sz w:val="32"/>
          <w:szCs w:val="32"/>
        </w:rPr>
        <w:t>环境保护验收意见</w:t>
      </w:r>
    </w:p>
    <w:p>
      <w:pPr>
        <w:autoSpaceDE w:val="0"/>
        <w:autoSpaceDN w:val="0"/>
        <w:spacing w:line="440" w:lineRule="exact"/>
        <w:ind w:firstLine="480" w:firstLineChars="200"/>
        <w:rPr>
          <w:rFonts w:ascii="Times New Roman" w:hAnsi="宋体"/>
          <w:color w:val="000000"/>
          <w:sz w:val="24"/>
        </w:rPr>
      </w:pP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2018年7月6日，益阳康宁精神病专科医院根据《益阳康宁精神病专科医院建设项目竣工环境保护验收监测报告》并对照《建设项目竣工环境保护验收暂行办法》（国环规环评[2017]4号），严格依照国家有关法律法规、建设项目竣工环境保护验收技术规范/指南、本项目环境影响报告表和审批部门审批决定等要求对本项目进行验收。</w:t>
      </w:r>
    </w:p>
    <w:p>
      <w:pPr>
        <w:autoSpaceDE w:val="0"/>
        <w:autoSpaceDN w:val="0"/>
        <w:spacing w:line="500" w:lineRule="exact"/>
        <w:ind w:firstLine="600" w:firstLineChars="200"/>
        <w:rPr>
          <w:rFonts w:hint="eastAsia" w:ascii="仿宋_GB2312" w:eastAsia="仿宋_GB2312"/>
          <w:color w:val="000000"/>
          <w:sz w:val="30"/>
          <w:szCs w:val="30"/>
        </w:rPr>
      </w:pPr>
      <w:r>
        <w:rPr>
          <w:rFonts w:hint="eastAsia" w:ascii="仿宋_GB2312" w:hAnsi="Times New Roman" w:eastAsia="仿宋_GB2312"/>
          <w:color w:val="000000"/>
          <w:sz w:val="30"/>
          <w:szCs w:val="30"/>
        </w:rPr>
        <w:t>验收工作组由建设单位（益阳康宁精神病专科医院）、环评单位（湖南景玺环保科技有限公司）、验收监测单位（湖南精科检测有限公司）及专家（名单附后）组成。验收工作组现场查看并核实了本项目配套环境保护设施的建设与运行情况，听取了建设单位对项目进展情况、验收监测单位对验收监测报告编制情况的详细介绍。经认真研究讨论形成检查意见，并提出整改要求，截止2019年6月4日，已完成全部整改内容，经公司自查，认为本项目符合环保验收条件。根据《建设项目环境保护管理条例》</w:t>
      </w:r>
      <w:r>
        <w:rPr>
          <w:rFonts w:hint="eastAsia" w:ascii="仿宋_GB2312" w:eastAsia="仿宋_GB2312"/>
          <w:color w:val="000000"/>
          <w:sz w:val="30"/>
          <w:szCs w:val="30"/>
        </w:rPr>
        <w:fldChar w:fldCharType="begin"/>
      </w:r>
      <w:r>
        <w:rPr>
          <w:rFonts w:hint="eastAsia" w:ascii="仿宋_GB2312" w:eastAsia="仿宋_GB2312"/>
          <w:color w:val="000000"/>
          <w:sz w:val="30"/>
          <w:szCs w:val="30"/>
        </w:rPr>
        <w:instrText xml:space="preserve">HYPERLINK "https://www.baidu.com/link?url=vtpZ92kH66xePc8ftFDQVP4a9rnBwqugkvJHEm9EdlwvkcyTTyYXVORa9y68Q0Ta4UUqAh-7pXOULL0ZMCVooHrYI68aYPMvD8p1aqovnk_&amp;wd=&amp;eqid=d158c4a800007aba000000065a0d99b8" \t "_blank"</w:instrText>
      </w:r>
      <w:r>
        <w:rPr>
          <w:rFonts w:hint="eastAsia" w:ascii="仿宋_GB2312" w:eastAsia="仿宋_GB2312"/>
          <w:color w:val="000000"/>
          <w:sz w:val="30"/>
          <w:szCs w:val="30"/>
        </w:rPr>
        <w:fldChar w:fldCharType="separate"/>
      </w:r>
      <w:r>
        <w:rPr>
          <w:rFonts w:hint="eastAsia" w:ascii="仿宋_GB2312" w:hAnsi="Times New Roman" w:eastAsia="仿宋_GB2312"/>
          <w:color w:val="000000"/>
          <w:sz w:val="30"/>
          <w:szCs w:val="30"/>
        </w:rPr>
        <w:t>（国务院令第682号）以及企业自行验收相关要求，形成如下验收意见：</w:t>
      </w:r>
      <w:r>
        <w:rPr>
          <w:rFonts w:hint="eastAsia" w:ascii="仿宋_GB2312" w:eastAsia="仿宋_GB2312"/>
          <w:color w:val="000000"/>
          <w:sz w:val="30"/>
          <w:szCs w:val="30"/>
        </w:rPr>
        <w:fldChar w:fldCharType="end"/>
      </w:r>
    </w:p>
    <w:p>
      <w:pPr>
        <w:autoSpaceDE w:val="0"/>
        <w:autoSpaceDN w:val="0"/>
        <w:spacing w:line="500" w:lineRule="exact"/>
        <w:ind w:firstLine="602" w:firstLineChars="200"/>
        <w:outlineLvl w:val="0"/>
        <w:rPr>
          <w:rFonts w:hint="eastAsia" w:ascii="仿宋_GB2312" w:hAnsi="宋体" w:eastAsia="仿宋_GB2312"/>
          <w:b/>
          <w:color w:val="000000"/>
          <w:sz w:val="30"/>
          <w:szCs w:val="30"/>
        </w:rPr>
      </w:pPr>
      <w:bookmarkStart w:id="143" w:name="_Toc26212"/>
      <w:r>
        <w:rPr>
          <w:rFonts w:hint="eastAsia" w:ascii="仿宋_GB2312" w:hAnsi="宋体" w:eastAsia="仿宋_GB2312"/>
          <w:b/>
          <w:color w:val="000000"/>
          <w:sz w:val="30"/>
          <w:szCs w:val="30"/>
        </w:rPr>
        <w:t>一、工程建设基本情况</w:t>
      </w:r>
      <w:bookmarkEnd w:id="143"/>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（一）建设地点、规模、主要建设内容</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建设地点：益阳高新区谢林港镇桃益公路南侧</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建设内容及规模：占地面积3393.35</w:t>
      </w:r>
      <w:r>
        <w:rPr>
          <w:rFonts w:ascii="仿宋_GB2312" w:hAnsi="Times New Roman" w:eastAsia="仿宋_GB2312"/>
          <w:color w:val="000000"/>
          <w:sz w:val="30"/>
          <w:szCs w:val="30"/>
        </w:rPr>
        <w:t>m</w:t>
      </w:r>
      <w:r>
        <w:rPr>
          <w:rFonts w:ascii="仿宋_GB2312" w:hAnsi="Times New Roman" w:eastAsia="仿宋_GB2312"/>
          <w:color w:val="000000"/>
          <w:sz w:val="30"/>
          <w:szCs w:val="30"/>
          <w:vertAlign w:val="superscript"/>
        </w:rPr>
        <w:t>2</w:t>
      </w:r>
      <w:r>
        <w:rPr>
          <w:rFonts w:ascii="仿宋_GB2312" w:hAnsi="Times New Roman" w:eastAsia="仿宋_GB2312"/>
          <w:color w:val="000000"/>
          <w:sz w:val="30"/>
          <w:szCs w:val="30"/>
        </w:rPr>
        <w:t>，建筑面积</w:t>
      </w:r>
      <w:r>
        <w:rPr>
          <w:rFonts w:hint="eastAsia" w:ascii="仿宋_GB2312" w:hAnsi="Times New Roman" w:eastAsia="仿宋_GB2312"/>
          <w:color w:val="000000"/>
          <w:sz w:val="30"/>
          <w:szCs w:val="30"/>
        </w:rPr>
        <w:t>4900.7</w:t>
      </w:r>
      <w:r>
        <w:rPr>
          <w:rFonts w:ascii="仿宋_GB2312" w:hAnsi="Times New Roman" w:eastAsia="仿宋_GB2312"/>
          <w:color w:val="000000"/>
          <w:sz w:val="30"/>
          <w:szCs w:val="30"/>
        </w:rPr>
        <w:t>m</w:t>
      </w:r>
      <w:r>
        <w:rPr>
          <w:rFonts w:ascii="仿宋_GB2312" w:hAnsi="Times New Roman" w:eastAsia="仿宋_GB2312"/>
          <w:color w:val="000000"/>
          <w:sz w:val="30"/>
          <w:szCs w:val="30"/>
          <w:vertAlign w:val="superscript"/>
        </w:rPr>
        <w:t>2</w:t>
      </w:r>
      <w:r>
        <w:rPr>
          <w:rFonts w:hint="eastAsia" w:ascii="仿宋_GB2312" w:hAnsi="Times New Roman" w:eastAsia="仿宋_GB2312"/>
          <w:color w:val="000000"/>
          <w:sz w:val="30"/>
          <w:szCs w:val="30"/>
        </w:rPr>
        <w:t>，建设门诊部、放射室、化验室、药房、收费室，以及资料室、库房、宿舍、办公室、档案室等，设置</w:t>
      </w:r>
      <w:r>
        <w:rPr>
          <w:rFonts w:ascii="仿宋_GB2312" w:hAnsi="Times New Roman" w:eastAsia="仿宋_GB2312"/>
          <w:color w:val="000000"/>
          <w:sz w:val="30"/>
          <w:szCs w:val="30"/>
        </w:rPr>
        <w:t>床位</w:t>
      </w:r>
      <w:r>
        <w:rPr>
          <w:rFonts w:hint="eastAsia" w:ascii="仿宋_GB2312" w:hAnsi="Times New Roman" w:eastAsia="仿宋_GB2312"/>
          <w:color w:val="000000"/>
          <w:sz w:val="30"/>
          <w:szCs w:val="30"/>
        </w:rPr>
        <w:t>69</w:t>
      </w:r>
      <w:r>
        <w:rPr>
          <w:rFonts w:ascii="仿宋_GB2312" w:hAnsi="Times New Roman" w:eastAsia="仿宋_GB2312"/>
          <w:color w:val="000000"/>
          <w:sz w:val="30"/>
          <w:szCs w:val="30"/>
        </w:rPr>
        <w:t>张，职工</w:t>
      </w:r>
      <w:r>
        <w:rPr>
          <w:rFonts w:hint="eastAsia" w:ascii="仿宋_GB2312" w:hAnsi="Times New Roman" w:eastAsia="仿宋_GB2312"/>
          <w:color w:val="000000"/>
          <w:sz w:val="30"/>
          <w:szCs w:val="30"/>
        </w:rPr>
        <w:t>17</w:t>
      </w:r>
      <w:r>
        <w:rPr>
          <w:rFonts w:ascii="仿宋_GB2312" w:hAnsi="Times New Roman" w:eastAsia="仿宋_GB2312"/>
          <w:color w:val="000000"/>
          <w:sz w:val="30"/>
          <w:szCs w:val="30"/>
        </w:rPr>
        <w:t>人</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（二）建设过程及环保审批情况</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项目于2017年12月由湖南景玺环保科技有限公司对其进行了环境影响评价，并于2017年12月通过了益阳市环保局的审批（益环高审[2017]38号）。</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（三）投资情况</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ascii="仿宋_GB2312" w:hAnsi="Times New Roman" w:eastAsia="仿宋_GB2312"/>
          <w:color w:val="000000"/>
          <w:sz w:val="30"/>
          <w:szCs w:val="30"/>
        </w:rPr>
        <w:t>项目</w:t>
      </w:r>
      <w:r>
        <w:rPr>
          <w:rFonts w:hint="eastAsia" w:ascii="仿宋_GB2312" w:hAnsi="Times New Roman" w:eastAsia="仿宋_GB2312"/>
          <w:color w:val="000000"/>
          <w:sz w:val="30"/>
          <w:szCs w:val="30"/>
        </w:rPr>
        <w:t>实际</w:t>
      </w:r>
      <w:r>
        <w:rPr>
          <w:rFonts w:ascii="仿宋_GB2312" w:hAnsi="Times New Roman" w:eastAsia="仿宋_GB2312"/>
          <w:color w:val="000000"/>
          <w:sz w:val="30"/>
          <w:szCs w:val="30"/>
        </w:rPr>
        <w:t>总投资</w:t>
      </w:r>
      <w:r>
        <w:rPr>
          <w:rFonts w:hint="eastAsia" w:ascii="仿宋_GB2312" w:hAnsi="Times New Roman" w:eastAsia="仿宋_GB2312"/>
          <w:color w:val="000000"/>
          <w:sz w:val="30"/>
          <w:szCs w:val="30"/>
        </w:rPr>
        <w:t>500</w:t>
      </w:r>
      <w:r>
        <w:rPr>
          <w:rFonts w:ascii="仿宋_GB2312" w:hAnsi="Times New Roman" w:eastAsia="仿宋_GB2312"/>
          <w:color w:val="000000"/>
          <w:sz w:val="30"/>
          <w:szCs w:val="30"/>
        </w:rPr>
        <w:t>万元，其中环保投资</w:t>
      </w:r>
      <w:r>
        <w:rPr>
          <w:rFonts w:hint="eastAsia" w:ascii="仿宋_GB2312" w:hAnsi="Times New Roman" w:eastAsia="仿宋_GB2312"/>
          <w:color w:val="000000"/>
          <w:sz w:val="30"/>
          <w:szCs w:val="30"/>
        </w:rPr>
        <w:t>15万</w:t>
      </w:r>
      <w:r>
        <w:rPr>
          <w:rFonts w:ascii="仿宋_GB2312" w:hAnsi="Times New Roman" w:eastAsia="仿宋_GB2312"/>
          <w:color w:val="000000"/>
          <w:sz w:val="30"/>
          <w:szCs w:val="30"/>
        </w:rPr>
        <w:t>元，占</w:t>
      </w:r>
      <w:r>
        <w:rPr>
          <w:rFonts w:hint="eastAsia" w:ascii="仿宋_GB2312" w:hAnsi="Times New Roman" w:eastAsia="仿宋_GB2312"/>
          <w:color w:val="000000"/>
          <w:sz w:val="30"/>
          <w:szCs w:val="30"/>
        </w:rPr>
        <w:t>实际</w:t>
      </w:r>
      <w:r>
        <w:rPr>
          <w:rFonts w:ascii="仿宋_GB2312" w:hAnsi="Times New Roman" w:eastAsia="仿宋_GB2312"/>
          <w:color w:val="000000"/>
          <w:sz w:val="30"/>
          <w:szCs w:val="30"/>
        </w:rPr>
        <w:t>总投资</w:t>
      </w:r>
      <w:r>
        <w:rPr>
          <w:rFonts w:hint="eastAsia" w:ascii="仿宋_GB2312" w:hAnsi="Times New Roman" w:eastAsia="仿宋_GB2312"/>
          <w:color w:val="000000"/>
          <w:sz w:val="30"/>
          <w:szCs w:val="30"/>
        </w:rPr>
        <w:t>的3</w:t>
      </w:r>
      <w:r>
        <w:rPr>
          <w:rFonts w:ascii="仿宋_GB2312" w:hAnsi="Times New Roman" w:eastAsia="仿宋_GB2312"/>
          <w:color w:val="000000"/>
          <w:sz w:val="30"/>
          <w:szCs w:val="30"/>
        </w:rPr>
        <w:t>%</w:t>
      </w:r>
      <w:r>
        <w:rPr>
          <w:rFonts w:hint="eastAsia" w:ascii="仿宋_GB2312" w:hAnsi="Times New Roman" w:eastAsia="仿宋_GB2312"/>
          <w:color w:val="000000"/>
          <w:sz w:val="30"/>
          <w:szCs w:val="30"/>
        </w:rPr>
        <w:t>。</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（四）验收范围</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本次验收为本项目竣工环保总体验收。</w:t>
      </w:r>
    </w:p>
    <w:p>
      <w:pPr>
        <w:autoSpaceDE w:val="0"/>
        <w:autoSpaceDN w:val="0"/>
        <w:spacing w:line="500" w:lineRule="exact"/>
        <w:ind w:firstLine="602" w:firstLineChars="200"/>
        <w:outlineLvl w:val="0"/>
        <w:rPr>
          <w:rFonts w:hint="eastAsia" w:ascii="仿宋_GB2312" w:hAnsi="Times New Roman" w:eastAsia="仿宋_GB2312"/>
          <w:b/>
          <w:color w:val="000000"/>
          <w:sz w:val="30"/>
          <w:szCs w:val="30"/>
        </w:rPr>
      </w:pPr>
      <w:bookmarkStart w:id="144" w:name="_Toc32234"/>
      <w:r>
        <w:rPr>
          <w:rFonts w:hint="eastAsia" w:ascii="仿宋_GB2312" w:hAnsi="宋体" w:eastAsia="仿宋_GB2312"/>
          <w:b/>
          <w:color w:val="000000"/>
          <w:sz w:val="30"/>
          <w:szCs w:val="30"/>
        </w:rPr>
        <w:t>二、工程变动情况</w:t>
      </w:r>
      <w:bookmarkEnd w:id="144"/>
    </w:p>
    <w:p>
      <w:pPr>
        <w:autoSpaceDE w:val="0"/>
        <w:autoSpaceDN w:val="0"/>
        <w:spacing w:line="500" w:lineRule="exact"/>
        <w:ind w:firstLine="600" w:firstLineChars="200"/>
        <w:rPr>
          <w:rFonts w:ascii="仿宋_GB2312" w:hAnsi="Times New Roman" w:eastAsia="仿宋_GB2312"/>
          <w:color w:val="000000"/>
          <w:sz w:val="30"/>
          <w:szCs w:val="30"/>
        </w:rPr>
      </w:pPr>
      <w:r>
        <w:rPr>
          <w:rFonts w:ascii="仿宋_GB2312" w:hAnsi="Times New Roman" w:eastAsia="仿宋_GB2312"/>
          <w:color w:val="000000"/>
          <w:sz w:val="30"/>
          <w:szCs w:val="30"/>
        </w:rPr>
        <w:t>根据</w:t>
      </w:r>
      <w:r>
        <w:rPr>
          <w:rFonts w:hint="eastAsia" w:ascii="仿宋_GB2312" w:hAnsi="Times New Roman" w:eastAsia="仿宋_GB2312"/>
          <w:color w:val="000000"/>
          <w:sz w:val="30"/>
          <w:szCs w:val="30"/>
        </w:rPr>
        <w:t>相关</w:t>
      </w:r>
      <w:r>
        <w:rPr>
          <w:rFonts w:ascii="仿宋_GB2312" w:hAnsi="Times New Roman" w:eastAsia="仿宋_GB2312"/>
          <w:color w:val="000000"/>
          <w:sz w:val="30"/>
          <w:szCs w:val="30"/>
        </w:rPr>
        <w:t>资料结合现场踏勘，本项目相对环评阶段，</w:t>
      </w:r>
      <w:r>
        <w:rPr>
          <w:rFonts w:hint="eastAsia" w:ascii="仿宋_GB2312" w:hAnsi="Times New Roman" w:eastAsia="仿宋_GB2312"/>
          <w:color w:val="000000"/>
          <w:sz w:val="30"/>
          <w:szCs w:val="30"/>
        </w:rPr>
        <w:t>主体建设内容</w:t>
      </w:r>
      <w:r>
        <w:rPr>
          <w:rFonts w:ascii="仿宋_GB2312" w:hAnsi="Times New Roman" w:eastAsia="仿宋_GB2312"/>
          <w:color w:val="000000"/>
          <w:sz w:val="30"/>
          <w:szCs w:val="30"/>
        </w:rPr>
        <w:t>基本相同</w:t>
      </w:r>
      <w:r>
        <w:rPr>
          <w:rFonts w:hint="eastAsia" w:ascii="仿宋_GB2312" w:hAnsi="Times New Roman" w:eastAsia="仿宋_GB2312"/>
          <w:color w:val="000000"/>
          <w:sz w:val="30"/>
          <w:szCs w:val="30"/>
        </w:rPr>
        <w:t>，不涉及</w:t>
      </w:r>
      <w:r>
        <w:rPr>
          <w:rFonts w:ascii="仿宋_GB2312" w:hAnsi="Times New Roman" w:eastAsia="仿宋_GB2312"/>
          <w:color w:val="000000"/>
          <w:sz w:val="30"/>
          <w:szCs w:val="30"/>
        </w:rPr>
        <w:t>《关于印发环评管理中部分行业建设项目重大变动清单的通知》</w:t>
      </w:r>
      <w:r>
        <w:rPr>
          <w:rFonts w:hint="eastAsia" w:ascii="仿宋_GB2312" w:hAnsi="Times New Roman" w:eastAsia="仿宋_GB2312"/>
          <w:color w:val="000000"/>
          <w:sz w:val="30"/>
          <w:szCs w:val="30"/>
        </w:rPr>
        <w:t>（环办〔2015〕52号）、《关于印发制浆造纸等十四个行业建设项目重大变动清单的通知》（环办环评〔2018〕6号）中</w:t>
      </w:r>
      <w:r>
        <w:rPr>
          <w:rFonts w:ascii="仿宋_GB2312" w:hAnsi="Times New Roman" w:eastAsia="仿宋_GB2312"/>
          <w:color w:val="000000"/>
          <w:sz w:val="30"/>
          <w:szCs w:val="30"/>
        </w:rPr>
        <w:t>的重大变更。</w:t>
      </w:r>
    </w:p>
    <w:p>
      <w:pPr>
        <w:autoSpaceDE w:val="0"/>
        <w:autoSpaceDN w:val="0"/>
        <w:spacing w:line="500" w:lineRule="exact"/>
        <w:ind w:firstLine="602" w:firstLineChars="200"/>
        <w:outlineLvl w:val="0"/>
        <w:rPr>
          <w:rFonts w:hint="eastAsia" w:ascii="仿宋_GB2312" w:hAnsi="宋体" w:eastAsia="仿宋_GB2312"/>
          <w:b/>
          <w:color w:val="000000"/>
          <w:sz w:val="30"/>
          <w:szCs w:val="30"/>
        </w:rPr>
      </w:pPr>
      <w:bookmarkStart w:id="145" w:name="_Toc28378"/>
      <w:r>
        <w:rPr>
          <w:rFonts w:hint="eastAsia" w:ascii="仿宋_GB2312" w:hAnsi="宋体" w:eastAsia="仿宋_GB2312"/>
          <w:b/>
          <w:color w:val="000000"/>
          <w:sz w:val="30"/>
          <w:szCs w:val="30"/>
        </w:rPr>
        <w:t>三、环境保护设施落实情况</w:t>
      </w:r>
      <w:bookmarkEnd w:id="145"/>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（一）废水</w:t>
      </w: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生活污水、医疗废水经化粪池及污水处理站处理后达标外排。</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（二）废气</w:t>
      </w: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通过及时清运污泥及生活垃圾,污水处理站进行密闭,以减小恶臭污染物对周边环境的影响；食堂油烟通过油烟净化设施处理后高空排放。</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（三）噪声</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通过合理布局、建筑隔声，高噪声设备设置减振垫等措施降低噪声对周围环境的影响。</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（四）固体废物</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医疗垃圾进行分类收集，暂存在医疗废物暂存间，定期交由益阳市特许医疗废物集中处理有限公司处置；生活垃圾定点收集后，交由当地环卫部门统一清运。</w:t>
      </w:r>
    </w:p>
    <w:p>
      <w:pPr>
        <w:autoSpaceDE w:val="0"/>
        <w:autoSpaceDN w:val="0"/>
        <w:spacing w:line="500" w:lineRule="exact"/>
        <w:ind w:firstLine="602" w:firstLineChars="200"/>
        <w:outlineLvl w:val="0"/>
        <w:rPr>
          <w:rFonts w:hint="eastAsia" w:ascii="仿宋_GB2312" w:hAnsi="Times New Roman" w:eastAsia="仿宋_GB2312"/>
          <w:b/>
          <w:color w:val="000000"/>
          <w:sz w:val="30"/>
          <w:szCs w:val="30"/>
        </w:rPr>
      </w:pPr>
      <w:bookmarkStart w:id="146" w:name="_Toc11382"/>
      <w:r>
        <w:rPr>
          <w:rFonts w:hint="eastAsia" w:ascii="仿宋_GB2312" w:hAnsi="Times New Roman" w:eastAsia="仿宋_GB2312"/>
          <w:b/>
          <w:color w:val="000000"/>
          <w:sz w:val="30"/>
          <w:szCs w:val="30"/>
        </w:rPr>
        <w:t>四、环境保护设施调试效果</w:t>
      </w:r>
      <w:bookmarkEnd w:id="146"/>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宋体" w:eastAsia="仿宋_GB2312"/>
          <w:color w:val="000000"/>
          <w:sz w:val="30"/>
          <w:szCs w:val="30"/>
        </w:rPr>
        <w:t>湖南精科检测有限公司</w:t>
      </w:r>
      <w:r>
        <w:rPr>
          <w:rFonts w:hint="eastAsia" w:ascii="仿宋_GB2312" w:hAnsi="宋体" w:eastAsia="仿宋_GB2312" w:cs="宋体"/>
          <w:color w:val="000000"/>
          <w:sz w:val="30"/>
          <w:szCs w:val="30"/>
        </w:rPr>
        <w:t>于2018年5月15日-16日、2019年5月13-14日</w:t>
      </w:r>
      <w:r>
        <w:rPr>
          <w:rFonts w:hint="eastAsia" w:ascii="仿宋_GB2312" w:hAnsi="宋体" w:eastAsia="仿宋_GB2312"/>
          <w:color w:val="000000"/>
          <w:sz w:val="30"/>
          <w:szCs w:val="30"/>
        </w:rPr>
        <w:t>对项目外排污染物的监测结果表明：</w:t>
      </w:r>
    </w:p>
    <w:p>
      <w:pPr>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（一）废水</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验收监测期间，项目污水处理站排口中各监测因子均符合《医疗机构水污染排放标准》（GB18466-2005）表2中标准要求。</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污水处理站对各监测因子的处理效率为</w:t>
      </w:r>
      <w:r>
        <w:rPr>
          <w:rFonts w:ascii="仿宋_GB2312" w:hAnsi="Times New Roman" w:eastAsia="仿宋_GB2312"/>
          <w:color w:val="000000"/>
          <w:sz w:val="30"/>
          <w:szCs w:val="30"/>
        </w:rPr>
        <w:t>68.6</w:t>
      </w:r>
      <w:r>
        <w:rPr>
          <w:rFonts w:hint="eastAsia" w:ascii="仿宋_GB2312" w:hAnsi="Times New Roman" w:eastAsia="仿宋_GB2312"/>
          <w:color w:val="000000"/>
          <w:sz w:val="30"/>
          <w:szCs w:val="30"/>
        </w:rPr>
        <w:t>%-</w:t>
      </w:r>
      <w:r>
        <w:rPr>
          <w:rFonts w:ascii="仿宋_GB2312" w:hAnsi="Times New Roman" w:eastAsia="仿宋_GB2312"/>
          <w:color w:val="000000"/>
          <w:sz w:val="30"/>
          <w:szCs w:val="30"/>
        </w:rPr>
        <w:t>89.6</w:t>
      </w:r>
      <w:r>
        <w:rPr>
          <w:rFonts w:hint="eastAsia" w:ascii="仿宋_GB2312" w:hAnsi="Times New Roman" w:eastAsia="仿宋_GB2312"/>
          <w:color w:val="000000"/>
          <w:sz w:val="30"/>
          <w:szCs w:val="30"/>
        </w:rPr>
        <w:t>%。</w:t>
      </w:r>
    </w:p>
    <w:p>
      <w:pPr>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（二）废气</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验收监测期间，项目废气无组织排放监控点中氨、硫化氢、氯气、臭气浓度最大值分别为0.045mg/m</w:t>
      </w:r>
      <w:r>
        <w:rPr>
          <w:rFonts w:hint="eastAsia" w:ascii="仿宋_GB2312" w:hAnsi="Times New Roman" w:eastAsia="仿宋_GB2312"/>
          <w:color w:val="000000"/>
          <w:sz w:val="30"/>
          <w:szCs w:val="30"/>
          <w:vertAlign w:val="superscript"/>
        </w:rPr>
        <w:t>3</w:t>
      </w:r>
      <w:r>
        <w:rPr>
          <w:rFonts w:hint="eastAsia" w:ascii="仿宋_GB2312" w:hAnsi="Times New Roman" w:eastAsia="仿宋_GB2312"/>
          <w:color w:val="000000"/>
          <w:sz w:val="30"/>
          <w:szCs w:val="30"/>
        </w:rPr>
        <w:t>、0.012mg/m</w:t>
      </w:r>
      <w:r>
        <w:rPr>
          <w:rFonts w:hint="eastAsia" w:ascii="仿宋_GB2312" w:hAnsi="Times New Roman" w:eastAsia="仿宋_GB2312"/>
          <w:color w:val="000000"/>
          <w:sz w:val="30"/>
          <w:szCs w:val="30"/>
          <w:vertAlign w:val="superscript"/>
        </w:rPr>
        <w:t>3</w:t>
      </w:r>
      <w:r>
        <w:rPr>
          <w:rFonts w:hint="eastAsia" w:ascii="仿宋_GB2312" w:hAnsi="Times New Roman" w:eastAsia="仿宋_GB2312"/>
          <w:color w:val="000000"/>
          <w:sz w:val="30"/>
          <w:szCs w:val="30"/>
        </w:rPr>
        <w:t>、未检出、未检出，均</w:t>
      </w:r>
      <w:r>
        <w:rPr>
          <w:rFonts w:ascii="仿宋_GB2312" w:hAnsi="Times New Roman" w:eastAsia="仿宋_GB2312"/>
          <w:color w:val="000000"/>
          <w:sz w:val="30"/>
          <w:szCs w:val="30"/>
        </w:rPr>
        <w:t>符合</w:t>
      </w:r>
      <w:r>
        <w:rPr>
          <w:rFonts w:hint="eastAsia" w:ascii="仿宋_GB2312" w:hAnsi="Times New Roman" w:eastAsia="仿宋_GB2312"/>
          <w:color w:val="000000"/>
          <w:sz w:val="30"/>
          <w:szCs w:val="30"/>
        </w:rPr>
        <w:t>《医疗机构水污染排放标准》(GB18466-2005)表3中最高允许浓度限值要求。</w:t>
      </w:r>
    </w:p>
    <w:p>
      <w:pPr>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（三）场界噪声</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验收监测期间，项目场界</w:t>
      </w:r>
      <w:r>
        <w:rPr>
          <w:rFonts w:ascii="仿宋_GB2312" w:hAnsi="Times New Roman" w:eastAsia="仿宋_GB2312"/>
          <w:color w:val="000000"/>
          <w:sz w:val="30"/>
          <w:szCs w:val="30"/>
        </w:rPr>
        <w:t>东、南、西面昼</w:t>
      </w:r>
      <w:r>
        <w:rPr>
          <w:rFonts w:hint="eastAsia" w:ascii="仿宋_GB2312" w:hAnsi="Times New Roman" w:eastAsia="仿宋_GB2312"/>
          <w:color w:val="000000"/>
          <w:sz w:val="30"/>
          <w:szCs w:val="30"/>
        </w:rPr>
        <w:t>、</w:t>
      </w:r>
      <w:r>
        <w:rPr>
          <w:rFonts w:ascii="仿宋_GB2312" w:hAnsi="Times New Roman" w:eastAsia="仿宋_GB2312"/>
          <w:color w:val="000000"/>
          <w:sz w:val="30"/>
          <w:szCs w:val="30"/>
        </w:rPr>
        <w:t>夜间噪声最大值分别为</w:t>
      </w:r>
      <w:r>
        <w:rPr>
          <w:rFonts w:hint="eastAsia" w:ascii="仿宋_GB2312" w:hAnsi="Times New Roman" w:eastAsia="仿宋_GB2312"/>
          <w:color w:val="000000"/>
          <w:sz w:val="30"/>
          <w:szCs w:val="30"/>
        </w:rPr>
        <w:t>56.7</w:t>
      </w:r>
      <w:r>
        <w:rPr>
          <w:rFonts w:ascii="仿宋_GB2312" w:hAnsi="Times New Roman" w:eastAsia="仿宋_GB2312"/>
          <w:color w:val="000000"/>
          <w:sz w:val="30"/>
          <w:szCs w:val="30"/>
        </w:rPr>
        <w:t>dB</w:t>
      </w:r>
      <w:r>
        <w:rPr>
          <w:rFonts w:hint="eastAsia" w:ascii="仿宋_GB2312" w:hAnsi="Times New Roman" w:eastAsia="仿宋_GB2312"/>
          <w:color w:val="000000"/>
          <w:sz w:val="30"/>
          <w:szCs w:val="30"/>
        </w:rPr>
        <w:t>、45.9</w:t>
      </w:r>
      <w:r>
        <w:rPr>
          <w:rFonts w:ascii="仿宋_GB2312" w:hAnsi="Times New Roman" w:eastAsia="仿宋_GB2312"/>
          <w:color w:val="000000"/>
          <w:sz w:val="30"/>
          <w:szCs w:val="30"/>
        </w:rPr>
        <w:t>dB（A），均符合《工业企业厂界环境噪声排放标准》（GB12348-2008）中2类区标准要求</w:t>
      </w:r>
      <w:r>
        <w:rPr>
          <w:rFonts w:hint="eastAsia" w:ascii="仿宋_GB2312" w:hAnsi="Times New Roman" w:eastAsia="仿宋_GB2312"/>
          <w:color w:val="000000"/>
          <w:sz w:val="30"/>
          <w:szCs w:val="30"/>
        </w:rPr>
        <w:t>；北</w:t>
      </w:r>
      <w:r>
        <w:rPr>
          <w:rFonts w:ascii="仿宋_GB2312" w:hAnsi="Times New Roman" w:eastAsia="仿宋_GB2312"/>
          <w:color w:val="000000"/>
          <w:sz w:val="30"/>
          <w:szCs w:val="30"/>
        </w:rPr>
        <w:t>面</w:t>
      </w:r>
      <w:r>
        <w:rPr>
          <w:rFonts w:hint="eastAsia" w:ascii="仿宋_GB2312" w:hAnsi="Times New Roman" w:eastAsia="仿宋_GB2312"/>
          <w:color w:val="000000"/>
          <w:sz w:val="30"/>
          <w:szCs w:val="30"/>
        </w:rPr>
        <w:t>（临桃益公路）</w:t>
      </w:r>
      <w:r>
        <w:rPr>
          <w:rFonts w:ascii="仿宋_GB2312" w:hAnsi="Times New Roman" w:eastAsia="仿宋_GB2312"/>
          <w:color w:val="000000"/>
          <w:sz w:val="30"/>
          <w:szCs w:val="30"/>
        </w:rPr>
        <w:t>昼</w:t>
      </w:r>
      <w:r>
        <w:rPr>
          <w:rFonts w:hint="eastAsia" w:ascii="仿宋_GB2312" w:hAnsi="Times New Roman" w:eastAsia="仿宋_GB2312"/>
          <w:color w:val="000000"/>
          <w:sz w:val="30"/>
          <w:szCs w:val="30"/>
        </w:rPr>
        <w:t>、</w:t>
      </w:r>
      <w:r>
        <w:rPr>
          <w:rFonts w:ascii="仿宋_GB2312" w:hAnsi="Times New Roman" w:eastAsia="仿宋_GB2312"/>
          <w:color w:val="000000"/>
          <w:sz w:val="30"/>
          <w:szCs w:val="30"/>
        </w:rPr>
        <w:t>夜间噪声最大值分别为</w:t>
      </w:r>
      <w:r>
        <w:rPr>
          <w:rFonts w:hint="eastAsia" w:ascii="仿宋_GB2312" w:hAnsi="Times New Roman" w:eastAsia="仿宋_GB2312"/>
          <w:color w:val="000000"/>
          <w:sz w:val="30"/>
          <w:szCs w:val="30"/>
        </w:rPr>
        <w:t>63.7</w:t>
      </w:r>
      <w:r>
        <w:rPr>
          <w:rFonts w:ascii="仿宋_GB2312" w:hAnsi="Times New Roman" w:eastAsia="仿宋_GB2312"/>
          <w:color w:val="000000"/>
          <w:sz w:val="30"/>
          <w:szCs w:val="30"/>
        </w:rPr>
        <w:t>dB</w:t>
      </w:r>
      <w:r>
        <w:rPr>
          <w:rFonts w:hint="eastAsia" w:ascii="仿宋_GB2312" w:hAnsi="Times New Roman" w:eastAsia="仿宋_GB2312"/>
          <w:color w:val="000000"/>
          <w:sz w:val="30"/>
          <w:szCs w:val="30"/>
        </w:rPr>
        <w:t>、52.4</w:t>
      </w:r>
      <w:r>
        <w:rPr>
          <w:rFonts w:ascii="仿宋_GB2312" w:hAnsi="Times New Roman" w:eastAsia="仿宋_GB2312"/>
          <w:color w:val="000000"/>
          <w:sz w:val="30"/>
          <w:szCs w:val="30"/>
        </w:rPr>
        <w:t>dB（A），均符合《工业企业厂界环境噪声排放标准》（GB12348-2008）中</w:t>
      </w:r>
      <w:r>
        <w:rPr>
          <w:rFonts w:hint="eastAsia" w:ascii="仿宋_GB2312" w:hAnsi="Times New Roman" w:eastAsia="仿宋_GB2312"/>
          <w:color w:val="000000"/>
          <w:sz w:val="30"/>
          <w:szCs w:val="30"/>
        </w:rPr>
        <w:t>4</w:t>
      </w:r>
      <w:r>
        <w:rPr>
          <w:rFonts w:ascii="仿宋_GB2312" w:hAnsi="Times New Roman" w:eastAsia="仿宋_GB2312"/>
          <w:color w:val="000000"/>
          <w:sz w:val="30"/>
          <w:szCs w:val="30"/>
        </w:rPr>
        <w:t>类区标准要求</w:t>
      </w:r>
      <w:r>
        <w:rPr>
          <w:rFonts w:hint="eastAsia" w:ascii="仿宋_GB2312" w:hAnsi="Times New Roman" w:eastAsia="仿宋_GB2312"/>
          <w:color w:val="000000"/>
          <w:sz w:val="30"/>
          <w:szCs w:val="30"/>
        </w:rPr>
        <w:t>。</w:t>
      </w:r>
    </w:p>
    <w:p>
      <w:pPr>
        <w:spacing w:line="500" w:lineRule="exact"/>
        <w:ind w:firstLine="602" w:firstLineChars="200"/>
        <w:rPr>
          <w:rFonts w:hint="eastAsia" w:ascii="仿宋_GB2312" w:hAnsi="Times New Roman" w:eastAsia="仿宋_GB2312"/>
          <w:b/>
          <w:bCs/>
          <w:color w:val="000000"/>
          <w:sz w:val="30"/>
          <w:szCs w:val="30"/>
        </w:rPr>
      </w:pPr>
      <w:r>
        <w:rPr>
          <w:rFonts w:hint="eastAsia" w:ascii="仿宋_GB2312" w:hAnsi="Times New Roman" w:eastAsia="仿宋_GB2312"/>
          <w:b/>
          <w:bCs/>
          <w:color w:val="000000"/>
          <w:sz w:val="30"/>
          <w:szCs w:val="30"/>
        </w:rPr>
        <w:t>（四）污染物排放总量</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项目化学需氧量、氨氮排放量分别为0.26t/a、0.054t/a，满足环评批复（益环高审[2017]38号）规定的总量控制要求（COD≤0.46t/a、NH</w:t>
      </w:r>
      <w:r>
        <w:rPr>
          <w:rFonts w:hint="eastAsia" w:ascii="仿宋_GB2312" w:hAnsi="Times New Roman" w:eastAsia="仿宋_GB2312"/>
          <w:color w:val="000000"/>
          <w:sz w:val="30"/>
          <w:szCs w:val="30"/>
          <w:vertAlign w:val="subscript"/>
        </w:rPr>
        <w:t>3</w:t>
      </w:r>
      <w:r>
        <w:rPr>
          <w:rFonts w:hint="eastAsia" w:ascii="仿宋_GB2312" w:hAnsi="Times New Roman" w:eastAsia="仿宋_GB2312"/>
          <w:color w:val="000000"/>
          <w:sz w:val="30"/>
          <w:szCs w:val="30"/>
        </w:rPr>
        <w:t>-N≤0.11t/a）。</w:t>
      </w:r>
    </w:p>
    <w:p>
      <w:pPr>
        <w:autoSpaceDE w:val="0"/>
        <w:autoSpaceDN w:val="0"/>
        <w:spacing w:line="500" w:lineRule="exact"/>
        <w:ind w:firstLine="602" w:firstLineChars="200"/>
        <w:outlineLvl w:val="0"/>
        <w:rPr>
          <w:rFonts w:hint="eastAsia" w:ascii="仿宋_GB2312" w:hAnsi="Times New Roman" w:eastAsia="仿宋_GB2312"/>
          <w:b/>
          <w:color w:val="000000"/>
          <w:sz w:val="30"/>
          <w:szCs w:val="30"/>
        </w:rPr>
      </w:pPr>
      <w:bookmarkStart w:id="147" w:name="_Toc23946"/>
      <w:r>
        <w:rPr>
          <w:rFonts w:hint="eastAsia" w:ascii="仿宋_GB2312" w:hAnsi="Times New Roman" w:eastAsia="仿宋_GB2312"/>
          <w:b/>
          <w:color w:val="000000"/>
          <w:sz w:val="30"/>
          <w:szCs w:val="30"/>
        </w:rPr>
        <w:t>五、工程建设对环境的影响</w:t>
      </w:r>
      <w:bookmarkEnd w:id="147"/>
    </w:p>
    <w:p>
      <w:pPr>
        <w:adjustRightInd w:val="0"/>
        <w:snapToGrid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根据项目废水、废气、场界噪声监测结果，各类污染物均能实现达标排放，固体废物能得到安全处置。总体而言，项目建设对周边环境的影响可控。</w:t>
      </w:r>
    </w:p>
    <w:p>
      <w:pPr>
        <w:spacing w:line="500" w:lineRule="exact"/>
        <w:ind w:firstLine="602" w:firstLineChars="200"/>
        <w:outlineLvl w:val="0"/>
        <w:rPr>
          <w:rFonts w:hint="eastAsia" w:ascii="仿宋_GB2312" w:hAnsi="Times New Roman" w:eastAsia="仿宋_GB2312"/>
          <w:color w:val="000000"/>
          <w:sz w:val="30"/>
          <w:szCs w:val="30"/>
        </w:rPr>
      </w:pPr>
      <w:bookmarkStart w:id="148" w:name="_Toc31492"/>
      <w:r>
        <w:rPr>
          <w:rFonts w:hint="eastAsia" w:ascii="仿宋_GB2312" w:hAnsi="Times New Roman" w:eastAsia="仿宋_GB2312"/>
          <w:b/>
          <w:bCs/>
          <w:color w:val="000000"/>
          <w:sz w:val="30"/>
          <w:szCs w:val="30"/>
        </w:rPr>
        <w:t>六、验收结论</w:t>
      </w:r>
      <w:bookmarkEnd w:id="148"/>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根据该项目竣工环境保护验收监测报告和现场检查，项目环保手续基本完备，技术资料基本齐全，基本执行了环境影响评价和“三同时”管理制度。验收工作组经认真讨论，认为本项目在环境保护方面符合竣工验收条件，项目通过竣工环境保护验收，可正式投入运行。</w:t>
      </w:r>
    </w:p>
    <w:p>
      <w:pPr>
        <w:spacing w:line="500" w:lineRule="exact"/>
        <w:ind w:firstLine="602" w:firstLineChars="200"/>
        <w:outlineLvl w:val="0"/>
        <w:rPr>
          <w:rFonts w:hint="eastAsia" w:ascii="仿宋_GB2312" w:hAnsi="Times New Roman" w:eastAsia="仿宋_GB2312"/>
          <w:b/>
          <w:bCs/>
          <w:color w:val="000000"/>
          <w:sz w:val="30"/>
          <w:szCs w:val="30"/>
        </w:rPr>
      </w:pPr>
      <w:bookmarkStart w:id="149" w:name="_Toc1319"/>
      <w:bookmarkStart w:id="150" w:name="_Toc173225061"/>
      <w:r>
        <w:rPr>
          <w:rFonts w:hint="eastAsia" w:ascii="仿宋_GB2312" w:hAnsi="Times New Roman" w:eastAsia="仿宋_GB2312"/>
          <w:b/>
          <w:bCs/>
          <w:color w:val="000000"/>
          <w:sz w:val="30"/>
          <w:szCs w:val="30"/>
        </w:rPr>
        <w:t>七、后续要求</w:t>
      </w:r>
      <w:bookmarkEnd w:id="149"/>
    </w:p>
    <w:bookmarkEnd w:id="150"/>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1、加强对医疗废物暂存间及废水处理设施的日常管理及维护，做好医疗废物转运台账及废水处理设施运行管理记录。</w:t>
      </w: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2、完善各类环境管理制度，对外排废水、废气、场界噪声等开展定期监测，确保污染物达标排放。</w:t>
      </w:r>
    </w:p>
    <w:p>
      <w:pPr>
        <w:spacing w:line="500" w:lineRule="exact"/>
        <w:ind w:firstLine="602" w:firstLineChars="200"/>
        <w:outlineLvl w:val="0"/>
        <w:rPr>
          <w:rFonts w:hint="eastAsia" w:ascii="仿宋_GB2312" w:hAnsi="Times New Roman" w:eastAsia="仿宋_GB2312"/>
          <w:b/>
          <w:bCs/>
          <w:color w:val="000000"/>
          <w:sz w:val="30"/>
          <w:szCs w:val="30"/>
        </w:rPr>
      </w:pPr>
      <w:bookmarkStart w:id="151" w:name="_Toc8446"/>
      <w:r>
        <w:rPr>
          <w:rFonts w:hint="eastAsia" w:ascii="仿宋_GB2312" w:hAnsi="Times New Roman" w:eastAsia="仿宋_GB2312"/>
          <w:b/>
          <w:bCs/>
          <w:color w:val="000000"/>
          <w:sz w:val="30"/>
          <w:szCs w:val="30"/>
        </w:rPr>
        <w:t>八、验收人员信息</w:t>
      </w:r>
      <w:bookmarkEnd w:id="151"/>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见附件。</w:t>
      </w:r>
    </w:p>
    <w:p>
      <w:pPr>
        <w:spacing w:line="500" w:lineRule="exact"/>
        <w:ind w:firstLine="600" w:firstLineChars="200"/>
        <w:rPr>
          <w:rFonts w:hint="eastAsia" w:ascii="仿宋_GB2312" w:hAnsi="Times New Roman" w:eastAsia="仿宋_GB2312"/>
          <w:color w:val="000000"/>
          <w:sz w:val="30"/>
          <w:szCs w:val="30"/>
        </w:rPr>
      </w:pPr>
    </w:p>
    <w:p>
      <w:pPr>
        <w:spacing w:line="500" w:lineRule="exact"/>
        <w:ind w:firstLine="600" w:firstLineChars="200"/>
        <w:rPr>
          <w:rFonts w:hint="eastAsia" w:ascii="仿宋_GB2312" w:hAnsi="Times New Roman" w:eastAsia="仿宋_GB2312"/>
          <w:color w:val="000000"/>
          <w:sz w:val="30"/>
          <w:szCs w:val="30"/>
        </w:rPr>
      </w:pP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 xml:space="preserve">                                      验收工作组</w:t>
      </w:r>
    </w:p>
    <w:p>
      <w:pPr>
        <w:spacing w:line="500" w:lineRule="exact"/>
        <w:ind w:firstLine="600" w:firstLineChars="200"/>
        <w:rPr>
          <w:rFonts w:hint="eastAsia" w:ascii="仿宋_GB2312" w:eastAsia="仿宋_GB2312"/>
          <w:color w:val="000000"/>
          <w:sz w:val="30"/>
          <w:szCs w:val="30"/>
        </w:rPr>
      </w:pPr>
      <w:r>
        <w:rPr>
          <w:rFonts w:hint="eastAsia" w:ascii="仿宋_GB2312" w:hAnsi="Times New Roman" w:eastAsia="仿宋_GB2312"/>
          <w:color w:val="000000"/>
          <w:sz w:val="30"/>
          <w:szCs w:val="30"/>
        </w:rPr>
        <w:t xml:space="preserve">                                    2019</w:t>
      </w:r>
      <w:r>
        <w:rPr>
          <w:rFonts w:hint="eastAsia" w:ascii="仿宋_GB2312" w:hAnsi="宋体" w:eastAsia="仿宋_GB2312"/>
          <w:color w:val="000000"/>
          <w:sz w:val="30"/>
          <w:szCs w:val="30"/>
        </w:rPr>
        <w:t>年</w:t>
      </w:r>
      <w:r>
        <w:rPr>
          <w:rFonts w:hint="eastAsia" w:ascii="仿宋_GB2312" w:hAnsi="Times New Roman" w:eastAsia="仿宋_GB2312"/>
          <w:color w:val="000000"/>
          <w:sz w:val="30"/>
          <w:szCs w:val="30"/>
        </w:rPr>
        <w:t>6</w:t>
      </w:r>
      <w:r>
        <w:rPr>
          <w:rFonts w:hint="eastAsia" w:ascii="仿宋_GB2312" w:hAnsi="宋体" w:eastAsia="仿宋_GB2312"/>
          <w:color w:val="000000"/>
          <w:sz w:val="30"/>
          <w:szCs w:val="30"/>
        </w:rPr>
        <w:t>月</w:t>
      </w:r>
      <w:r>
        <w:rPr>
          <w:rFonts w:hint="eastAsia" w:ascii="仿宋_GB2312" w:hAnsi="Times New Roman" w:eastAsia="仿宋_GB2312"/>
          <w:color w:val="000000"/>
          <w:sz w:val="30"/>
          <w:szCs w:val="30"/>
        </w:rPr>
        <w:t>4</w:t>
      </w:r>
      <w:r>
        <w:rPr>
          <w:rFonts w:hint="eastAsia" w:ascii="仿宋_GB2312" w:hAnsi="宋体" w:eastAsia="仿宋_GB2312"/>
          <w:color w:val="000000"/>
          <w:sz w:val="30"/>
          <w:szCs w:val="30"/>
        </w:rPr>
        <w:t>日</w:t>
      </w:r>
    </w:p>
    <w:p>
      <w:pPr>
        <w:spacing w:afterLines="50" w:line="240" w:lineRule="auto"/>
        <w:jc w:val="left"/>
        <w:rPr>
          <w:rFonts w:hint="eastAsia"/>
          <w:b/>
          <w:sz w:val="24"/>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b/>
          <w:sz w:val="24"/>
        </w:rPr>
        <w:t xml:space="preserve"> </w:t>
      </w:r>
    </w:p>
    <w:p>
      <w:pPr>
        <w:pStyle w:val="2"/>
        <w:rPr>
          <w:rFonts w:hint="eastAsia"/>
          <w:lang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lang w:eastAsia="zh-CN"/>
        </w:rPr>
        <w:drawing>
          <wp:anchor distT="0" distB="0" distL="114300" distR="114300" simplePos="0" relativeHeight="251761664" behindDoc="0" locked="0" layoutInCell="1" allowOverlap="1">
            <wp:simplePos x="0" y="0"/>
            <wp:positionH relativeFrom="column">
              <wp:posOffset>-1631315</wp:posOffset>
            </wp:positionH>
            <wp:positionV relativeFrom="paragraph">
              <wp:posOffset>1972310</wp:posOffset>
            </wp:positionV>
            <wp:extent cx="8501380" cy="4962525"/>
            <wp:effectExtent l="0" t="0" r="9525" b="13970"/>
            <wp:wrapSquare wrapText="bothSides"/>
            <wp:docPr id="6" name="图片 6" descr="c8366408c2791395951e6bdc76ad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8366408c2791395951e6bdc76ad29b"/>
                    <pic:cNvPicPr>
                      <a:picLocks noChangeAspect="1"/>
                    </pic:cNvPicPr>
                  </pic:nvPicPr>
                  <pic:blipFill>
                    <a:blip r:embed="rId29"/>
                    <a:stretch>
                      <a:fillRect/>
                    </a:stretch>
                  </pic:blipFill>
                  <pic:spPr>
                    <a:xfrm rot="16200000">
                      <a:off x="0" y="0"/>
                      <a:ext cx="8501380" cy="4962525"/>
                    </a:xfrm>
                    <a:prstGeom prst="rect">
                      <a:avLst/>
                    </a:prstGeom>
                  </pic:spPr>
                </pic:pic>
              </a:graphicData>
            </a:graphic>
          </wp:anchor>
        </w:drawing>
      </w:r>
    </w:p>
    <w:p>
      <w:pPr>
        <w:spacing w:afterLines="50" w:line="400" w:lineRule="exact"/>
        <w:jc w:val="left"/>
        <w:rPr>
          <w:b/>
          <w:sz w:val="24"/>
        </w:rPr>
      </w:pPr>
      <w:r>
        <w:rPr>
          <w:rFonts w:hint="eastAsia"/>
          <w:b/>
          <w:sz w:val="24"/>
        </w:rPr>
        <w:t>附件</w:t>
      </w:r>
      <w:r>
        <w:rPr>
          <w:rFonts w:hint="eastAsia"/>
          <w:b/>
          <w:sz w:val="24"/>
          <w:lang w:val="en-US" w:eastAsia="zh-CN"/>
        </w:rPr>
        <w:t>8</w:t>
      </w:r>
      <w:r>
        <w:rPr>
          <w:rFonts w:hint="eastAsia"/>
          <w:b/>
          <w:sz w:val="24"/>
        </w:rPr>
        <w:t xml:space="preserve"> </w:t>
      </w:r>
      <w:r>
        <w:rPr>
          <w:b/>
          <w:sz w:val="24"/>
        </w:rPr>
        <w:t>建设项目工程竣工环境保护“三同时”验收登记表</w:t>
      </w:r>
    </w:p>
    <w:p>
      <w:pPr>
        <w:pStyle w:val="89"/>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both"/>
        <w:textAlignment w:val="auto"/>
        <w:outlineLvl w:val="9"/>
        <w:rPr>
          <w:rFonts w:hint="eastAsia"/>
          <w:sz w:val="21"/>
          <w:szCs w:val="21"/>
          <w:lang w:eastAsia="zh-CN"/>
        </w:rPr>
      </w:pPr>
      <w:r>
        <w:rPr>
          <w:rFonts w:hint="default" w:ascii="Times New Roman" w:hAnsi="Times New Roman" w:eastAsia="宋体" w:cs="Times New Roman"/>
          <w:b/>
          <w:color w:val="000000"/>
          <w:sz w:val="24"/>
          <w:szCs w:val="24"/>
        </w:rPr>
        <w:t>填表单位（盖章）</w:t>
      </w:r>
      <w:r>
        <w:rPr>
          <w:rFonts w:hint="default" w:ascii="Times New Roman" w:hAnsi="Times New Roman" w:eastAsia="宋体" w:cs="Times New Roman"/>
          <w:b/>
          <w:color w:val="000000"/>
          <w:kern w:val="2"/>
          <w:sz w:val="24"/>
          <w:szCs w:val="24"/>
        </w:rPr>
        <w:t>：</w:t>
      </w:r>
      <w:r>
        <w:rPr>
          <w:rFonts w:hint="default" w:ascii="Times New Roman" w:hAnsi="Times New Roman" w:eastAsia="宋体" w:cs="Times New Roman"/>
          <w:b/>
          <w:color w:val="000000"/>
          <w:sz w:val="24"/>
          <w:szCs w:val="24"/>
        </w:rPr>
        <w:t xml:space="preserve">                  填表人（签字）：                              项目经办人（签字）：</w:t>
      </w:r>
    </w:p>
    <w:tbl>
      <w:tblPr>
        <w:tblStyle w:val="33"/>
        <w:tblW w:w="15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141"/>
        <w:gridCol w:w="993"/>
        <w:gridCol w:w="747"/>
        <w:gridCol w:w="811"/>
        <w:gridCol w:w="142"/>
        <w:gridCol w:w="1133"/>
        <w:gridCol w:w="850"/>
        <w:gridCol w:w="284"/>
        <w:gridCol w:w="992"/>
        <w:gridCol w:w="671"/>
        <w:gridCol w:w="463"/>
        <w:gridCol w:w="1133"/>
        <w:gridCol w:w="143"/>
        <w:gridCol w:w="792"/>
        <w:gridCol w:w="199"/>
        <w:gridCol w:w="1445"/>
        <w:gridCol w:w="1200"/>
        <w:gridCol w:w="473"/>
        <w:gridCol w:w="520"/>
        <w:gridCol w:w="480"/>
        <w:gridCol w:w="708"/>
        <w:gridCol w:w="258"/>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restart"/>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建设项目</w:t>
            </w: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项目名称</w:t>
            </w:r>
          </w:p>
        </w:tc>
        <w:tc>
          <w:tcPr>
            <w:tcW w:w="4883" w:type="dxa"/>
            <w:gridSpan w:val="7"/>
            <w:shd w:val="clear" w:color="auto" w:fill="auto"/>
            <w:vAlign w:val="center"/>
          </w:tcPr>
          <w:p>
            <w:pPr>
              <w:spacing w:line="220" w:lineRule="exact"/>
              <w:jc w:val="center"/>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益阳市康宁精神病专科医院建设项目</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项目代码</w:t>
            </w:r>
          </w:p>
        </w:tc>
        <w:tc>
          <w:tcPr>
            <w:tcW w:w="2436" w:type="dxa"/>
            <w:gridSpan w:val="3"/>
            <w:shd w:val="clear" w:color="auto" w:fill="auto"/>
            <w:vAlign w:val="center"/>
          </w:tcPr>
          <w:p>
            <w:pPr>
              <w:pStyle w:val="90"/>
              <w:widowControl w:val="0"/>
              <w:adjustRightInd/>
              <w:snapToGrid/>
              <w:spacing w:after="0" w:afterLines="-2147483648"/>
              <w:jc w:val="center"/>
              <w:rPr>
                <w:rFonts w:hint="default" w:ascii="Times New Roman" w:hAnsi="Times New Roman" w:eastAsia="宋体" w:cs="Times New Roman"/>
                <w:sz w:val="16"/>
                <w:szCs w:val="16"/>
                <w:vertAlign w:val="baseline"/>
                <w:lang w:val="en-US" w:eastAsia="zh-CN"/>
              </w:rPr>
            </w:pP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建设地点</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益阳市高新区谢林港镇电信楼旁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行业分类(分类管理名录)</w:t>
            </w:r>
          </w:p>
        </w:tc>
        <w:tc>
          <w:tcPr>
            <w:tcW w:w="4883" w:type="dxa"/>
            <w:gridSpan w:val="7"/>
            <w:shd w:val="clear" w:color="auto" w:fill="auto"/>
            <w:vAlign w:val="center"/>
          </w:tcPr>
          <w:p>
            <w:pPr>
              <w:spacing w:line="220" w:lineRule="exact"/>
              <w:jc w:val="center"/>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Q8315 专科医院</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建设性质</w:t>
            </w:r>
          </w:p>
        </w:tc>
        <w:tc>
          <w:tcPr>
            <w:tcW w:w="2436" w:type="dxa"/>
            <w:gridSpan w:val="3"/>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 xml:space="preserve">■新建   </w:t>
            </w:r>
            <w:r>
              <w:rPr>
                <w:rFonts w:hint="eastAsia" w:ascii="Times New Roman" w:hAnsi="Times New Roman" w:eastAsia="宋体" w:cs="Times New Roman"/>
                <w:sz w:val="16"/>
                <w:szCs w:val="16"/>
                <w:vertAlign w:val="baseline"/>
                <w:lang w:val="en-US" w:eastAsia="zh-CN"/>
              </w:rPr>
              <w:t>□</w:t>
            </w:r>
            <w:r>
              <w:rPr>
                <w:rFonts w:hint="default" w:ascii="Times New Roman" w:hAnsi="Times New Roman" w:eastAsia="宋体" w:cs="Times New Roman"/>
                <w:sz w:val="16"/>
                <w:szCs w:val="16"/>
                <w:vertAlign w:val="baseline"/>
                <w:lang w:val="en-US" w:eastAsia="zh-CN"/>
              </w:rPr>
              <w:t xml:space="preserve">改扩建   </w:t>
            </w:r>
            <w:r>
              <w:rPr>
                <w:rFonts w:hint="eastAsia" w:ascii="Times New Roman" w:hAnsi="Times New Roman" w:eastAsia="宋体" w:cs="Times New Roman"/>
                <w:sz w:val="16"/>
                <w:szCs w:val="16"/>
                <w:vertAlign w:val="baseline"/>
                <w:lang w:val="en-US" w:eastAsia="zh-CN"/>
              </w:rPr>
              <w:t>□</w:t>
            </w:r>
            <w:r>
              <w:rPr>
                <w:rFonts w:hint="default" w:ascii="Times New Roman" w:hAnsi="Times New Roman" w:eastAsia="宋体" w:cs="Times New Roman"/>
                <w:sz w:val="16"/>
                <w:szCs w:val="16"/>
                <w:vertAlign w:val="baseline"/>
                <w:lang w:val="en-US" w:eastAsia="zh-CN"/>
              </w:rPr>
              <w:t>技术改造</w:t>
            </w:r>
          </w:p>
        </w:tc>
        <w:tc>
          <w:tcPr>
            <w:tcW w:w="1673" w:type="dxa"/>
            <w:gridSpan w:val="2"/>
            <w:shd w:val="clear" w:color="auto" w:fill="auto"/>
            <w:vAlign w:val="center"/>
          </w:tcPr>
          <w:p>
            <w:pPr>
              <w:pStyle w:val="90"/>
              <w:widowControl w:val="0"/>
              <w:adjustRightInd/>
              <w:snapToGrid/>
              <w:spacing w:after="0" w:afterLines="-2147483648"/>
              <w:rPr>
                <w:rFonts w:hint="eastAsia"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项目中心经纬度</w:t>
            </w:r>
          </w:p>
        </w:tc>
        <w:tc>
          <w:tcPr>
            <w:tcW w:w="2607" w:type="dxa"/>
            <w:gridSpan w:val="5"/>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设计生产能力</w:t>
            </w:r>
          </w:p>
        </w:tc>
        <w:tc>
          <w:tcPr>
            <w:tcW w:w="4883" w:type="dxa"/>
            <w:gridSpan w:val="7"/>
            <w:shd w:val="clear" w:color="auto" w:fill="auto"/>
            <w:vAlign w:val="center"/>
          </w:tcPr>
          <w:p>
            <w:pPr>
              <w:jc w:val="center"/>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69张床位</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实际生产能力</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69张床位</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环评单位</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湖南华中矿业有限公司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环评文件审批机关</w:t>
            </w:r>
          </w:p>
        </w:tc>
        <w:tc>
          <w:tcPr>
            <w:tcW w:w="4883" w:type="dxa"/>
            <w:gridSpan w:val="7"/>
            <w:shd w:val="clear" w:color="auto" w:fill="auto"/>
            <w:vAlign w:val="center"/>
          </w:tcPr>
          <w:p>
            <w:pPr>
              <w:pStyle w:val="90"/>
              <w:widowControl w:val="0"/>
              <w:adjustRightInd/>
              <w:snapToGrid/>
              <w:spacing w:after="0" w:afterLines="-2147483648"/>
              <w:rPr>
                <w:rFonts w:hint="default"/>
                <w:sz w:val="18"/>
                <w:szCs w:val="18"/>
                <w:lang w:val="en-US" w:eastAsia="zh-CN"/>
              </w:rPr>
            </w:pPr>
            <w:r>
              <w:rPr>
                <w:rFonts w:hint="eastAsia"/>
                <w:sz w:val="18"/>
                <w:szCs w:val="18"/>
                <w:lang w:val="en-US" w:eastAsia="zh-CN"/>
              </w:rPr>
              <w:t>益阳市环境保护局</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审批文号</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sz w:val="18"/>
                <w:szCs w:val="18"/>
              </w:rPr>
              <w:t>益环</w:t>
            </w:r>
            <w:r>
              <w:rPr>
                <w:rFonts w:hint="eastAsia"/>
                <w:sz w:val="18"/>
                <w:szCs w:val="18"/>
                <w:lang w:val="en-US" w:eastAsia="zh-CN"/>
              </w:rPr>
              <w:t>高</w:t>
            </w:r>
            <w:r>
              <w:rPr>
                <w:rFonts w:hint="eastAsia"/>
                <w:sz w:val="18"/>
                <w:szCs w:val="18"/>
              </w:rPr>
              <w:t>审</w:t>
            </w:r>
            <w:r>
              <w:rPr>
                <w:rFonts w:hint="eastAsia"/>
                <w:sz w:val="18"/>
                <w:szCs w:val="18"/>
                <w:lang w:eastAsia="zh-CN"/>
              </w:rPr>
              <w:t>（</w:t>
            </w:r>
            <w:r>
              <w:rPr>
                <w:rFonts w:hint="eastAsia"/>
                <w:sz w:val="18"/>
                <w:szCs w:val="18"/>
                <w:lang w:val="en-US" w:eastAsia="zh-CN"/>
              </w:rPr>
              <w:t>表</w:t>
            </w:r>
            <w:r>
              <w:rPr>
                <w:rFonts w:hint="eastAsia"/>
                <w:sz w:val="18"/>
                <w:szCs w:val="18"/>
                <w:lang w:eastAsia="zh-CN"/>
              </w:rPr>
              <w:t>）</w:t>
            </w:r>
            <w:r>
              <w:rPr>
                <w:rFonts w:hint="eastAsia"/>
                <w:sz w:val="18"/>
                <w:szCs w:val="18"/>
              </w:rPr>
              <w:t>[2017]</w:t>
            </w:r>
            <w:r>
              <w:rPr>
                <w:rFonts w:hint="eastAsia"/>
                <w:sz w:val="18"/>
                <w:szCs w:val="18"/>
                <w:lang w:val="en-US" w:eastAsia="zh-CN"/>
              </w:rPr>
              <w:t>38</w:t>
            </w:r>
            <w:r>
              <w:rPr>
                <w:rFonts w:hint="eastAsia"/>
                <w:sz w:val="18"/>
                <w:szCs w:val="18"/>
              </w:rPr>
              <w:t>号</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环评文件类型</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开工日期</w:t>
            </w:r>
          </w:p>
        </w:tc>
        <w:tc>
          <w:tcPr>
            <w:tcW w:w="4883" w:type="dxa"/>
            <w:gridSpan w:val="7"/>
            <w:shd w:val="clear" w:color="auto" w:fill="auto"/>
            <w:vAlign w:val="center"/>
          </w:tcPr>
          <w:p>
            <w:pPr>
              <w:pStyle w:val="90"/>
              <w:widowControl w:val="0"/>
              <w:adjustRightInd/>
              <w:snapToGrid/>
              <w:spacing w:after="0" w:afterLines="-2147483648"/>
              <w:rPr>
                <w:rFonts w:hint="default"/>
                <w:sz w:val="18"/>
                <w:szCs w:val="18"/>
                <w:lang w:val="en-US" w:eastAsia="zh-CN"/>
              </w:rPr>
            </w:pP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竣工日期</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排污许可证申领时间</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环保设施设计单位</w:t>
            </w:r>
          </w:p>
        </w:tc>
        <w:tc>
          <w:tcPr>
            <w:tcW w:w="4883" w:type="dxa"/>
            <w:gridSpan w:val="7"/>
            <w:shd w:val="clear" w:color="auto" w:fill="auto"/>
            <w:vAlign w:val="center"/>
          </w:tcPr>
          <w:p>
            <w:pPr>
              <w:pStyle w:val="90"/>
              <w:widowControl w:val="0"/>
              <w:adjustRightInd/>
              <w:snapToGrid/>
              <w:spacing w:after="0" w:afterLines="-2147483648"/>
              <w:rPr>
                <w:rFonts w:hint="default"/>
                <w:sz w:val="18"/>
                <w:szCs w:val="18"/>
                <w:lang w:val="en-US" w:eastAsia="zh-CN"/>
              </w:rPr>
            </w:pPr>
            <w:r>
              <w:rPr>
                <w:rFonts w:hint="default"/>
                <w:sz w:val="18"/>
                <w:szCs w:val="18"/>
                <w:lang w:val="en-US" w:eastAsia="zh-CN"/>
              </w:rPr>
              <w:t>/</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环保设施施工单位</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本工程排污许可证编号</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验收单位</w:t>
            </w:r>
          </w:p>
        </w:tc>
        <w:tc>
          <w:tcPr>
            <w:tcW w:w="4883" w:type="dxa"/>
            <w:gridSpan w:val="7"/>
            <w:shd w:val="clear" w:color="auto" w:fill="auto"/>
            <w:vAlign w:val="center"/>
          </w:tcPr>
          <w:p>
            <w:pPr>
              <w:pStyle w:val="90"/>
              <w:widowControl w:val="0"/>
              <w:adjustRightInd/>
              <w:snapToGrid/>
              <w:spacing w:after="0" w:afterLines="-2147483648"/>
              <w:rPr>
                <w:rFonts w:hint="default"/>
                <w:sz w:val="18"/>
                <w:szCs w:val="18"/>
                <w:lang w:val="en-US" w:eastAsia="zh-CN"/>
              </w:rPr>
            </w:pPr>
            <w:r>
              <w:rPr>
                <w:rFonts w:hint="eastAsia"/>
                <w:sz w:val="18"/>
                <w:szCs w:val="18"/>
                <w:lang w:val="en-US" w:eastAsia="zh-CN"/>
              </w:rPr>
              <w:t>益阳市康宁精神病专科医院</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环保设施监测单位</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湖南精科检测有限公司</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验收监测时工况</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r>
              <w:rPr>
                <w:rFonts w:hint="eastAsia" w:ascii="Times New Roman" w:hAnsi="Times New Roman" w:eastAsia="宋体" w:cs="Times New Roman"/>
                <w:sz w:val="16"/>
                <w:szCs w:val="16"/>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投资总概算（万元）</w:t>
            </w:r>
          </w:p>
        </w:tc>
        <w:tc>
          <w:tcPr>
            <w:tcW w:w="4883" w:type="dxa"/>
            <w:gridSpan w:val="7"/>
            <w:shd w:val="clear" w:color="auto" w:fill="auto"/>
            <w:vAlign w:val="center"/>
          </w:tcPr>
          <w:p>
            <w:pPr>
              <w:pStyle w:val="90"/>
              <w:widowControl w:val="0"/>
              <w:adjustRightInd/>
              <w:snapToGrid/>
              <w:spacing w:after="0" w:afterLines="-2147483648"/>
              <w:rPr>
                <w:rFonts w:hint="default"/>
                <w:sz w:val="18"/>
                <w:szCs w:val="18"/>
                <w:lang w:val="en-US" w:eastAsia="zh-CN"/>
              </w:rPr>
            </w:pPr>
            <w:r>
              <w:rPr>
                <w:rFonts w:hint="eastAsia"/>
                <w:sz w:val="18"/>
                <w:szCs w:val="18"/>
                <w:lang w:val="en-US" w:eastAsia="zh-CN"/>
              </w:rPr>
              <w:t>500</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环保投资总概算(万元)</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55</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所占比例（%）</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实际总投资（万元）</w:t>
            </w:r>
          </w:p>
        </w:tc>
        <w:tc>
          <w:tcPr>
            <w:tcW w:w="4883" w:type="dxa"/>
            <w:gridSpan w:val="7"/>
            <w:shd w:val="clear" w:color="auto" w:fill="auto"/>
            <w:vAlign w:val="center"/>
          </w:tcPr>
          <w:p>
            <w:pPr>
              <w:pStyle w:val="90"/>
              <w:widowControl w:val="0"/>
              <w:adjustRightInd/>
              <w:snapToGrid/>
              <w:spacing w:after="0" w:afterLines="-2147483648"/>
              <w:rPr>
                <w:rFonts w:hint="default"/>
                <w:sz w:val="18"/>
                <w:szCs w:val="18"/>
                <w:lang w:val="en-US" w:eastAsia="zh-CN"/>
              </w:rPr>
            </w:pPr>
            <w:r>
              <w:rPr>
                <w:rFonts w:hint="eastAsia"/>
                <w:sz w:val="18"/>
                <w:szCs w:val="18"/>
                <w:lang w:val="en-US" w:eastAsia="zh-CN"/>
              </w:rPr>
              <w:t>500</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实际环保投资 (万元)</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15</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所占比例(%）</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废水治理（万元）</w:t>
            </w:r>
          </w:p>
        </w:tc>
        <w:tc>
          <w:tcPr>
            <w:tcW w:w="811"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10</w:t>
            </w:r>
          </w:p>
        </w:tc>
        <w:tc>
          <w:tcPr>
            <w:tcW w:w="1275"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废气治理（万元）</w:t>
            </w:r>
          </w:p>
        </w:tc>
        <w:tc>
          <w:tcPr>
            <w:tcW w:w="85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1</w:t>
            </w:r>
          </w:p>
        </w:tc>
        <w:tc>
          <w:tcPr>
            <w:tcW w:w="1276"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噪声治理(万元)</w:t>
            </w:r>
          </w:p>
        </w:tc>
        <w:tc>
          <w:tcPr>
            <w:tcW w:w="671"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2</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固体废物治理（万元）</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2</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绿化及生态（万元 ）</w:t>
            </w:r>
          </w:p>
        </w:tc>
        <w:tc>
          <w:tcPr>
            <w:tcW w:w="100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66"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其他（万元）</w:t>
            </w:r>
          </w:p>
        </w:tc>
        <w:tc>
          <w:tcPr>
            <w:tcW w:w="641"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新增废水处理设施能力</w:t>
            </w:r>
          </w:p>
        </w:tc>
        <w:tc>
          <w:tcPr>
            <w:tcW w:w="4883" w:type="dxa"/>
            <w:gridSpan w:val="7"/>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新增废气处理设施能力</w:t>
            </w:r>
          </w:p>
        </w:tc>
        <w:tc>
          <w:tcPr>
            <w:tcW w:w="2436"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年平均工作时间（h）</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2302" w:type="dxa"/>
            <w:gridSpan w:val="4"/>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运营单位</w:t>
            </w:r>
          </w:p>
        </w:tc>
        <w:tc>
          <w:tcPr>
            <w:tcW w:w="4212" w:type="dxa"/>
            <w:gridSpan w:val="6"/>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sz w:val="18"/>
                <w:szCs w:val="18"/>
                <w:lang w:val="en-US" w:eastAsia="zh-CN"/>
              </w:rPr>
              <w:t>益阳市康宁精神病专科医院</w:t>
            </w:r>
          </w:p>
        </w:tc>
        <w:tc>
          <w:tcPr>
            <w:tcW w:w="3202" w:type="dxa"/>
            <w:gridSpan w:val="5"/>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运营单位社会统一信用代码(或组织机构代码)</w:t>
            </w:r>
          </w:p>
        </w:tc>
        <w:tc>
          <w:tcPr>
            <w:tcW w:w="164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67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验收时间</w:t>
            </w:r>
          </w:p>
        </w:tc>
        <w:tc>
          <w:tcPr>
            <w:tcW w:w="2607" w:type="dxa"/>
            <w:gridSpan w:val="5"/>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562" w:type="dxa"/>
            <w:gridSpan w:val="2"/>
            <w:vMerge w:val="restart"/>
            <w:shd w:val="clear" w:color="auto" w:fill="auto"/>
            <w:vAlign w:val="center"/>
          </w:tcPr>
          <w:p>
            <w:pPr>
              <w:pStyle w:val="90"/>
              <w:widowControl w:val="0"/>
              <w:adjustRightInd/>
              <w:snapToGrid/>
              <w:spacing w:after="0" w:afterLines="-2147483648"/>
              <w:jc w:val="both"/>
              <w:rPr>
                <w:rFonts w:hint="default" w:ascii="Times New Roman" w:hAnsi="Times New Roman" w:eastAsia="宋体" w:cs="Times New Roman"/>
                <w:sz w:val="16"/>
                <w:szCs w:val="16"/>
                <w:vertAlign w:val="baseline"/>
                <w:lang w:val="en-US" w:eastAsia="zh-CN"/>
              </w:rPr>
            </w:pPr>
          </w:p>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污染物排放达标与总量控制（工业建设项目详填）</w:t>
            </w: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污染物</w:t>
            </w:r>
          </w:p>
        </w:tc>
        <w:tc>
          <w:tcPr>
            <w:tcW w:w="953" w:type="dxa"/>
            <w:gridSpan w:val="2"/>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原有排放量(1)</w:t>
            </w:r>
          </w:p>
        </w:tc>
        <w:tc>
          <w:tcPr>
            <w:tcW w:w="1133" w:type="dxa"/>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本期工程实际排放浓度(2)</w:t>
            </w:r>
          </w:p>
        </w:tc>
        <w:tc>
          <w:tcPr>
            <w:tcW w:w="1134" w:type="dxa"/>
            <w:gridSpan w:val="2"/>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本期工程允许排放浓度(3)</w:t>
            </w:r>
          </w:p>
        </w:tc>
        <w:tc>
          <w:tcPr>
            <w:tcW w:w="992" w:type="dxa"/>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本期工程产生量(4)</w:t>
            </w:r>
          </w:p>
        </w:tc>
        <w:tc>
          <w:tcPr>
            <w:tcW w:w="1134" w:type="dxa"/>
            <w:gridSpan w:val="2"/>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本期工程自身削减量(5)</w:t>
            </w:r>
          </w:p>
        </w:tc>
        <w:tc>
          <w:tcPr>
            <w:tcW w:w="1133" w:type="dxa"/>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本期工程实际排放量(6)</w:t>
            </w:r>
          </w:p>
        </w:tc>
        <w:tc>
          <w:tcPr>
            <w:tcW w:w="1134" w:type="dxa"/>
            <w:gridSpan w:val="3"/>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本期工程核定排放总量(7)</w:t>
            </w:r>
          </w:p>
        </w:tc>
        <w:tc>
          <w:tcPr>
            <w:tcW w:w="1445" w:type="dxa"/>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本期工程“以新带老”削减量(8)</w:t>
            </w:r>
          </w:p>
        </w:tc>
        <w:tc>
          <w:tcPr>
            <w:tcW w:w="1200" w:type="dxa"/>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全厂实际排放总量(9)</w:t>
            </w:r>
          </w:p>
        </w:tc>
        <w:tc>
          <w:tcPr>
            <w:tcW w:w="993" w:type="dxa"/>
            <w:gridSpan w:val="2"/>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全厂核定排放总量(10)</w:t>
            </w:r>
          </w:p>
        </w:tc>
        <w:tc>
          <w:tcPr>
            <w:tcW w:w="1188" w:type="dxa"/>
            <w:gridSpan w:val="2"/>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区域平衡替代削减量(11)</w:t>
            </w:r>
          </w:p>
        </w:tc>
        <w:tc>
          <w:tcPr>
            <w:tcW w:w="899" w:type="dxa"/>
            <w:gridSpan w:val="2"/>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废水</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20.9</w:t>
            </w: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20.9</w:t>
            </w: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化学需氧量</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rPr>
            </w:pPr>
            <w:r>
              <w:rPr>
                <w:rFonts w:hint="eastAsia" w:ascii="Times New Roman" w:hAnsi="Times New Roman" w:cs="Times New Roman"/>
                <w:sz w:val="16"/>
                <w:szCs w:val="16"/>
                <w:vertAlign w:val="baseline"/>
                <w:lang w:val="en-US" w:eastAsia="zh-CN"/>
              </w:rPr>
              <w:t>34</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rPr>
            </w:pPr>
            <w:r>
              <w:rPr>
                <w:rFonts w:hint="eastAsia" w:ascii="Times New Roman" w:hAnsi="Times New Roman" w:cs="Times New Roman"/>
                <w:sz w:val="16"/>
                <w:szCs w:val="16"/>
                <w:vertAlign w:val="baseline"/>
                <w:lang w:val="en-US" w:eastAsia="zh-CN"/>
              </w:rPr>
              <w:t>60</w:t>
            </w: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0.26</w:t>
            </w: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0.46</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0.26</w:t>
            </w: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0.46</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氨氮</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rPr>
            </w:pPr>
            <w:r>
              <w:rPr>
                <w:rFonts w:hint="eastAsia" w:ascii="Times New Roman" w:hAnsi="Times New Roman" w:cs="Times New Roman"/>
                <w:sz w:val="16"/>
                <w:szCs w:val="16"/>
                <w:vertAlign w:val="baseline"/>
                <w:lang w:val="en-US" w:eastAsia="zh-CN"/>
              </w:rPr>
              <w:t>7.07</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rPr>
            </w:pPr>
            <w:r>
              <w:rPr>
                <w:rFonts w:hint="eastAsia" w:ascii="Times New Roman" w:hAnsi="Times New Roman" w:cs="Times New Roman"/>
                <w:sz w:val="16"/>
                <w:szCs w:val="16"/>
                <w:vertAlign w:val="baseline"/>
                <w:lang w:val="en-US" w:eastAsia="zh-CN"/>
              </w:rPr>
              <w:t>15</w:t>
            </w: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0.054</w:t>
            </w: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0.11</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0.054</w:t>
            </w: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0.11</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废气</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color w:val="000000"/>
                <w:kern w:val="2"/>
                <w:sz w:val="16"/>
                <w:szCs w:val="16"/>
                <w:vertAlign w:val="baseline"/>
                <w:lang w:val="en-US" w:eastAsia="zh-CN" w:bidi="ar-SA"/>
              </w:rPr>
            </w:pP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二氧化硫</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6"/>
                <w:szCs w:val="16"/>
                <w:vertAlign w:val="baseline"/>
                <w:lang w:val="en-US" w:eastAsia="zh-CN" w:bidi="ar-SA"/>
              </w:rPr>
            </w:pPr>
          </w:p>
        </w:tc>
        <w:tc>
          <w:tcPr>
            <w:tcW w:w="1134"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6"/>
                <w:szCs w:val="16"/>
                <w:vertAlign w:val="baseline"/>
                <w:lang w:val="en-US" w:eastAsia="zh-CN" w:bidi="ar-SA"/>
              </w:rPr>
            </w:pP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16"/>
                <w:szCs w:val="16"/>
                <w:vertAlign w:val="baseline"/>
                <w:lang w:val="en-US" w:eastAsia="zh-CN"/>
              </w:rPr>
            </w:pPr>
          </w:p>
        </w:tc>
        <w:tc>
          <w:tcPr>
            <w:tcW w:w="993"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16"/>
                <w:szCs w:val="16"/>
                <w:vertAlign w:val="baseline"/>
                <w:lang w:val="en-US" w:eastAsia="zh-CN"/>
              </w:rPr>
            </w:pP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氮氧化物</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6"/>
                <w:szCs w:val="16"/>
                <w:vertAlign w:val="baseline"/>
                <w:lang w:val="en-US" w:eastAsia="zh-CN" w:bidi="ar-SA"/>
              </w:rPr>
            </w:pPr>
          </w:p>
        </w:tc>
        <w:tc>
          <w:tcPr>
            <w:tcW w:w="1134" w:type="dxa"/>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16"/>
                <w:szCs w:val="16"/>
                <w:vertAlign w:val="baseline"/>
                <w:lang w:val="en-US" w:eastAsia="zh-CN" w:bidi="ar-SA"/>
              </w:rPr>
            </w:pP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16"/>
                <w:szCs w:val="16"/>
                <w:vertAlign w:val="baseline"/>
                <w:lang w:val="en-US" w:eastAsia="zh-CN"/>
              </w:rPr>
            </w:pPr>
          </w:p>
        </w:tc>
        <w:tc>
          <w:tcPr>
            <w:tcW w:w="993"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16"/>
                <w:szCs w:val="16"/>
                <w:vertAlign w:val="baseline"/>
                <w:lang w:val="en-US" w:eastAsia="zh-CN"/>
              </w:rPr>
            </w:pP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工业固体废物</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restart"/>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与项目有关的其他特征污染物</w:t>
            </w:r>
          </w:p>
        </w:tc>
        <w:tc>
          <w:tcPr>
            <w:tcW w:w="747"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90"/>
              <w:widowControl w:val="0"/>
              <w:adjustRightInd/>
              <w:snapToGrid/>
              <w:spacing w:after="0" w:afterLines="-2147483648"/>
              <w:rPr>
                <w:rFonts w:hint="eastAsia"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747"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continue"/>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747"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9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exact"/>
          <w:jc w:val="center"/>
        </w:trPr>
        <w:tc>
          <w:tcPr>
            <w:tcW w:w="15640" w:type="dxa"/>
            <w:gridSpan w:val="24"/>
            <w:shd w:val="clear" w:color="auto" w:fill="auto"/>
            <w:vAlign w:val="center"/>
          </w:tcPr>
          <w:p>
            <w:pPr>
              <w:pStyle w:val="9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注：1、排放增减量：（+）表示增加，（-）表示减少； 2、(12)=(6)-(8)-(11)，（9）= (4)-(5)-(8)- (11) +（1）； 3、计量单位：废水排放量——万吨/年；废气排放量——标立方米/年；工业固体废物排放量——万吨/年； 水污染物排放浓度——毫克/升；大气污染物排放浓度——毫克/立方米；水污染物排放量——吨/年；大气污染物排放量——吨/年</w:t>
            </w:r>
          </w:p>
        </w:tc>
      </w:tr>
    </w:tbl>
    <w:p>
      <w:pPr>
        <w:pStyle w:val="2"/>
        <w:rPr>
          <w:b/>
          <w:sz w:val="24"/>
        </w:rPr>
      </w:pPr>
    </w:p>
    <w:p>
      <w:pPr>
        <w:pStyle w:val="2"/>
        <w:rPr>
          <w:b/>
          <w:sz w:val="24"/>
        </w:rPr>
      </w:pPr>
    </w:p>
    <w:p>
      <w:pPr>
        <w:sectPr>
          <w:pgSz w:w="16838" w:h="11906" w:orient="landscape"/>
          <w:pgMar w:top="1474" w:right="1418" w:bottom="1474" w:left="993"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afterLines="50"/>
        <w:jc w:val="left"/>
        <w:rPr>
          <w:b/>
          <w:sz w:val="24"/>
        </w:rPr>
      </w:pPr>
      <w:r>
        <w:rPr>
          <w:rFonts w:hint="eastAsia"/>
          <w:b/>
          <w:sz w:val="24"/>
        </w:rPr>
        <w:t>附图1 项目地理位置图</w:t>
      </w:r>
    </w:p>
    <w:p>
      <w:pPr>
        <w:spacing w:afterLines="50"/>
        <w:jc w:val="left"/>
        <w:rPr>
          <w:rFonts w:hint="eastAsia" w:eastAsia="宋体"/>
          <w:b/>
          <w:sz w:val="24"/>
          <w:lang w:eastAsia="zh-CN"/>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r>
        <w:drawing>
          <wp:inline distT="0" distB="0" distL="114300" distR="114300">
            <wp:extent cx="5681345" cy="3111500"/>
            <wp:effectExtent l="0" t="0" r="1460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681345" cy="3111500"/>
                    </a:xfrm>
                    <a:prstGeom prst="rect">
                      <a:avLst/>
                    </a:prstGeom>
                    <a:noFill/>
                    <a:ln w="9525">
                      <a:noFill/>
                    </a:ln>
                  </pic:spPr>
                </pic:pic>
              </a:graphicData>
            </a:graphic>
          </wp:inline>
        </w:drawing>
      </w:r>
    </w:p>
    <w:p>
      <w:pPr>
        <w:spacing w:afterLines="50"/>
        <w:jc w:val="left"/>
        <w:rPr>
          <w:b/>
          <w:sz w:val="24"/>
        </w:rPr>
      </w:pPr>
      <w:r>
        <w:rPr>
          <w:rFonts w:hint="eastAsia"/>
          <w:b/>
          <w:sz w:val="24"/>
        </w:rPr>
        <w:t>附图2</w:t>
      </w:r>
      <w:r>
        <w:rPr>
          <w:b/>
          <w:sz w:val="24"/>
        </w:rPr>
        <w:t xml:space="preserve"> </w:t>
      </w:r>
      <w:r>
        <w:rPr>
          <w:rFonts w:hint="eastAsia"/>
          <w:b/>
          <w:bCs/>
          <w:sz w:val="24"/>
        </w:rPr>
        <w:t>项目</w:t>
      </w:r>
      <w:r>
        <w:rPr>
          <w:rFonts w:hint="eastAsia"/>
          <w:b/>
          <w:sz w:val="24"/>
        </w:rPr>
        <w:t>现场照片</w:t>
      </w:r>
    </w:p>
    <w:tbl>
      <w:tblPr>
        <w:tblStyle w:val="32"/>
        <w:tblW w:w="8504" w:type="dxa"/>
        <w:jc w:val="center"/>
        <w:tblInd w:w="0" w:type="dxa"/>
        <w:tblLayout w:type="fixed"/>
        <w:tblCellMar>
          <w:top w:w="0" w:type="dxa"/>
          <w:left w:w="108" w:type="dxa"/>
          <w:bottom w:w="0" w:type="dxa"/>
          <w:right w:w="108" w:type="dxa"/>
        </w:tblCellMar>
      </w:tblPr>
      <w:tblGrid>
        <w:gridCol w:w="4252"/>
        <w:gridCol w:w="4252"/>
      </w:tblGrid>
      <w:tr>
        <w:tblPrEx>
          <w:tblLayout w:type="fixed"/>
          <w:tblCellMar>
            <w:top w:w="0" w:type="dxa"/>
            <w:left w:w="108" w:type="dxa"/>
            <w:bottom w:w="0" w:type="dxa"/>
            <w:right w:w="108" w:type="dxa"/>
          </w:tblCellMar>
        </w:tblPrEx>
        <w:trPr>
          <w:trHeight w:val="3627" w:hRule="atLeast"/>
          <w:jc w:val="center"/>
        </w:trPr>
        <w:tc>
          <w:tcPr>
            <w:tcW w:w="4252" w:type="dxa"/>
            <w:vAlign w:val="center"/>
          </w:tcPr>
          <w:p>
            <w:pPr>
              <w:jc w:val="center"/>
              <w:rPr>
                <w:rFonts w:hint="eastAsia" w:eastAsia="宋体"/>
                <w:lang w:eastAsia="zh-CN"/>
              </w:rPr>
            </w:pPr>
            <w:r>
              <w:rPr>
                <w:rFonts w:hint="eastAsia" w:ascii="宋体" w:hAnsi="宋体"/>
                <w:b/>
                <w:bCs/>
                <w:sz w:val="18"/>
                <w:szCs w:val="18"/>
                <w:lang w:val="en-US" w:eastAsia="zh-CN"/>
              </w:rPr>
              <w:drawing>
                <wp:inline distT="0" distB="0" distL="114300" distR="114300">
                  <wp:extent cx="2515870" cy="1887220"/>
                  <wp:effectExtent l="0" t="0" r="17780" b="17780"/>
                  <wp:docPr id="35" name="图片 35" descr="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医院"/>
                          <pic:cNvPicPr>
                            <a:picLocks noChangeAspect="1"/>
                          </pic:cNvPicPr>
                        </pic:nvPicPr>
                        <pic:blipFill>
                          <a:blip r:embed="rId31"/>
                          <a:stretch>
                            <a:fillRect/>
                          </a:stretch>
                        </pic:blipFill>
                        <pic:spPr>
                          <a:xfrm>
                            <a:off x="0" y="0"/>
                            <a:ext cx="2515870" cy="1887220"/>
                          </a:xfrm>
                          <a:prstGeom prst="rect">
                            <a:avLst/>
                          </a:prstGeom>
                        </pic:spPr>
                      </pic:pic>
                    </a:graphicData>
                  </a:graphic>
                </wp:inline>
              </w:drawing>
            </w:r>
          </w:p>
        </w:tc>
        <w:tc>
          <w:tcPr>
            <w:tcW w:w="4252" w:type="dxa"/>
            <w:vAlign w:val="center"/>
          </w:tcPr>
          <w:p>
            <w:pPr>
              <w:jc w:val="center"/>
              <w:rPr>
                <w:rFonts w:hint="eastAsia" w:eastAsia="宋体"/>
                <w:lang w:eastAsia="zh-CN"/>
              </w:rPr>
            </w:pPr>
            <w:r>
              <w:rPr>
                <w:rFonts w:hint="eastAsia" w:eastAsia="宋体"/>
                <w:lang w:eastAsia="zh-CN"/>
              </w:rPr>
              <w:drawing>
                <wp:inline distT="0" distB="0" distL="114300" distR="114300">
                  <wp:extent cx="2393315" cy="2099310"/>
                  <wp:effectExtent l="0" t="0" r="6985" b="15240"/>
                  <wp:docPr id="25" name="图片 25" descr="危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危废间"/>
                          <pic:cNvPicPr>
                            <a:picLocks noChangeAspect="1"/>
                          </pic:cNvPicPr>
                        </pic:nvPicPr>
                        <pic:blipFill>
                          <a:blip r:embed="rId32"/>
                          <a:stretch>
                            <a:fillRect/>
                          </a:stretch>
                        </pic:blipFill>
                        <pic:spPr>
                          <a:xfrm>
                            <a:off x="0" y="0"/>
                            <a:ext cx="2393315" cy="209931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454" w:hRule="atLeast"/>
          <w:jc w:val="center"/>
        </w:trPr>
        <w:tc>
          <w:tcPr>
            <w:tcW w:w="4252" w:type="dxa"/>
            <w:vAlign w:val="center"/>
          </w:tcPr>
          <w:p>
            <w:pPr>
              <w:jc w:val="center"/>
              <w:rPr>
                <w:rFonts w:ascii="宋体" w:hAnsi="宋体"/>
                <w:b/>
                <w:bCs/>
                <w:sz w:val="18"/>
                <w:szCs w:val="18"/>
              </w:rPr>
            </w:pPr>
            <w:r>
              <w:rPr>
                <w:rFonts w:hint="eastAsia" w:ascii="宋体" w:hAnsi="宋体"/>
                <w:b/>
                <w:bCs/>
                <w:sz w:val="18"/>
                <w:szCs w:val="18"/>
                <w:lang w:val="en-US" w:eastAsia="zh-CN"/>
              </w:rPr>
              <w:t>医院</w:t>
            </w:r>
          </w:p>
        </w:tc>
        <w:tc>
          <w:tcPr>
            <w:tcW w:w="4252" w:type="dxa"/>
            <w:vAlign w:val="center"/>
          </w:tcPr>
          <w:p>
            <w:pPr>
              <w:jc w:val="center"/>
              <w:rPr>
                <w:rFonts w:hint="eastAsia" w:ascii="宋体" w:hAnsi="宋体"/>
                <w:b/>
                <w:bCs/>
                <w:sz w:val="18"/>
                <w:szCs w:val="18"/>
              </w:rPr>
            </w:pPr>
            <w:r>
              <w:rPr>
                <w:rFonts w:hint="eastAsia" w:ascii="宋体" w:hAnsi="宋体"/>
                <w:b/>
                <w:bCs/>
                <w:sz w:val="18"/>
                <w:szCs w:val="18"/>
              </w:rPr>
              <w:t>医疗废物暂存间</w:t>
            </w:r>
          </w:p>
        </w:tc>
      </w:tr>
      <w:tr>
        <w:tblPrEx>
          <w:tblLayout w:type="fixed"/>
          <w:tblCellMar>
            <w:top w:w="0" w:type="dxa"/>
            <w:left w:w="108" w:type="dxa"/>
            <w:bottom w:w="0" w:type="dxa"/>
            <w:right w:w="108" w:type="dxa"/>
          </w:tblCellMar>
        </w:tblPrEx>
        <w:trPr>
          <w:trHeight w:val="3657" w:hRule="atLeast"/>
          <w:jc w:val="center"/>
        </w:trPr>
        <w:tc>
          <w:tcPr>
            <w:tcW w:w="8504" w:type="dxa"/>
            <w:gridSpan w:val="2"/>
            <w:vAlign w:val="center"/>
          </w:tcPr>
          <w:p>
            <w:pPr>
              <w:jc w:val="center"/>
              <w:rPr>
                <w:rFonts w:hint="eastAsia" w:ascii="宋体" w:hAnsi="宋体" w:eastAsia="宋体"/>
                <w:b/>
                <w:bCs/>
                <w:sz w:val="18"/>
                <w:szCs w:val="18"/>
                <w:lang w:eastAsia="zh-CN"/>
              </w:rPr>
            </w:pPr>
            <w:r>
              <w:rPr>
                <w:rFonts w:hint="eastAsia" w:ascii="宋体" w:hAnsi="宋体" w:eastAsia="宋体"/>
                <w:b/>
                <w:bCs/>
                <w:sz w:val="18"/>
                <w:szCs w:val="18"/>
                <w:lang w:eastAsia="zh-CN"/>
              </w:rPr>
              <w:drawing>
                <wp:inline distT="0" distB="0" distL="114300" distR="114300">
                  <wp:extent cx="3317875" cy="3024505"/>
                  <wp:effectExtent l="0" t="0" r="15875" b="4445"/>
                  <wp:docPr id="8" name="图片 8" descr="d834a2e9df7812898b0c734a2462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34a2e9df7812898b0c734a2462e2f"/>
                          <pic:cNvPicPr>
                            <a:picLocks noChangeAspect="1"/>
                          </pic:cNvPicPr>
                        </pic:nvPicPr>
                        <pic:blipFill>
                          <a:blip r:embed="rId33"/>
                          <a:stretch>
                            <a:fillRect/>
                          </a:stretch>
                        </pic:blipFill>
                        <pic:spPr>
                          <a:xfrm>
                            <a:off x="0" y="0"/>
                            <a:ext cx="3317875" cy="3024505"/>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454" w:hRule="atLeast"/>
          <w:jc w:val="center"/>
        </w:trPr>
        <w:tc>
          <w:tcPr>
            <w:tcW w:w="8504" w:type="dxa"/>
            <w:gridSpan w:val="2"/>
            <w:vAlign w:val="center"/>
          </w:tcPr>
          <w:p>
            <w:pPr>
              <w:jc w:val="center"/>
              <w:rPr>
                <w:rFonts w:ascii="宋体" w:hAnsi="宋体"/>
                <w:sz w:val="18"/>
                <w:szCs w:val="18"/>
              </w:rPr>
            </w:pPr>
            <w:r>
              <w:rPr>
                <w:rFonts w:hint="eastAsia" w:ascii="宋体" w:hAnsi="宋体"/>
                <w:b/>
                <w:bCs/>
                <w:sz w:val="18"/>
                <w:szCs w:val="18"/>
                <w:lang w:val="en-US" w:eastAsia="zh-CN"/>
              </w:rPr>
              <w:t>二氧化氯发生器</w:t>
            </w:r>
          </w:p>
        </w:tc>
      </w:tr>
      <w:tr>
        <w:tblPrEx>
          <w:tblLayout w:type="fixed"/>
          <w:tblCellMar>
            <w:top w:w="0" w:type="dxa"/>
            <w:left w:w="108" w:type="dxa"/>
            <w:bottom w:w="0" w:type="dxa"/>
            <w:right w:w="108" w:type="dxa"/>
          </w:tblCellMar>
        </w:tblPrEx>
        <w:trPr>
          <w:trHeight w:val="3717" w:hRule="atLeast"/>
          <w:jc w:val="center"/>
        </w:trPr>
        <w:tc>
          <w:tcPr>
            <w:tcW w:w="4252" w:type="dxa"/>
            <w:vAlign w:val="center"/>
          </w:tcPr>
          <w:p>
            <w:pPr>
              <w:jc w:val="center"/>
              <w:rPr>
                <w:rFonts w:hint="eastAsia" w:ascii="宋体" w:hAnsi="宋体" w:eastAsia="宋体"/>
                <w:b/>
                <w:bCs/>
                <w:sz w:val="18"/>
                <w:szCs w:val="18"/>
                <w:lang w:eastAsia="zh-CN"/>
              </w:rPr>
            </w:pPr>
            <w:r>
              <w:rPr>
                <w:rFonts w:hint="eastAsia" w:ascii="宋体" w:hAnsi="宋体" w:eastAsia="宋体"/>
                <w:b/>
                <w:bCs/>
                <w:sz w:val="18"/>
                <w:szCs w:val="18"/>
                <w:lang w:eastAsia="zh-CN"/>
              </w:rPr>
              <w:drawing>
                <wp:inline distT="0" distB="0" distL="114300" distR="114300">
                  <wp:extent cx="2015490" cy="2272665"/>
                  <wp:effectExtent l="0" t="0" r="3810" b="13335"/>
                  <wp:docPr id="7" name="图片 7" descr="57bd9a3e4d8c50165b030a321a1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7bd9a3e4d8c50165b030a321a18637"/>
                          <pic:cNvPicPr>
                            <a:picLocks noChangeAspect="1"/>
                          </pic:cNvPicPr>
                        </pic:nvPicPr>
                        <pic:blipFill>
                          <a:blip r:embed="rId34"/>
                          <a:stretch>
                            <a:fillRect/>
                          </a:stretch>
                        </pic:blipFill>
                        <pic:spPr>
                          <a:xfrm>
                            <a:off x="0" y="0"/>
                            <a:ext cx="2015490" cy="2272665"/>
                          </a:xfrm>
                          <a:prstGeom prst="rect">
                            <a:avLst/>
                          </a:prstGeom>
                        </pic:spPr>
                      </pic:pic>
                    </a:graphicData>
                  </a:graphic>
                </wp:inline>
              </w:drawing>
            </w:r>
          </w:p>
        </w:tc>
        <w:tc>
          <w:tcPr>
            <w:tcW w:w="4252" w:type="dxa"/>
            <w:vAlign w:val="center"/>
          </w:tcPr>
          <w:p>
            <w:pPr>
              <w:jc w:val="center"/>
              <w:rPr>
                <w:rFonts w:hint="eastAsia" w:ascii="宋体" w:hAnsi="宋体" w:eastAsia="宋体"/>
                <w:b/>
                <w:bCs/>
                <w:sz w:val="18"/>
                <w:szCs w:val="18"/>
                <w:lang w:eastAsia="zh-CN"/>
              </w:rPr>
            </w:pPr>
            <w:r>
              <w:rPr>
                <w:rFonts w:hint="eastAsia" w:ascii="宋体" w:hAnsi="宋体" w:eastAsia="宋体"/>
                <w:b/>
                <w:bCs/>
                <w:sz w:val="18"/>
                <w:szCs w:val="18"/>
                <w:lang w:eastAsia="zh-CN"/>
              </w:rPr>
              <w:drawing>
                <wp:inline distT="0" distB="0" distL="114300" distR="114300">
                  <wp:extent cx="2560320" cy="2108200"/>
                  <wp:effectExtent l="0" t="0" r="11430" b="6350"/>
                  <wp:docPr id="2" name="图片 2" descr="3f36a0e21de02ce63b3875aa1916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f36a0e21de02ce63b3875aa1916d3b"/>
                          <pic:cNvPicPr>
                            <a:picLocks noChangeAspect="1"/>
                          </pic:cNvPicPr>
                        </pic:nvPicPr>
                        <pic:blipFill>
                          <a:blip r:embed="rId35"/>
                          <a:stretch>
                            <a:fillRect/>
                          </a:stretch>
                        </pic:blipFill>
                        <pic:spPr>
                          <a:xfrm>
                            <a:off x="0" y="0"/>
                            <a:ext cx="2560320" cy="210820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469" w:hRule="atLeast"/>
          <w:jc w:val="center"/>
        </w:trPr>
        <w:tc>
          <w:tcPr>
            <w:tcW w:w="8504" w:type="dxa"/>
            <w:gridSpan w:val="2"/>
            <w:vAlign w:val="center"/>
          </w:tcPr>
          <w:p>
            <w:pPr>
              <w:jc w:val="center"/>
              <w:rPr>
                <w:rFonts w:hint="eastAsia" w:ascii="宋体" w:hAnsi="宋体" w:eastAsia="宋体"/>
                <w:b/>
                <w:bCs/>
                <w:sz w:val="18"/>
                <w:szCs w:val="18"/>
                <w:lang w:eastAsia="zh-CN"/>
              </w:rPr>
            </w:pPr>
            <w:r>
              <w:rPr>
                <w:rFonts w:hint="eastAsia" w:ascii="宋体" w:hAnsi="宋体"/>
                <w:b/>
                <w:bCs/>
                <w:sz w:val="18"/>
                <w:szCs w:val="18"/>
                <w:lang w:val="en-US" w:eastAsia="zh-CN"/>
              </w:rPr>
              <w:t>污水处理池</w:t>
            </w:r>
          </w:p>
        </w:tc>
      </w:tr>
    </w:tbl>
    <w:p>
      <w:pPr>
        <w:rPr>
          <w:rFonts w:ascii="宋体" w:hAnsi="宋体"/>
          <w:b/>
          <w:bCs/>
          <w:sz w:val="18"/>
          <w:szCs w:val="18"/>
        </w:rPr>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afterLines="50"/>
        <w:jc w:val="left"/>
        <w:rPr>
          <w:rFonts w:hint="eastAsia"/>
          <w:b/>
          <w:sz w:val="24"/>
        </w:rPr>
      </w:pPr>
      <w:r>
        <w:rPr>
          <w:b/>
          <w:sz w:val="24"/>
        </w:rPr>
        <w:t>附图</w:t>
      </w:r>
      <w:r>
        <w:rPr>
          <w:rFonts w:hint="eastAsia"/>
          <w:b/>
          <w:sz w:val="24"/>
        </w:rPr>
        <w:t>3</w:t>
      </w:r>
      <w:r>
        <w:rPr>
          <w:b/>
          <w:sz w:val="24"/>
        </w:rPr>
        <w:t xml:space="preserve"> </w:t>
      </w:r>
      <w:r>
        <w:rPr>
          <w:rFonts w:hint="eastAsia"/>
          <w:b/>
          <w:sz w:val="24"/>
        </w:rPr>
        <w:t>现场监测点位图</w:t>
      </w:r>
    </w:p>
    <w:p>
      <w:pPr>
        <w:pStyle w:val="11"/>
        <w:rPr>
          <w:rFonts w:hint="eastAsia"/>
          <w:b/>
          <w:sz w:val="24"/>
        </w:rPr>
      </w:pPr>
      <w:r>
        <w:rPr>
          <w:sz w:val="24"/>
        </w:rPr>
        <w:drawing>
          <wp:anchor distT="0" distB="0" distL="114300" distR="114300" simplePos="0" relativeHeight="251760640" behindDoc="0" locked="0" layoutInCell="1" allowOverlap="1">
            <wp:simplePos x="0" y="0"/>
            <wp:positionH relativeFrom="column">
              <wp:posOffset>5172710</wp:posOffset>
            </wp:positionH>
            <wp:positionV relativeFrom="paragraph">
              <wp:posOffset>74295</wp:posOffset>
            </wp:positionV>
            <wp:extent cx="361950" cy="828675"/>
            <wp:effectExtent l="0" t="0" r="0" b="9525"/>
            <wp:wrapNone/>
            <wp:docPr id="22" name="图片 2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指北针"/>
                    <pic:cNvPicPr>
                      <a:picLocks noChangeAspect="1"/>
                    </pic:cNvPicPr>
                  </pic:nvPicPr>
                  <pic:blipFill>
                    <a:blip r:embed="rId36"/>
                    <a:stretch>
                      <a:fillRect/>
                    </a:stretch>
                  </pic:blipFill>
                  <pic:spPr>
                    <a:xfrm>
                      <a:off x="0" y="0"/>
                      <a:ext cx="361950" cy="828675"/>
                    </a:xfrm>
                    <a:prstGeom prst="rect">
                      <a:avLst/>
                    </a:prstGeom>
                  </pic:spPr>
                </pic:pic>
              </a:graphicData>
            </a:graphic>
          </wp:anchor>
        </w:drawing>
      </w:r>
    </w:p>
    <w:p>
      <w:pPr>
        <w:pStyle w:val="11"/>
        <w:rPr>
          <w:rFonts w:hint="eastAsia"/>
          <w:b/>
          <w:sz w:val="24"/>
        </w:rPr>
      </w:pPr>
      <w:r>
        <w:rPr>
          <w:sz w:val="24"/>
        </w:rPr>
        <w:pict>
          <v:group id="_x0000_s2285" o:spid="_x0000_s2285" o:spt="203" style="position:absolute;left:0pt;margin-left:36.45pt;margin-top:10.75pt;height:195pt;width:391.45pt;z-index:251745280;mso-width-relative:page;mso-height-relative:page;" coordorigin="7875,1186370" coordsize="7829,3900">
            <o:lock v:ext="edit" aspectratio="f"/>
            <v:line id="_x0000_s2266" o:spid="_x0000_s2266" o:spt="20" style="position:absolute;left:8130;top:1186370;height:1;width:6960;" fillcolor="#FFFFFF" filled="t" stroked="t" coordsize="21600,21600">
              <v:path arrowok="t"/>
              <v:fill on="t" color2="#FFFFFF" focussize="0,0"/>
              <v:stroke color="#000001"/>
              <v:imagedata o:title=""/>
              <o:lock v:ext="edit" aspectratio="f"/>
            </v:line>
            <v:rect id="_x0000_s2268" o:spid="_x0000_s2268" o:spt="1" style="position:absolute;left:8535;top:1187300;height:2970;width:6090;" fillcolor="#FFFFFF" filled="t" stroked="t" coordsize="21600,21600">
              <v:path/>
              <v:fill on="t" color2="#FFFFFF" focussize="0,0"/>
              <v:stroke color="#000001"/>
              <v:imagedata o:title=""/>
              <o:lock v:ext="edit" aspectratio="f"/>
            </v:rect>
            <v:rect id="_x0000_s2269" o:spid="_x0000_s2269" o:spt="1" style="position:absolute;left:7875;top:1187660;height:1815;width:630;" fillcolor="#FFFFFF" filled="t" stroked="t" coordsize="21600,21600">
              <v:path/>
              <v:fill on="t" color2="#FFFFFF" focussize="0,0"/>
              <v:stroke color="#000001"/>
              <v:imagedata o:title=""/>
              <o:lock v:ext="edit" aspectratio="f"/>
            </v:rect>
            <v:rect id="_x0000_s2270" o:spid="_x0000_s2270" o:spt="1" style="position:absolute;left:10230;top:1188260;height:810;width:2550;" fillcolor="#FFFFFF" filled="t" stroked="t" coordsize="21600,21600">
              <v:path/>
              <v:fill on="t" color2="#FFFFFF" focussize="0,0"/>
              <v:stroke color="#000001"/>
              <v:imagedata o:title=""/>
              <o:lock v:ext="edit" aspectratio="f"/>
            </v:rect>
            <v:rect id="_x0000_s2271" o:spid="_x0000_s2271" o:spt="1" style="position:absolute;left:14820;top:1187960;height:1635;width:885;" fillcolor="#FFFFFF" filled="t" stroked="f" coordsize="21600,21600">
              <v:path/>
              <v:fill on="t" color2="#FFFFFF" focussize="0,0"/>
              <v:stroke on="f"/>
              <v:imagedata o:title=""/>
              <o:lock v:ext="edit" aspectratio="f"/>
            </v:rect>
            <v:shape id="_x0000_s2272" o:spid="_x0000_s2272" o:spt="202" type="#_x0000_t202" style="position:absolute;left:10500;top:1186400;height:420;width:1680;" fillcolor="#FFFFFF" filled="t" stroked="f" coordsize="21600,21600">
              <v:path/>
              <v:fill on="t" color2="#FFFFFF" focussize="0,0"/>
              <v:stroke on="f"/>
              <v:imagedata o:title=""/>
              <o:lock v:ext="edit" aspectratio="f"/>
              <v:textbox>
                <w:txbxContent>
                  <w:p>
                    <w:pPr>
                      <w:rPr>
                        <w:rFonts w:hint="eastAsia" w:eastAsia="宋体"/>
                        <w:lang w:val="en-US" w:eastAsia="zh-CN"/>
                      </w:rPr>
                    </w:pPr>
                    <w:r>
                      <w:rPr>
                        <w:rFonts w:hint="eastAsia"/>
                        <w:lang w:val="en-US" w:eastAsia="zh-CN"/>
                      </w:rPr>
                      <w:t>桃益公路</w:t>
                    </w:r>
                  </w:p>
                </w:txbxContent>
              </v:textbox>
            </v:shape>
            <v:shape id="_x0000_s2273" o:spid="_x0000_s2273" o:spt="202" type="#_x0000_t202" style="position:absolute;left:9015;top:1186940;height:750;width:720;" fillcolor="#FFFFFF" filled="t" stroked="f" coordsize="21600,21600">
              <v:path/>
              <v:fill on="t" color2="#FFFFFF" focussize="0,0"/>
              <v:stroke on="f"/>
              <v:imagedata o:title=""/>
              <o:lock v:ext="edit" aspectratio="f"/>
              <v:textbox>
                <w:txbxContent>
                  <w:p>
                    <w:pPr>
                      <w:rPr>
                        <w:rFonts w:hint="eastAsia" w:eastAsia="宋体"/>
                        <w:lang w:val="en-US" w:eastAsia="zh-CN"/>
                      </w:rPr>
                    </w:pPr>
                    <w:r>
                      <w:rPr>
                        <w:rFonts w:hint="eastAsia"/>
                        <w:lang w:val="en-US" w:eastAsia="zh-CN"/>
                      </w:rPr>
                      <w:t>大门</w:t>
                    </w:r>
                  </w:p>
                </w:txbxContent>
              </v:textbox>
            </v:shape>
            <v:shape id="_x0000_s2274" o:spid="_x0000_s2274" o:spt="202" type="#_x0000_t202" style="position:absolute;left:10965;top:1188440;height:510;width:1425;" fillcolor="#FFFFFF" filled="t" stroked="f" coordsize="21600,21600">
              <v:path/>
              <v:fill on="t" color2="#FFFFFF" focussize="0,0"/>
              <v:stroke on="f"/>
              <v:imagedata o:title=""/>
              <o:lock v:ext="edit" aspectratio="f"/>
              <v:textbox>
                <w:txbxContent>
                  <w:p>
                    <w:pPr>
                      <w:rPr>
                        <w:rFonts w:hint="eastAsia" w:eastAsia="宋体"/>
                        <w:lang w:val="en-US" w:eastAsia="zh-CN"/>
                      </w:rPr>
                    </w:pPr>
                    <w:r>
                      <w:rPr>
                        <w:rFonts w:hint="eastAsia"/>
                        <w:lang w:val="en-US" w:eastAsia="zh-CN"/>
                      </w:rPr>
                      <w:t>医院大楼</w:t>
                    </w:r>
                  </w:p>
                </w:txbxContent>
              </v:textbox>
            </v:shape>
            <v:shape id="_x0000_s2275" o:spid="_x0000_s2275" o:spt="202" type="#_x0000_t202" style="position:absolute;left:8010;top:1187915;height:1380;width:450;" fillcolor="#FFFFFF" filled="t" stroked="f" coordsize="21600,21600">
              <v:path/>
              <v:fill on="t" color2="#FFFFFF" focussize="0,0"/>
              <v:stroke on="f"/>
              <v:imagedata o:title=""/>
              <o:lock v:ext="edit" aspectratio="f"/>
              <v:textbox>
                <w:txbxContent>
                  <w:p>
                    <w:pPr>
                      <w:rPr>
                        <w:rFonts w:hint="eastAsia" w:eastAsia="宋体"/>
                        <w:lang w:val="en-US" w:eastAsia="zh-CN"/>
                      </w:rPr>
                    </w:pPr>
                    <w:r>
                      <w:rPr>
                        <w:rFonts w:hint="eastAsia"/>
                        <w:lang w:val="en-US" w:eastAsia="zh-CN"/>
                      </w:rPr>
                      <w:t>居民楼</w:t>
                    </w:r>
                  </w:p>
                </w:txbxContent>
              </v:textbox>
            </v:shape>
            <v:shape id="_x0000_s2276" o:spid="_x0000_s2276" o:spt="202" type="#_x0000_t202" style="position:absolute;left:14970;top:1188245;height:1155;width:600;" fillcolor="#FFFFFF" filled="t" stroked="f" coordsize="21600,21600">
              <v:path/>
              <v:fill on="t" color2="#FFFFFF" focussize="0,0"/>
              <v:stroke on="f"/>
              <v:imagedata o:title=""/>
              <o:lock v:ext="edit" aspectratio="f"/>
              <v:textbox>
                <w:txbxContent>
                  <w:p>
                    <w:pPr>
                      <w:rPr>
                        <w:rFonts w:hint="eastAsia" w:eastAsia="宋体"/>
                        <w:lang w:val="en-US" w:eastAsia="zh-CN"/>
                      </w:rPr>
                    </w:pPr>
                    <w:r>
                      <w:rPr>
                        <w:rFonts w:hint="eastAsia"/>
                        <w:lang w:val="en-US" w:eastAsia="zh-CN"/>
                      </w:rPr>
                      <w:t>居民楼</w:t>
                    </w:r>
                  </w:p>
                </w:txbxContent>
              </v:textbox>
            </v:shape>
            <v:shape id="_x0000_s2277" o:spid="_x0000_s2277" o:spt="202" type="#_x0000_t202" style="position:absolute;left:11670;top:1186865;height:375;width:1290;" fillcolor="#FFFFFF" filled="t" stroked="f" coordsize="21600,21600">
              <v:path/>
              <v:fill on="t" color2="#FFFFFF" focussize="0,0"/>
              <v:stroke on="f"/>
              <v:imagedata o:title=""/>
              <o:lock v:ext="edit" aspectratio="f"/>
              <v:textbox>
                <w:txbxContent>
                  <w:p>
                    <w:r>
                      <w:rPr>
                        <w:rFonts w:hint="eastAsia" w:ascii="宋体" w:hAnsi="宋体" w:eastAsia="宋体" w:cs="宋体"/>
                      </w:rPr>
                      <w:t>▲</w:t>
                    </w:r>
                  </w:p>
                </w:txbxContent>
              </v:textbox>
            </v:shape>
            <v:line id="_x0000_s2267" o:spid="_x0000_s2267" o:spt="20" style="position:absolute;left:8130;top:1186805;height:1;width:6960;" filled="f" stroked="t" coordsize="21600,21600">
              <v:path arrowok="t"/>
              <v:fill on="f" focussize="0,0"/>
              <v:stroke color="#000001"/>
              <v:imagedata o:title=""/>
              <o:lock v:ext="edit" aspectratio="f"/>
            </v:line>
            <v:shape id="_x0000_s2278" o:spid="_x0000_s2278" o:spt="202" type="#_x0000_t202" style="position:absolute;left:8595;top:1188425;height:375;width:1290;" fillcolor="#FFFFFF" filled="t" stroked="f" coordsize="21600,21600">
              <v:path/>
              <v:fill on="t" color2="#FFFFFF" focussize="0,0"/>
              <v:stroke on="f"/>
              <v:imagedata o:title=""/>
              <o:lock v:ext="edit" aspectratio="f"/>
              <v:textbox>
                <w:txbxContent>
                  <w:p>
                    <w:r>
                      <w:rPr>
                        <w:rFonts w:hint="eastAsia" w:ascii="宋体" w:hAnsi="宋体" w:eastAsia="宋体" w:cs="宋体"/>
                      </w:rPr>
                      <w:t>▲</w:t>
                    </w:r>
                  </w:p>
                </w:txbxContent>
              </v:textbox>
            </v:shape>
            <v:shape id="_x0000_s2279" o:spid="_x0000_s2279" o:spt="202" type="#_x0000_t202" style="position:absolute;left:14070;top:1188545;height:375;width:705;" filled="f" stroked="f" coordsize="21600,21600">
              <v:path/>
              <v:fill on="f" focussize="0,0"/>
              <v:stroke on="f"/>
              <v:imagedata o:title=""/>
              <o:lock v:ext="edit" aspectratio="f"/>
              <v:textbox>
                <w:txbxContent>
                  <w:p>
                    <w:r>
                      <w:rPr>
                        <w:rFonts w:hint="eastAsia" w:ascii="宋体" w:hAnsi="宋体" w:eastAsia="宋体" w:cs="宋体"/>
                      </w:rPr>
                      <w:t>▲</w:t>
                    </w:r>
                  </w:p>
                </w:txbxContent>
              </v:textbox>
            </v:shape>
            <v:shape id="_x0000_s2280" o:spid="_x0000_s2280" o:spt="202" type="#_x0000_t202" style="position:absolute;left:11415;top:1189775;height:375;width:1290;" fillcolor="#FFFFFF" filled="t" stroked="f" coordsize="21600,21600">
              <v:path/>
              <v:fill on="t" color2="#FFFFFF" focussize="0,0"/>
              <v:stroke on="f"/>
              <v:imagedata o:title=""/>
              <o:lock v:ext="edit" aspectratio="f"/>
              <v:textbox>
                <w:txbxContent>
                  <w:p>
                    <w:r>
                      <w:rPr>
                        <w:rFonts w:hint="eastAsia" w:ascii="宋体" w:hAnsi="宋体" w:eastAsia="宋体" w:cs="宋体"/>
                      </w:rPr>
                      <w:t>▲</w:t>
                    </w:r>
                  </w:p>
                </w:txbxContent>
              </v:textbox>
            </v:shape>
            <v:shape id="_x0000_s2281" o:spid="_x0000_s2281" o:spt="202" type="#_x0000_t202" style="position:absolute;left:9840;top:1187525;height:375;width:1290;" fillcolor="#FFFFFF" filled="t" stroked="f" coordsize="21600,21600">
              <v:path/>
              <v:fill on="t" color2="#FFFFFF" focussize="0,0"/>
              <v:stroke on="f"/>
              <v:imagedata o:title=""/>
              <o:lock v:ext="edit" aspectratio="f"/>
              <v:textbox>
                <w:txbxContent>
                  <w:p>
                    <w:r>
                      <w:rPr>
                        <w:rFonts w:hint="default" w:ascii="Calibri" w:hAnsi="Calibri" w:eastAsia="宋体" w:cs="Calibri"/>
                      </w:rPr>
                      <w:t>○</w:t>
                    </w:r>
                  </w:p>
                </w:txbxContent>
              </v:textbox>
            </v:shape>
            <v:shape id="_x0000_s2282" o:spid="_x0000_s2282" o:spt="202" type="#_x0000_t202" style="position:absolute;left:13350;top:1187495;height:375;width:1290;" fillcolor="#FFFFFF" filled="t" stroked="f" coordsize="21600,21600">
              <v:path/>
              <v:fill on="t" color2="#FFFFFF" focussize="0,0"/>
              <v:stroke on="f"/>
              <v:imagedata o:title=""/>
              <o:lock v:ext="edit" aspectratio="f"/>
              <v:textbox>
                <w:txbxContent>
                  <w:p>
                    <w:r>
                      <w:rPr>
                        <w:rFonts w:hint="default" w:ascii="Calibri" w:hAnsi="Calibri" w:eastAsia="宋体" w:cs="Calibri"/>
                      </w:rPr>
                      <w:t>○</w:t>
                    </w:r>
                  </w:p>
                </w:txbxContent>
              </v:textbox>
            </v:shape>
            <v:shape id="_x0000_s2283" o:spid="_x0000_s2283" o:spt="202" type="#_x0000_t202" style="position:absolute;left:12000;top:1189490;height:375;width:1290;" fillcolor="#FFFFFF" filled="t" stroked="f" coordsize="21600,21600">
              <v:path/>
              <v:fill on="t" color2="#FFFFFF" focussize="0,0"/>
              <v:stroke on="f"/>
              <v:imagedata o:title=""/>
              <o:lock v:ext="edit" aspectratio="f"/>
              <v:textbox>
                <w:txbxContent>
                  <w:p>
                    <w:r>
                      <w:rPr>
                        <w:rFonts w:hint="default" w:ascii="Calibri" w:hAnsi="Calibri" w:eastAsia="宋体" w:cs="Calibri"/>
                      </w:rPr>
                      <w:t>○</w:t>
                    </w:r>
                  </w:p>
                </w:txbxContent>
              </v:textbox>
            </v:shape>
            <v:shape id="_x0000_s2284" o:spid="_x0000_s2284" o:spt="202" type="#_x0000_t202" style="position:absolute;left:12210;top:1189085;height:450;width:1290;" fillcolor="#FFFFFF" filled="t" stroked="f" coordsize="21600,21600">
              <v:path/>
              <v:fill on="t" color2="#FFFFFF" focussize="0,0"/>
              <v:stroke on="f"/>
              <v:imagedata o:title=""/>
              <o:lock v:ext="edit" aspectratio="f"/>
              <v:textbox>
                <w:txbxContent>
                  <w:p>
                    <w:r>
                      <w:rPr>
                        <w:rFonts w:hint="eastAsia" w:ascii="宋体" w:hAnsi="宋体" w:eastAsia="宋体" w:cs="宋体"/>
                      </w:rPr>
                      <w:t>★</w:t>
                    </w:r>
                  </w:p>
                </w:txbxContent>
              </v:textbox>
            </v:shape>
          </v:group>
        </w:pict>
      </w: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pStyle w:val="11"/>
        <w:rPr>
          <w:rFonts w:hint="eastAsia"/>
          <w:b/>
          <w:sz w:val="24"/>
        </w:rPr>
      </w:pPr>
    </w:p>
    <w:p>
      <w:pPr>
        <w:spacing w:afterLines="50" w:line="500" w:lineRule="exact"/>
        <w:jc w:val="left"/>
      </w:pPr>
      <w:r>
        <w:rPr>
          <w:rFonts w:hint="eastAsia" w:ascii="宋体" w:hAnsi="宋体"/>
          <w:bCs/>
          <w:szCs w:val="21"/>
        </w:rPr>
        <w:t>注：“★”表示废水监测点位，“▲”表示噪声监测点位，“○”表示无组织废气监测点位。</w:t>
      </w:r>
    </w:p>
    <w:sectPr>
      <w:pgSz w:w="11906" w:h="16838"/>
      <w:pgMar w:top="1418" w:right="1474" w:bottom="993" w:left="1474" w:header="851" w:footer="624"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Noto Sans Mono CJK JP Regular">
    <w:altName w:val="Segoe Print"/>
    <w:panose1 w:val="00000000000000000000"/>
    <w:charset w:val="00"/>
    <w:family w:val="swiss"/>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_x0000_s3077" o:spid="_x0000_s307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w:pict>
        <v:shape id="_x0000_s3078" o:spid="_x0000_s307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25" w:rightChars="12" w:firstLine="140" w:firstLineChars="78"/>
      <w:jc w:val="right"/>
    </w:pPr>
    <w:r>
      <w:rPr>
        <w:rFonts w:hint="eastAsia"/>
        <w:lang w:eastAsia="zh-CN"/>
      </w:rPr>
      <w:t>益阳康宁精神病专科医院建设项目</w:t>
    </w:r>
    <w:r>
      <w:rPr>
        <w:rFonts w:hint="eastAsia"/>
      </w:rPr>
      <w:t>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25" w:rightChars="12" w:firstLine="140" w:firstLineChars="78"/>
      <w:jc w:val="right"/>
    </w:pPr>
    <w:r>
      <w:rPr>
        <w:rFonts w:hint="eastAsia"/>
        <w:lang w:eastAsia="zh-CN"/>
      </w:rPr>
      <w:t>益阳康宁精神病专科医院建设项目</w:t>
    </w:r>
    <w:r>
      <w:rPr>
        <w:rFonts w:hint="eastAsia"/>
      </w:rPr>
      <w:t>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EFA54"/>
    <w:multiLevelType w:val="singleLevel"/>
    <w:tmpl w:val="8BFEFA54"/>
    <w:lvl w:ilvl="0" w:tentative="0">
      <w:start w:val="1"/>
      <w:numFmt w:val="decimal"/>
      <w:suff w:val="nothing"/>
      <w:lvlText w:val="%1、"/>
      <w:lvlJc w:val="left"/>
    </w:lvl>
  </w:abstractNum>
  <w:abstractNum w:abstractNumId="1">
    <w:nsid w:val="7ED75A2E"/>
    <w:multiLevelType w:val="multilevel"/>
    <w:tmpl w:val="7ED75A2E"/>
    <w:lvl w:ilvl="0" w:tentative="0">
      <w:start w:val="1"/>
      <w:numFmt w:val="decimal"/>
      <w:pStyle w:val="75"/>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56666"/>
    <w:rsid w:val="0000353A"/>
    <w:rsid w:val="000049B7"/>
    <w:rsid w:val="00005E9F"/>
    <w:rsid w:val="00006128"/>
    <w:rsid w:val="000067D8"/>
    <w:rsid w:val="000079E0"/>
    <w:rsid w:val="000104B4"/>
    <w:rsid w:val="00010740"/>
    <w:rsid w:val="000112CE"/>
    <w:rsid w:val="000116B6"/>
    <w:rsid w:val="00012152"/>
    <w:rsid w:val="000123A1"/>
    <w:rsid w:val="00012F00"/>
    <w:rsid w:val="0001464C"/>
    <w:rsid w:val="00016594"/>
    <w:rsid w:val="0001681E"/>
    <w:rsid w:val="000172D0"/>
    <w:rsid w:val="00021791"/>
    <w:rsid w:val="000256D1"/>
    <w:rsid w:val="00026B70"/>
    <w:rsid w:val="00032805"/>
    <w:rsid w:val="00033EBC"/>
    <w:rsid w:val="00034164"/>
    <w:rsid w:val="00034298"/>
    <w:rsid w:val="000362B2"/>
    <w:rsid w:val="00036D6A"/>
    <w:rsid w:val="00037A69"/>
    <w:rsid w:val="00043BC3"/>
    <w:rsid w:val="00043FEA"/>
    <w:rsid w:val="00044194"/>
    <w:rsid w:val="00045874"/>
    <w:rsid w:val="00046726"/>
    <w:rsid w:val="0004691C"/>
    <w:rsid w:val="00047608"/>
    <w:rsid w:val="00050589"/>
    <w:rsid w:val="00050D5D"/>
    <w:rsid w:val="00051196"/>
    <w:rsid w:val="000527FD"/>
    <w:rsid w:val="00052C9A"/>
    <w:rsid w:val="00052D03"/>
    <w:rsid w:val="00053EB6"/>
    <w:rsid w:val="000543FD"/>
    <w:rsid w:val="00054B71"/>
    <w:rsid w:val="00054CE8"/>
    <w:rsid w:val="0005519C"/>
    <w:rsid w:val="00055671"/>
    <w:rsid w:val="00060EFA"/>
    <w:rsid w:val="0006124F"/>
    <w:rsid w:val="00061A5B"/>
    <w:rsid w:val="00061B08"/>
    <w:rsid w:val="00061DB2"/>
    <w:rsid w:val="00062E5B"/>
    <w:rsid w:val="00064916"/>
    <w:rsid w:val="000654A9"/>
    <w:rsid w:val="000655E0"/>
    <w:rsid w:val="00066A4B"/>
    <w:rsid w:val="00067068"/>
    <w:rsid w:val="000679CE"/>
    <w:rsid w:val="00067A45"/>
    <w:rsid w:val="000706E4"/>
    <w:rsid w:val="00070E45"/>
    <w:rsid w:val="00074EED"/>
    <w:rsid w:val="0007578F"/>
    <w:rsid w:val="000766BA"/>
    <w:rsid w:val="00077AD6"/>
    <w:rsid w:val="00081D72"/>
    <w:rsid w:val="000826C6"/>
    <w:rsid w:val="00082B8D"/>
    <w:rsid w:val="000837EA"/>
    <w:rsid w:val="00083AF1"/>
    <w:rsid w:val="00085C6D"/>
    <w:rsid w:val="000865EB"/>
    <w:rsid w:val="00086FBB"/>
    <w:rsid w:val="00087BB3"/>
    <w:rsid w:val="000902E6"/>
    <w:rsid w:val="00090C02"/>
    <w:rsid w:val="00092396"/>
    <w:rsid w:val="000925C5"/>
    <w:rsid w:val="00092AFC"/>
    <w:rsid w:val="00093A4F"/>
    <w:rsid w:val="000947F5"/>
    <w:rsid w:val="00094CBE"/>
    <w:rsid w:val="000965EB"/>
    <w:rsid w:val="00096D1D"/>
    <w:rsid w:val="0009716E"/>
    <w:rsid w:val="0009761F"/>
    <w:rsid w:val="000A00AD"/>
    <w:rsid w:val="000A4F47"/>
    <w:rsid w:val="000A58C8"/>
    <w:rsid w:val="000A6134"/>
    <w:rsid w:val="000A6407"/>
    <w:rsid w:val="000A7ADB"/>
    <w:rsid w:val="000A7E9A"/>
    <w:rsid w:val="000B1286"/>
    <w:rsid w:val="000B2400"/>
    <w:rsid w:val="000B247A"/>
    <w:rsid w:val="000B329D"/>
    <w:rsid w:val="000B5480"/>
    <w:rsid w:val="000B548D"/>
    <w:rsid w:val="000B6F3D"/>
    <w:rsid w:val="000C095B"/>
    <w:rsid w:val="000C1B38"/>
    <w:rsid w:val="000C3180"/>
    <w:rsid w:val="000C3A07"/>
    <w:rsid w:val="000C3F90"/>
    <w:rsid w:val="000C4CAB"/>
    <w:rsid w:val="000C4D10"/>
    <w:rsid w:val="000C4E3C"/>
    <w:rsid w:val="000C523B"/>
    <w:rsid w:val="000C573A"/>
    <w:rsid w:val="000C6AD2"/>
    <w:rsid w:val="000C715C"/>
    <w:rsid w:val="000D092C"/>
    <w:rsid w:val="000D0D5D"/>
    <w:rsid w:val="000D3A66"/>
    <w:rsid w:val="000D5771"/>
    <w:rsid w:val="000D5880"/>
    <w:rsid w:val="000E08BA"/>
    <w:rsid w:val="000E0CD6"/>
    <w:rsid w:val="000E1188"/>
    <w:rsid w:val="000E20BF"/>
    <w:rsid w:val="000E6128"/>
    <w:rsid w:val="000E6C97"/>
    <w:rsid w:val="000E6F3C"/>
    <w:rsid w:val="000E702C"/>
    <w:rsid w:val="000E768E"/>
    <w:rsid w:val="000F0BE5"/>
    <w:rsid w:val="000F0F01"/>
    <w:rsid w:val="000F190F"/>
    <w:rsid w:val="000F1946"/>
    <w:rsid w:val="000F3B2F"/>
    <w:rsid w:val="000F5189"/>
    <w:rsid w:val="000F734B"/>
    <w:rsid w:val="00100373"/>
    <w:rsid w:val="00102381"/>
    <w:rsid w:val="001038A9"/>
    <w:rsid w:val="0010582A"/>
    <w:rsid w:val="001079BC"/>
    <w:rsid w:val="00107BBD"/>
    <w:rsid w:val="0011032D"/>
    <w:rsid w:val="00110B3A"/>
    <w:rsid w:val="0011159A"/>
    <w:rsid w:val="0011161F"/>
    <w:rsid w:val="00112086"/>
    <w:rsid w:val="00112D3A"/>
    <w:rsid w:val="00112EC9"/>
    <w:rsid w:val="001135E7"/>
    <w:rsid w:val="00115A51"/>
    <w:rsid w:val="00120E8F"/>
    <w:rsid w:val="00121AD6"/>
    <w:rsid w:val="00121B6E"/>
    <w:rsid w:val="00122A5B"/>
    <w:rsid w:val="0012449C"/>
    <w:rsid w:val="0012590F"/>
    <w:rsid w:val="00126B76"/>
    <w:rsid w:val="001272D0"/>
    <w:rsid w:val="001274EB"/>
    <w:rsid w:val="00127BBA"/>
    <w:rsid w:val="00133390"/>
    <w:rsid w:val="00134D28"/>
    <w:rsid w:val="001355AB"/>
    <w:rsid w:val="00135BC2"/>
    <w:rsid w:val="00136067"/>
    <w:rsid w:val="001365BE"/>
    <w:rsid w:val="001376E8"/>
    <w:rsid w:val="00137BAF"/>
    <w:rsid w:val="00140540"/>
    <w:rsid w:val="00140B97"/>
    <w:rsid w:val="00141AFE"/>
    <w:rsid w:val="00142794"/>
    <w:rsid w:val="00143A8F"/>
    <w:rsid w:val="00143F4A"/>
    <w:rsid w:val="00153D02"/>
    <w:rsid w:val="0015481C"/>
    <w:rsid w:val="00154C44"/>
    <w:rsid w:val="00154DD8"/>
    <w:rsid w:val="00157987"/>
    <w:rsid w:val="00160C04"/>
    <w:rsid w:val="00162270"/>
    <w:rsid w:val="00162D44"/>
    <w:rsid w:val="001632F2"/>
    <w:rsid w:val="00163ED8"/>
    <w:rsid w:val="00163EEB"/>
    <w:rsid w:val="00167A29"/>
    <w:rsid w:val="00171F58"/>
    <w:rsid w:val="00172B9F"/>
    <w:rsid w:val="00172D2C"/>
    <w:rsid w:val="00174724"/>
    <w:rsid w:val="001755C2"/>
    <w:rsid w:val="00176DD0"/>
    <w:rsid w:val="00177705"/>
    <w:rsid w:val="0017792E"/>
    <w:rsid w:val="00177B6D"/>
    <w:rsid w:val="00180114"/>
    <w:rsid w:val="00180D51"/>
    <w:rsid w:val="00181836"/>
    <w:rsid w:val="00181FA2"/>
    <w:rsid w:val="001839A3"/>
    <w:rsid w:val="00184B67"/>
    <w:rsid w:val="00184FEE"/>
    <w:rsid w:val="0018719E"/>
    <w:rsid w:val="001929F4"/>
    <w:rsid w:val="001939AF"/>
    <w:rsid w:val="001946A0"/>
    <w:rsid w:val="001957FD"/>
    <w:rsid w:val="00197B7C"/>
    <w:rsid w:val="001A024F"/>
    <w:rsid w:val="001A097A"/>
    <w:rsid w:val="001A1253"/>
    <w:rsid w:val="001A2F64"/>
    <w:rsid w:val="001A308D"/>
    <w:rsid w:val="001A41B6"/>
    <w:rsid w:val="001A64CE"/>
    <w:rsid w:val="001B0005"/>
    <w:rsid w:val="001B0109"/>
    <w:rsid w:val="001B16E3"/>
    <w:rsid w:val="001B1859"/>
    <w:rsid w:val="001B1C1C"/>
    <w:rsid w:val="001B2DF1"/>
    <w:rsid w:val="001B4FE3"/>
    <w:rsid w:val="001B56CC"/>
    <w:rsid w:val="001B5700"/>
    <w:rsid w:val="001B719C"/>
    <w:rsid w:val="001B7786"/>
    <w:rsid w:val="001B7882"/>
    <w:rsid w:val="001B7A4A"/>
    <w:rsid w:val="001C0A69"/>
    <w:rsid w:val="001C1985"/>
    <w:rsid w:val="001C1E32"/>
    <w:rsid w:val="001C3FA7"/>
    <w:rsid w:val="001C568D"/>
    <w:rsid w:val="001C6453"/>
    <w:rsid w:val="001C6DCD"/>
    <w:rsid w:val="001C7B96"/>
    <w:rsid w:val="001D08C5"/>
    <w:rsid w:val="001D0C3A"/>
    <w:rsid w:val="001D0DDD"/>
    <w:rsid w:val="001D234E"/>
    <w:rsid w:val="001D5B73"/>
    <w:rsid w:val="001D6636"/>
    <w:rsid w:val="001D67DB"/>
    <w:rsid w:val="001D7671"/>
    <w:rsid w:val="001D7ADE"/>
    <w:rsid w:val="001E18A3"/>
    <w:rsid w:val="001E2255"/>
    <w:rsid w:val="001E30E9"/>
    <w:rsid w:val="001E6072"/>
    <w:rsid w:val="001E68AB"/>
    <w:rsid w:val="001F12C1"/>
    <w:rsid w:val="001F1F7F"/>
    <w:rsid w:val="001F2F93"/>
    <w:rsid w:val="001F432D"/>
    <w:rsid w:val="001F4896"/>
    <w:rsid w:val="001F48B2"/>
    <w:rsid w:val="001F48EB"/>
    <w:rsid w:val="001F4BF8"/>
    <w:rsid w:val="001F4F77"/>
    <w:rsid w:val="002015AB"/>
    <w:rsid w:val="00202A11"/>
    <w:rsid w:val="00204E49"/>
    <w:rsid w:val="00205060"/>
    <w:rsid w:val="00205B41"/>
    <w:rsid w:val="00206A83"/>
    <w:rsid w:val="002074AE"/>
    <w:rsid w:val="00207649"/>
    <w:rsid w:val="00207F0C"/>
    <w:rsid w:val="002110A8"/>
    <w:rsid w:val="0021245A"/>
    <w:rsid w:val="00215788"/>
    <w:rsid w:val="00215AB8"/>
    <w:rsid w:val="0021691E"/>
    <w:rsid w:val="002176FA"/>
    <w:rsid w:val="00220EA9"/>
    <w:rsid w:val="00220F27"/>
    <w:rsid w:val="00221126"/>
    <w:rsid w:val="00223130"/>
    <w:rsid w:val="002236BC"/>
    <w:rsid w:val="00223899"/>
    <w:rsid w:val="002238AD"/>
    <w:rsid w:val="00224646"/>
    <w:rsid w:val="0022475A"/>
    <w:rsid w:val="00225CEB"/>
    <w:rsid w:val="00225F0C"/>
    <w:rsid w:val="002266A7"/>
    <w:rsid w:val="00226756"/>
    <w:rsid w:val="00226CAB"/>
    <w:rsid w:val="00226F08"/>
    <w:rsid w:val="00230F38"/>
    <w:rsid w:val="00232F64"/>
    <w:rsid w:val="002341B9"/>
    <w:rsid w:val="0023579B"/>
    <w:rsid w:val="0023611F"/>
    <w:rsid w:val="00236AC2"/>
    <w:rsid w:val="00236C2B"/>
    <w:rsid w:val="00236DF4"/>
    <w:rsid w:val="00240800"/>
    <w:rsid w:val="0024133A"/>
    <w:rsid w:val="00243C75"/>
    <w:rsid w:val="002449DB"/>
    <w:rsid w:val="00244E33"/>
    <w:rsid w:val="002465B0"/>
    <w:rsid w:val="002470B6"/>
    <w:rsid w:val="00247229"/>
    <w:rsid w:val="00251728"/>
    <w:rsid w:val="00251F2D"/>
    <w:rsid w:val="002539A8"/>
    <w:rsid w:val="00254593"/>
    <w:rsid w:val="00255D98"/>
    <w:rsid w:val="00257570"/>
    <w:rsid w:val="002575CE"/>
    <w:rsid w:val="00257DC6"/>
    <w:rsid w:val="0026097D"/>
    <w:rsid w:val="00261206"/>
    <w:rsid w:val="00261F62"/>
    <w:rsid w:val="00261FB8"/>
    <w:rsid w:val="00263A44"/>
    <w:rsid w:val="00263DA9"/>
    <w:rsid w:val="00264989"/>
    <w:rsid w:val="00265A78"/>
    <w:rsid w:val="00267AD9"/>
    <w:rsid w:val="00270713"/>
    <w:rsid w:val="0027122D"/>
    <w:rsid w:val="00271296"/>
    <w:rsid w:val="00272BD3"/>
    <w:rsid w:val="00276B9C"/>
    <w:rsid w:val="00280105"/>
    <w:rsid w:val="00280716"/>
    <w:rsid w:val="00280AF6"/>
    <w:rsid w:val="00280B08"/>
    <w:rsid w:val="002818BE"/>
    <w:rsid w:val="00282F3F"/>
    <w:rsid w:val="002841FA"/>
    <w:rsid w:val="0028628F"/>
    <w:rsid w:val="00286505"/>
    <w:rsid w:val="00286E09"/>
    <w:rsid w:val="002879FE"/>
    <w:rsid w:val="00290733"/>
    <w:rsid w:val="00290C96"/>
    <w:rsid w:val="002918B0"/>
    <w:rsid w:val="00292982"/>
    <w:rsid w:val="00292D92"/>
    <w:rsid w:val="00293052"/>
    <w:rsid w:val="00294404"/>
    <w:rsid w:val="00294CB5"/>
    <w:rsid w:val="00295D50"/>
    <w:rsid w:val="0029614F"/>
    <w:rsid w:val="00296880"/>
    <w:rsid w:val="00297F9B"/>
    <w:rsid w:val="002A07AF"/>
    <w:rsid w:val="002A0CDD"/>
    <w:rsid w:val="002A2437"/>
    <w:rsid w:val="002A431E"/>
    <w:rsid w:val="002A48B3"/>
    <w:rsid w:val="002A717A"/>
    <w:rsid w:val="002A7AF8"/>
    <w:rsid w:val="002B0587"/>
    <w:rsid w:val="002B1707"/>
    <w:rsid w:val="002B30AB"/>
    <w:rsid w:val="002B3319"/>
    <w:rsid w:val="002B3E6B"/>
    <w:rsid w:val="002B675D"/>
    <w:rsid w:val="002B78D4"/>
    <w:rsid w:val="002B7A3D"/>
    <w:rsid w:val="002C4E9F"/>
    <w:rsid w:val="002C5434"/>
    <w:rsid w:val="002C566F"/>
    <w:rsid w:val="002C5DC6"/>
    <w:rsid w:val="002C7F5D"/>
    <w:rsid w:val="002D05EC"/>
    <w:rsid w:val="002D1800"/>
    <w:rsid w:val="002D262E"/>
    <w:rsid w:val="002D3C54"/>
    <w:rsid w:val="002D4EC5"/>
    <w:rsid w:val="002D763E"/>
    <w:rsid w:val="002E02C1"/>
    <w:rsid w:val="002E1BFF"/>
    <w:rsid w:val="002E2115"/>
    <w:rsid w:val="002E215F"/>
    <w:rsid w:val="002E2BCF"/>
    <w:rsid w:val="002E3B68"/>
    <w:rsid w:val="002E3BC7"/>
    <w:rsid w:val="002E4C6E"/>
    <w:rsid w:val="002E580E"/>
    <w:rsid w:val="002E6AD2"/>
    <w:rsid w:val="002E7671"/>
    <w:rsid w:val="002E7791"/>
    <w:rsid w:val="002F0EEC"/>
    <w:rsid w:val="002F3426"/>
    <w:rsid w:val="002F675B"/>
    <w:rsid w:val="002F7B71"/>
    <w:rsid w:val="0030077A"/>
    <w:rsid w:val="00300E4F"/>
    <w:rsid w:val="00301A24"/>
    <w:rsid w:val="00303600"/>
    <w:rsid w:val="003037A0"/>
    <w:rsid w:val="00303C5A"/>
    <w:rsid w:val="0030415D"/>
    <w:rsid w:val="003042BE"/>
    <w:rsid w:val="00304AFA"/>
    <w:rsid w:val="0031040F"/>
    <w:rsid w:val="00311CAC"/>
    <w:rsid w:val="00313B49"/>
    <w:rsid w:val="003140A5"/>
    <w:rsid w:val="003146D9"/>
    <w:rsid w:val="00314F67"/>
    <w:rsid w:val="0031505D"/>
    <w:rsid w:val="00315965"/>
    <w:rsid w:val="0031660E"/>
    <w:rsid w:val="00316B99"/>
    <w:rsid w:val="0031723D"/>
    <w:rsid w:val="00320867"/>
    <w:rsid w:val="00321506"/>
    <w:rsid w:val="003217C3"/>
    <w:rsid w:val="0032312C"/>
    <w:rsid w:val="00326210"/>
    <w:rsid w:val="003266DF"/>
    <w:rsid w:val="00326CF4"/>
    <w:rsid w:val="00327FF6"/>
    <w:rsid w:val="00330545"/>
    <w:rsid w:val="003306DD"/>
    <w:rsid w:val="003342D7"/>
    <w:rsid w:val="00335AAD"/>
    <w:rsid w:val="00335EC2"/>
    <w:rsid w:val="003414C7"/>
    <w:rsid w:val="003418BD"/>
    <w:rsid w:val="00342489"/>
    <w:rsid w:val="00343179"/>
    <w:rsid w:val="00343A16"/>
    <w:rsid w:val="00345528"/>
    <w:rsid w:val="0034589B"/>
    <w:rsid w:val="00346240"/>
    <w:rsid w:val="0034698F"/>
    <w:rsid w:val="003470F3"/>
    <w:rsid w:val="003500BC"/>
    <w:rsid w:val="003536E0"/>
    <w:rsid w:val="003569A9"/>
    <w:rsid w:val="00356BC7"/>
    <w:rsid w:val="00356C1C"/>
    <w:rsid w:val="003570AC"/>
    <w:rsid w:val="00361318"/>
    <w:rsid w:val="00364EBF"/>
    <w:rsid w:val="00365352"/>
    <w:rsid w:val="00365E8A"/>
    <w:rsid w:val="00370245"/>
    <w:rsid w:val="003730B9"/>
    <w:rsid w:val="00373C9D"/>
    <w:rsid w:val="0037443A"/>
    <w:rsid w:val="00374959"/>
    <w:rsid w:val="00375B80"/>
    <w:rsid w:val="00375F9A"/>
    <w:rsid w:val="0037606F"/>
    <w:rsid w:val="00376E57"/>
    <w:rsid w:val="0038071D"/>
    <w:rsid w:val="003807A4"/>
    <w:rsid w:val="00380DB8"/>
    <w:rsid w:val="00382AFF"/>
    <w:rsid w:val="0038499D"/>
    <w:rsid w:val="00384AD3"/>
    <w:rsid w:val="00390800"/>
    <w:rsid w:val="0039418B"/>
    <w:rsid w:val="00394823"/>
    <w:rsid w:val="00394BA7"/>
    <w:rsid w:val="00394EA5"/>
    <w:rsid w:val="00394F28"/>
    <w:rsid w:val="0039606B"/>
    <w:rsid w:val="0039655D"/>
    <w:rsid w:val="003A19CF"/>
    <w:rsid w:val="003A2D7C"/>
    <w:rsid w:val="003A32BA"/>
    <w:rsid w:val="003A3C35"/>
    <w:rsid w:val="003A3D40"/>
    <w:rsid w:val="003A49B6"/>
    <w:rsid w:val="003A57C8"/>
    <w:rsid w:val="003A6B96"/>
    <w:rsid w:val="003B189D"/>
    <w:rsid w:val="003B3144"/>
    <w:rsid w:val="003B3200"/>
    <w:rsid w:val="003B47C1"/>
    <w:rsid w:val="003B5165"/>
    <w:rsid w:val="003B5D8B"/>
    <w:rsid w:val="003B5E82"/>
    <w:rsid w:val="003B6539"/>
    <w:rsid w:val="003C031A"/>
    <w:rsid w:val="003C0635"/>
    <w:rsid w:val="003C08E5"/>
    <w:rsid w:val="003C16EE"/>
    <w:rsid w:val="003C2821"/>
    <w:rsid w:val="003C2E78"/>
    <w:rsid w:val="003C33C3"/>
    <w:rsid w:val="003C438D"/>
    <w:rsid w:val="003C4773"/>
    <w:rsid w:val="003C4B70"/>
    <w:rsid w:val="003C5ECF"/>
    <w:rsid w:val="003C5F0D"/>
    <w:rsid w:val="003C7C9A"/>
    <w:rsid w:val="003D0A99"/>
    <w:rsid w:val="003D286E"/>
    <w:rsid w:val="003D2943"/>
    <w:rsid w:val="003D3098"/>
    <w:rsid w:val="003D4950"/>
    <w:rsid w:val="003D5073"/>
    <w:rsid w:val="003D673B"/>
    <w:rsid w:val="003D7D83"/>
    <w:rsid w:val="003E0242"/>
    <w:rsid w:val="003E079E"/>
    <w:rsid w:val="003E4D04"/>
    <w:rsid w:val="003F35C9"/>
    <w:rsid w:val="003F3A46"/>
    <w:rsid w:val="003F4771"/>
    <w:rsid w:val="003F5550"/>
    <w:rsid w:val="003F63C2"/>
    <w:rsid w:val="003F6F72"/>
    <w:rsid w:val="003F727D"/>
    <w:rsid w:val="004001FD"/>
    <w:rsid w:val="004018FF"/>
    <w:rsid w:val="00401AC1"/>
    <w:rsid w:val="00403DBC"/>
    <w:rsid w:val="00404360"/>
    <w:rsid w:val="00405351"/>
    <w:rsid w:val="0040658B"/>
    <w:rsid w:val="00410A99"/>
    <w:rsid w:val="004116DE"/>
    <w:rsid w:val="004118F6"/>
    <w:rsid w:val="004129EA"/>
    <w:rsid w:val="0041324F"/>
    <w:rsid w:val="00413CB0"/>
    <w:rsid w:val="00416725"/>
    <w:rsid w:val="00416B2C"/>
    <w:rsid w:val="004201F5"/>
    <w:rsid w:val="00420654"/>
    <w:rsid w:val="00420D89"/>
    <w:rsid w:val="00420FDC"/>
    <w:rsid w:val="004216EE"/>
    <w:rsid w:val="004218E1"/>
    <w:rsid w:val="00421EE1"/>
    <w:rsid w:val="00422B1D"/>
    <w:rsid w:val="0042613B"/>
    <w:rsid w:val="00427AC5"/>
    <w:rsid w:val="004301AB"/>
    <w:rsid w:val="0043311B"/>
    <w:rsid w:val="0043383B"/>
    <w:rsid w:val="0044035B"/>
    <w:rsid w:val="004419B6"/>
    <w:rsid w:val="00441F60"/>
    <w:rsid w:val="00442609"/>
    <w:rsid w:val="0044286F"/>
    <w:rsid w:val="00442AD4"/>
    <w:rsid w:val="00443522"/>
    <w:rsid w:val="00443955"/>
    <w:rsid w:val="00444211"/>
    <w:rsid w:val="0044478B"/>
    <w:rsid w:val="00444CA7"/>
    <w:rsid w:val="00447082"/>
    <w:rsid w:val="00447B16"/>
    <w:rsid w:val="00447E6A"/>
    <w:rsid w:val="004508F7"/>
    <w:rsid w:val="004516E5"/>
    <w:rsid w:val="00451F81"/>
    <w:rsid w:val="0045283C"/>
    <w:rsid w:val="00453B1F"/>
    <w:rsid w:val="004549C6"/>
    <w:rsid w:val="004550F4"/>
    <w:rsid w:val="0045690A"/>
    <w:rsid w:val="00456EB4"/>
    <w:rsid w:val="00456F6B"/>
    <w:rsid w:val="0046048F"/>
    <w:rsid w:val="0046107E"/>
    <w:rsid w:val="00461D7B"/>
    <w:rsid w:val="00463152"/>
    <w:rsid w:val="0046542E"/>
    <w:rsid w:val="0046624E"/>
    <w:rsid w:val="004700B9"/>
    <w:rsid w:val="00470160"/>
    <w:rsid w:val="00471A84"/>
    <w:rsid w:val="00471C5F"/>
    <w:rsid w:val="0047405B"/>
    <w:rsid w:val="004764AE"/>
    <w:rsid w:val="00480157"/>
    <w:rsid w:val="00482450"/>
    <w:rsid w:val="004826CB"/>
    <w:rsid w:val="00482F94"/>
    <w:rsid w:val="00483D1F"/>
    <w:rsid w:val="004845E1"/>
    <w:rsid w:val="00484719"/>
    <w:rsid w:val="00485219"/>
    <w:rsid w:val="004855F1"/>
    <w:rsid w:val="0048785B"/>
    <w:rsid w:val="00487DAF"/>
    <w:rsid w:val="004927A3"/>
    <w:rsid w:val="00492823"/>
    <w:rsid w:val="0049679C"/>
    <w:rsid w:val="00497500"/>
    <w:rsid w:val="004A1608"/>
    <w:rsid w:val="004A39C6"/>
    <w:rsid w:val="004A415E"/>
    <w:rsid w:val="004A5216"/>
    <w:rsid w:val="004B0B26"/>
    <w:rsid w:val="004B0C6F"/>
    <w:rsid w:val="004B0C77"/>
    <w:rsid w:val="004B1447"/>
    <w:rsid w:val="004B19B7"/>
    <w:rsid w:val="004B27F7"/>
    <w:rsid w:val="004B32DC"/>
    <w:rsid w:val="004B4BF7"/>
    <w:rsid w:val="004B53A5"/>
    <w:rsid w:val="004B5F8B"/>
    <w:rsid w:val="004B63E2"/>
    <w:rsid w:val="004C0236"/>
    <w:rsid w:val="004C1037"/>
    <w:rsid w:val="004C61F0"/>
    <w:rsid w:val="004C67C1"/>
    <w:rsid w:val="004C6A87"/>
    <w:rsid w:val="004C7611"/>
    <w:rsid w:val="004C783A"/>
    <w:rsid w:val="004C7ED1"/>
    <w:rsid w:val="004D01AD"/>
    <w:rsid w:val="004D1E06"/>
    <w:rsid w:val="004D32B5"/>
    <w:rsid w:val="004D4480"/>
    <w:rsid w:val="004D68DB"/>
    <w:rsid w:val="004D6D85"/>
    <w:rsid w:val="004D7098"/>
    <w:rsid w:val="004E00C7"/>
    <w:rsid w:val="004E06E0"/>
    <w:rsid w:val="004E173D"/>
    <w:rsid w:val="004E17EA"/>
    <w:rsid w:val="004E3508"/>
    <w:rsid w:val="004E4161"/>
    <w:rsid w:val="004E4278"/>
    <w:rsid w:val="004E4CD1"/>
    <w:rsid w:val="004E5CEA"/>
    <w:rsid w:val="004E5D43"/>
    <w:rsid w:val="004E7564"/>
    <w:rsid w:val="004F12E4"/>
    <w:rsid w:val="004F141D"/>
    <w:rsid w:val="004F2639"/>
    <w:rsid w:val="004F4E35"/>
    <w:rsid w:val="004F5BB5"/>
    <w:rsid w:val="004F62F0"/>
    <w:rsid w:val="005018C7"/>
    <w:rsid w:val="00501D3A"/>
    <w:rsid w:val="00502CC1"/>
    <w:rsid w:val="005038F0"/>
    <w:rsid w:val="00504042"/>
    <w:rsid w:val="005056D6"/>
    <w:rsid w:val="00505EA0"/>
    <w:rsid w:val="00506E89"/>
    <w:rsid w:val="00507CF5"/>
    <w:rsid w:val="005101D6"/>
    <w:rsid w:val="00510656"/>
    <w:rsid w:val="00511B67"/>
    <w:rsid w:val="0051223C"/>
    <w:rsid w:val="00514239"/>
    <w:rsid w:val="00516201"/>
    <w:rsid w:val="0051662F"/>
    <w:rsid w:val="00516EDB"/>
    <w:rsid w:val="005200BF"/>
    <w:rsid w:val="00520AE7"/>
    <w:rsid w:val="00522801"/>
    <w:rsid w:val="0052291A"/>
    <w:rsid w:val="00523BE7"/>
    <w:rsid w:val="005242F8"/>
    <w:rsid w:val="00524A87"/>
    <w:rsid w:val="00525E04"/>
    <w:rsid w:val="00526467"/>
    <w:rsid w:val="00526BFC"/>
    <w:rsid w:val="00526CF5"/>
    <w:rsid w:val="005270F7"/>
    <w:rsid w:val="005273FA"/>
    <w:rsid w:val="005301B2"/>
    <w:rsid w:val="00531E1B"/>
    <w:rsid w:val="00532812"/>
    <w:rsid w:val="00533209"/>
    <w:rsid w:val="0053667B"/>
    <w:rsid w:val="00536840"/>
    <w:rsid w:val="00537177"/>
    <w:rsid w:val="005372CA"/>
    <w:rsid w:val="00537E89"/>
    <w:rsid w:val="00540B74"/>
    <w:rsid w:val="00543B2C"/>
    <w:rsid w:val="0054478B"/>
    <w:rsid w:val="00545FB1"/>
    <w:rsid w:val="00551385"/>
    <w:rsid w:val="005515E9"/>
    <w:rsid w:val="00552709"/>
    <w:rsid w:val="00554A16"/>
    <w:rsid w:val="00554D9F"/>
    <w:rsid w:val="005556D4"/>
    <w:rsid w:val="00556046"/>
    <w:rsid w:val="00556123"/>
    <w:rsid w:val="00556FB2"/>
    <w:rsid w:val="00557FC5"/>
    <w:rsid w:val="0056036E"/>
    <w:rsid w:val="005603E4"/>
    <w:rsid w:val="005613E1"/>
    <w:rsid w:val="00562F62"/>
    <w:rsid w:val="0056432F"/>
    <w:rsid w:val="0056496A"/>
    <w:rsid w:val="00565E42"/>
    <w:rsid w:val="00566BC9"/>
    <w:rsid w:val="005676A0"/>
    <w:rsid w:val="00570258"/>
    <w:rsid w:val="005703B2"/>
    <w:rsid w:val="005710B4"/>
    <w:rsid w:val="00571158"/>
    <w:rsid w:val="00571E62"/>
    <w:rsid w:val="00572875"/>
    <w:rsid w:val="005737EA"/>
    <w:rsid w:val="00573FD9"/>
    <w:rsid w:val="005754B0"/>
    <w:rsid w:val="00576979"/>
    <w:rsid w:val="00576FCB"/>
    <w:rsid w:val="005822E6"/>
    <w:rsid w:val="00582650"/>
    <w:rsid w:val="00582A56"/>
    <w:rsid w:val="00582C6C"/>
    <w:rsid w:val="00583118"/>
    <w:rsid w:val="00583E54"/>
    <w:rsid w:val="00584C00"/>
    <w:rsid w:val="00585E46"/>
    <w:rsid w:val="005872D1"/>
    <w:rsid w:val="00590D18"/>
    <w:rsid w:val="00593ECB"/>
    <w:rsid w:val="00596396"/>
    <w:rsid w:val="0059645A"/>
    <w:rsid w:val="00596625"/>
    <w:rsid w:val="005A1D35"/>
    <w:rsid w:val="005A1D62"/>
    <w:rsid w:val="005A1F17"/>
    <w:rsid w:val="005A29FD"/>
    <w:rsid w:val="005A2B23"/>
    <w:rsid w:val="005A2DF2"/>
    <w:rsid w:val="005A657F"/>
    <w:rsid w:val="005A6818"/>
    <w:rsid w:val="005A734A"/>
    <w:rsid w:val="005B0109"/>
    <w:rsid w:val="005B0177"/>
    <w:rsid w:val="005B0B43"/>
    <w:rsid w:val="005B1723"/>
    <w:rsid w:val="005B29F6"/>
    <w:rsid w:val="005B30EA"/>
    <w:rsid w:val="005B3A48"/>
    <w:rsid w:val="005B46EA"/>
    <w:rsid w:val="005B5187"/>
    <w:rsid w:val="005C0515"/>
    <w:rsid w:val="005C14F3"/>
    <w:rsid w:val="005C1C27"/>
    <w:rsid w:val="005C2A96"/>
    <w:rsid w:val="005C4768"/>
    <w:rsid w:val="005C4C19"/>
    <w:rsid w:val="005C5609"/>
    <w:rsid w:val="005C5865"/>
    <w:rsid w:val="005C6E00"/>
    <w:rsid w:val="005C7769"/>
    <w:rsid w:val="005D0270"/>
    <w:rsid w:val="005D0768"/>
    <w:rsid w:val="005D07EE"/>
    <w:rsid w:val="005D09B6"/>
    <w:rsid w:val="005D1707"/>
    <w:rsid w:val="005D31C4"/>
    <w:rsid w:val="005D3E27"/>
    <w:rsid w:val="005D3F0B"/>
    <w:rsid w:val="005D4D29"/>
    <w:rsid w:val="005D4F5E"/>
    <w:rsid w:val="005E146D"/>
    <w:rsid w:val="005E1498"/>
    <w:rsid w:val="005E1DB8"/>
    <w:rsid w:val="005E2C7C"/>
    <w:rsid w:val="005E319F"/>
    <w:rsid w:val="005E47FD"/>
    <w:rsid w:val="005E4D25"/>
    <w:rsid w:val="005E4E56"/>
    <w:rsid w:val="005E4F0C"/>
    <w:rsid w:val="005E51DD"/>
    <w:rsid w:val="005E6E2D"/>
    <w:rsid w:val="005E7B18"/>
    <w:rsid w:val="005E7CCB"/>
    <w:rsid w:val="005F080E"/>
    <w:rsid w:val="005F0D39"/>
    <w:rsid w:val="005F1964"/>
    <w:rsid w:val="005F299A"/>
    <w:rsid w:val="005F4246"/>
    <w:rsid w:val="005F463E"/>
    <w:rsid w:val="005F4915"/>
    <w:rsid w:val="005F6FE7"/>
    <w:rsid w:val="005F71CB"/>
    <w:rsid w:val="005F7C13"/>
    <w:rsid w:val="0060129B"/>
    <w:rsid w:val="00601B0B"/>
    <w:rsid w:val="0060300E"/>
    <w:rsid w:val="00603EC5"/>
    <w:rsid w:val="00604311"/>
    <w:rsid w:val="0060472E"/>
    <w:rsid w:val="00605F42"/>
    <w:rsid w:val="00611045"/>
    <w:rsid w:val="00611EE5"/>
    <w:rsid w:val="00612664"/>
    <w:rsid w:val="006128F2"/>
    <w:rsid w:val="00613DD6"/>
    <w:rsid w:val="006146C8"/>
    <w:rsid w:val="00614BA1"/>
    <w:rsid w:val="00615A66"/>
    <w:rsid w:val="00616E67"/>
    <w:rsid w:val="00616FB9"/>
    <w:rsid w:val="00616FC0"/>
    <w:rsid w:val="00617CF8"/>
    <w:rsid w:val="00620F70"/>
    <w:rsid w:val="00622228"/>
    <w:rsid w:val="00623134"/>
    <w:rsid w:val="00624CC8"/>
    <w:rsid w:val="00625984"/>
    <w:rsid w:val="00625F6C"/>
    <w:rsid w:val="0062790D"/>
    <w:rsid w:val="006305D8"/>
    <w:rsid w:val="00631108"/>
    <w:rsid w:val="006314D0"/>
    <w:rsid w:val="00631A36"/>
    <w:rsid w:val="0063482D"/>
    <w:rsid w:val="0063552A"/>
    <w:rsid w:val="0063583E"/>
    <w:rsid w:val="00635A2E"/>
    <w:rsid w:val="00635B0B"/>
    <w:rsid w:val="00636617"/>
    <w:rsid w:val="00640283"/>
    <w:rsid w:val="00640321"/>
    <w:rsid w:val="00641479"/>
    <w:rsid w:val="00643ACE"/>
    <w:rsid w:val="00644C10"/>
    <w:rsid w:val="00645D44"/>
    <w:rsid w:val="00646E47"/>
    <w:rsid w:val="006502C0"/>
    <w:rsid w:val="0065047F"/>
    <w:rsid w:val="00650E9B"/>
    <w:rsid w:val="00651CBC"/>
    <w:rsid w:val="00653BBA"/>
    <w:rsid w:val="006553B2"/>
    <w:rsid w:val="00657844"/>
    <w:rsid w:val="00660DD9"/>
    <w:rsid w:val="0066264A"/>
    <w:rsid w:val="00664A96"/>
    <w:rsid w:val="006658B6"/>
    <w:rsid w:val="00666EC0"/>
    <w:rsid w:val="006678C8"/>
    <w:rsid w:val="00670009"/>
    <w:rsid w:val="0067234B"/>
    <w:rsid w:val="00673A4A"/>
    <w:rsid w:val="00674633"/>
    <w:rsid w:val="006767FE"/>
    <w:rsid w:val="00680F10"/>
    <w:rsid w:val="006815E4"/>
    <w:rsid w:val="00681CD9"/>
    <w:rsid w:val="00681D28"/>
    <w:rsid w:val="00682145"/>
    <w:rsid w:val="00682152"/>
    <w:rsid w:val="006833D1"/>
    <w:rsid w:val="00683847"/>
    <w:rsid w:val="00683B84"/>
    <w:rsid w:val="00684B62"/>
    <w:rsid w:val="00685068"/>
    <w:rsid w:val="00685B3C"/>
    <w:rsid w:val="00685E98"/>
    <w:rsid w:val="00686AE5"/>
    <w:rsid w:val="00687A27"/>
    <w:rsid w:val="00687FE7"/>
    <w:rsid w:val="00690583"/>
    <w:rsid w:val="006924BB"/>
    <w:rsid w:val="00693652"/>
    <w:rsid w:val="0069542D"/>
    <w:rsid w:val="0069610C"/>
    <w:rsid w:val="0069764D"/>
    <w:rsid w:val="00697B82"/>
    <w:rsid w:val="006A0093"/>
    <w:rsid w:val="006A1D0F"/>
    <w:rsid w:val="006A3E11"/>
    <w:rsid w:val="006A50F4"/>
    <w:rsid w:val="006A5436"/>
    <w:rsid w:val="006A7F4B"/>
    <w:rsid w:val="006B0A20"/>
    <w:rsid w:val="006B1D3C"/>
    <w:rsid w:val="006B2DBB"/>
    <w:rsid w:val="006B2F26"/>
    <w:rsid w:val="006B4581"/>
    <w:rsid w:val="006B571E"/>
    <w:rsid w:val="006B5D75"/>
    <w:rsid w:val="006B7081"/>
    <w:rsid w:val="006B7D8E"/>
    <w:rsid w:val="006C034D"/>
    <w:rsid w:val="006C05AB"/>
    <w:rsid w:val="006C061C"/>
    <w:rsid w:val="006C1A48"/>
    <w:rsid w:val="006C1CC5"/>
    <w:rsid w:val="006C1ED6"/>
    <w:rsid w:val="006C2397"/>
    <w:rsid w:val="006C463B"/>
    <w:rsid w:val="006C4693"/>
    <w:rsid w:val="006C47F2"/>
    <w:rsid w:val="006C5059"/>
    <w:rsid w:val="006C5079"/>
    <w:rsid w:val="006C516A"/>
    <w:rsid w:val="006C5BD3"/>
    <w:rsid w:val="006C6025"/>
    <w:rsid w:val="006C61AD"/>
    <w:rsid w:val="006C7263"/>
    <w:rsid w:val="006C7416"/>
    <w:rsid w:val="006D02D4"/>
    <w:rsid w:val="006D0537"/>
    <w:rsid w:val="006D46C2"/>
    <w:rsid w:val="006D5AE6"/>
    <w:rsid w:val="006D7E8C"/>
    <w:rsid w:val="006E101E"/>
    <w:rsid w:val="006E2EAD"/>
    <w:rsid w:val="006E2F1D"/>
    <w:rsid w:val="006E3191"/>
    <w:rsid w:val="006E5420"/>
    <w:rsid w:val="006E57A6"/>
    <w:rsid w:val="006F1969"/>
    <w:rsid w:val="006F1AAF"/>
    <w:rsid w:val="006F4B79"/>
    <w:rsid w:val="006F599C"/>
    <w:rsid w:val="006F5A4B"/>
    <w:rsid w:val="006F5C84"/>
    <w:rsid w:val="006F6850"/>
    <w:rsid w:val="006F712C"/>
    <w:rsid w:val="006F789F"/>
    <w:rsid w:val="006F7F3A"/>
    <w:rsid w:val="007003D7"/>
    <w:rsid w:val="007003DD"/>
    <w:rsid w:val="00700647"/>
    <w:rsid w:val="00700C21"/>
    <w:rsid w:val="00700DDE"/>
    <w:rsid w:val="00700F4E"/>
    <w:rsid w:val="007015E8"/>
    <w:rsid w:val="00701D8F"/>
    <w:rsid w:val="00704083"/>
    <w:rsid w:val="00704C8C"/>
    <w:rsid w:val="00704D23"/>
    <w:rsid w:val="007051E3"/>
    <w:rsid w:val="0070595F"/>
    <w:rsid w:val="00706049"/>
    <w:rsid w:val="00706603"/>
    <w:rsid w:val="00706EBC"/>
    <w:rsid w:val="00706FF3"/>
    <w:rsid w:val="007078CA"/>
    <w:rsid w:val="00710A91"/>
    <w:rsid w:val="0071267B"/>
    <w:rsid w:val="0071290B"/>
    <w:rsid w:val="007129E5"/>
    <w:rsid w:val="00713282"/>
    <w:rsid w:val="0071362A"/>
    <w:rsid w:val="00713BBC"/>
    <w:rsid w:val="00714C93"/>
    <w:rsid w:val="00720519"/>
    <w:rsid w:val="007211F6"/>
    <w:rsid w:val="00723608"/>
    <w:rsid w:val="007239C5"/>
    <w:rsid w:val="00723ABB"/>
    <w:rsid w:val="00725A47"/>
    <w:rsid w:val="00725B14"/>
    <w:rsid w:val="007264A4"/>
    <w:rsid w:val="007269D8"/>
    <w:rsid w:val="0073094C"/>
    <w:rsid w:val="00730D1D"/>
    <w:rsid w:val="00731577"/>
    <w:rsid w:val="007322B3"/>
    <w:rsid w:val="007323F0"/>
    <w:rsid w:val="00732561"/>
    <w:rsid w:val="00734836"/>
    <w:rsid w:val="007351B0"/>
    <w:rsid w:val="007354C1"/>
    <w:rsid w:val="0073715D"/>
    <w:rsid w:val="00737745"/>
    <w:rsid w:val="00737CDA"/>
    <w:rsid w:val="00740005"/>
    <w:rsid w:val="00740D9C"/>
    <w:rsid w:val="00742E1C"/>
    <w:rsid w:val="00745531"/>
    <w:rsid w:val="00745A2D"/>
    <w:rsid w:val="007462E4"/>
    <w:rsid w:val="00747CB5"/>
    <w:rsid w:val="007500ED"/>
    <w:rsid w:val="007505C0"/>
    <w:rsid w:val="00750631"/>
    <w:rsid w:val="00753085"/>
    <w:rsid w:val="00754C5D"/>
    <w:rsid w:val="00756666"/>
    <w:rsid w:val="0075694B"/>
    <w:rsid w:val="007575B0"/>
    <w:rsid w:val="00760921"/>
    <w:rsid w:val="00760A8B"/>
    <w:rsid w:val="0076318A"/>
    <w:rsid w:val="0076339F"/>
    <w:rsid w:val="00764B2A"/>
    <w:rsid w:val="00765975"/>
    <w:rsid w:val="00765AAF"/>
    <w:rsid w:val="00765B6D"/>
    <w:rsid w:val="007670D3"/>
    <w:rsid w:val="00767799"/>
    <w:rsid w:val="007678D0"/>
    <w:rsid w:val="0077016E"/>
    <w:rsid w:val="007717C8"/>
    <w:rsid w:val="0077520C"/>
    <w:rsid w:val="00775B79"/>
    <w:rsid w:val="00776E73"/>
    <w:rsid w:val="0078010D"/>
    <w:rsid w:val="007803B9"/>
    <w:rsid w:val="007812B1"/>
    <w:rsid w:val="007847B2"/>
    <w:rsid w:val="007849BA"/>
    <w:rsid w:val="00786CA1"/>
    <w:rsid w:val="00790997"/>
    <w:rsid w:val="00790D61"/>
    <w:rsid w:val="00790F78"/>
    <w:rsid w:val="0079160C"/>
    <w:rsid w:val="007934AE"/>
    <w:rsid w:val="00793802"/>
    <w:rsid w:val="00794233"/>
    <w:rsid w:val="00794EB3"/>
    <w:rsid w:val="00797022"/>
    <w:rsid w:val="007972F2"/>
    <w:rsid w:val="007A0944"/>
    <w:rsid w:val="007A1E37"/>
    <w:rsid w:val="007A1EC2"/>
    <w:rsid w:val="007A1F4F"/>
    <w:rsid w:val="007A24D8"/>
    <w:rsid w:val="007A3CE6"/>
    <w:rsid w:val="007A5CD9"/>
    <w:rsid w:val="007A6B37"/>
    <w:rsid w:val="007A7645"/>
    <w:rsid w:val="007A7B14"/>
    <w:rsid w:val="007B0254"/>
    <w:rsid w:val="007B3F1F"/>
    <w:rsid w:val="007C01E7"/>
    <w:rsid w:val="007C096E"/>
    <w:rsid w:val="007C196F"/>
    <w:rsid w:val="007C1D09"/>
    <w:rsid w:val="007C1D29"/>
    <w:rsid w:val="007C3367"/>
    <w:rsid w:val="007C3CA6"/>
    <w:rsid w:val="007C4784"/>
    <w:rsid w:val="007C5599"/>
    <w:rsid w:val="007C5FDF"/>
    <w:rsid w:val="007C68A4"/>
    <w:rsid w:val="007C6B52"/>
    <w:rsid w:val="007C7880"/>
    <w:rsid w:val="007D2724"/>
    <w:rsid w:val="007D3485"/>
    <w:rsid w:val="007D37D8"/>
    <w:rsid w:val="007D4968"/>
    <w:rsid w:val="007D55C2"/>
    <w:rsid w:val="007D5C3A"/>
    <w:rsid w:val="007E0028"/>
    <w:rsid w:val="007E0918"/>
    <w:rsid w:val="007E28D5"/>
    <w:rsid w:val="007E356B"/>
    <w:rsid w:val="007E37BA"/>
    <w:rsid w:val="007E3C38"/>
    <w:rsid w:val="007E3CA9"/>
    <w:rsid w:val="007E3E9E"/>
    <w:rsid w:val="007E4421"/>
    <w:rsid w:val="007E4740"/>
    <w:rsid w:val="007E5D99"/>
    <w:rsid w:val="007E6380"/>
    <w:rsid w:val="007E6895"/>
    <w:rsid w:val="007E78EC"/>
    <w:rsid w:val="007F0DC3"/>
    <w:rsid w:val="007F1488"/>
    <w:rsid w:val="007F2C3C"/>
    <w:rsid w:val="007F2DBC"/>
    <w:rsid w:val="007F2FE9"/>
    <w:rsid w:val="007F3B04"/>
    <w:rsid w:val="007F3E45"/>
    <w:rsid w:val="007F4F59"/>
    <w:rsid w:val="007F5029"/>
    <w:rsid w:val="007F57E8"/>
    <w:rsid w:val="007F626F"/>
    <w:rsid w:val="007F6B0D"/>
    <w:rsid w:val="007F7256"/>
    <w:rsid w:val="007F7A1F"/>
    <w:rsid w:val="008009CE"/>
    <w:rsid w:val="008012B9"/>
    <w:rsid w:val="0080255C"/>
    <w:rsid w:val="00803B35"/>
    <w:rsid w:val="008048F9"/>
    <w:rsid w:val="008050FE"/>
    <w:rsid w:val="008052E0"/>
    <w:rsid w:val="00805542"/>
    <w:rsid w:val="008070CF"/>
    <w:rsid w:val="008075AA"/>
    <w:rsid w:val="00810AF0"/>
    <w:rsid w:val="00810B77"/>
    <w:rsid w:val="0081108A"/>
    <w:rsid w:val="008118E0"/>
    <w:rsid w:val="00811F8D"/>
    <w:rsid w:val="00815782"/>
    <w:rsid w:val="00815A21"/>
    <w:rsid w:val="00815E38"/>
    <w:rsid w:val="00816295"/>
    <w:rsid w:val="00817774"/>
    <w:rsid w:val="008219A8"/>
    <w:rsid w:val="008225BE"/>
    <w:rsid w:val="008226D0"/>
    <w:rsid w:val="008228E8"/>
    <w:rsid w:val="008250F3"/>
    <w:rsid w:val="00825848"/>
    <w:rsid w:val="00826A79"/>
    <w:rsid w:val="00827757"/>
    <w:rsid w:val="008278AB"/>
    <w:rsid w:val="00830C43"/>
    <w:rsid w:val="00831136"/>
    <w:rsid w:val="00831592"/>
    <w:rsid w:val="00832099"/>
    <w:rsid w:val="00835BA7"/>
    <w:rsid w:val="00837804"/>
    <w:rsid w:val="00841372"/>
    <w:rsid w:val="00841A3B"/>
    <w:rsid w:val="008451AC"/>
    <w:rsid w:val="00846AAE"/>
    <w:rsid w:val="00847146"/>
    <w:rsid w:val="008474EF"/>
    <w:rsid w:val="00860116"/>
    <w:rsid w:val="0086181B"/>
    <w:rsid w:val="008620C3"/>
    <w:rsid w:val="008627F6"/>
    <w:rsid w:val="00863162"/>
    <w:rsid w:val="00863297"/>
    <w:rsid w:val="00863F35"/>
    <w:rsid w:val="0086417E"/>
    <w:rsid w:val="0086465D"/>
    <w:rsid w:val="0086583A"/>
    <w:rsid w:val="00865DCB"/>
    <w:rsid w:val="00866CE9"/>
    <w:rsid w:val="00866CF0"/>
    <w:rsid w:val="00871623"/>
    <w:rsid w:val="0087218A"/>
    <w:rsid w:val="0087241D"/>
    <w:rsid w:val="008724EC"/>
    <w:rsid w:val="00873F3C"/>
    <w:rsid w:val="00874F68"/>
    <w:rsid w:val="0087527E"/>
    <w:rsid w:val="00876184"/>
    <w:rsid w:val="00876F71"/>
    <w:rsid w:val="008773C9"/>
    <w:rsid w:val="00883006"/>
    <w:rsid w:val="00883204"/>
    <w:rsid w:val="008832F3"/>
    <w:rsid w:val="00883561"/>
    <w:rsid w:val="00887375"/>
    <w:rsid w:val="00887C6E"/>
    <w:rsid w:val="008915C5"/>
    <w:rsid w:val="00893400"/>
    <w:rsid w:val="00894421"/>
    <w:rsid w:val="00895C82"/>
    <w:rsid w:val="00896137"/>
    <w:rsid w:val="00896346"/>
    <w:rsid w:val="00896AD2"/>
    <w:rsid w:val="00897BBC"/>
    <w:rsid w:val="008A1807"/>
    <w:rsid w:val="008A4BB0"/>
    <w:rsid w:val="008A50C1"/>
    <w:rsid w:val="008A59AE"/>
    <w:rsid w:val="008A635D"/>
    <w:rsid w:val="008B2629"/>
    <w:rsid w:val="008B32CA"/>
    <w:rsid w:val="008B3904"/>
    <w:rsid w:val="008B5118"/>
    <w:rsid w:val="008B5D12"/>
    <w:rsid w:val="008B6EC5"/>
    <w:rsid w:val="008B706B"/>
    <w:rsid w:val="008C0AC6"/>
    <w:rsid w:val="008C1EE2"/>
    <w:rsid w:val="008C372A"/>
    <w:rsid w:val="008C61E4"/>
    <w:rsid w:val="008C6FE0"/>
    <w:rsid w:val="008D0941"/>
    <w:rsid w:val="008D1768"/>
    <w:rsid w:val="008D19A6"/>
    <w:rsid w:val="008D3870"/>
    <w:rsid w:val="008D3C45"/>
    <w:rsid w:val="008D4F0B"/>
    <w:rsid w:val="008D5B88"/>
    <w:rsid w:val="008D663F"/>
    <w:rsid w:val="008D6D8D"/>
    <w:rsid w:val="008E08F9"/>
    <w:rsid w:val="008E2515"/>
    <w:rsid w:val="008E6C18"/>
    <w:rsid w:val="008F23DE"/>
    <w:rsid w:val="008F314F"/>
    <w:rsid w:val="008F35C4"/>
    <w:rsid w:val="008F3E86"/>
    <w:rsid w:val="008F456F"/>
    <w:rsid w:val="008F76ED"/>
    <w:rsid w:val="009003A9"/>
    <w:rsid w:val="00901642"/>
    <w:rsid w:val="00901A89"/>
    <w:rsid w:val="00901E95"/>
    <w:rsid w:val="00903AAF"/>
    <w:rsid w:val="009058B5"/>
    <w:rsid w:val="009066EF"/>
    <w:rsid w:val="00907A6F"/>
    <w:rsid w:val="00907D39"/>
    <w:rsid w:val="00911CED"/>
    <w:rsid w:val="00912D6E"/>
    <w:rsid w:val="0091487A"/>
    <w:rsid w:val="00914F1A"/>
    <w:rsid w:val="00915C37"/>
    <w:rsid w:val="009169F5"/>
    <w:rsid w:val="009235B7"/>
    <w:rsid w:val="00924318"/>
    <w:rsid w:val="00924AAC"/>
    <w:rsid w:val="00925C0B"/>
    <w:rsid w:val="00925C91"/>
    <w:rsid w:val="00926535"/>
    <w:rsid w:val="009267CA"/>
    <w:rsid w:val="009279EE"/>
    <w:rsid w:val="00930D8A"/>
    <w:rsid w:val="0093216F"/>
    <w:rsid w:val="009323C8"/>
    <w:rsid w:val="00933484"/>
    <w:rsid w:val="009337D5"/>
    <w:rsid w:val="0093392D"/>
    <w:rsid w:val="00933A6B"/>
    <w:rsid w:val="00934DCE"/>
    <w:rsid w:val="00935CB0"/>
    <w:rsid w:val="00935E95"/>
    <w:rsid w:val="0093626D"/>
    <w:rsid w:val="0093631C"/>
    <w:rsid w:val="009410AA"/>
    <w:rsid w:val="00941816"/>
    <w:rsid w:val="00941A6A"/>
    <w:rsid w:val="00944088"/>
    <w:rsid w:val="00944466"/>
    <w:rsid w:val="00944E6E"/>
    <w:rsid w:val="00945F24"/>
    <w:rsid w:val="00947070"/>
    <w:rsid w:val="00947CE6"/>
    <w:rsid w:val="009504B6"/>
    <w:rsid w:val="009509E6"/>
    <w:rsid w:val="009539B0"/>
    <w:rsid w:val="00953D97"/>
    <w:rsid w:val="009546D1"/>
    <w:rsid w:val="009547BB"/>
    <w:rsid w:val="009551AF"/>
    <w:rsid w:val="00961B67"/>
    <w:rsid w:val="00962680"/>
    <w:rsid w:val="009626E3"/>
    <w:rsid w:val="009627DC"/>
    <w:rsid w:val="00963835"/>
    <w:rsid w:val="00963B23"/>
    <w:rsid w:val="00964F68"/>
    <w:rsid w:val="0096558C"/>
    <w:rsid w:val="009669A8"/>
    <w:rsid w:val="00967DB8"/>
    <w:rsid w:val="00974B8C"/>
    <w:rsid w:val="00975955"/>
    <w:rsid w:val="009766D6"/>
    <w:rsid w:val="00977D3D"/>
    <w:rsid w:val="009804BB"/>
    <w:rsid w:val="0098167B"/>
    <w:rsid w:val="009818E3"/>
    <w:rsid w:val="00983C1A"/>
    <w:rsid w:val="00983D99"/>
    <w:rsid w:val="00984625"/>
    <w:rsid w:val="009859D2"/>
    <w:rsid w:val="009870C4"/>
    <w:rsid w:val="00987E6C"/>
    <w:rsid w:val="00991DA2"/>
    <w:rsid w:val="009936D5"/>
    <w:rsid w:val="00995455"/>
    <w:rsid w:val="0099576A"/>
    <w:rsid w:val="0099608D"/>
    <w:rsid w:val="0099688C"/>
    <w:rsid w:val="009A053C"/>
    <w:rsid w:val="009A074F"/>
    <w:rsid w:val="009A4B42"/>
    <w:rsid w:val="009A59DF"/>
    <w:rsid w:val="009B0453"/>
    <w:rsid w:val="009B04EC"/>
    <w:rsid w:val="009B0C46"/>
    <w:rsid w:val="009B0CA6"/>
    <w:rsid w:val="009B1BCE"/>
    <w:rsid w:val="009B2D78"/>
    <w:rsid w:val="009B336D"/>
    <w:rsid w:val="009B581C"/>
    <w:rsid w:val="009B6073"/>
    <w:rsid w:val="009B6603"/>
    <w:rsid w:val="009C053C"/>
    <w:rsid w:val="009C0940"/>
    <w:rsid w:val="009C099E"/>
    <w:rsid w:val="009C1B27"/>
    <w:rsid w:val="009C3683"/>
    <w:rsid w:val="009C3E34"/>
    <w:rsid w:val="009C3F27"/>
    <w:rsid w:val="009C4BBE"/>
    <w:rsid w:val="009C70C4"/>
    <w:rsid w:val="009C740A"/>
    <w:rsid w:val="009C7D8B"/>
    <w:rsid w:val="009C7F1A"/>
    <w:rsid w:val="009D1E6D"/>
    <w:rsid w:val="009D39EE"/>
    <w:rsid w:val="009D460B"/>
    <w:rsid w:val="009D4F7D"/>
    <w:rsid w:val="009D5231"/>
    <w:rsid w:val="009D6952"/>
    <w:rsid w:val="009D6E0F"/>
    <w:rsid w:val="009E2D56"/>
    <w:rsid w:val="009E377A"/>
    <w:rsid w:val="009E3C87"/>
    <w:rsid w:val="009E5314"/>
    <w:rsid w:val="009E540B"/>
    <w:rsid w:val="009E5C1E"/>
    <w:rsid w:val="009E6BDD"/>
    <w:rsid w:val="009E6BE4"/>
    <w:rsid w:val="009E7D27"/>
    <w:rsid w:val="009F37E1"/>
    <w:rsid w:val="009F3DC4"/>
    <w:rsid w:val="009F4076"/>
    <w:rsid w:val="009F40E7"/>
    <w:rsid w:val="009F42E5"/>
    <w:rsid w:val="009F534A"/>
    <w:rsid w:val="009F5498"/>
    <w:rsid w:val="009F5757"/>
    <w:rsid w:val="009F5F2C"/>
    <w:rsid w:val="009F66A1"/>
    <w:rsid w:val="009F6D67"/>
    <w:rsid w:val="00A00D8A"/>
    <w:rsid w:val="00A02AA1"/>
    <w:rsid w:val="00A0345D"/>
    <w:rsid w:val="00A03563"/>
    <w:rsid w:val="00A03AF1"/>
    <w:rsid w:val="00A0462C"/>
    <w:rsid w:val="00A056B8"/>
    <w:rsid w:val="00A05B30"/>
    <w:rsid w:val="00A068C9"/>
    <w:rsid w:val="00A074C1"/>
    <w:rsid w:val="00A079A5"/>
    <w:rsid w:val="00A07E9C"/>
    <w:rsid w:val="00A12828"/>
    <w:rsid w:val="00A12904"/>
    <w:rsid w:val="00A13523"/>
    <w:rsid w:val="00A15C04"/>
    <w:rsid w:val="00A211A8"/>
    <w:rsid w:val="00A23C3B"/>
    <w:rsid w:val="00A2564F"/>
    <w:rsid w:val="00A26A7D"/>
    <w:rsid w:val="00A27239"/>
    <w:rsid w:val="00A30017"/>
    <w:rsid w:val="00A30C35"/>
    <w:rsid w:val="00A30C8A"/>
    <w:rsid w:val="00A32780"/>
    <w:rsid w:val="00A334E2"/>
    <w:rsid w:val="00A34615"/>
    <w:rsid w:val="00A373D0"/>
    <w:rsid w:val="00A41C91"/>
    <w:rsid w:val="00A42315"/>
    <w:rsid w:val="00A43743"/>
    <w:rsid w:val="00A438F3"/>
    <w:rsid w:val="00A4412A"/>
    <w:rsid w:val="00A45479"/>
    <w:rsid w:val="00A47D48"/>
    <w:rsid w:val="00A502DD"/>
    <w:rsid w:val="00A5241A"/>
    <w:rsid w:val="00A526DE"/>
    <w:rsid w:val="00A5396A"/>
    <w:rsid w:val="00A54B06"/>
    <w:rsid w:val="00A56F40"/>
    <w:rsid w:val="00A5702D"/>
    <w:rsid w:val="00A57CB9"/>
    <w:rsid w:val="00A61009"/>
    <w:rsid w:val="00A61A94"/>
    <w:rsid w:val="00A61B74"/>
    <w:rsid w:val="00A61E82"/>
    <w:rsid w:val="00A62B17"/>
    <w:rsid w:val="00A63C46"/>
    <w:rsid w:val="00A6433A"/>
    <w:rsid w:val="00A65EB2"/>
    <w:rsid w:val="00A70866"/>
    <w:rsid w:val="00A72211"/>
    <w:rsid w:val="00A73A88"/>
    <w:rsid w:val="00A73CC4"/>
    <w:rsid w:val="00A741C5"/>
    <w:rsid w:val="00A754AD"/>
    <w:rsid w:val="00A75C91"/>
    <w:rsid w:val="00A802C0"/>
    <w:rsid w:val="00A80467"/>
    <w:rsid w:val="00A804AC"/>
    <w:rsid w:val="00A80B93"/>
    <w:rsid w:val="00A80CEB"/>
    <w:rsid w:val="00A80CEE"/>
    <w:rsid w:val="00A80D2A"/>
    <w:rsid w:val="00A81849"/>
    <w:rsid w:val="00A820DF"/>
    <w:rsid w:val="00A826B9"/>
    <w:rsid w:val="00A82BFF"/>
    <w:rsid w:val="00A84242"/>
    <w:rsid w:val="00A8568F"/>
    <w:rsid w:val="00A86610"/>
    <w:rsid w:val="00A86EBF"/>
    <w:rsid w:val="00A878D5"/>
    <w:rsid w:val="00A87C5B"/>
    <w:rsid w:val="00A91126"/>
    <w:rsid w:val="00A91272"/>
    <w:rsid w:val="00A915F9"/>
    <w:rsid w:val="00A918EB"/>
    <w:rsid w:val="00A91B51"/>
    <w:rsid w:val="00A91D41"/>
    <w:rsid w:val="00A930D9"/>
    <w:rsid w:val="00A93330"/>
    <w:rsid w:val="00A9401D"/>
    <w:rsid w:val="00A944C7"/>
    <w:rsid w:val="00A94E4B"/>
    <w:rsid w:val="00A954A8"/>
    <w:rsid w:val="00A959B7"/>
    <w:rsid w:val="00A96015"/>
    <w:rsid w:val="00A963EB"/>
    <w:rsid w:val="00A979B5"/>
    <w:rsid w:val="00A97DA5"/>
    <w:rsid w:val="00AA1F92"/>
    <w:rsid w:val="00AA38E8"/>
    <w:rsid w:val="00AA4DB3"/>
    <w:rsid w:val="00AA5119"/>
    <w:rsid w:val="00AA51BB"/>
    <w:rsid w:val="00AA61D7"/>
    <w:rsid w:val="00AA6883"/>
    <w:rsid w:val="00AB0270"/>
    <w:rsid w:val="00AB1740"/>
    <w:rsid w:val="00AB2242"/>
    <w:rsid w:val="00AB2A5C"/>
    <w:rsid w:val="00AB48EA"/>
    <w:rsid w:val="00AB5A1C"/>
    <w:rsid w:val="00AB6D55"/>
    <w:rsid w:val="00AB6DD6"/>
    <w:rsid w:val="00AB77D0"/>
    <w:rsid w:val="00AC0BBC"/>
    <w:rsid w:val="00AC19B8"/>
    <w:rsid w:val="00AC2836"/>
    <w:rsid w:val="00AC2A9F"/>
    <w:rsid w:val="00AC2D27"/>
    <w:rsid w:val="00AC3425"/>
    <w:rsid w:val="00AC3646"/>
    <w:rsid w:val="00AC4D90"/>
    <w:rsid w:val="00AD125B"/>
    <w:rsid w:val="00AD4064"/>
    <w:rsid w:val="00AD4327"/>
    <w:rsid w:val="00AD43C4"/>
    <w:rsid w:val="00AD441E"/>
    <w:rsid w:val="00AD4C73"/>
    <w:rsid w:val="00AD4F8F"/>
    <w:rsid w:val="00AD5E31"/>
    <w:rsid w:val="00AD6D19"/>
    <w:rsid w:val="00AD6F75"/>
    <w:rsid w:val="00AD7D28"/>
    <w:rsid w:val="00AE02A2"/>
    <w:rsid w:val="00AE048D"/>
    <w:rsid w:val="00AE182A"/>
    <w:rsid w:val="00AE18F4"/>
    <w:rsid w:val="00AE1947"/>
    <w:rsid w:val="00AE40EF"/>
    <w:rsid w:val="00AE532E"/>
    <w:rsid w:val="00AE565D"/>
    <w:rsid w:val="00AE5F60"/>
    <w:rsid w:val="00AE6669"/>
    <w:rsid w:val="00AE6948"/>
    <w:rsid w:val="00AE6978"/>
    <w:rsid w:val="00AE7038"/>
    <w:rsid w:val="00AE74AF"/>
    <w:rsid w:val="00AF05A7"/>
    <w:rsid w:val="00AF0AF8"/>
    <w:rsid w:val="00AF0FC9"/>
    <w:rsid w:val="00AF21A4"/>
    <w:rsid w:val="00AF23E9"/>
    <w:rsid w:val="00AF2CCA"/>
    <w:rsid w:val="00AF5695"/>
    <w:rsid w:val="00AF6BDF"/>
    <w:rsid w:val="00AF7BC5"/>
    <w:rsid w:val="00AF7E51"/>
    <w:rsid w:val="00AF7ED3"/>
    <w:rsid w:val="00B0255D"/>
    <w:rsid w:val="00B0317E"/>
    <w:rsid w:val="00B058A6"/>
    <w:rsid w:val="00B068FB"/>
    <w:rsid w:val="00B10051"/>
    <w:rsid w:val="00B118D7"/>
    <w:rsid w:val="00B120B7"/>
    <w:rsid w:val="00B121FB"/>
    <w:rsid w:val="00B12606"/>
    <w:rsid w:val="00B12CE7"/>
    <w:rsid w:val="00B1300F"/>
    <w:rsid w:val="00B152C9"/>
    <w:rsid w:val="00B152DE"/>
    <w:rsid w:val="00B1548E"/>
    <w:rsid w:val="00B1588F"/>
    <w:rsid w:val="00B15B0F"/>
    <w:rsid w:val="00B16561"/>
    <w:rsid w:val="00B1664F"/>
    <w:rsid w:val="00B170D3"/>
    <w:rsid w:val="00B1743B"/>
    <w:rsid w:val="00B17463"/>
    <w:rsid w:val="00B17F7B"/>
    <w:rsid w:val="00B20AE2"/>
    <w:rsid w:val="00B212C6"/>
    <w:rsid w:val="00B2217D"/>
    <w:rsid w:val="00B222D1"/>
    <w:rsid w:val="00B22CAE"/>
    <w:rsid w:val="00B2558B"/>
    <w:rsid w:val="00B25708"/>
    <w:rsid w:val="00B26287"/>
    <w:rsid w:val="00B262A0"/>
    <w:rsid w:val="00B2755F"/>
    <w:rsid w:val="00B303AE"/>
    <w:rsid w:val="00B30933"/>
    <w:rsid w:val="00B32D9B"/>
    <w:rsid w:val="00B32F14"/>
    <w:rsid w:val="00B3379D"/>
    <w:rsid w:val="00B34BF7"/>
    <w:rsid w:val="00B3507B"/>
    <w:rsid w:val="00B35F8A"/>
    <w:rsid w:val="00B36288"/>
    <w:rsid w:val="00B362C6"/>
    <w:rsid w:val="00B371C6"/>
    <w:rsid w:val="00B37569"/>
    <w:rsid w:val="00B403E9"/>
    <w:rsid w:val="00B40EE1"/>
    <w:rsid w:val="00B41B3F"/>
    <w:rsid w:val="00B42602"/>
    <w:rsid w:val="00B44781"/>
    <w:rsid w:val="00B44E36"/>
    <w:rsid w:val="00B4658A"/>
    <w:rsid w:val="00B47895"/>
    <w:rsid w:val="00B47CB4"/>
    <w:rsid w:val="00B50B11"/>
    <w:rsid w:val="00B51870"/>
    <w:rsid w:val="00B54EE8"/>
    <w:rsid w:val="00B555AE"/>
    <w:rsid w:val="00B5630B"/>
    <w:rsid w:val="00B56593"/>
    <w:rsid w:val="00B57749"/>
    <w:rsid w:val="00B57A98"/>
    <w:rsid w:val="00B57E10"/>
    <w:rsid w:val="00B610A1"/>
    <w:rsid w:val="00B61E81"/>
    <w:rsid w:val="00B66636"/>
    <w:rsid w:val="00B669E6"/>
    <w:rsid w:val="00B67287"/>
    <w:rsid w:val="00B67AA2"/>
    <w:rsid w:val="00B67E8E"/>
    <w:rsid w:val="00B70AC9"/>
    <w:rsid w:val="00B71430"/>
    <w:rsid w:val="00B71901"/>
    <w:rsid w:val="00B71DE8"/>
    <w:rsid w:val="00B72019"/>
    <w:rsid w:val="00B7260D"/>
    <w:rsid w:val="00B726AA"/>
    <w:rsid w:val="00B72737"/>
    <w:rsid w:val="00B72D99"/>
    <w:rsid w:val="00B730CD"/>
    <w:rsid w:val="00B73957"/>
    <w:rsid w:val="00B74654"/>
    <w:rsid w:val="00B75835"/>
    <w:rsid w:val="00B75A2E"/>
    <w:rsid w:val="00B7782B"/>
    <w:rsid w:val="00B77D43"/>
    <w:rsid w:val="00B77EB8"/>
    <w:rsid w:val="00B77F9F"/>
    <w:rsid w:val="00B80CF7"/>
    <w:rsid w:val="00B80DCD"/>
    <w:rsid w:val="00B81549"/>
    <w:rsid w:val="00B816A9"/>
    <w:rsid w:val="00B81B90"/>
    <w:rsid w:val="00B81F2A"/>
    <w:rsid w:val="00B84125"/>
    <w:rsid w:val="00B84A3B"/>
    <w:rsid w:val="00B85B11"/>
    <w:rsid w:val="00B85C48"/>
    <w:rsid w:val="00B901A5"/>
    <w:rsid w:val="00B90A36"/>
    <w:rsid w:val="00B90CBD"/>
    <w:rsid w:val="00B929A4"/>
    <w:rsid w:val="00B93164"/>
    <w:rsid w:val="00B977C4"/>
    <w:rsid w:val="00BA109D"/>
    <w:rsid w:val="00BA1689"/>
    <w:rsid w:val="00BA1B4F"/>
    <w:rsid w:val="00BA1D4F"/>
    <w:rsid w:val="00BA25FC"/>
    <w:rsid w:val="00BA2EA2"/>
    <w:rsid w:val="00BA2EC7"/>
    <w:rsid w:val="00BA3C8C"/>
    <w:rsid w:val="00BA4498"/>
    <w:rsid w:val="00BA44D1"/>
    <w:rsid w:val="00BA4E14"/>
    <w:rsid w:val="00BA63C0"/>
    <w:rsid w:val="00BA778D"/>
    <w:rsid w:val="00BB089E"/>
    <w:rsid w:val="00BB0C3D"/>
    <w:rsid w:val="00BB14D1"/>
    <w:rsid w:val="00BB1AE9"/>
    <w:rsid w:val="00BB2FAB"/>
    <w:rsid w:val="00BB337E"/>
    <w:rsid w:val="00BB3B2C"/>
    <w:rsid w:val="00BB3EE0"/>
    <w:rsid w:val="00BB53CC"/>
    <w:rsid w:val="00BB6341"/>
    <w:rsid w:val="00BB7DB2"/>
    <w:rsid w:val="00BC1151"/>
    <w:rsid w:val="00BC1EBB"/>
    <w:rsid w:val="00BC260D"/>
    <w:rsid w:val="00BC2EE4"/>
    <w:rsid w:val="00BC3CB2"/>
    <w:rsid w:val="00BC3D98"/>
    <w:rsid w:val="00BC444D"/>
    <w:rsid w:val="00BC48F9"/>
    <w:rsid w:val="00BC4A77"/>
    <w:rsid w:val="00BC792E"/>
    <w:rsid w:val="00BC7A90"/>
    <w:rsid w:val="00BC7D8C"/>
    <w:rsid w:val="00BD2D0B"/>
    <w:rsid w:val="00BD468A"/>
    <w:rsid w:val="00BD731C"/>
    <w:rsid w:val="00BE2ECC"/>
    <w:rsid w:val="00BE4826"/>
    <w:rsid w:val="00BE4E45"/>
    <w:rsid w:val="00BE4FDF"/>
    <w:rsid w:val="00BE626B"/>
    <w:rsid w:val="00BE6E1C"/>
    <w:rsid w:val="00BF018D"/>
    <w:rsid w:val="00BF2194"/>
    <w:rsid w:val="00BF2968"/>
    <w:rsid w:val="00BF2979"/>
    <w:rsid w:val="00BF377A"/>
    <w:rsid w:val="00BF3DBC"/>
    <w:rsid w:val="00BF5EC4"/>
    <w:rsid w:val="00BF7F97"/>
    <w:rsid w:val="00C00CF9"/>
    <w:rsid w:val="00C01C35"/>
    <w:rsid w:val="00C0212C"/>
    <w:rsid w:val="00C0428B"/>
    <w:rsid w:val="00C04F35"/>
    <w:rsid w:val="00C05794"/>
    <w:rsid w:val="00C0628A"/>
    <w:rsid w:val="00C06D0E"/>
    <w:rsid w:val="00C07381"/>
    <w:rsid w:val="00C0747B"/>
    <w:rsid w:val="00C076D1"/>
    <w:rsid w:val="00C07809"/>
    <w:rsid w:val="00C10640"/>
    <w:rsid w:val="00C1104E"/>
    <w:rsid w:val="00C125CA"/>
    <w:rsid w:val="00C1485E"/>
    <w:rsid w:val="00C1538D"/>
    <w:rsid w:val="00C16FFB"/>
    <w:rsid w:val="00C17F88"/>
    <w:rsid w:val="00C20CA0"/>
    <w:rsid w:val="00C21090"/>
    <w:rsid w:val="00C210EB"/>
    <w:rsid w:val="00C21ADC"/>
    <w:rsid w:val="00C21FAD"/>
    <w:rsid w:val="00C30819"/>
    <w:rsid w:val="00C30ADE"/>
    <w:rsid w:val="00C30DAA"/>
    <w:rsid w:val="00C31D45"/>
    <w:rsid w:val="00C335D1"/>
    <w:rsid w:val="00C33B63"/>
    <w:rsid w:val="00C344C6"/>
    <w:rsid w:val="00C34F6E"/>
    <w:rsid w:val="00C3561E"/>
    <w:rsid w:val="00C37B92"/>
    <w:rsid w:val="00C37EA9"/>
    <w:rsid w:val="00C412A3"/>
    <w:rsid w:val="00C43613"/>
    <w:rsid w:val="00C44E56"/>
    <w:rsid w:val="00C46343"/>
    <w:rsid w:val="00C46CEC"/>
    <w:rsid w:val="00C4701D"/>
    <w:rsid w:val="00C474B4"/>
    <w:rsid w:val="00C520FD"/>
    <w:rsid w:val="00C53B2D"/>
    <w:rsid w:val="00C555D2"/>
    <w:rsid w:val="00C55C7A"/>
    <w:rsid w:val="00C56D1C"/>
    <w:rsid w:val="00C56E0A"/>
    <w:rsid w:val="00C60419"/>
    <w:rsid w:val="00C616F3"/>
    <w:rsid w:val="00C6371B"/>
    <w:rsid w:val="00C63756"/>
    <w:rsid w:val="00C63964"/>
    <w:rsid w:val="00C639C1"/>
    <w:rsid w:val="00C64978"/>
    <w:rsid w:val="00C64C42"/>
    <w:rsid w:val="00C652EB"/>
    <w:rsid w:val="00C659C8"/>
    <w:rsid w:val="00C67988"/>
    <w:rsid w:val="00C70BD4"/>
    <w:rsid w:val="00C72D79"/>
    <w:rsid w:val="00C75468"/>
    <w:rsid w:val="00C754C5"/>
    <w:rsid w:val="00C76529"/>
    <w:rsid w:val="00C77210"/>
    <w:rsid w:val="00C809E7"/>
    <w:rsid w:val="00C8158E"/>
    <w:rsid w:val="00C81D3C"/>
    <w:rsid w:val="00C8227D"/>
    <w:rsid w:val="00C83473"/>
    <w:rsid w:val="00C8392B"/>
    <w:rsid w:val="00C84DB1"/>
    <w:rsid w:val="00C8500B"/>
    <w:rsid w:val="00C87618"/>
    <w:rsid w:val="00C87680"/>
    <w:rsid w:val="00C90225"/>
    <w:rsid w:val="00C91476"/>
    <w:rsid w:val="00C91A00"/>
    <w:rsid w:val="00C91D38"/>
    <w:rsid w:val="00C92F34"/>
    <w:rsid w:val="00C9410C"/>
    <w:rsid w:val="00C94822"/>
    <w:rsid w:val="00C957EB"/>
    <w:rsid w:val="00C95953"/>
    <w:rsid w:val="00C96A09"/>
    <w:rsid w:val="00CA171B"/>
    <w:rsid w:val="00CA1866"/>
    <w:rsid w:val="00CA1E21"/>
    <w:rsid w:val="00CA3BB9"/>
    <w:rsid w:val="00CA52A7"/>
    <w:rsid w:val="00CA5CE6"/>
    <w:rsid w:val="00CA624A"/>
    <w:rsid w:val="00CB00A7"/>
    <w:rsid w:val="00CB0482"/>
    <w:rsid w:val="00CB0A94"/>
    <w:rsid w:val="00CB0B75"/>
    <w:rsid w:val="00CB13B0"/>
    <w:rsid w:val="00CB1C02"/>
    <w:rsid w:val="00CB3772"/>
    <w:rsid w:val="00CB3D1F"/>
    <w:rsid w:val="00CB42EF"/>
    <w:rsid w:val="00CB476C"/>
    <w:rsid w:val="00CB4BE4"/>
    <w:rsid w:val="00CB7567"/>
    <w:rsid w:val="00CC0F14"/>
    <w:rsid w:val="00CC13E5"/>
    <w:rsid w:val="00CC212D"/>
    <w:rsid w:val="00CC2C55"/>
    <w:rsid w:val="00CC2E75"/>
    <w:rsid w:val="00CC2FEE"/>
    <w:rsid w:val="00CC4DD3"/>
    <w:rsid w:val="00CC5902"/>
    <w:rsid w:val="00CC5BBC"/>
    <w:rsid w:val="00CC5BC6"/>
    <w:rsid w:val="00CC7460"/>
    <w:rsid w:val="00CC796B"/>
    <w:rsid w:val="00CD5737"/>
    <w:rsid w:val="00CD70BB"/>
    <w:rsid w:val="00CD7E22"/>
    <w:rsid w:val="00CE1858"/>
    <w:rsid w:val="00CE2E8D"/>
    <w:rsid w:val="00CE386B"/>
    <w:rsid w:val="00CE48D9"/>
    <w:rsid w:val="00CE4BD9"/>
    <w:rsid w:val="00CE6046"/>
    <w:rsid w:val="00CE6AB2"/>
    <w:rsid w:val="00CE7A05"/>
    <w:rsid w:val="00CE7FFD"/>
    <w:rsid w:val="00CF09C4"/>
    <w:rsid w:val="00CF0A27"/>
    <w:rsid w:val="00CF0F54"/>
    <w:rsid w:val="00CF2272"/>
    <w:rsid w:val="00CF23F4"/>
    <w:rsid w:val="00CF2B88"/>
    <w:rsid w:val="00CF3A0E"/>
    <w:rsid w:val="00CF6F07"/>
    <w:rsid w:val="00CF7EF4"/>
    <w:rsid w:val="00D0133C"/>
    <w:rsid w:val="00D0155D"/>
    <w:rsid w:val="00D02655"/>
    <w:rsid w:val="00D02791"/>
    <w:rsid w:val="00D044D5"/>
    <w:rsid w:val="00D0570F"/>
    <w:rsid w:val="00D062B1"/>
    <w:rsid w:val="00D06E7A"/>
    <w:rsid w:val="00D1124D"/>
    <w:rsid w:val="00D11656"/>
    <w:rsid w:val="00D11E41"/>
    <w:rsid w:val="00D14717"/>
    <w:rsid w:val="00D14BD7"/>
    <w:rsid w:val="00D1572E"/>
    <w:rsid w:val="00D158FD"/>
    <w:rsid w:val="00D16781"/>
    <w:rsid w:val="00D17873"/>
    <w:rsid w:val="00D17CD3"/>
    <w:rsid w:val="00D22385"/>
    <w:rsid w:val="00D25B0C"/>
    <w:rsid w:val="00D31592"/>
    <w:rsid w:val="00D31DCA"/>
    <w:rsid w:val="00D37CD4"/>
    <w:rsid w:val="00D40F81"/>
    <w:rsid w:val="00D42854"/>
    <w:rsid w:val="00D42C85"/>
    <w:rsid w:val="00D42E5A"/>
    <w:rsid w:val="00D43661"/>
    <w:rsid w:val="00D43DE8"/>
    <w:rsid w:val="00D45779"/>
    <w:rsid w:val="00D4593E"/>
    <w:rsid w:val="00D466E1"/>
    <w:rsid w:val="00D50851"/>
    <w:rsid w:val="00D513E8"/>
    <w:rsid w:val="00D533E0"/>
    <w:rsid w:val="00D55243"/>
    <w:rsid w:val="00D55877"/>
    <w:rsid w:val="00D560FC"/>
    <w:rsid w:val="00D567E7"/>
    <w:rsid w:val="00D616D8"/>
    <w:rsid w:val="00D6383B"/>
    <w:rsid w:val="00D640A8"/>
    <w:rsid w:val="00D650E6"/>
    <w:rsid w:val="00D659FE"/>
    <w:rsid w:val="00D66049"/>
    <w:rsid w:val="00D66D27"/>
    <w:rsid w:val="00D71222"/>
    <w:rsid w:val="00D713D8"/>
    <w:rsid w:val="00D729FE"/>
    <w:rsid w:val="00D72A29"/>
    <w:rsid w:val="00D73E2D"/>
    <w:rsid w:val="00D74082"/>
    <w:rsid w:val="00D74CB2"/>
    <w:rsid w:val="00D80BB4"/>
    <w:rsid w:val="00D815A1"/>
    <w:rsid w:val="00D81D4A"/>
    <w:rsid w:val="00D82168"/>
    <w:rsid w:val="00D835DE"/>
    <w:rsid w:val="00D84B57"/>
    <w:rsid w:val="00D8560D"/>
    <w:rsid w:val="00D87929"/>
    <w:rsid w:val="00D952BB"/>
    <w:rsid w:val="00D9774E"/>
    <w:rsid w:val="00DA19F8"/>
    <w:rsid w:val="00DA2007"/>
    <w:rsid w:val="00DA2DB4"/>
    <w:rsid w:val="00DA45DD"/>
    <w:rsid w:val="00DA4948"/>
    <w:rsid w:val="00DA5A8D"/>
    <w:rsid w:val="00DA6A3E"/>
    <w:rsid w:val="00DA70C9"/>
    <w:rsid w:val="00DA78C8"/>
    <w:rsid w:val="00DA7A06"/>
    <w:rsid w:val="00DB094E"/>
    <w:rsid w:val="00DB0A6C"/>
    <w:rsid w:val="00DB2431"/>
    <w:rsid w:val="00DB2998"/>
    <w:rsid w:val="00DB401F"/>
    <w:rsid w:val="00DB4FE4"/>
    <w:rsid w:val="00DB65B2"/>
    <w:rsid w:val="00DB6CAD"/>
    <w:rsid w:val="00DC060E"/>
    <w:rsid w:val="00DC17A9"/>
    <w:rsid w:val="00DC22F3"/>
    <w:rsid w:val="00DC2C96"/>
    <w:rsid w:val="00DC356A"/>
    <w:rsid w:val="00DC461E"/>
    <w:rsid w:val="00DC5051"/>
    <w:rsid w:val="00DC50DB"/>
    <w:rsid w:val="00DC6636"/>
    <w:rsid w:val="00DC6A7D"/>
    <w:rsid w:val="00DC7334"/>
    <w:rsid w:val="00DC7677"/>
    <w:rsid w:val="00DD0215"/>
    <w:rsid w:val="00DD1615"/>
    <w:rsid w:val="00DD265B"/>
    <w:rsid w:val="00DD3196"/>
    <w:rsid w:val="00DD4241"/>
    <w:rsid w:val="00DD4B52"/>
    <w:rsid w:val="00DD4C50"/>
    <w:rsid w:val="00DD50B1"/>
    <w:rsid w:val="00DD514F"/>
    <w:rsid w:val="00DD555E"/>
    <w:rsid w:val="00DD6E14"/>
    <w:rsid w:val="00DE0E6A"/>
    <w:rsid w:val="00DE2997"/>
    <w:rsid w:val="00DE3F51"/>
    <w:rsid w:val="00DE5FE9"/>
    <w:rsid w:val="00DE6817"/>
    <w:rsid w:val="00DF20EF"/>
    <w:rsid w:val="00DF4450"/>
    <w:rsid w:val="00DF49C9"/>
    <w:rsid w:val="00DF6499"/>
    <w:rsid w:val="00DF70C8"/>
    <w:rsid w:val="00E00C5A"/>
    <w:rsid w:val="00E01086"/>
    <w:rsid w:val="00E016A3"/>
    <w:rsid w:val="00E01D43"/>
    <w:rsid w:val="00E01DF4"/>
    <w:rsid w:val="00E025CF"/>
    <w:rsid w:val="00E02A1F"/>
    <w:rsid w:val="00E03892"/>
    <w:rsid w:val="00E12C00"/>
    <w:rsid w:val="00E15025"/>
    <w:rsid w:val="00E1557E"/>
    <w:rsid w:val="00E156A4"/>
    <w:rsid w:val="00E16005"/>
    <w:rsid w:val="00E162AC"/>
    <w:rsid w:val="00E16877"/>
    <w:rsid w:val="00E16CEB"/>
    <w:rsid w:val="00E17E9B"/>
    <w:rsid w:val="00E20AE3"/>
    <w:rsid w:val="00E2161E"/>
    <w:rsid w:val="00E21A06"/>
    <w:rsid w:val="00E24CDF"/>
    <w:rsid w:val="00E25E88"/>
    <w:rsid w:val="00E26E43"/>
    <w:rsid w:val="00E26ECB"/>
    <w:rsid w:val="00E27142"/>
    <w:rsid w:val="00E273BD"/>
    <w:rsid w:val="00E277EC"/>
    <w:rsid w:val="00E323B8"/>
    <w:rsid w:val="00E3279C"/>
    <w:rsid w:val="00E333EB"/>
    <w:rsid w:val="00E33FFB"/>
    <w:rsid w:val="00E37F00"/>
    <w:rsid w:val="00E405AC"/>
    <w:rsid w:val="00E41C13"/>
    <w:rsid w:val="00E4206C"/>
    <w:rsid w:val="00E42B76"/>
    <w:rsid w:val="00E42D4D"/>
    <w:rsid w:val="00E43970"/>
    <w:rsid w:val="00E449D2"/>
    <w:rsid w:val="00E44C78"/>
    <w:rsid w:val="00E467AF"/>
    <w:rsid w:val="00E474F8"/>
    <w:rsid w:val="00E477AA"/>
    <w:rsid w:val="00E51595"/>
    <w:rsid w:val="00E5299D"/>
    <w:rsid w:val="00E52DCC"/>
    <w:rsid w:val="00E530FB"/>
    <w:rsid w:val="00E5353F"/>
    <w:rsid w:val="00E562C1"/>
    <w:rsid w:val="00E57B7F"/>
    <w:rsid w:val="00E607DC"/>
    <w:rsid w:val="00E609AB"/>
    <w:rsid w:val="00E63D0D"/>
    <w:rsid w:val="00E66783"/>
    <w:rsid w:val="00E6728C"/>
    <w:rsid w:val="00E707A4"/>
    <w:rsid w:val="00E71EA2"/>
    <w:rsid w:val="00E7262D"/>
    <w:rsid w:val="00E72834"/>
    <w:rsid w:val="00E74481"/>
    <w:rsid w:val="00E74614"/>
    <w:rsid w:val="00E758C0"/>
    <w:rsid w:val="00E7666F"/>
    <w:rsid w:val="00E80293"/>
    <w:rsid w:val="00E804E8"/>
    <w:rsid w:val="00E815BD"/>
    <w:rsid w:val="00E81ECD"/>
    <w:rsid w:val="00E81F34"/>
    <w:rsid w:val="00E821A8"/>
    <w:rsid w:val="00E8298E"/>
    <w:rsid w:val="00E8356B"/>
    <w:rsid w:val="00E83BA9"/>
    <w:rsid w:val="00E8566F"/>
    <w:rsid w:val="00E873EC"/>
    <w:rsid w:val="00E90150"/>
    <w:rsid w:val="00E90602"/>
    <w:rsid w:val="00E94405"/>
    <w:rsid w:val="00E9486E"/>
    <w:rsid w:val="00EA02AE"/>
    <w:rsid w:val="00EA21F6"/>
    <w:rsid w:val="00EA6AB3"/>
    <w:rsid w:val="00EA7285"/>
    <w:rsid w:val="00EA7A13"/>
    <w:rsid w:val="00EA7A19"/>
    <w:rsid w:val="00EB0701"/>
    <w:rsid w:val="00EB0F62"/>
    <w:rsid w:val="00EB2F59"/>
    <w:rsid w:val="00EB3A0E"/>
    <w:rsid w:val="00EB5342"/>
    <w:rsid w:val="00EB6891"/>
    <w:rsid w:val="00EB78D1"/>
    <w:rsid w:val="00EB7D4A"/>
    <w:rsid w:val="00EC1AC5"/>
    <w:rsid w:val="00EC35CA"/>
    <w:rsid w:val="00EC3A6E"/>
    <w:rsid w:val="00EC6289"/>
    <w:rsid w:val="00EC68DD"/>
    <w:rsid w:val="00EC7255"/>
    <w:rsid w:val="00EC7F90"/>
    <w:rsid w:val="00ED0AAB"/>
    <w:rsid w:val="00ED15D9"/>
    <w:rsid w:val="00ED18CA"/>
    <w:rsid w:val="00ED2E2D"/>
    <w:rsid w:val="00ED376E"/>
    <w:rsid w:val="00ED37A4"/>
    <w:rsid w:val="00ED3FB7"/>
    <w:rsid w:val="00ED43B1"/>
    <w:rsid w:val="00ED463C"/>
    <w:rsid w:val="00ED473A"/>
    <w:rsid w:val="00ED6DE9"/>
    <w:rsid w:val="00ED7168"/>
    <w:rsid w:val="00EE0C18"/>
    <w:rsid w:val="00EE2B1E"/>
    <w:rsid w:val="00EE42B7"/>
    <w:rsid w:val="00EE4EDE"/>
    <w:rsid w:val="00EE5161"/>
    <w:rsid w:val="00EE77FD"/>
    <w:rsid w:val="00EF1CDD"/>
    <w:rsid w:val="00EF3B08"/>
    <w:rsid w:val="00EF436B"/>
    <w:rsid w:val="00EF4556"/>
    <w:rsid w:val="00EF4610"/>
    <w:rsid w:val="00EF557E"/>
    <w:rsid w:val="00EF6AAD"/>
    <w:rsid w:val="00EF6BCB"/>
    <w:rsid w:val="00EF71E5"/>
    <w:rsid w:val="00EF7211"/>
    <w:rsid w:val="00EF74C0"/>
    <w:rsid w:val="00EF769E"/>
    <w:rsid w:val="00F007AD"/>
    <w:rsid w:val="00F00D5C"/>
    <w:rsid w:val="00F030E4"/>
    <w:rsid w:val="00F04ACB"/>
    <w:rsid w:val="00F06682"/>
    <w:rsid w:val="00F0737D"/>
    <w:rsid w:val="00F07E3E"/>
    <w:rsid w:val="00F10BB3"/>
    <w:rsid w:val="00F11454"/>
    <w:rsid w:val="00F1164F"/>
    <w:rsid w:val="00F137BE"/>
    <w:rsid w:val="00F139D6"/>
    <w:rsid w:val="00F13B49"/>
    <w:rsid w:val="00F146BE"/>
    <w:rsid w:val="00F147DC"/>
    <w:rsid w:val="00F14BE4"/>
    <w:rsid w:val="00F165D7"/>
    <w:rsid w:val="00F17F76"/>
    <w:rsid w:val="00F21778"/>
    <w:rsid w:val="00F220C6"/>
    <w:rsid w:val="00F225BB"/>
    <w:rsid w:val="00F230EC"/>
    <w:rsid w:val="00F23F1A"/>
    <w:rsid w:val="00F24B1D"/>
    <w:rsid w:val="00F24BF2"/>
    <w:rsid w:val="00F24F0A"/>
    <w:rsid w:val="00F2536B"/>
    <w:rsid w:val="00F25750"/>
    <w:rsid w:val="00F26274"/>
    <w:rsid w:val="00F26DAA"/>
    <w:rsid w:val="00F33520"/>
    <w:rsid w:val="00F33FE5"/>
    <w:rsid w:val="00F34D52"/>
    <w:rsid w:val="00F37610"/>
    <w:rsid w:val="00F414FA"/>
    <w:rsid w:val="00F4155B"/>
    <w:rsid w:val="00F4178A"/>
    <w:rsid w:val="00F435CF"/>
    <w:rsid w:val="00F441DA"/>
    <w:rsid w:val="00F44F00"/>
    <w:rsid w:val="00F4666C"/>
    <w:rsid w:val="00F5214C"/>
    <w:rsid w:val="00F52D00"/>
    <w:rsid w:val="00F53361"/>
    <w:rsid w:val="00F545D1"/>
    <w:rsid w:val="00F556E1"/>
    <w:rsid w:val="00F56747"/>
    <w:rsid w:val="00F60058"/>
    <w:rsid w:val="00F60EF8"/>
    <w:rsid w:val="00F60FFD"/>
    <w:rsid w:val="00F6336C"/>
    <w:rsid w:val="00F66461"/>
    <w:rsid w:val="00F67C4E"/>
    <w:rsid w:val="00F71696"/>
    <w:rsid w:val="00F717CE"/>
    <w:rsid w:val="00F72AC0"/>
    <w:rsid w:val="00F73F69"/>
    <w:rsid w:val="00F74DBF"/>
    <w:rsid w:val="00F773FB"/>
    <w:rsid w:val="00F77975"/>
    <w:rsid w:val="00F8231F"/>
    <w:rsid w:val="00F82780"/>
    <w:rsid w:val="00F829C3"/>
    <w:rsid w:val="00F83DEC"/>
    <w:rsid w:val="00F85171"/>
    <w:rsid w:val="00F85D28"/>
    <w:rsid w:val="00F86B42"/>
    <w:rsid w:val="00F87218"/>
    <w:rsid w:val="00F8793E"/>
    <w:rsid w:val="00F87DA6"/>
    <w:rsid w:val="00F90541"/>
    <w:rsid w:val="00F90EB3"/>
    <w:rsid w:val="00F90F88"/>
    <w:rsid w:val="00F92B3F"/>
    <w:rsid w:val="00F93345"/>
    <w:rsid w:val="00F94C1D"/>
    <w:rsid w:val="00F96EB3"/>
    <w:rsid w:val="00F97896"/>
    <w:rsid w:val="00FA32F8"/>
    <w:rsid w:val="00FA3B4B"/>
    <w:rsid w:val="00FA4C74"/>
    <w:rsid w:val="00FA4E80"/>
    <w:rsid w:val="00FA4EF8"/>
    <w:rsid w:val="00FA63E3"/>
    <w:rsid w:val="00FA661A"/>
    <w:rsid w:val="00FA688B"/>
    <w:rsid w:val="00FA76B0"/>
    <w:rsid w:val="00FA784B"/>
    <w:rsid w:val="00FA7A6F"/>
    <w:rsid w:val="00FB0AC6"/>
    <w:rsid w:val="00FB14FE"/>
    <w:rsid w:val="00FB15E4"/>
    <w:rsid w:val="00FB16BE"/>
    <w:rsid w:val="00FB30A0"/>
    <w:rsid w:val="00FB628D"/>
    <w:rsid w:val="00FC3A5A"/>
    <w:rsid w:val="00FC49D6"/>
    <w:rsid w:val="00FD0C2B"/>
    <w:rsid w:val="00FD1D54"/>
    <w:rsid w:val="00FD5EFB"/>
    <w:rsid w:val="00FE2154"/>
    <w:rsid w:val="00FE4FAC"/>
    <w:rsid w:val="00FE535C"/>
    <w:rsid w:val="00FE5B1B"/>
    <w:rsid w:val="00FF2086"/>
    <w:rsid w:val="00FF3AB7"/>
    <w:rsid w:val="00FF4A59"/>
    <w:rsid w:val="01BC2FBC"/>
    <w:rsid w:val="01FD5FAD"/>
    <w:rsid w:val="021D32CC"/>
    <w:rsid w:val="0337705C"/>
    <w:rsid w:val="033A5AAE"/>
    <w:rsid w:val="03A3227A"/>
    <w:rsid w:val="03B056A9"/>
    <w:rsid w:val="03BE731A"/>
    <w:rsid w:val="03D63863"/>
    <w:rsid w:val="04AE1CC8"/>
    <w:rsid w:val="04CF5906"/>
    <w:rsid w:val="051278F9"/>
    <w:rsid w:val="051A1008"/>
    <w:rsid w:val="05FC41D0"/>
    <w:rsid w:val="060255F7"/>
    <w:rsid w:val="060759EF"/>
    <w:rsid w:val="061354F5"/>
    <w:rsid w:val="06683539"/>
    <w:rsid w:val="0699170F"/>
    <w:rsid w:val="06992894"/>
    <w:rsid w:val="069C2CF0"/>
    <w:rsid w:val="06C70C39"/>
    <w:rsid w:val="06D5037A"/>
    <w:rsid w:val="07AD4D4F"/>
    <w:rsid w:val="07E04210"/>
    <w:rsid w:val="08221CDA"/>
    <w:rsid w:val="085274C9"/>
    <w:rsid w:val="08B14F04"/>
    <w:rsid w:val="090D61D4"/>
    <w:rsid w:val="0910413A"/>
    <w:rsid w:val="09182A71"/>
    <w:rsid w:val="0921421F"/>
    <w:rsid w:val="09277D4C"/>
    <w:rsid w:val="09590DE3"/>
    <w:rsid w:val="09762A27"/>
    <w:rsid w:val="09BE35C1"/>
    <w:rsid w:val="09D9749C"/>
    <w:rsid w:val="0A9465A7"/>
    <w:rsid w:val="0AB423EE"/>
    <w:rsid w:val="0B3B0CBD"/>
    <w:rsid w:val="0B8D7287"/>
    <w:rsid w:val="0BDA536F"/>
    <w:rsid w:val="0BE34ADF"/>
    <w:rsid w:val="0C5A729F"/>
    <w:rsid w:val="0C6C3561"/>
    <w:rsid w:val="0CBA4557"/>
    <w:rsid w:val="0CD900FA"/>
    <w:rsid w:val="0D1E772B"/>
    <w:rsid w:val="0D5E288E"/>
    <w:rsid w:val="0D8C3BED"/>
    <w:rsid w:val="0D8C79F7"/>
    <w:rsid w:val="0DAA33CC"/>
    <w:rsid w:val="0DD5276F"/>
    <w:rsid w:val="0DFE0D47"/>
    <w:rsid w:val="0E362D7D"/>
    <w:rsid w:val="0E474F66"/>
    <w:rsid w:val="0E535E4F"/>
    <w:rsid w:val="0E8008F5"/>
    <w:rsid w:val="0E8E4686"/>
    <w:rsid w:val="0E910C6F"/>
    <w:rsid w:val="0F1A134E"/>
    <w:rsid w:val="0F5B52F1"/>
    <w:rsid w:val="0FC443ED"/>
    <w:rsid w:val="0FE11710"/>
    <w:rsid w:val="103D4B69"/>
    <w:rsid w:val="10B37C64"/>
    <w:rsid w:val="10B859DC"/>
    <w:rsid w:val="1113574D"/>
    <w:rsid w:val="11180ABA"/>
    <w:rsid w:val="112178F5"/>
    <w:rsid w:val="11746E8E"/>
    <w:rsid w:val="12074EDD"/>
    <w:rsid w:val="12AE2A6D"/>
    <w:rsid w:val="12D46A6C"/>
    <w:rsid w:val="130527A9"/>
    <w:rsid w:val="13214C3E"/>
    <w:rsid w:val="13540812"/>
    <w:rsid w:val="1365606D"/>
    <w:rsid w:val="13670D62"/>
    <w:rsid w:val="13862964"/>
    <w:rsid w:val="139A4E02"/>
    <w:rsid w:val="13D73794"/>
    <w:rsid w:val="13E61AB0"/>
    <w:rsid w:val="14086D9F"/>
    <w:rsid w:val="143B0D82"/>
    <w:rsid w:val="14825D2A"/>
    <w:rsid w:val="14BE5C98"/>
    <w:rsid w:val="15201AD8"/>
    <w:rsid w:val="1532683A"/>
    <w:rsid w:val="15756A8D"/>
    <w:rsid w:val="15856ECC"/>
    <w:rsid w:val="15B45E87"/>
    <w:rsid w:val="16067E0E"/>
    <w:rsid w:val="162015DF"/>
    <w:rsid w:val="166C09D4"/>
    <w:rsid w:val="16A32163"/>
    <w:rsid w:val="177D420C"/>
    <w:rsid w:val="178B7CD8"/>
    <w:rsid w:val="17991B6B"/>
    <w:rsid w:val="180C7A55"/>
    <w:rsid w:val="18332909"/>
    <w:rsid w:val="183A79B4"/>
    <w:rsid w:val="1841025C"/>
    <w:rsid w:val="18662C28"/>
    <w:rsid w:val="186D7655"/>
    <w:rsid w:val="188A66AF"/>
    <w:rsid w:val="198E14D5"/>
    <w:rsid w:val="19B60E4E"/>
    <w:rsid w:val="19DC492E"/>
    <w:rsid w:val="1A032E44"/>
    <w:rsid w:val="1A0A116C"/>
    <w:rsid w:val="1A29516B"/>
    <w:rsid w:val="1A34379D"/>
    <w:rsid w:val="1A4A61DA"/>
    <w:rsid w:val="1AAE56F3"/>
    <w:rsid w:val="1B014F4F"/>
    <w:rsid w:val="1B3D0323"/>
    <w:rsid w:val="1B3D4D0A"/>
    <w:rsid w:val="1BDB5EAD"/>
    <w:rsid w:val="1C6B7990"/>
    <w:rsid w:val="1C754C15"/>
    <w:rsid w:val="1C9706B6"/>
    <w:rsid w:val="1CA92756"/>
    <w:rsid w:val="1CAB1FE3"/>
    <w:rsid w:val="1CC6582F"/>
    <w:rsid w:val="1CE55B5D"/>
    <w:rsid w:val="1D3511BE"/>
    <w:rsid w:val="1D831D59"/>
    <w:rsid w:val="1DDE4554"/>
    <w:rsid w:val="1E253095"/>
    <w:rsid w:val="1E4E12C2"/>
    <w:rsid w:val="1E6B4265"/>
    <w:rsid w:val="1E886939"/>
    <w:rsid w:val="1F2A56B0"/>
    <w:rsid w:val="1F3D657D"/>
    <w:rsid w:val="1FF659C6"/>
    <w:rsid w:val="201E7BCF"/>
    <w:rsid w:val="204E04F5"/>
    <w:rsid w:val="20715ED2"/>
    <w:rsid w:val="208926E9"/>
    <w:rsid w:val="20B128E3"/>
    <w:rsid w:val="20F8296B"/>
    <w:rsid w:val="213B4AA4"/>
    <w:rsid w:val="215B5DE9"/>
    <w:rsid w:val="21673C4E"/>
    <w:rsid w:val="218E00AE"/>
    <w:rsid w:val="21A20819"/>
    <w:rsid w:val="21F36544"/>
    <w:rsid w:val="22137A90"/>
    <w:rsid w:val="2218301E"/>
    <w:rsid w:val="22197B44"/>
    <w:rsid w:val="221B4CD9"/>
    <w:rsid w:val="22513302"/>
    <w:rsid w:val="22D20ACA"/>
    <w:rsid w:val="22EA14A6"/>
    <w:rsid w:val="234409D4"/>
    <w:rsid w:val="235666B6"/>
    <w:rsid w:val="23712EDF"/>
    <w:rsid w:val="237C6057"/>
    <w:rsid w:val="238D7C9B"/>
    <w:rsid w:val="23A8650D"/>
    <w:rsid w:val="23BF0E13"/>
    <w:rsid w:val="23D44D40"/>
    <w:rsid w:val="23EC6A8D"/>
    <w:rsid w:val="241F68B8"/>
    <w:rsid w:val="248031B2"/>
    <w:rsid w:val="250138A8"/>
    <w:rsid w:val="250E75F3"/>
    <w:rsid w:val="259B2FA7"/>
    <w:rsid w:val="25EC1955"/>
    <w:rsid w:val="26336DED"/>
    <w:rsid w:val="26815ED9"/>
    <w:rsid w:val="268D5066"/>
    <w:rsid w:val="26B51C7C"/>
    <w:rsid w:val="26D91CD3"/>
    <w:rsid w:val="271641C8"/>
    <w:rsid w:val="27576C3E"/>
    <w:rsid w:val="276D60DB"/>
    <w:rsid w:val="27803C54"/>
    <w:rsid w:val="27C56BB2"/>
    <w:rsid w:val="27EC0D43"/>
    <w:rsid w:val="28145664"/>
    <w:rsid w:val="283946A7"/>
    <w:rsid w:val="28471C1B"/>
    <w:rsid w:val="286674F2"/>
    <w:rsid w:val="28700A31"/>
    <w:rsid w:val="28E23C74"/>
    <w:rsid w:val="28F67D5C"/>
    <w:rsid w:val="2990465F"/>
    <w:rsid w:val="29A30C4E"/>
    <w:rsid w:val="29D229E5"/>
    <w:rsid w:val="2A574E2C"/>
    <w:rsid w:val="2A873B0D"/>
    <w:rsid w:val="2AF11EA7"/>
    <w:rsid w:val="2AF5267E"/>
    <w:rsid w:val="2B554B1E"/>
    <w:rsid w:val="2B6A67EC"/>
    <w:rsid w:val="2B9526D2"/>
    <w:rsid w:val="2BB437CC"/>
    <w:rsid w:val="2BF53112"/>
    <w:rsid w:val="2C29018C"/>
    <w:rsid w:val="2C3548D2"/>
    <w:rsid w:val="2CA51300"/>
    <w:rsid w:val="2CB53CB2"/>
    <w:rsid w:val="2D080FBC"/>
    <w:rsid w:val="2D2604B0"/>
    <w:rsid w:val="2D45670A"/>
    <w:rsid w:val="2D713437"/>
    <w:rsid w:val="2D933941"/>
    <w:rsid w:val="2DAD3E4E"/>
    <w:rsid w:val="2DC57BA2"/>
    <w:rsid w:val="2E1B77EE"/>
    <w:rsid w:val="2E966DB9"/>
    <w:rsid w:val="2F9731B1"/>
    <w:rsid w:val="2FD56A6C"/>
    <w:rsid w:val="2FE358CF"/>
    <w:rsid w:val="307B53DD"/>
    <w:rsid w:val="307D7D74"/>
    <w:rsid w:val="30A104F4"/>
    <w:rsid w:val="30C72E83"/>
    <w:rsid w:val="30D20348"/>
    <w:rsid w:val="30DF69C9"/>
    <w:rsid w:val="30F444A9"/>
    <w:rsid w:val="310C68D8"/>
    <w:rsid w:val="313E7E6E"/>
    <w:rsid w:val="31DC5787"/>
    <w:rsid w:val="32000417"/>
    <w:rsid w:val="32187BC3"/>
    <w:rsid w:val="3299392E"/>
    <w:rsid w:val="32C53156"/>
    <w:rsid w:val="332317AA"/>
    <w:rsid w:val="333860BB"/>
    <w:rsid w:val="334230BB"/>
    <w:rsid w:val="334C2685"/>
    <w:rsid w:val="33BB2479"/>
    <w:rsid w:val="33C62574"/>
    <w:rsid w:val="34065ACB"/>
    <w:rsid w:val="34483B27"/>
    <w:rsid w:val="345D27F3"/>
    <w:rsid w:val="34A903C7"/>
    <w:rsid w:val="34D27C2F"/>
    <w:rsid w:val="35527838"/>
    <w:rsid w:val="35734580"/>
    <w:rsid w:val="357767EE"/>
    <w:rsid w:val="359736CF"/>
    <w:rsid w:val="35BA382B"/>
    <w:rsid w:val="360873FD"/>
    <w:rsid w:val="36484C39"/>
    <w:rsid w:val="366D493F"/>
    <w:rsid w:val="36BD6D69"/>
    <w:rsid w:val="36C50DB4"/>
    <w:rsid w:val="36CA1806"/>
    <w:rsid w:val="36F61A65"/>
    <w:rsid w:val="3771041B"/>
    <w:rsid w:val="37872217"/>
    <w:rsid w:val="37CE2486"/>
    <w:rsid w:val="37DB0AB6"/>
    <w:rsid w:val="38154717"/>
    <w:rsid w:val="382446C9"/>
    <w:rsid w:val="388517F5"/>
    <w:rsid w:val="388F21DE"/>
    <w:rsid w:val="389B2E65"/>
    <w:rsid w:val="38C63A70"/>
    <w:rsid w:val="38F54BC9"/>
    <w:rsid w:val="38F94E5D"/>
    <w:rsid w:val="39883CE4"/>
    <w:rsid w:val="39C63A24"/>
    <w:rsid w:val="3B0B1257"/>
    <w:rsid w:val="3B501198"/>
    <w:rsid w:val="3BBF1F4E"/>
    <w:rsid w:val="3BFE129A"/>
    <w:rsid w:val="3C012006"/>
    <w:rsid w:val="3C096589"/>
    <w:rsid w:val="3C5068A3"/>
    <w:rsid w:val="3C6A1DDF"/>
    <w:rsid w:val="3C8E356F"/>
    <w:rsid w:val="3CDC5364"/>
    <w:rsid w:val="3CF150A1"/>
    <w:rsid w:val="3D047DC4"/>
    <w:rsid w:val="3D324434"/>
    <w:rsid w:val="3D6578F7"/>
    <w:rsid w:val="3D837FC8"/>
    <w:rsid w:val="3DA7318E"/>
    <w:rsid w:val="3EA27392"/>
    <w:rsid w:val="3EC23A61"/>
    <w:rsid w:val="3EF63F73"/>
    <w:rsid w:val="3EF71087"/>
    <w:rsid w:val="3F40117C"/>
    <w:rsid w:val="3F5F54FB"/>
    <w:rsid w:val="3F637FA3"/>
    <w:rsid w:val="3F6672A1"/>
    <w:rsid w:val="3F8D4EEE"/>
    <w:rsid w:val="3FC006F1"/>
    <w:rsid w:val="3FF3557A"/>
    <w:rsid w:val="407F7BE3"/>
    <w:rsid w:val="40B83957"/>
    <w:rsid w:val="411B6BBF"/>
    <w:rsid w:val="41850F12"/>
    <w:rsid w:val="422837C7"/>
    <w:rsid w:val="429E032F"/>
    <w:rsid w:val="42B31C73"/>
    <w:rsid w:val="42B84912"/>
    <w:rsid w:val="432E40C0"/>
    <w:rsid w:val="436C310D"/>
    <w:rsid w:val="438479D1"/>
    <w:rsid w:val="439E5066"/>
    <w:rsid w:val="43E93B2F"/>
    <w:rsid w:val="44151A9A"/>
    <w:rsid w:val="441B6790"/>
    <w:rsid w:val="442F27DD"/>
    <w:rsid w:val="446F7245"/>
    <w:rsid w:val="44873599"/>
    <w:rsid w:val="44A5779B"/>
    <w:rsid w:val="44CD2386"/>
    <w:rsid w:val="44DB677D"/>
    <w:rsid w:val="44E12D1A"/>
    <w:rsid w:val="45700881"/>
    <w:rsid w:val="45FB211D"/>
    <w:rsid w:val="46723D74"/>
    <w:rsid w:val="46E2253B"/>
    <w:rsid w:val="472E51FF"/>
    <w:rsid w:val="475C1C15"/>
    <w:rsid w:val="476849B6"/>
    <w:rsid w:val="47953D4D"/>
    <w:rsid w:val="47A677B5"/>
    <w:rsid w:val="47B951BF"/>
    <w:rsid w:val="47D35938"/>
    <w:rsid w:val="48074E19"/>
    <w:rsid w:val="480B2FC2"/>
    <w:rsid w:val="48B86081"/>
    <w:rsid w:val="492442D4"/>
    <w:rsid w:val="498D5B51"/>
    <w:rsid w:val="4A1D372B"/>
    <w:rsid w:val="4A1D5E1A"/>
    <w:rsid w:val="4AB13C15"/>
    <w:rsid w:val="4AC457E6"/>
    <w:rsid w:val="4ACB0217"/>
    <w:rsid w:val="4AE337B2"/>
    <w:rsid w:val="4B333128"/>
    <w:rsid w:val="4BDE2A4D"/>
    <w:rsid w:val="4BE73FCE"/>
    <w:rsid w:val="4C1B7E26"/>
    <w:rsid w:val="4C391450"/>
    <w:rsid w:val="4C5640CB"/>
    <w:rsid w:val="4C6C5FA5"/>
    <w:rsid w:val="4CAF60FE"/>
    <w:rsid w:val="4CFF1AB8"/>
    <w:rsid w:val="4D402E92"/>
    <w:rsid w:val="4D7A6F41"/>
    <w:rsid w:val="4D9A48D4"/>
    <w:rsid w:val="4E200B79"/>
    <w:rsid w:val="4E383885"/>
    <w:rsid w:val="4E691E2C"/>
    <w:rsid w:val="4E6B168B"/>
    <w:rsid w:val="4E89766A"/>
    <w:rsid w:val="4E8A7031"/>
    <w:rsid w:val="4EAC6054"/>
    <w:rsid w:val="4EB73B5F"/>
    <w:rsid w:val="4ECD634D"/>
    <w:rsid w:val="4F2A1ECC"/>
    <w:rsid w:val="502C3A10"/>
    <w:rsid w:val="504051C1"/>
    <w:rsid w:val="50630207"/>
    <w:rsid w:val="506B4AA5"/>
    <w:rsid w:val="50C4495F"/>
    <w:rsid w:val="513578E2"/>
    <w:rsid w:val="515E6612"/>
    <w:rsid w:val="516C45BE"/>
    <w:rsid w:val="51914A73"/>
    <w:rsid w:val="51D529A3"/>
    <w:rsid w:val="522B549A"/>
    <w:rsid w:val="52321047"/>
    <w:rsid w:val="52CB2C2E"/>
    <w:rsid w:val="52F06573"/>
    <w:rsid w:val="530C268C"/>
    <w:rsid w:val="5338331D"/>
    <w:rsid w:val="53560218"/>
    <w:rsid w:val="53AA06E9"/>
    <w:rsid w:val="53DF5643"/>
    <w:rsid w:val="53E27221"/>
    <w:rsid w:val="53E31B79"/>
    <w:rsid w:val="542C2503"/>
    <w:rsid w:val="54583DAB"/>
    <w:rsid w:val="545B5503"/>
    <w:rsid w:val="54984FB1"/>
    <w:rsid w:val="54AD5CD8"/>
    <w:rsid w:val="54B103EE"/>
    <w:rsid w:val="54B23BD1"/>
    <w:rsid w:val="54CB12F6"/>
    <w:rsid w:val="551D2148"/>
    <w:rsid w:val="551E2F0F"/>
    <w:rsid w:val="5574284E"/>
    <w:rsid w:val="557A2C6A"/>
    <w:rsid w:val="56137138"/>
    <w:rsid w:val="56194BCE"/>
    <w:rsid w:val="56450124"/>
    <w:rsid w:val="564C5A0B"/>
    <w:rsid w:val="567A296D"/>
    <w:rsid w:val="576E19C0"/>
    <w:rsid w:val="579C7D2D"/>
    <w:rsid w:val="57A353FC"/>
    <w:rsid w:val="582B2982"/>
    <w:rsid w:val="586473DE"/>
    <w:rsid w:val="587E51BC"/>
    <w:rsid w:val="588A22BD"/>
    <w:rsid w:val="58B272FA"/>
    <w:rsid w:val="58F753D5"/>
    <w:rsid w:val="58FB0AB0"/>
    <w:rsid w:val="59023136"/>
    <w:rsid w:val="59087EEC"/>
    <w:rsid w:val="592721AD"/>
    <w:rsid w:val="599A6867"/>
    <w:rsid w:val="59B06496"/>
    <w:rsid w:val="5A6B6EE6"/>
    <w:rsid w:val="5A834FD9"/>
    <w:rsid w:val="5AC13CEB"/>
    <w:rsid w:val="5ACB189C"/>
    <w:rsid w:val="5BED0622"/>
    <w:rsid w:val="5BF629D1"/>
    <w:rsid w:val="5BFB450D"/>
    <w:rsid w:val="5C273D57"/>
    <w:rsid w:val="5C355567"/>
    <w:rsid w:val="5CAC7590"/>
    <w:rsid w:val="5CB20F19"/>
    <w:rsid w:val="5CCB3084"/>
    <w:rsid w:val="5CE14693"/>
    <w:rsid w:val="5D181022"/>
    <w:rsid w:val="5D181407"/>
    <w:rsid w:val="5DB677AD"/>
    <w:rsid w:val="5DBF53F4"/>
    <w:rsid w:val="5E6D646A"/>
    <w:rsid w:val="5EA420F3"/>
    <w:rsid w:val="5EC5751A"/>
    <w:rsid w:val="5F337D38"/>
    <w:rsid w:val="5F4678C2"/>
    <w:rsid w:val="5F966F6A"/>
    <w:rsid w:val="5FC535F7"/>
    <w:rsid w:val="5FCA2865"/>
    <w:rsid w:val="5FDF285E"/>
    <w:rsid w:val="602518C9"/>
    <w:rsid w:val="60261CF3"/>
    <w:rsid w:val="604304BC"/>
    <w:rsid w:val="60634E4C"/>
    <w:rsid w:val="60851337"/>
    <w:rsid w:val="60FF0DE7"/>
    <w:rsid w:val="615B2111"/>
    <w:rsid w:val="61C1724E"/>
    <w:rsid w:val="62265B93"/>
    <w:rsid w:val="624A11A7"/>
    <w:rsid w:val="626C6D71"/>
    <w:rsid w:val="62775338"/>
    <w:rsid w:val="630411DD"/>
    <w:rsid w:val="63574371"/>
    <w:rsid w:val="636902A9"/>
    <w:rsid w:val="63772E0C"/>
    <w:rsid w:val="63803FF8"/>
    <w:rsid w:val="63EC0305"/>
    <w:rsid w:val="63ED4C4F"/>
    <w:rsid w:val="64087D90"/>
    <w:rsid w:val="641230C7"/>
    <w:rsid w:val="64180382"/>
    <w:rsid w:val="64562292"/>
    <w:rsid w:val="64F068B6"/>
    <w:rsid w:val="651B29A3"/>
    <w:rsid w:val="65293201"/>
    <w:rsid w:val="654E04EB"/>
    <w:rsid w:val="65590E7F"/>
    <w:rsid w:val="656042AA"/>
    <w:rsid w:val="65834A93"/>
    <w:rsid w:val="658B7BB9"/>
    <w:rsid w:val="65AD7AE8"/>
    <w:rsid w:val="65F2360F"/>
    <w:rsid w:val="66092370"/>
    <w:rsid w:val="661A0778"/>
    <w:rsid w:val="662B7E42"/>
    <w:rsid w:val="66A97909"/>
    <w:rsid w:val="66C478F4"/>
    <w:rsid w:val="66E8798E"/>
    <w:rsid w:val="670279D1"/>
    <w:rsid w:val="67051B5C"/>
    <w:rsid w:val="671F3DE7"/>
    <w:rsid w:val="675F525F"/>
    <w:rsid w:val="67923F64"/>
    <w:rsid w:val="68203145"/>
    <w:rsid w:val="684C6358"/>
    <w:rsid w:val="68507869"/>
    <w:rsid w:val="687104D1"/>
    <w:rsid w:val="688E205E"/>
    <w:rsid w:val="68971E56"/>
    <w:rsid w:val="68A55212"/>
    <w:rsid w:val="68BA0C8B"/>
    <w:rsid w:val="68BF0D13"/>
    <w:rsid w:val="68DD1158"/>
    <w:rsid w:val="690827DD"/>
    <w:rsid w:val="697F523F"/>
    <w:rsid w:val="69C63F26"/>
    <w:rsid w:val="6A7350BB"/>
    <w:rsid w:val="6A9367B5"/>
    <w:rsid w:val="6AAD285D"/>
    <w:rsid w:val="6ACC07B5"/>
    <w:rsid w:val="6ACE333A"/>
    <w:rsid w:val="6B5B60BB"/>
    <w:rsid w:val="6B96580D"/>
    <w:rsid w:val="6C0F1F97"/>
    <w:rsid w:val="6C195723"/>
    <w:rsid w:val="6C203B23"/>
    <w:rsid w:val="6C3B1207"/>
    <w:rsid w:val="6C6B7CB5"/>
    <w:rsid w:val="6C746EEB"/>
    <w:rsid w:val="6C8D32BB"/>
    <w:rsid w:val="6C9915FF"/>
    <w:rsid w:val="6CD2661C"/>
    <w:rsid w:val="6D065698"/>
    <w:rsid w:val="6D3046F4"/>
    <w:rsid w:val="6D6934AD"/>
    <w:rsid w:val="6D9A5B1F"/>
    <w:rsid w:val="6DA51175"/>
    <w:rsid w:val="6DCC2D32"/>
    <w:rsid w:val="6E0358AA"/>
    <w:rsid w:val="6E046DFA"/>
    <w:rsid w:val="6E8C6E7D"/>
    <w:rsid w:val="6EB15E09"/>
    <w:rsid w:val="6EBC19BE"/>
    <w:rsid w:val="6EBF6141"/>
    <w:rsid w:val="6EF1387E"/>
    <w:rsid w:val="6F0943F5"/>
    <w:rsid w:val="6F57585D"/>
    <w:rsid w:val="6F732E13"/>
    <w:rsid w:val="6FB91DD8"/>
    <w:rsid w:val="6FC56CBA"/>
    <w:rsid w:val="701B6DA3"/>
    <w:rsid w:val="701C07B5"/>
    <w:rsid w:val="70373BD8"/>
    <w:rsid w:val="706060FD"/>
    <w:rsid w:val="70E30C12"/>
    <w:rsid w:val="711C1DBD"/>
    <w:rsid w:val="719655C5"/>
    <w:rsid w:val="71D93E37"/>
    <w:rsid w:val="72DD67C6"/>
    <w:rsid w:val="72ED22DA"/>
    <w:rsid w:val="73592AF8"/>
    <w:rsid w:val="738A393F"/>
    <w:rsid w:val="73C75B8F"/>
    <w:rsid w:val="73CA6BF7"/>
    <w:rsid w:val="73D1420B"/>
    <w:rsid w:val="74042A00"/>
    <w:rsid w:val="74176305"/>
    <w:rsid w:val="74241E46"/>
    <w:rsid w:val="7469793F"/>
    <w:rsid w:val="74A92505"/>
    <w:rsid w:val="74C62651"/>
    <w:rsid w:val="753F40CD"/>
    <w:rsid w:val="75773487"/>
    <w:rsid w:val="76136E79"/>
    <w:rsid w:val="76815CBF"/>
    <w:rsid w:val="769B4785"/>
    <w:rsid w:val="76B04C04"/>
    <w:rsid w:val="773A4D62"/>
    <w:rsid w:val="77482A52"/>
    <w:rsid w:val="776108DB"/>
    <w:rsid w:val="77752323"/>
    <w:rsid w:val="77935073"/>
    <w:rsid w:val="77AF5258"/>
    <w:rsid w:val="77C6312B"/>
    <w:rsid w:val="77CF5718"/>
    <w:rsid w:val="780879F3"/>
    <w:rsid w:val="78555A98"/>
    <w:rsid w:val="789F5180"/>
    <w:rsid w:val="78AB40AE"/>
    <w:rsid w:val="78CA29E8"/>
    <w:rsid w:val="78D3373C"/>
    <w:rsid w:val="793635F9"/>
    <w:rsid w:val="79457BEE"/>
    <w:rsid w:val="79507ED5"/>
    <w:rsid w:val="7A03191E"/>
    <w:rsid w:val="7AFE1E6A"/>
    <w:rsid w:val="7B4D3AC5"/>
    <w:rsid w:val="7B5D7914"/>
    <w:rsid w:val="7B6B52BE"/>
    <w:rsid w:val="7B6D6B5C"/>
    <w:rsid w:val="7B7F0A64"/>
    <w:rsid w:val="7B901A2A"/>
    <w:rsid w:val="7BDC67C1"/>
    <w:rsid w:val="7BF521EE"/>
    <w:rsid w:val="7C3507B8"/>
    <w:rsid w:val="7CAC6845"/>
    <w:rsid w:val="7CB20894"/>
    <w:rsid w:val="7CC61D2E"/>
    <w:rsid w:val="7D016852"/>
    <w:rsid w:val="7D0350A8"/>
    <w:rsid w:val="7D255C99"/>
    <w:rsid w:val="7D26294C"/>
    <w:rsid w:val="7D5C47CF"/>
    <w:rsid w:val="7D6818A0"/>
    <w:rsid w:val="7DA10F42"/>
    <w:rsid w:val="7E191B70"/>
    <w:rsid w:val="7E4C76EA"/>
    <w:rsid w:val="7EC80DB6"/>
    <w:rsid w:val="7EF61177"/>
    <w:rsid w:val="7F07159B"/>
    <w:rsid w:val="7F114C60"/>
    <w:rsid w:val="7F7952FB"/>
    <w:rsid w:val="7FB74206"/>
    <w:rsid w:val="7FE057D5"/>
    <w:rsid w:val="7FEB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o:shapedefaults>
    <o:shapelayout v:ext="edit">
      <o:idmap v:ext="edit" data="2"/>
      <o:rules v:ext="edit">
        <o:r id="V:Rule1" type="connector" idref="#_x0000_s2058"/>
        <o:r id="V:Rule2" type="connector" idref="#_x0000_s2059"/>
        <o:r id="V:Rule3" type="connector" idref="#_x0000_s2060"/>
        <o:r id="V:Rule4" type="connector" idref="#_x0000_s2061"/>
        <o:r id="V:Rule5" type="connector" idref="#_x0000_s2062"/>
        <o:r id="V:Rule6" type="connector" idref="#_x0000_s2063"/>
        <o:r id="V:Rule7" type="connector" idref="#_x0000_s2066"/>
        <o:r id="V:Rule8" type="connector" idref="#_x0000_s2067"/>
        <o:r id="V:Rule9" type="connector" idref="#_x0000_s2070"/>
        <o:r id="V:Rule10" type="connector" idref="#_x0000_s2071"/>
        <o:r id="V:Rule11" type="connector" idref="#_x0000_s2073"/>
        <o:r id="V:Rule12" type="connector" idref="#_x0000_s207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64"/>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34">
    <w:name w:val="Default Paragraph Font"/>
    <w:unhideWhenUsed/>
    <w:qFormat/>
    <w:uiPriority w:val="1"/>
  </w:style>
  <w:style w:type="table" w:default="1" w:styleId="32">
    <w:name w:val="Normal Table"/>
    <w:unhideWhenUsed/>
    <w:qFormat/>
    <w:uiPriority w:val="99"/>
    <w:tblPr>
      <w:tblLayout w:type="fixed"/>
      <w:tblCellMar>
        <w:top w:w="0" w:type="dxa"/>
        <w:left w:w="108" w:type="dxa"/>
        <w:bottom w:w="0" w:type="dxa"/>
        <w:right w:w="108" w:type="dxa"/>
      </w:tblCellMar>
    </w:tblPr>
  </w:style>
  <w:style w:type="paragraph" w:styleId="2">
    <w:name w:val="toc 2"/>
    <w:basedOn w:val="1"/>
    <w:next w:val="1"/>
    <w:qFormat/>
    <w:uiPriority w:val="39"/>
    <w:pPr>
      <w:tabs>
        <w:tab w:val="right" w:leader="dot" w:pos="8296"/>
      </w:tabs>
      <w:spacing w:line="500" w:lineRule="exact"/>
      <w:jc w:val="left"/>
    </w:pPr>
    <w:rPr>
      <w:smallCaps/>
      <w:sz w:val="24"/>
    </w:rPr>
  </w:style>
  <w:style w:type="paragraph" w:styleId="6">
    <w:name w:val="toc 7"/>
    <w:basedOn w:val="1"/>
    <w:next w:val="1"/>
    <w:semiHidden/>
    <w:qFormat/>
    <w:uiPriority w:val="0"/>
    <w:pPr>
      <w:ind w:left="1260"/>
      <w:jc w:val="left"/>
    </w:pPr>
    <w:rPr>
      <w:sz w:val="18"/>
      <w:szCs w:val="18"/>
    </w:rPr>
  </w:style>
  <w:style w:type="paragraph" w:styleId="7">
    <w:name w:val="Normal Indent"/>
    <w:basedOn w:val="1"/>
    <w:link w:val="51"/>
    <w:qFormat/>
    <w:uiPriority w:val="0"/>
    <w:pPr>
      <w:adjustRightInd w:val="0"/>
      <w:ind w:firstLine="420"/>
      <w:jc w:val="left"/>
    </w:pPr>
    <w:rPr>
      <w:sz w:val="24"/>
      <w:szCs w:val="20"/>
    </w:rPr>
  </w:style>
  <w:style w:type="paragraph" w:styleId="8">
    <w:name w:val="caption"/>
    <w:basedOn w:val="1"/>
    <w:next w:val="1"/>
    <w:qFormat/>
    <w:uiPriority w:val="0"/>
    <w:rPr>
      <w:rFonts w:ascii="Arial" w:hAnsi="Arial" w:eastAsia="黑体"/>
      <w:sz w:val="18"/>
    </w:rPr>
  </w:style>
  <w:style w:type="paragraph" w:styleId="9">
    <w:name w:val="Document Map"/>
    <w:basedOn w:val="1"/>
    <w:semiHidden/>
    <w:qFormat/>
    <w:uiPriority w:val="0"/>
    <w:pPr>
      <w:shd w:val="clear" w:color="auto" w:fill="000080"/>
    </w:pPr>
  </w:style>
  <w:style w:type="paragraph" w:styleId="10">
    <w:name w:val="annotation text"/>
    <w:basedOn w:val="1"/>
    <w:link w:val="62"/>
    <w:qFormat/>
    <w:uiPriority w:val="0"/>
    <w:pPr>
      <w:jc w:val="left"/>
    </w:pPr>
  </w:style>
  <w:style w:type="paragraph" w:styleId="11">
    <w:name w:val="Body Text"/>
    <w:basedOn w:val="1"/>
    <w:next w:val="12"/>
    <w:link w:val="49"/>
    <w:qFormat/>
    <w:uiPriority w:val="0"/>
    <w:rPr>
      <w:sz w:val="28"/>
      <w:szCs w:val="20"/>
    </w:rPr>
  </w:style>
  <w:style w:type="paragraph" w:customStyle="1" w:styleId="1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3">
    <w:name w:val="Body Text Indent"/>
    <w:basedOn w:val="1"/>
    <w:qFormat/>
    <w:uiPriority w:val="0"/>
    <w:pPr>
      <w:spacing w:after="120"/>
      <w:ind w:left="420" w:leftChars="200"/>
    </w:pPr>
  </w:style>
  <w:style w:type="paragraph" w:styleId="14">
    <w:name w:val="toc 5"/>
    <w:basedOn w:val="1"/>
    <w:next w:val="1"/>
    <w:semiHidden/>
    <w:qFormat/>
    <w:uiPriority w:val="0"/>
    <w:pPr>
      <w:ind w:left="840"/>
      <w:jc w:val="left"/>
    </w:pPr>
    <w:rPr>
      <w:sz w:val="18"/>
      <w:szCs w:val="18"/>
    </w:rPr>
  </w:style>
  <w:style w:type="paragraph" w:styleId="15">
    <w:name w:val="toc 3"/>
    <w:basedOn w:val="1"/>
    <w:next w:val="1"/>
    <w:semiHidden/>
    <w:qFormat/>
    <w:uiPriority w:val="0"/>
    <w:pPr>
      <w:ind w:left="420"/>
      <w:jc w:val="left"/>
    </w:pPr>
    <w:rPr>
      <w:i/>
      <w:iCs/>
      <w:sz w:val="20"/>
      <w:szCs w:val="20"/>
    </w:rPr>
  </w:style>
  <w:style w:type="paragraph" w:styleId="16">
    <w:name w:val="Plain Text"/>
    <w:basedOn w:val="1"/>
    <w:link w:val="52"/>
    <w:qFormat/>
    <w:uiPriority w:val="0"/>
    <w:rPr>
      <w:rFonts w:ascii="宋体" w:hAnsi="Courier New"/>
      <w:szCs w:val="20"/>
    </w:rPr>
  </w:style>
  <w:style w:type="paragraph" w:styleId="17">
    <w:name w:val="toc 8"/>
    <w:basedOn w:val="1"/>
    <w:next w:val="1"/>
    <w:semiHidden/>
    <w:qFormat/>
    <w:uiPriority w:val="0"/>
    <w:pPr>
      <w:ind w:left="1470"/>
      <w:jc w:val="left"/>
    </w:pPr>
    <w:rPr>
      <w:sz w:val="18"/>
      <w:szCs w:val="18"/>
    </w:rPr>
  </w:style>
  <w:style w:type="paragraph" w:styleId="18">
    <w:name w:val="Date"/>
    <w:basedOn w:val="1"/>
    <w:next w:val="1"/>
    <w:link w:val="47"/>
    <w:qFormat/>
    <w:uiPriority w:val="0"/>
    <w:rPr>
      <w:szCs w:val="20"/>
    </w:rPr>
  </w:style>
  <w:style w:type="paragraph" w:styleId="19">
    <w:name w:val="Balloon Text"/>
    <w:basedOn w:val="1"/>
    <w:link w:val="42"/>
    <w:qFormat/>
    <w:uiPriority w:val="0"/>
    <w:rPr>
      <w:sz w:val="18"/>
      <w:szCs w:val="18"/>
    </w:rPr>
  </w:style>
  <w:style w:type="paragraph" w:styleId="20">
    <w:name w:val="footer"/>
    <w:basedOn w:val="1"/>
    <w:link w:val="60"/>
    <w:qFormat/>
    <w:uiPriority w:val="99"/>
    <w:pPr>
      <w:tabs>
        <w:tab w:val="center" w:pos="4153"/>
        <w:tab w:val="right" w:pos="8306"/>
      </w:tabs>
      <w:snapToGrid w:val="0"/>
      <w:jc w:val="left"/>
    </w:pPr>
    <w:rPr>
      <w:sz w:val="18"/>
      <w:szCs w:val="18"/>
    </w:rPr>
  </w:style>
  <w:style w:type="paragraph" w:styleId="21">
    <w:name w:val="header"/>
    <w:basedOn w:val="1"/>
    <w:link w:val="6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296"/>
      </w:tabs>
      <w:spacing w:line="500" w:lineRule="exact"/>
      <w:jc w:val="left"/>
    </w:pPr>
    <w:rPr>
      <w:b/>
      <w:bCs/>
      <w:caps/>
      <w:sz w:val="24"/>
    </w:rPr>
  </w:style>
  <w:style w:type="paragraph" w:styleId="23">
    <w:name w:val="toc 4"/>
    <w:basedOn w:val="1"/>
    <w:next w:val="1"/>
    <w:semiHidden/>
    <w:qFormat/>
    <w:uiPriority w:val="0"/>
    <w:pPr>
      <w:ind w:left="630"/>
      <w:jc w:val="left"/>
    </w:pPr>
    <w:rPr>
      <w:sz w:val="18"/>
      <w:szCs w:val="18"/>
    </w:rPr>
  </w:style>
  <w:style w:type="paragraph" w:styleId="24">
    <w:name w:val="List"/>
    <w:basedOn w:val="1"/>
    <w:qFormat/>
    <w:uiPriority w:val="0"/>
    <w:pPr>
      <w:ind w:left="200" w:hanging="200" w:hangingChars="200"/>
      <w:contextualSpacing/>
    </w:pPr>
  </w:style>
  <w:style w:type="paragraph" w:styleId="25">
    <w:name w:val="toc 6"/>
    <w:basedOn w:val="1"/>
    <w:next w:val="1"/>
    <w:semiHidden/>
    <w:qFormat/>
    <w:uiPriority w:val="0"/>
    <w:pPr>
      <w:ind w:left="1050"/>
      <w:jc w:val="left"/>
    </w:pPr>
    <w:rPr>
      <w:sz w:val="18"/>
      <w:szCs w:val="18"/>
    </w:rPr>
  </w:style>
  <w:style w:type="paragraph" w:styleId="26">
    <w:name w:val="toc 9"/>
    <w:basedOn w:val="1"/>
    <w:next w:val="1"/>
    <w:semiHidden/>
    <w:qFormat/>
    <w:uiPriority w:val="0"/>
    <w:pPr>
      <w:ind w:left="1680"/>
      <w:jc w:val="left"/>
    </w:pPr>
    <w:rPr>
      <w:sz w:val="18"/>
      <w:szCs w:val="18"/>
    </w:rPr>
  </w:style>
  <w:style w:type="paragraph" w:styleId="27">
    <w:name w:val="Normal (Web)"/>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styleId="28">
    <w:name w:val="Title"/>
    <w:basedOn w:val="1"/>
    <w:next w:val="1"/>
    <w:link w:val="57"/>
    <w:qFormat/>
    <w:uiPriority w:val="0"/>
    <w:pPr>
      <w:spacing w:before="240" w:after="60"/>
      <w:jc w:val="center"/>
      <w:outlineLvl w:val="0"/>
    </w:pPr>
    <w:rPr>
      <w:rFonts w:ascii="Cambria" w:hAnsi="Cambria"/>
      <w:b/>
      <w:bCs/>
      <w:sz w:val="32"/>
      <w:szCs w:val="32"/>
    </w:rPr>
  </w:style>
  <w:style w:type="paragraph" w:styleId="29">
    <w:name w:val="annotation subject"/>
    <w:basedOn w:val="10"/>
    <w:next w:val="10"/>
    <w:link w:val="63"/>
    <w:qFormat/>
    <w:uiPriority w:val="0"/>
    <w:rPr>
      <w:b/>
      <w:bCs/>
    </w:rPr>
  </w:style>
  <w:style w:type="paragraph" w:styleId="30">
    <w:name w:val="Body Text First Indent"/>
    <w:basedOn w:val="11"/>
    <w:link w:val="44"/>
    <w:qFormat/>
    <w:uiPriority w:val="0"/>
    <w:pPr>
      <w:spacing w:after="120"/>
      <w:ind w:firstLine="420" w:firstLineChars="100"/>
    </w:pPr>
  </w:style>
  <w:style w:type="paragraph" w:styleId="31">
    <w:name w:val="Body Text First Indent 2"/>
    <w:basedOn w:val="13"/>
    <w:qFormat/>
    <w:uiPriority w:val="0"/>
    <w:pPr>
      <w:ind w:firstLine="420" w:firstLineChars="20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5">
    <w:name w:val="Strong"/>
    <w:qFormat/>
    <w:uiPriority w:val="0"/>
    <w:rPr>
      <w:b/>
      <w:bCs/>
    </w:rPr>
  </w:style>
  <w:style w:type="character" w:styleId="36">
    <w:name w:val="page number"/>
    <w:basedOn w:val="34"/>
    <w:qFormat/>
    <w:uiPriority w:val="0"/>
  </w:style>
  <w:style w:type="character" w:styleId="37">
    <w:name w:val="Emphasis"/>
    <w:qFormat/>
    <w:uiPriority w:val="0"/>
    <w:rPr>
      <w:i/>
      <w:iCs/>
    </w:rPr>
  </w:style>
  <w:style w:type="character" w:styleId="38">
    <w:name w:val="Hyperlink"/>
    <w:qFormat/>
    <w:uiPriority w:val="99"/>
    <w:rPr>
      <w:color w:val="0000FF"/>
      <w:u w:val="single"/>
    </w:rPr>
  </w:style>
  <w:style w:type="character" w:styleId="39">
    <w:name w:val="annotation reference"/>
    <w:qFormat/>
    <w:uiPriority w:val="0"/>
    <w:rPr>
      <w:sz w:val="21"/>
      <w:szCs w:val="21"/>
    </w:rPr>
  </w:style>
  <w:style w:type="character" w:customStyle="1" w:styleId="40">
    <w:name w:val="表文字 Char"/>
    <w:link w:val="41"/>
    <w:qFormat/>
    <w:uiPriority w:val="0"/>
    <w:rPr>
      <w:sz w:val="21"/>
      <w:szCs w:val="21"/>
    </w:rPr>
  </w:style>
  <w:style w:type="paragraph" w:customStyle="1" w:styleId="41">
    <w:name w:val="表文字"/>
    <w:basedOn w:val="1"/>
    <w:link w:val="40"/>
    <w:qFormat/>
    <w:uiPriority w:val="0"/>
    <w:pPr>
      <w:overflowPunct w:val="0"/>
      <w:autoSpaceDE w:val="0"/>
      <w:autoSpaceDN w:val="0"/>
      <w:adjustRightInd w:val="0"/>
      <w:jc w:val="center"/>
      <w:textAlignment w:val="baseline"/>
    </w:pPr>
    <w:rPr>
      <w:kern w:val="0"/>
      <w:szCs w:val="21"/>
    </w:rPr>
  </w:style>
  <w:style w:type="character" w:customStyle="1" w:styleId="42">
    <w:name w:val="批注框文本 Char"/>
    <w:link w:val="19"/>
    <w:qFormat/>
    <w:uiPriority w:val="0"/>
    <w:rPr>
      <w:kern w:val="2"/>
      <w:sz w:val="18"/>
      <w:szCs w:val="18"/>
    </w:rPr>
  </w:style>
  <w:style w:type="character" w:customStyle="1" w:styleId="43">
    <w:name w:val="表格内容 Char"/>
    <w:qFormat/>
    <w:uiPriority w:val="0"/>
    <w:rPr>
      <w:rFonts w:ascii="Arial" w:hAnsi="Arial" w:eastAsia="仿宋_GB2312"/>
      <w:sz w:val="24"/>
    </w:rPr>
  </w:style>
  <w:style w:type="character" w:customStyle="1" w:styleId="44">
    <w:name w:val="正文首行缩进 Char"/>
    <w:link w:val="30"/>
    <w:qFormat/>
    <w:uiPriority w:val="0"/>
    <w:rPr>
      <w:kern w:val="2"/>
      <w:sz w:val="21"/>
      <w:szCs w:val="24"/>
    </w:rPr>
  </w:style>
  <w:style w:type="character" w:customStyle="1" w:styleId="45">
    <w:name w:val="表文 Char"/>
    <w:link w:val="46"/>
    <w:qFormat/>
    <w:uiPriority w:val="0"/>
    <w:rPr>
      <w:position w:val="-24"/>
      <w:sz w:val="21"/>
      <w:szCs w:val="21"/>
      <w:lang w:val="en-US" w:eastAsia="zh-CN"/>
    </w:rPr>
  </w:style>
  <w:style w:type="paragraph" w:customStyle="1" w:styleId="46">
    <w:name w:val="表文"/>
    <w:basedOn w:val="1"/>
    <w:link w:val="45"/>
    <w:qFormat/>
    <w:uiPriority w:val="0"/>
    <w:pPr>
      <w:tabs>
        <w:tab w:val="left" w:pos="1021"/>
      </w:tabs>
      <w:jc w:val="center"/>
    </w:pPr>
    <w:rPr>
      <w:kern w:val="0"/>
      <w:position w:val="-24"/>
      <w:szCs w:val="21"/>
    </w:rPr>
  </w:style>
  <w:style w:type="character" w:customStyle="1" w:styleId="47">
    <w:name w:val="日期 Char"/>
    <w:link w:val="18"/>
    <w:qFormat/>
    <w:uiPriority w:val="0"/>
    <w:rPr>
      <w:kern w:val="2"/>
      <w:sz w:val="21"/>
    </w:rPr>
  </w:style>
  <w:style w:type="character" w:customStyle="1" w:styleId="48">
    <w:name w:val="标题 1 Char"/>
    <w:link w:val="3"/>
    <w:qFormat/>
    <w:uiPriority w:val="0"/>
    <w:rPr>
      <w:b/>
      <w:bCs/>
      <w:kern w:val="44"/>
      <w:sz w:val="44"/>
      <w:szCs w:val="44"/>
    </w:rPr>
  </w:style>
  <w:style w:type="character" w:customStyle="1" w:styleId="49">
    <w:name w:val="正文文本 Char"/>
    <w:link w:val="11"/>
    <w:qFormat/>
    <w:uiPriority w:val="0"/>
    <w:rPr>
      <w:kern w:val="2"/>
      <w:sz w:val="28"/>
    </w:rPr>
  </w:style>
  <w:style w:type="character" w:customStyle="1" w:styleId="50">
    <w:name w:val="标题 Char1"/>
    <w:qFormat/>
    <w:uiPriority w:val="0"/>
    <w:rPr>
      <w:rFonts w:ascii="Arial" w:hAnsi="Arial" w:cs="Arial"/>
      <w:b/>
      <w:bCs/>
      <w:kern w:val="2"/>
      <w:sz w:val="32"/>
      <w:szCs w:val="32"/>
    </w:rPr>
  </w:style>
  <w:style w:type="character" w:customStyle="1" w:styleId="51">
    <w:name w:val="正文缩进 Char"/>
    <w:link w:val="7"/>
    <w:qFormat/>
    <w:uiPriority w:val="0"/>
    <w:rPr>
      <w:kern w:val="2"/>
      <w:sz w:val="24"/>
    </w:rPr>
  </w:style>
  <w:style w:type="character" w:customStyle="1" w:styleId="52">
    <w:name w:val="纯文本 Char"/>
    <w:link w:val="16"/>
    <w:qFormat/>
    <w:uiPriority w:val="0"/>
    <w:rPr>
      <w:rFonts w:ascii="宋体" w:hAnsi="Courier New"/>
      <w:kern w:val="2"/>
      <w:sz w:val="21"/>
    </w:rPr>
  </w:style>
  <w:style w:type="character" w:customStyle="1" w:styleId="53">
    <w:name w:val="兴武正文 Char"/>
    <w:link w:val="54"/>
    <w:qFormat/>
    <w:uiPriority w:val="0"/>
    <w:rPr>
      <w:rFonts w:cs="宋体"/>
      <w:kern w:val="2"/>
      <w:sz w:val="24"/>
    </w:rPr>
  </w:style>
  <w:style w:type="paragraph" w:customStyle="1" w:styleId="54">
    <w:name w:val="兴武正文"/>
    <w:basedOn w:val="1"/>
    <w:link w:val="53"/>
    <w:qFormat/>
    <w:uiPriority w:val="0"/>
    <w:pPr>
      <w:spacing w:line="480" w:lineRule="exact"/>
      <w:ind w:firstLine="200" w:firstLineChars="200"/>
    </w:pPr>
    <w:rPr>
      <w:sz w:val="24"/>
      <w:szCs w:val="20"/>
    </w:rPr>
  </w:style>
  <w:style w:type="character" w:customStyle="1" w:styleId="55">
    <w:name w:val="表格内容 Char1"/>
    <w:link w:val="56"/>
    <w:qFormat/>
    <w:uiPriority w:val="0"/>
    <w:rPr>
      <w:rFonts w:eastAsia="楷体_GB2312"/>
      <w:lang w:bidi="ar-SA"/>
    </w:rPr>
  </w:style>
  <w:style w:type="paragraph" w:customStyle="1" w:styleId="56">
    <w:name w:val="表格内容"/>
    <w:basedOn w:val="1"/>
    <w:link w:val="55"/>
    <w:qFormat/>
    <w:uiPriority w:val="0"/>
    <w:pPr>
      <w:overflowPunct w:val="0"/>
      <w:adjustRightInd w:val="0"/>
      <w:spacing w:before="40" w:after="60" w:line="200" w:lineRule="atLeast"/>
      <w:textAlignment w:val="baseline"/>
    </w:pPr>
    <w:rPr>
      <w:rFonts w:eastAsia="楷体_GB2312"/>
      <w:kern w:val="0"/>
      <w:sz w:val="20"/>
      <w:szCs w:val="20"/>
    </w:rPr>
  </w:style>
  <w:style w:type="character" w:customStyle="1" w:styleId="57">
    <w:name w:val="标题 Char"/>
    <w:link w:val="28"/>
    <w:qFormat/>
    <w:uiPriority w:val="0"/>
    <w:rPr>
      <w:rFonts w:ascii="Cambria" w:hAnsi="Cambria" w:cs="Times New Roman"/>
      <w:b/>
      <w:bCs/>
      <w:kern w:val="2"/>
      <w:sz w:val="32"/>
      <w:szCs w:val="32"/>
    </w:rPr>
  </w:style>
  <w:style w:type="character" w:customStyle="1" w:styleId="58">
    <w:name w:val="表头 Char"/>
    <w:link w:val="59"/>
    <w:qFormat/>
    <w:uiPriority w:val="0"/>
    <w:rPr>
      <w:kern w:val="2"/>
      <w:sz w:val="21"/>
      <w:szCs w:val="21"/>
      <w:u w:val="single"/>
    </w:rPr>
  </w:style>
  <w:style w:type="paragraph" w:customStyle="1" w:styleId="59">
    <w:name w:val="表头"/>
    <w:basedOn w:val="1"/>
    <w:link w:val="58"/>
    <w:qFormat/>
    <w:uiPriority w:val="0"/>
    <w:pPr>
      <w:jc w:val="center"/>
    </w:pPr>
    <w:rPr>
      <w:szCs w:val="21"/>
      <w:u w:val="single"/>
    </w:rPr>
  </w:style>
  <w:style w:type="character" w:customStyle="1" w:styleId="60">
    <w:name w:val="页脚 Char"/>
    <w:link w:val="20"/>
    <w:qFormat/>
    <w:uiPriority w:val="99"/>
    <w:rPr>
      <w:kern w:val="2"/>
      <w:sz w:val="18"/>
      <w:szCs w:val="18"/>
    </w:rPr>
  </w:style>
  <w:style w:type="character" w:customStyle="1" w:styleId="61">
    <w:name w:val="页眉 Char"/>
    <w:link w:val="21"/>
    <w:qFormat/>
    <w:uiPriority w:val="0"/>
    <w:rPr>
      <w:kern w:val="2"/>
      <w:sz w:val="18"/>
      <w:szCs w:val="18"/>
    </w:rPr>
  </w:style>
  <w:style w:type="character" w:customStyle="1" w:styleId="62">
    <w:name w:val="批注文字 Char"/>
    <w:link w:val="10"/>
    <w:qFormat/>
    <w:uiPriority w:val="0"/>
    <w:rPr>
      <w:kern w:val="2"/>
      <w:sz w:val="21"/>
      <w:szCs w:val="24"/>
    </w:rPr>
  </w:style>
  <w:style w:type="character" w:customStyle="1" w:styleId="63">
    <w:name w:val="批注主题 Char"/>
    <w:link w:val="29"/>
    <w:qFormat/>
    <w:uiPriority w:val="0"/>
    <w:rPr>
      <w:b/>
      <w:bCs/>
      <w:kern w:val="2"/>
      <w:sz w:val="21"/>
      <w:szCs w:val="24"/>
    </w:rPr>
  </w:style>
  <w:style w:type="character" w:customStyle="1" w:styleId="64">
    <w:name w:val="标题 2 Char"/>
    <w:link w:val="4"/>
    <w:qFormat/>
    <w:uiPriority w:val="0"/>
    <w:rPr>
      <w:rFonts w:ascii="Arial" w:hAnsi="Arial" w:eastAsia="黑体"/>
      <w:b/>
      <w:bCs/>
      <w:kern w:val="2"/>
      <w:sz w:val="32"/>
      <w:szCs w:val="32"/>
    </w:rPr>
  </w:style>
  <w:style w:type="paragraph" w:customStyle="1" w:styleId="65">
    <w:name w:val="环评表内容"/>
    <w:basedOn w:val="1"/>
    <w:qFormat/>
    <w:uiPriority w:val="0"/>
    <w:pPr>
      <w:spacing w:line="260" w:lineRule="exact"/>
      <w:jc w:val="center"/>
    </w:pPr>
    <w:rPr>
      <w:rFonts w:ascii="Tahoma" w:hAnsi="Tahoma" w:cs="Tahoma"/>
      <w:szCs w:val="20"/>
    </w:rPr>
  </w:style>
  <w:style w:type="paragraph" w:customStyle="1" w:styleId="66">
    <w:name w:val="_Style 2"/>
    <w:basedOn w:val="1"/>
    <w:qFormat/>
    <w:uiPriority w:val="34"/>
    <w:pPr>
      <w:ind w:firstLine="420" w:firstLineChars="200"/>
    </w:pPr>
  </w:style>
  <w:style w:type="paragraph" w:customStyle="1" w:styleId="67">
    <w:name w:val="表格标题"/>
    <w:basedOn w:val="8"/>
    <w:next w:val="68"/>
    <w:qFormat/>
    <w:uiPriority w:val="0"/>
    <w:pPr>
      <w:spacing w:line="360" w:lineRule="auto"/>
      <w:jc w:val="center"/>
    </w:pPr>
    <w:rPr>
      <w:rFonts w:ascii="Times New Roman" w:hAnsi="Times New Roman" w:eastAsia="宋体"/>
      <w:b/>
      <w:kern w:val="0"/>
      <w:sz w:val="21"/>
      <w:szCs w:val="22"/>
    </w:rPr>
  </w:style>
  <w:style w:type="paragraph" w:customStyle="1" w:styleId="68">
    <w:name w:val="正文表格"/>
    <w:basedOn w:val="69"/>
    <w:next w:val="11"/>
    <w:qFormat/>
    <w:uiPriority w:val="0"/>
    <w:pPr>
      <w:tabs>
        <w:tab w:val="left" w:pos="1080"/>
      </w:tabs>
      <w:spacing w:line="240" w:lineRule="auto"/>
      <w:ind w:firstLine="0" w:firstLineChars="0"/>
      <w:jc w:val="center"/>
    </w:pPr>
    <w:rPr>
      <w:sz w:val="21"/>
    </w:rPr>
  </w:style>
  <w:style w:type="paragraph" w:customStyle="1" w:styleId="69">
    <w:name w:val="文本正文"/>
    <w:basedOn w:val="1"/>
    <w:qFormat/>
    <w:uiPriority w:val="0"/>
    <w:pPr>
      <w:spacing w:line="360" w:lineRule="auto"/>
      <w:ind w:firstLine="480" w:firstLineChars="200"/>
    </w:pPr>
    <w:rPr>
      <w:sz w:val="24"/>
    </w:rPr>
  </w:style>
  <w:style w:type="paragraph" w:customStyle="1" w:styleId="70">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71">
    <w:name w:val="表格"/>
    <w:basedOn w:val="1"/>
    <w:qFormat/>
    <w:uiPriority w:val="0"/>
    <w:pPr>
      <w:keepNext/>
      <w:adjustRightInd w:val="0"/>
      <w:spacing w:line="312" w:lineRule="atLeast"/>
      <w:jc w:val="center"/>
    </w:pPr>
    <w:rPr>
      <w:kern w:val="0"/>
      <w:szCs w:val="20"/>
    </w:rPr>
  </w:style>
  <w:style w:type="paragraph" w:customStyle="1" w:styleId="72">
    <w:name w:val="p0"/>
    <w:basedOn w:val="1"/>
    <w:qFormat/>
    <w:uiPriority w:val="0"/>
    <w:pPr>
      <w:widowControl/>
    </w:pPr>
    <w:rPr>
      <w:kern w:val="0"/>
      <w:szCs w:val="21"/>
    </w:rPr>
  </w:style>
  <w:style w:type="paragraph" w:customStyle="1" w:styleId="73">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74">
    <w:name w:val="样式 标题 2 + (西文) Times New Roman (中文) 宋体 小四 段前: 0 磅 段后: 0 磅 行..."/>
    <w:basedOn w:val="4"/>
    <w:qFormat/>
    <w:uiPriority w:val="0"/>
    <w:pPr>
      <w:spacing w:before="0" w:after="0" w:line="360" w:lineRule="auto"/>
    </w:pPr>
    <w:rPr>
      <w:rFonts w:ascii="Times New Roman" w:hAnsi="Times New Roman" w:eastAsia="宋体" w:cs="宋体"/>
      <w:bCs w:val="0"/>
      <w:sz w:val="24"/>
      <w:szCs w:val="20"/>
    </w:rPr>
  </w:style>
  <w:style w:type="paragraph" w:customStyle="1" w:styleId="75">
    <w:name w:val="Char Char Char Char Char Char Char Char Char"/>
    <w:basedOn w:val="1"/>
    <w:qFormat/>
    <w:uiPriority w:val="0"/>
    <w:pPr>
      <w:numPr>
        <w:ilvl w:val="0"/>
        <w:numId w:val="1"/>
      </w:numPr>
      <w:tabs>
        <w:tab w:val="left" w:pos="1065"/>
      </w:tabs>
    </w:pPr>
    <w:rPr>
      <w:b/>
      <w:sz w:val="24"/>
      <w:szCs w:val="36"/>
    </w:rPr>
  </w:style>
  <w:style w:type="paragraph" w:customStyle="1" w:styleId="76">
    <w:name w:val="样式2"/>
    <w:basedOn w:val="1"/>
    <w:qFormat/>
    <w:uiPriority w:val="0"/>
    <w:pPr>
      <w:spacing w:line="500" w:lineRule="exact"/>
      <w:ind w:firstLine="480" w:firstLineChars="200"/>
      <w:textAlignment w:val="baseline"/>
    </w:pPr>
    <w:rPr>
      <w:sz w:val="24"/>
    </w:rPr>
  </w:style>
  <w:style w:type="paragraph" w:customStyle="1" w:styleId="77">
    <w:name w:val="表字居中"/>
    <w:basedOn w:val="1"/>
    <w:qFormat/>
    <w:uiPriority w:val="0"/>
    <w:pPr>
      <w:overflowPunct w:val="0"/>
      <w:autoSpaceDE w:val="0"/>
      <w:autoSpaceDN w:val="0"/>
      <w:adjustRightInd w:val="0"/>
      <w:jc w:val="center"/>
      <w:textAlignment w:val="baseline"/>
    </w:pPr>
    <w:rPr>
      <w:kern w:val="0"/>
      <w:szCs w:val="21"/>
    </w:rPr>
  </w:style>
  <w:style w:type="paragraph" w:customStyle="1" w:styleId="78">
    <w:name w:val="固定表格"/>
    <w:basedOn w:val="1"/>
    <w:qFormat/>
    <w:uiPriority w:val="0"/>
    <w:pPr>
      <w:spacing w:line="360" w:lineRule="auto"/>
      <w:jc w:val="center"/>
    </w:pPr>
    <w:rPr>
      <w:sz w:val="24"/>
    </w:rPr>
  </w:style>
  <w:style w:type="paragraph" w:customStyle="1" w:styleId="79">
    <w:name w:val="样式 列表 + 左侧:  0 厘米 悬挂缩进: 2 字符"/>
    <w:basedOn w:val="24"/>
    <w:qFormat/>
    <w:uiPriority w:val="0"/>
    <w:pPr>
      <w:tabs>
        <w:tab w:val="center" w:pos="4153"/>
        <w:tab w:val="right" w:pos="8306"/>
      </w:tabs>
      <w:snapToGrid w:val="0"/>
      <w:ind w:left="0" w:firstLine="0" w:firstLineChars="0"/>
      <w:jc w:val="center"/>
    </w:pPr>
    <w:rPr>
      <w:rFonts w:hAnsi="宋体"/>
      <w:szCs w:val="21"/>
      <w:u w:val="single"/>
    </w:rPr>
  </w:style>
  <w:style w:type="paragraph" w:customStyle="1" w:styleId="80">
    <w:name w:val="表格表头"/>
    <w:basedOn w:val="56"/>
    <w:qFormat/>
    <w:uiPriority w:val="0"/>
    <w:rPr>
      <w:b/>
    </w:rPr>
  </w:style>
  <w:style w:type="paragraph" w:customStyle="1" w:styleId="81">
    <w:name w:val="Char Char Char Char Char Char Char"/>
    <w:basedOn w:val="1"/>
    <w:next w:val="3"/>
    <w:qFormat/>
    <w:uiPriority w:val="0"/>
    <w:pPr>
      <w:jc w:val="left"/>
    </w:pPr>
    <w:rPr>
      <w:szCs w:val="20"/>
    </w:rPr>
  </w:style>
  <w:style w:type="paragraph" w:customStyle="1" w:styleId="82">
    <w:name w:val="Char Char1"/>
    <w:basedOn w:val="1"/>
    <w:qFormat/>
    <w:uiPriority w:val="0"/>
    <w:pPr>
      <w:spacing w:line="360" w:lineRule="auto"/>
      <w:ind w:firstLine="200" w:firstLineChars="200"/>
    </w:pPr>
    <w:rPr>
      <w:rFonts w:ascii="宋体" w:hAnsi="宋体" w:cs="宋体"/>
      <w:sz w:val="24"/>
    </w:rPr>
  </w:style>
  <w:style w:type="table" w:customStyle="1" w:styleId="83">
    <w:name w:val="yp格式"/>
    <w:basedOn w:val="32"/>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paragraph" w:customStyle="1" w:styleId="84">
    <w:name w:val="居中正文"/>
    <w:basedOn w:val="30"/>
    <w:qFormat/>
    <w:uiPriority w:val="0"/>
    <w:pPr>
      <w:adjustRightInd w:val="0"/>
      <w:spacing w:line="360" w:lineRule="auto"/>
      <w:ind w:firstLine="0" w:firstLineChars="0"/>
      <w:jc w:val="center"/>
      <w:textAlignment w:val="baseline"/>
    </w:pPr>
    <w:rPr>
      <w:rFonts w:ascii="宋体"/>
      <w:kern w:val="28"/>
      <w:sz w:val="24"/>
    </w:rPr>
  </w:style>
  <w:style w:type="paragraph" w:customStyle="1" w:styleId="85">
    <w:name w:val="表文字-lxc"/>
    <w:basedOn w:val="1"/>
    <w:qFormat/>
    <w:uiPriority w:val="0"/>
    <w:pPr>
      <w:overflowPunct w:val="0"/>
      <w:autoSpaceDE w:val="0"/>
      <w:autoSpaceDN w:val="0"/>
      <w:adjustRightInd w:val="0"/>
      <w:jc w:val="center"/>
      <w:textAlignment w:val="baseline"/>
    </w:pPr>
    <w:rPr>
      <w:kern w:val="0"/>
    </w:rPr>
  </w:style>
  <w:style w:type="paragraph" w:customStyle="1" w:styleId="86">
    <w:name w:val="Table Paragraph"/>
    <w:basedOn w:val="1"/>
    <w:qFormat/>
    <w:uiPriority w:val="1"/>
    <w:pPr>
      <w:jc w:val="center"/>
    </w:pPr>
    <w:rPr>
      <w:rFonts w:ascii="Noto Sans Mono CJK JP Regular" w:hAnsi="Noto Sans Mono CJK JP Regular" w:eastAsia="Noto Sans Mono CJK JP Regular" w:cs="Noto Sans Mono CJK JP Regular"/>
      <w:lang w:val="zh-CN" w:eastAsia="zh-CN" w:bidi="zh-CN"/>
    </w:rPr>
  </w:style>
  <w:style w:type="character" w:customStyle="1" w:styleId="87">
    <w:name w:val="font71"/>
    <w:basedOn w:val="34"/>
    <w:qFormat/>
    <w:uiPriority w:val="0"/>
    <w:rPr>
      <w:rFonts w:hint="eastAsia" w:ascii="宋体" w:hAnsi="宋体" w:eastAsia="宋体" w:cs="宋体"/>
      <w:b/>
      <w:color w:val="000000"/>
      <w:sz w:val="20"/>
      <w:szCs w:val="20"/>
      <w:u w:val="none"/>
    </w:rPr>
  </w:style>
  <w:style w:type="character" w:customStyle="1" w:styleId="88">
    <w:name w:val="font11"/>
    <w:basedOn w:val="34"/>
    <w:qFormat/>
    <w:uiPriority w:val="0"/>
    <w:rPr>
      <w:rFonts w:hint="default" w:ascii="Times New Roman" w:hAnsi="Times New Roman" w:cs="Times New Roman"/>
      <w:b/>
      <w:color w:val="000000"/>
      <w:sz w:val="20"/>
      <w:szCs w:val="20"/>
      <w:u w:val="none"/>
    </w:rPr>
  </w:style>
  <w:style w:type="paragraph" w:customStyle="1" w:styleId="89">
    <w:name w:val="无间隔1"/>
    <w:qFormat/>
    <w:uiPriority w:val="1"/>
    <w:pPr>
      <w:spacing w:line="360" w:lineRule="auto"/>
      <w:ind w:firstLine="200" w:firstLineChars="200"/>
      <w:jc w:val="both"/>
    </w:pPr>
    <w:rPr>
      <w:rFonts w:ascii="Calibri" w:hAnsi="Calibri" w:eastAsia="Calibri" w:cs="Times New Roman"/>
      <w:kern w:val="2"/>
      <w:sz w:val="28"/>
      <w:szCs w:val="22"/>
      <w:lang w:val="ru-RU" w:eastAsia="zh-CN" w:bidi="ar-SA"/>
    </w:rPr>
  </w:style>
  <w:style w:type="paragraph" w:customStyle="1" w:styleId="90">
    <w:name w:val="表 图 内容"/>
    <w:basedOn w:val="1"/>
    <w:qFormat/>
    <w:uiPriority w:val="0"/>
    <w:pPr>
      <w:jc w:val="center"/>
    </w:pPr>
    <w:rPr>
      <w:rFonts w:ascii="Calibri" w:hAnsi="宋体"/>
      <w:color w:val="00000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7" textRotate="1"/>
    <customShpInfo spid="_x0000_s3078" textRotate="1"/>
    <customShpInfo spid="_x0000_s232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50"/>
    <customShpInfo spid="_x0000_s2266"/>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67"/>
    <customShpInfo spid="_x0000_s2278"/>
    <customShpInfo spid="_x0000_s2279"/>
    <customShpInfo spid="_x0000_s2280"/>
    <customShpInfo spid="_x0000_s2281"/>
    <customShpInfo spid="_x0000_s2282"/>
    <customShpInfo spid="_x0000_s2283"/>
    <customShpInfo spid="_x0000_s2284"/>
    <customShpInfo spid="_x0000_s22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83</Pages>
  <Words>3292</Words>
  <Characters>18767</Characters>
  <Lines>156</Lines>
  <Paragraphs>44</Paragraphs>
  <TotalTime>5</TotalTime>
  <ScaleCrop>false</ScaleCrop>
  <LinksUpToDate>false</LinksUpToDate>
  <CharactersWithSpaces>22015</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2018-01-24T08:20:00Z</dcterms:created>
  <dc:creator>微软用户</dc:creator>
  <cp:lastModifiedBy>54080</cp:lastModifiedBy>
  <cp:lastPrinted>2018-06-20T07:26:00Z</cp:lastPrinted>
  <dcterms:modified xsi:type="dcterms:W3CDTF">2019-06-10T10:38:02Z</dcterms:modified>
  <dc:title>建设项目竣工环境保护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