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360" w:lineRule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楷体" w:hAnsi="楷体" w:eastAsia="楷体" w:cs="楷体"/>
          <w:bCs/>
          <w:sz w:val="32"/>
          <w:szCs w:val="32"/>
        </w:rPr>
        <w:t>附件</w:t>
      </w:r>
      <w:r>
        <w:rPr>
          <w:rFonts w:hint="eastAsia" w:ascii="楷体" w:hAnsi="楷体" w:eastAsia="楷体" w:cs="楷体"/>
          <w:bCs/>
          <w:sz w:val="32"/>
          <w:szCs w:val="32"/>
          <w:lang w:val="en-US" w:eastAsia="zh-CN"/>
        </w:rPr>
        <w:t>2</w:t>
      </w:r>
      <w:r>
        <w:rPr>
          <w:rFonts w:hint="eastAsia" w:ascii="楷体" w:hAnsi="楷体" w:eastAsia="楷体" w:cs="楷体"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72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益阳市重点断面整治专项行动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工  作  方  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after="0" w:line="600" w:lineRule="exact"/>
        <w:ind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textAlignment w:val="auto"/>
        <w:rPr>
          <w:rFonts w:hint="eastAsia"/>
        </w:rPr>
      </w:pPr>
      <w:r>
        <w:rPr>
          <w:rFonts w:hint="eastAsia"/>
        </w:rPr>
        <w:t>一、总体思路和工作目标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after="0"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以水质未达III类国控、省控考核评价断面和未达到“水十条”考核目标的断面为重点，兼顾区域环境负荷大、水质容易反弹的重点水体，对</w:t>
      </w:r>
      <w:bookmarkStart w:id="1" w:name="_GoBack"/>
      <w:bookmarkEnd w:id="1"/>
      <w:r>
        <w:rPr>
          <w:rFonts w:hint="eastAsia" w:ascii="仿宋" w:hAnsi="仿宋" w:eastAsia="仿宋" w:cs="仿宋"/>
          <w:sz w:val="32"/>
          <w:szCs w:val="32"/>
        </w:rPr>
        <w:t>流域控制单元开展专项整治工作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通过排查原因、精准治污、信息公开、强化督导等措施，加快补齐流域环境基础设施建设短板，加强流域生态环境保护，确保2019年基本消除劣V类水体；2020年国控、省控重点考核评价断面稳定达到或优于III类水质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textAlignment w:val="auto"/>
        <w:rPr>
          <w:rFonts w:hint="eastAsia"/>
        </w:rPr>
      </w:pPr>
      <w:r>
        <w:rPr>
          <w:rFonts w:hint="eastAsia"/>
        </w:rPr>
        <w:t>二、工作范围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after="0"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大通湖、志溪河、黄家湖、三仙湖、梓山湖等监测断面所在流域控制单元，具体清单见附件。同时，对全市水质下降严重（单月下降二个类别或连续3个月持续下降一个类别）的国控、省控考核评价断面，实时纳入整治范围，实行动态管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textAlignment w:val="auto"/>
        <w:rPr>
          <w:rFonts w:hint="eastAsia"/>
        </w:rPr>
      </w:pPr>
      <w:r>
        <w:rPr>
          <w:rFonts w:hint="eastAsia"/>
        </w:rPr>
        <w:t>三、工作措施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after="0" w:line="60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（一）精准识别，分析原因。</w:t>
      </w:r>
      <w:r>
        <w:rPr>
          <w:rFonts w:hint="eastAsia" w:ascii="仿宋" w:hAnsi="仿宋" w:eastAsia="仿宋" w:cs="仿宋"/>
          <w:bCs/>
          <w:sz w:val="32"/>
          <w:szCs w:val="32"/>
        </w:rPr>
        <w:t>相关区县</w:t>
      </w:r>
      <w:r>
        <w:rPr>
          <w:rFonts w:hint="eastAsia" w:ascii="仿宋" w:hAnsi="仿宋" w:eastAsia="仿宋" w:cs="仿宋"/>
          <w:sz w:val="32"/>
          <w:szCs w:val="32"/>
        </w:rPr>
        <w:t>生态环境部门会同有关部门通过数据分析、实地调研等方式，核实水质情况，识别超标因子、超标倍数，排查各类污染源，深入分析未达III类国控、省控断面，以及水质下降严重断面产生的关键原因，建立问题清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after="0" w:line="60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（二）制定方案，明晰责任。</w:t>
      </w:r>
      <w:r>
        <w:rPr>
          <w:rFonts w:hint="eastAsia" w:ascii="仿宋" w:hAnsi="仿宋" w:eastAsia="仿宋" w:cs="仿宋"/>
          <w:bCs/>
          <w:sz w:val="32"/>
          <w:szCs w:val="32"/>
        </w:rPr>
        <w:t>相关区县人民政府要编制</w:t>
      </w:r>
      <w:bookmarkStart w:id="0" w:name="_Hlk536002286"/>
      <w:r>
        <w:rPr>
          <w:rFonts w:hint="eastAsia" w:ascii="仿宋" w:hAnsi="仿宋" w:eastAsia="仿宋" w:cs="仿宋"/>
          <w:bCs/>
          <w:sz w:val="32"/>
          <w:szCs w:val="32"/>
        </w:rPr>
        <w:t>或完善监测断面所在流域控制单元水体整治工作方案</w:t>
      </w:r>
      <w:bookmarkEnd w:id="0"/>
      <w:r>
        <w:rPr>
          <w:rFonts w:hint="eastAsia" w:ascii="仿宋" w:hAnsi="仿宋" w:eastAsia="仿宋" w:cs="仿宋"/>
          <w:bCs/>
          <w:sz w:val="32"/>
          <w:szCs w:val="32"/>
        </w:rPr>
        <w:t>，按照“一个断面，一个方案”原则，以问题为导向，提出针对性治理措施，明确年度目标、重点任务和时间节点。进一步细化控制单元，结合河长制中各级河长职责，将整治责任层层分解</w:t>
      </w:r>
      <w:r>
        <w:rPr>
          <w:rFonts w:hint="eastAsia" w:ascii="仿宋" w:hAnsi="仿宋" w:eastAsia="仿宋" w:cs="仿宋"/>
          <w:sz w:val="32"/>
          <w:szCs w:val="32"/>
        </w:rPr>
        <w:t>。重点加强枯水期环境管理，加强对重点污染源监督管理，有效化解风险隐患。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after="0" w:line="60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（三）调度预警，信息公开。</w:t>
      </w:r>
      <w:r>
        <w:rPr>
          <w:rFonts w:hint="eastAsia" w:ascii="仿宋" w:hAnsi="仿宋" w:eastAsia="仿宋" w:cs="仿宋"/>
          <w:sz w:val="32"/>
          <w:szCs w:val="32"/>
        </w:rPr>
        <w:t>市生态环境局按月通报断面水质变化状况。按季度通报重点断面整治工作进展情况，适时召开调度会，督促地方加快重点断面整治进度。2019年5月起，省生态环境厅将每月向社会公开相关断面水质现状、超标因子、水质变化情况、河流名称等有关信息，接受社会监督。邀请媒体参与重点断面整治专项行动，公开报道先进典型，曝光突出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after="0" w:line="60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（四）科技支撑，督导督察。</w:t>
      </w:r>
      <w:r>
        <w:rPr>
          <w:rFonts w:hint="eastAsia" w:ascii="仿宋" w:hAnsi="仿宋" w:eastAsia="仿宋" w:cs="仿宋"/>
          <w:sz w:val="32"/>
          <w:szCs w:val="32"/>
        </w:rPr>
        <w:t>要加大科技支撑，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市生态环境局已与省环科院签署战略合作协议，</w:t>
      </w:r>
      <w:r>
        <w:rPr>
          <w:rFonts w:hint="eastAsia" w:ascii="仿宋" w:hAnsi="仿宋" w:eastAsia="仿宋" w:cs="仿宋"/>
          <w:sz w:val="32"/>
          <w:szCs w:val="32"/>
        </w:rPr>
        <w:t>针对具体问题，加快补齐短板，科学施治，精准施策。省环科院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专家技术团队将</w:t>
      </w:r>
      <w:r>
        <w:rPr>
          <w:rFonts w:hint="eastAsia" w:ascii="仿宋" w:hAnsi="仿宋" w:eastAsia="仿宋" w:cs="仿宋"/>
          <w:sz w:val="32"/>
          <w:szCs w:val="32"/>
        </w:rPr>
        <w:t>加强对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我市</w:t>
      </w:r>
      <w:r>
        <w:rPr>
          <w:rFonts w:hint="eastAsia" w:ascii="仿宋" w:hAnsi="仿宋" w:eastAsia="仿宋" w:cs="仿宋"/>
          <w:sz w:val="32"/>
          <w:szCs w:val="32"/>
        </w:rPr>
        <w:t>的指导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和技术支持</w:t>
      </w:r>
      <w:r>
        <w:rPr>
          <w:rFonts w:hint="eastAsia" w:ascii="仿宋" w:hAnsi="仿宋" w:eastAsia="仿宋" w:cs="仿宋"/>
          <w:sz w:val="32"/>
          <w:szCs w:val="32"/>
        </w:rPr>
        <w:t>。对于污染治理不力、整治工作进展缓慢、水环境质量改善达不到进度要求甚至恶化的地区，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省生态环境厅将把有</w:t>
      </w:r>
      <w:r>
        <w:rPr>
          <w:rFonts w:hint="eastAsia" w:ascii="仿宋" w:hAnsi="仿宋" w:eastAsia="仿宋" w:cs="仿宋"/>
          <w:sz w:val="32"/>
          <w:szCs w:val="32"/>
        </w:rPr>
        <w:t>关线索作为开展省级生态环境保护督察的重要依据。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textAlignment w:val="auto"/>
        <w:rPr>
          <w:rFonts w:hint="eastAsia"/>
        </w:rPr>
      </w:pPr>
      <w:r>
        <w:rPr>
          <w:rFonts w:hint="eastAsia"/>
        </w:rPr>
        <w:t>四、主要时间节点和任务目标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after="0"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本专项行动工作时间为2019年至2020年。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after="0"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（一）2019年5月28日前，</w:t>
      </w:r>
      <w:r>
        <w:rPr>
          <w:rFonts w:hint="eastAsia" w:ascii="仿宋" w:hAnsi="仿宋" w:eastAsia="仿宋" w:cs="仿宋"/>
          <w:sz w:val="32"/>
          <w:szCs w:val="32"/>
        </w:rPr>
        <w:t>各相关区县完成水质未达III类国控、省控考核评价断面以及未达到水十条考核目标断面原因分析，编制或完善整治工作方案，报市生态环境局备案，并将主要任务措施、时间节点、责任人等向社会公开。同时，对水质严重下降的断面，要及时将原因分析、工作措施报市生态环境局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after="0"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（二）2019年年底，消除大通湖劣V类水体，力争达到Ⅳ类水质。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after="0"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（三）2020年年底，力争国控、省控重点考核评价断面水质稳定达到或优于III类（洞庭湖总磷≤0.1mg/L）。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textAlignment w:val="auto"/>
        <w:rPr>
          <w:rFonts w:hint="eastAsia"/>
        </w:rPr>
      </w:pPr>
      <w:r>
        <w:rPr>
          <w:rFonts w:hint="eastAsia"/>
        </w:rPr>
        <w:t>五、保障措施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after="0"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  <w:sectPr>
          <w:pgSz w:w="11907" w:h="16840"/>
          <w:pgMar w:top="1701" w:right="1531" w:bottom="1701" w:left="1531" w:header="851" w:footer="1077" w:gutter="0"/>
          <w:pgNumType w:fmt="numberInDash"/>
          <w:cols w:space="720" w:num="1"/>
        </w:sectPr>
      </w:pPr>
      <w:r>
        <w:rPr>
          <w:rFonts w:hint="eastAsia" w:ascii="仿宋" w:hAnsi="仿宋" w:eastAsia="仿宋" w:cs="仿宋"/>
          <w:sz w:val="32"/>
          <w:szCs w:val="32"/>
        </w:rPr>
        <w:t>省生态环境厅将结合中央水污染防治专项资金、省级环保专项资金管理，对重点断面整治工作给予一定倾斜，指导地方提前谋划，做好水污染防治项目的储备工作，优先保障水质改善重点项目实施。同时，启动“一湖四水”水环境质量考核，对真抓实干成效明显的地区予以表扬激励。各相关区县政府对污染防治工作费用予以保障,支持重点断面整治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61" w:beforeLines="100" w:after="361" w:afterLines="100" w:line="600" w:lineRule="exact"/>
        <w:jc w:val="center"/>
        <w:textAlignment w:val="auto"/>
        <w:outlineLvl w:val="0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重点整治断面清单</w:t>
      </w:r>
    </w:p>
    <w:tbl>
      <w:tblPr>
        <w:tblStyle w:val="3"/>
        <w:tblW w:w="8459" w:type="dxa"/>
        <w:jc w:val="center"/>
        <w:tblInd w:w="-1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"/>
        <w:gridCol w:w="977"/>
        <w:gridCol w:w="1298"/>
        <w:gridCol w:w="1015"/>
        <w:gridCol w:w="1047"/>
        <w:gridCol w:w="1255"/>
        <w:gridCol w:w="1973"/>
        <w:gridCol w:w="4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4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  <w:t>断面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12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  <w:t>所在区县市</w:t>
            </w:r>
          </w:p>
        </w:tc>
        <w:tc>
          <w:tcPr>
            <w:tcW w:w="10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  <w:t>所在河流名称</w:t>
            </w:r>
          </w:p>
        </w:tc>
        <w:tc>
          <w:tcPr>
            <w:tcW w:w="10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  <w:t>2017年水质类别</w:t>
            </w:r>
          </w:p>
        </w:tc>
        <w:tc>
          <w:tcPr>
            <w:tcW w:w="32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  <w:t>2018年</w:t>
            </w:r>
          </w:p>
        </w:tc>
        <w:tc>
          <w:tcPr>
            <w:tcW w:w="41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  <w:t>水质类别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  <w:t>污染物超标倍数（超III类）</w:t>
            </w:r>
          </w:p>
        </w:tc>
        <w:tc>
          <w:tcPr>
            <w:tcW w:w="41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志溪河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桃江县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赫山区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高新区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志溪河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Ⅳ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Ⅳ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氨氮(0.1)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大通湖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大通湖区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沅江市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南县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大通湖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劣Ⅴ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劣Ⅴ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总磷(3.3)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3</w:t>
            </w: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黄家湖</w:t>
            </w:r>
          </w:p>
        </w:tc>
        <w:tc>
          <w:tcPr>
            <w:tcW w:w="1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资阳区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黄家湖</w:t>
            </w:r>
          </w:p>
        </w:tc>
        <w:tc>
          <w:tcPr>
            <w:tcW w:w="1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Ⅳ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Ⅳ</w:t>
            </w:r>
          </w:p>
        </w:tc>
        <w:tc>
          <w:tcPr>
            <w:tcW w:w="1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总磷(0.2)</w:t>
            </w: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4</w:t>
            </w: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三仙湖</w:t>
            </w:r>
          </w:p>
        </w:tc>
        <w:tc>
          <w:tcPr>
            <w:tcW w:w="1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南县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三仙湖</w:t>
            </w:r>
          </w:p>
        </w:tc>
        <w:tc>
          <w:tcPr>
            <w:tcW w:w="1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Ⅳ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Ⅳ</w:t>
            </w:r>
          </w:p>
        </w:tc>
        <w:tc>
          <w:tcPr>
            <w:tcW w:w="1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总磷(0.2)</w:t>
            </w: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5</w:t>
            </w: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梓山湖</w:t>
            </w:r>
          </w:p>
        </w:tc>
        <w:tc>
          <w:tcPr>
            <w:tcW w:w="1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高新区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梓山湖</w:t>
            </w:r>
          </w:p>
        </w:tc>
        <w:tc>
          <w:tcPr>
            <w:tcW w:w="1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Ⅳ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Ⅳ</w:t>
            </w:r>
          </w:p>
        </w:tc>
        <w:tc>
          <w:tcPr>
            <w:tcW w:w="1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总磷(0.3)</w:t>
            </w: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after="0"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C3867"/>
    <w:rsid w:val="000F1E03"/>
    <w:rsid w:val="0010092F"/>
    <w:rsid w:val="00323B43"/>
    <w:rsid w:val="003D16C8"/>
    <w:rsid w:val="003D37D8"/>
    <w:rsid w:val="00426133"/>
    <w:rsid w:val="004358AB"/>
    <w:rsid w:val="00612CB0"/>
    <w:rsid w:val="00670EBE"/>
    <w:rsid w:val="008B7726"/>
    <w:rsid w:val="00901698"/>
    <w:rsid w:val="00A161E1"/>
    <w:rsid w:val="00A73940"/>
    <w:rsid w:val="00D31D50"/>
    <w:rsid w:val="00EF6BC5"/>
    <w:rsid w:val="00F27B33"/>
    <w:rsid w:val="00FE4AD5"/>
    <w:rsid w:val="1097663B"/>
    <w:rsid w:val="14414F77"/>
    <w:rsid w:val="14505742"/>
    <w:rsid w:val="15381C47"/>
    <w:rsid w:val="24670DCF"/>
    <w:rsid w:val="2A7E0DC3"/>
    <w:rsid w:val="2EF5010C"/>
    <w:rsid w:val="367312C5"/>
    <w:rsid w:val="374B530C"/>
    <w:rsid w:val="37E707AF"/>
    <w:rsid w:val="3B4E5775"/>
    <w:rsid w:val="419674A2"/>
    <w:rsid w:val="673311F4"/>
    <w:rsid w:val="6A4A5AF8"/>
    <w:rsid w:val="6B577167"/>
    <w:rsid w:val="781611E9"/>
    <w:rsid w:val="787A1DD2"/>
    <w:rsid w:val="7B333B03"/>
    <w:rsid w:val="7F74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 w:val="0"/>
      <w:keepLines w:val="0"/>
      <w:spacing w:before="200" w:beforeAutospacing="0" w:after="20" w:afterLines="0" w:afterAutospacing="0" w:line="600" w:lineRule="exact"/>
      <w:ind w:firstLine="880" w:firstLineChars="200"/>
      <w:outlineLvl w:val="1"/>
    </w:pPr>
    <w:rPr>
      <w:rFonts w:ascii="Arial" w:hAnsi="Arial" w:eastAsia="黑体"/>
      <w:sz w:val="32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p15"/>
    <w:basedOn w:val="1"/>
    <w:qFormat/>
    <w:uiPriority w:val="0"/>
    <w:pPr>
      <w:adjustRightInd/>
      <w:snapToGrid/>
      <w:spacing w:after="0"/>
      <w:jc w:val="both"/>
    </w:pPr>
    <w:rPr>
      <w:rFonts w:ascii="Calibri" w:hAnsi="Calibri" w:eastAsia="宋体" w:cs="宋体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241</Words>
  <Characters>1375</Characters>
  <Lines>11</Lines>
  <Paragraphs>3</Paragraphs>
  <TotalTime>0</TotalTime>
  <ScaleCrop>false</ScaleCrop>
  <LinksUpToDate>false</LinksUpToDate>
  <CharactersWithSpaces>1613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2019-05-07T01:31:00Z</cp:lastPrinted>
  <dcterms:modified xsi:type="dcterms:W3CDTF">2019-05-16T07:46:33Z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